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666750</wp:posOffset>
            </wp:positionH>
            <wp:positionV relativeFrom="page">
              <wp:posOffset>369570</wp:posOffset>
            </wp:positionV>
            <wp:extent cx="621982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19825" cy="7620"/>
                    </a:xfrm>
                    <a:prstGeom prst="rect">
                      <a:avLst/>
                    </a:prstGeom>
                    <a:noFill/>
                  </pic:spPr>
                </pic:pic>
              </a:graphicData>
            </a:graphic>
          </wp:anchor>
        </w:drawing>
        <w:drawing>
          <wp:anchor simplePos="0" relativeHeight="251657728" behindDoc="1" locked="0" layoutInCell="0" allowOverlap="1">
            <wp:simplePos x="0" y="0"/>
            <wp:positionH relativeFrom="page">
              <wp:posOffset>666750</wp:posOffset>
            </wp:positionH>
            <wp:positionV relativeFrom="page">
              <wp:posOffset>407670</wp:posOffset>
            </wp:positionV>
            <wp:extent cx="62198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19825" cy="7620"/>
                    </a:xfrm>
                    <a:prstGeom prst="rect">
                      <a:avLst/>
                    </a:prstGeom>
                    <a:noFill/>
                  </pic:spPr>
                </pic:pic>
              </a:graphicData>
            </a:graphic>
          </wp:anchor>
        </w:drawing>
        <w:t>UNITED STATES</w:t>
      </w:r>
    </w:p>
    <w:p>
      <w:pPr>
        <w:spacing w:after="0" w:line="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2206625</wp:posOffset>
            </wp:positionH>
            <wp:positionV relativeFrom="paragraph">
              <wp:posOffset>206375</wp:posOffset>
            </wp:positionV>
            <wp:extent cx="13036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2206625</wp:posOffset>
            </wp:positionH>
            <wp:positionV relativeFrom="paragraph">
              <wp:posOffset>226695</wp:posOffset>
            </wp:positionV>
            <wp:extent cx="13036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November 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2206625</wp:posOffset>
            </wp:positionH>
            <wp:positionV relativeFrom="paragraph">
              <wp:posOffset>221615</wp:posOffset>
            </wp:positionV>
            <wp:extent cx="13036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Evergy, Inc.</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2206625</wp:posOffset>
            </wp:positionH>
            <wp:positionV relativeFrom="paragraph">
              <wp:posOffset>200025</wp:posOffset>
            </wp:positionV>
            <wp:extent cx="13036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ectPr>
          <w:pgSz w:w="11900" w:h="16840" w:orient="portrait"/>
          <w:cols w:equalWidth="0" w:num="1">
            <w:col w:w="9020"/>
          </w:cols>
          <w:pgMar w:left="1440" w:top="683" w:right="1440" w:bottom="141" w:gutter="0" w:footer="0" w:header="0"/>
        </w:sectPr>
      </w:pPr>
    </w:p>
    <w:p>
      <w:pPr>
        <w:spacing w:after="0" w:line="200" w:lineRule="exact"/>
        <w:rPr>
          <w:sz w:val="24"/>
          <w:szCs w:val="24"/>
          <w:color w:val="auto"/>
        </w:rPr>
      </w:pPr>
    </w:p>
    <w:p>
      <w:pPr>
        <w:spacing w:after="0" w:line="364"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4"/>
          <w:szCs w:val="14"/>
          <w:b w:val="1"/>
          <w:bCs w:val="1"/>
          <w:color w:val="auto"/>
        </w:rPr>
        <w:t>Missouri</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4"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4"/>
          <w:szCs w:val="14"/>
          <w:b w:val="1"/>
          <w:bCs w:val="1"/>
          <w:color w:val="auto"/>
        </w:rPr>
        <w:t>001-38515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82-2733395</w:t>
      </w:r>
    </w:p>
    <w:p>
      <w:pPr>
        <w:spacing w:after="0" w:line="43" w:lineRule="exact"/>
        <w:rPr>
          <w:sz w:val="24"/>
          <w:szCs w:val="24"/>
          <w:color w:val="auto"/>
        </w:rPr>
      </w:pPr>
    </w:p>
    <w:p>
      <w:pPr>
        <w:sectPr>
          <w:pgSz w:w="11900" w:h="16840" w:orient="portrait"/>
          <w:cols w:equalWidth="0" w:num="3">
            <w:col w:w="3540" w:space="720"/>
            <w:col w:w="2480" w:space="720"/>
            <w:col w:w="1560"/>
          </w:cols>
          <w:pgMar w:left="1440" w:top="683" w:right="1440" w:bottom="141" w:gutter="0" w:footer="0" w:header="0"/>
          <w:type w:val="continuous"/>
        </w:sectPr>
      </w:pPr>
    </w:p>
    <w:p>
      <w:pPr>
        <w:jc w:val="center"/>
        <w:ind w:right="94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p>
      <w:pPr>
        <w:jc w:val="center"/>
        <w:ind w:right="960"/>
        <w:spacing w:after="0"/>
        <w:rPr>
          <w:sz w:val="20"/>
          <w:szCs w:val="20"/>
          <w:color w:val="auto"/>
        </w:rPr>
      </w:pPr>
      <w:r>
        <w:rPr>
          <w:rFonts w:ascii="Times New Roman" w:cs="Times New Roman" w:eastAsia="Times New Roman" w:hAnsi="Times New Roman"/>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3"/>
          <w:szCs w:val="13"/>
          <w:b w:val="1"/>
          <w:bCs w:val="1"/>
          <w:color w:val="auto"/>
        </w:rPr>
        <w:t>(Commission</w:t>
      </w:r>
    </w:p>
    <w:p>
      <w:pPr>
        <w:spacing w:after="0"/>
        <w:rPr>
          <w:sz w:val="20"/>
          <w:szCs w:val="20"/>
          <w:color w:val="auto"/>
        </w:rPr>
      </w:pPr>
      <w:r>
        <w:rPr>
          <w:rFonts w:ascii="Times New Roman" w:cs="Times New Roman" w:eastAsia="Times New Roman" w:hAnsi="Times New Roman"/>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3"/>
          <w:szCs w:val="13"/>
          <w:b w:val="1"/>
          <w:bCs w:val="1"/>
          <w:color w:val="auto"/>
        </w:rPr>
        <w:t>Identification No.)</w:t>
      </w:r>
    </w:p>
    <w:p>
      <w:pPr>
        <w:spacing w:after="0" w:line="193" w:lineRule="exact"/>
        <w:rPr>
          <w:sz w:val="24"/>
          <w:szCs w:val="24"/>
          <w:color w:val="auto"/>
        </w:rPr>
      </w:pPr>
    </w:p>
    <w:p>
      <w:pPr>
        <w:sectPr>
          <w:pgSz w:w="11900" w:h="16840" w:orient="portrait"/>
          <w:cols w:equalWidth="0" w:num="3">
            <w:col w:w="3500" w:space="720"/>
            <w:col w:w="2380" w:space="720"/>
            <w:col w:w="1700"/>
          </w:cols>
          <w:pgMar w:left="1440" w:top="683" w:right="1440" w:bottom="141"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1200 Main Street</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Kansas City, Missouri 64105</w:t>
      </w: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 and Zip Code)</w:t>
      </w:r>
    </w:p>
    <w:p>
      <w:pPr>
        <w:spacing w:after="0" w:line="18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(816) 556-2200</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18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2206625</wp:posOffset>
            </wp:positionH>
            <wp:positionV relativeFrom="paragraph">
              <wp:posOffset>208280</wp:posOffset>
            </wp:positionV>
            <wp:extent cx="13036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ectPr>
          <w:pgSz w:w="11900" w:h="16840" w:orient="portrait"/>
          <w:cols w:equalWidth="0" w:num="1">
            <w:col w:w="9020"/>
          </w:cols>
          <w:pgMar w:left="1440" w:top="683" w:right="1440" w:bottom="141" w:gutter="0" w:footer="0" w:header="0"/>
          <w:type w:val="continuous"/>
        </w:sectPr>
      </w:pPr>
    </w:p>
    <w:p>
      <w:pPr>
        <w:spacing w:after="0" w:line="200" w:lineRule="exact"/>
        <w:rPr>
          <w:sz w:val="24"/>
          <w:szCs w:val="24"/>
          <w:color w:val="auto"/>
        </w:rPr>
      </w:pPr>
    </w:p>
    <w:p>
      <w:pPr>
        <w:spacing w:after="0" w:line="2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8"/>
          <w:szCs w:val="38"/>
          <w:b w:val="1"/>
          <w:bCs w:val="1"/>
          <w:color w:val="auto"/>
        </w:rPr>
        <w:t>Evergy Kansas Central, Inc.</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2206625</wp:posOffset>
            </wp:positionH>
            <wp:positionV relativeFrom="paragraph">
              <wp:posOffset>200025</wp:posOffset>
            </wp:positionV>
            <wp:extent cx="130365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ectPr>
          <w:pgSz w:w="11900" w:h="16840" w:orient="portrait"/>
          <w:cols w:equalWidth="0" w:num="1">
            <w:col w:w="9020"/>
          </w:cols>
          <w:pgMar w:left="1440" w:top="683" w:right="1440" w:bottom="141" w:gutter="0" w:footer="0" w:header="0"/>
          <w:type w:val="continuous"/>
        </w:sectPr>
      </w:pPr>
    </w:p>
    <w:p>
      <w:pPr>
        <w:spacing w:after="0" w:line="200" w:lineRule="exact"/>
        <w:rPr>
          <w:sz w:val="24"/>
          <w:szCs w:val="24"/>
          <w:color w:val="auto"/>
        </w:rPr>
      </w:pPr>
    </w:p>
    <w:p>
      <w:pPr>
        <w:spacing w:after="0" w:line="364"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4"/>
          <w:szCs w:val="14"/>
          <w:b w:val="1"/>
          <w:bCs w:val="1"/>
          <w:color w:val="auto"/>
        </w:rPr>
        <w:t>Kansas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4"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4"/>
          <w:szCs w:val="14"/>
          <w:b w:val="1"/>
          <w:bCs w:val="1"/>
          <w:color w:val="auto"/>
        </w:rPr>
        <w:t>001-03523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48-0290150</w:t>
      </w:r>
    </w:p>
    <w:p>
      <w:pPr>
        <w:spacing w:after="0" w:line="43" w:lineRule="exact"/>
        <w:rPr>
          <w:sz w:val="24"/>
          <w:szCs w:val="24"/>
          <w:color w:val="auto"/>
        </w:rPr>
      </w:pPr>
    </w:p>
    <w:p>
      <w:pPr>
        <w:sectPr>
          <w:pgSz w:w="11900" w:h="16840" w:orient="portrait"/>
          <w:cols w:equalWidth="0" w:num="3">
            <w:col w:w="3540" w:space="720"/>
            <w:col w:w="2480" w:space="720"/>
            <w:col w:w="1560"/>
          </w:cols>
          <w:pgMar w:left="1440" w:top="683" w:right="1440" w:bottom="141" w:gutter="0" w:footer="0" w:header="0"/>
          <w:type w:val="continuous"/>
        </w:sectPr>
      </w:pPr>
    </w:p>
    <w:p>
      <w:pPr>
        <w:jc w:val="center"/>
        <w:ind w:right="94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p>
      <w:pPr>
        <w:jc w:val="center"/>
        <w:ind w:right="960"/>
        <w:spacing w:after="0"/>
        <w:rPr>
          <w:sz w:val="20"/>
          <w:szCs w:val="20"/>
          <w:color w:val="auto"/>
        </w:rPr>
      </w:pPr>
      <w:r>
        <w:rPr>
          <w:rFonts w:ascii="Times New Roman" w:cs="Times New Roman" w:eastAsia="Times New Roman" w:hAnsi="Times New Roman"/>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3"/>
          <w:szCs w:val="13"/>
          <w:b w:val="1"/>
          <w:bCs w:val="1"/>
          <w:color w:val="auto"/>
        </w:rPr>
        <w:t>(Commission</w:t>
      </w:r>
    </w:p>
    <w:p>
      <w:pPr>
        <w:spacing w:after="0"/>
        <w:rPr>
          <w:sz w:val="20"/>
          <w:szCs w:val="20"/>
          <w:color w:val="auto"/>
        </w:rPr>
      </w:pPr>
      <w:r>
        <w:rPr>
          <w:rFonts w:ascii="Times New Roman" w:cs="Times New Roman" w:eastAsia="Times New Roman" w:hAnsi="Times New Roman"/>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3"/>
          <w:szCs w:val="13"/>
          <w:b w:val="1"/>
          <w:bCs w:val="1"/>
          <w:color w:val="auto"/>
        </w:rPr>
        <w:t>Identification No.)</w:t>
      </w:r>
    </w:p>
    <w:p>
      <w:pPr>
        <w:spacing w:after="0" w:line="193" w:lineRule="exact"/>
        <w:rPr>
          <w:sz w:val="24"/>
          <w:szCs w:val="24"/>
          <w:color w:val="auto"/>
        </w:rPr>
      </w:pPr>
    </w:p>
    <w:p>
      <w:pPr>
        <w:sectPr>
          <w:pgSz w:w="11900" w:h="16840" w:orient="portrait"/>
          <w:cols w:equalWidth="0" w:num="3">
            <w:col w:w="3500" w:space="720"/>
            <w:col w:w="2380" w:space="720"/>
            <w:col w:w="1700"/>
          </w:cols>
          <w:pgMar w:left="1440" w:top="683" w:right="1440" w:bottom="141" w:gutter="0" w:footer="0" w:header="0"/>
          <w:type w:val="continuous"/>
        </w:sectPr>
      </w:pPr>
    </w:p>
    <w:p>
      <w:pPr>
        <w:ind w:left="3640"/>
        <w:spacing w:after="0"/>
        <w:rPr>
          <w:sz w:val="20"/>
          <w:szCs w:val="20"/>
          <w:color w:val="auto"/>
        </w:rPr>
      </w:pPr>
      <w:r>
        <w:rPr>
          <w:rFonts w:ascii="Times New Roman" w:cs="Times New Roman" w:eastAsia="Times New Roman" w:hAnsi="Times New Roman"/>
          <w:sz w:val="16"/>
          <w:szCs w:val="16"/>
          <w:b w:val="1"/>
          <w:bCs w:val="1"/>
          <w:color w:val="auto"/>
        </w:rPr>
        <w:t>818 South Kansas Avenue</w:t>
      </w:r>
    </w:p>
    <w:p>
      <w:pPr>
        <w:spacing w:after="0" w:line="10"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6"/>
          <w:szCs w:val="16"/>
          <w:b w:val="1"/>
          <w:bCs w:val="1"/>
          <w:color w:val="auto"/>
        </w:rPr>
        <w:t>Topeka, Kansas 66612</w:t>
      </w: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 and Zip Code)</w:t>
      </w:r>
    </w:p>
    <w:p>
      <w:pPr>
        <w:spacing w:after="0" w:line="18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(785) 575-6300</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18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2206625</wp:posOffset>
            </wp:positionH>
            <wp:positionV relativeFrom="paragraph">
              <wp:posOffset>208280</wp:posOffset>
            </wp:positionV>
            <wp:extent cx="130365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ectPr>
          <w:pgSz w:w="11900" w:h="16840" w:orient="portrait"/>
          <w:cols w:equalWidth="0" w:num="1">
            <w:col w:w="9020"/>
          </w:cols>
          <w:pgMar w:left="1440" w:top="683" w:right="1440" w:bottom="141" w:gutter="0" w:footer="0" w:header="0"/>
          <w:type w:val="continuous"/>
        </w:sectPr>
      </w:pP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Evergy Metro, Inc.</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2206625</wp:posOffset>
            </wp:positionH>
            <wp:positionV relativeFrom="paragraph">
              <wp:posOffset>214630</wp:posOffset>
            </wp:positionV>
            <wp:extent cx="130365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ectPr>
          <w:pgSz w:w="11900" w:h="16840" w:orient="portrait"/>
          <w:cols w:equalWidth="0" w:num="1">
            <w:col w:w="9020"/>
          </w:cols>
          <w:pgMar w:left="1440" w:top="683" w:right="1440" w:bottom="141" w:gutter="0" w:footer="0" w:header="0"/>
          <w:type w:val="continuous"/>
        </w:sectPr>
      </w:pPr>
    </w:p>
    <w:p>
      <w:pPr>
        <w:spacing w:after="0" w:line="200" w:lineRule="exact"/>
        <w:rPr>
          <w:sz w:val="24"/>
          <w:szCs w:val="24"/>
          <w:color w:val="auto"/>
        </w:rPr>
      </w:pPr>
    </w:p>
    <w:p>
      <w:pPr>
        <w:spacing w:after="0" w:line="387"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4"/>
          <w:szCs w:val="14"/>
          <w:b w:val="1"/>
          <w:bCs w:val="1"/>
          <w:color w:val="auto"/>
        </w:rPr>
        <w:t>Missouri</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7"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4"/>
          <w:szCs w:val="14"/>
          <w:b w:val="1"/>
          <w:bCs w:val="1"/>
          <w:color w:val="auto"/>
        </w:rPr>
        <w:t>000-51873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44-0308720</w:t>
      </w:r>
    </w:p>
    <w:p>
      <w:pPr>
        <w:spacing w:after="0" w:line="43" w:lineRule="exact"/>
        <w:rPr>
          <w:sz w:val="24"/>
          <w:szCs w:val="24"/>
          <w:color w:val="auto"/>
        </w:rPr>
      </w:pPr>
    </w:p>
    <w:p>
      <w:pPr>
        <w:sectPr>
          <w:pgSz w:w="11900" w:h="16840" w:orient="portrait"/>
          <w:cols w:equalWidth="0" w:num="3">
            <w:col w:w="3540" w:space="720"/>
            <w:col w:w="2480" w:space="720"/>
            <w:col w:w="1560"/>
          </w:cols>
          <w:pgMar w:left="1440" w:top="683" w:right="1440" w:bottom="141" w:gutter="0" w:footer="0" w:header="0"/>
          <w:type w:val="continuous"/>
        </w:sectPr>
      </w:pPr>
    </w:p>
    <w:p>
      <w:pPr>
        <w:jc w:val="center"/>
        <w:ind w:right="94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p>
      <w:pPr>
        <w:jc w:val="center"/>
        <w:ind w:right="960"/>
        <w:spacing w:after="0"/>
        <w:rPr>
          <w:sz w:val="20"/>
          <w:szCs w:val="20"/>
          <w:color w:val="auto"/>
        </w:rPr>
      </w:pPr>
      <w:r>
        <w:rPr>
          <w:rFonts w:ascii="Times New Roman" w:cs="Times New Roman" w:eastAsia="Times New Roman" w:hAnsi="Times New Roman"/>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3"/>
          <w:szCs w:val="13"/>
          <w:b w:val="1"/>
          <w:bCs w:val="1"/>
          <w:color w:val="auto"/>
        </w:rPr>
        <w:t>(Commission</w:t>
      </w:r>
    </w:p>
    <w:p>
      <w:pPr>
        <w:spacing w:after="0"/>
        <w:rPr>
          <w:sz w:val="20"/>
          <w:szCs w:val="20"/>
          <w:color w:val="auto"/>
        </w:rPr>
      </w:pPr>
      <w:r>
        <w:rPr>
          <w:rFonts w:ascii="Times New Roman" w:cs="Times New Roman" w:eastAsia="Times New Roman" w:hAnsi="Times New Roman"/>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3"/>
          <w:szCs w:val="13"/>
          <w:b w:val="1"/>
          <w:bCs w:val="1"/>
          <w:color w:val="auto"/>
        </w:rPr>
        <w:t>Identification No.)</w:t>
      </w:r>
    </w:p>
    <w:p>
      <w:pPr>
        <w:spacing w:after="0" w:line="193" w:lineRule="exact"/>
        <w:rPr>
          <w:sz w:val="24"/>
          <w:szCs w:val="24"/>
          <w:color w:val="auto"/>
        </w:rPr>
      </w:pPr>
    </w:p>
    <w:p>
      <w:pPr>
        <w:sectPr>
          <w:pgSz w:w="11900" w:h="16840" w:orient="portrait"/>
          <w:cols w:equalWidth="0" w:num="3">
            <w:col w:w="3500" w:space="720"/>
            <w:col w:w="2380" w:space="720"/>
            <w:col w:w="1700"/>
          </w:cols>
          <w:pgMar w:left="1440" w:top="683" w:right="1440" w:bottom="141"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1200 Main Street</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Kansas City, Missouri 64105</w:t>
      </w: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 and Zip Code)</w:t>
      </w:r>
    </w:p>
    <w:p>
      <w:pPr>
        <w:spacing w:after="0" w:line="18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(816) 556-2200</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18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ectPr>
          <w:pgSz w:w="11900" w:h="16840" w:orient="portrait"/>
          <w:cols w:equalWidth="0" w:num="1">
            <w:col w:w="9020"/>
          </w:cols>
          <w:pgMar w:left="1440" w:top="683" w:right="1440" w:bottom="141" w:gutter="0" w:footer="0" w:header="0"/>
          <w:type w:val="continuous"/>
        </w:sectPr>
      </w:pPr>
    </w:p>
    <w:bookmarkStart w:id="1" w:name="page2"/>
    <w:bookmarkEnd w:id="1"/>
    <w:p>
      <w:pPr>
        <w:ind w:right="20"/>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3121025</wp:posOffset>
            </wp:positionH>
            <wp:positionV relativeFrom="page">
              <wp:posOffset>567690</wp:posOffset>
            </wp:positionV>
            <wp:extent cx="130365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03655" cy="7620"/>
                    </a:xfrm>
                    <a:prstGeom prst="rect">
                      <a:avLst/>
                    </a:prstGeom>
                    <a:noFill/>
                  </pic:spPr>
                </pic:pic>
              </a:graphicData>
            </a:graphic>
          </wp:anchor>
        </w:drawing>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6"/>
          <w:szCs w:val="16"/>
          <w:i w:val="1"/>
          <w:iCs w:val="1"/>
          <w:color w:val="auto"/>
        </w:rPr>
        <w:t>see</w:t>
      </w:r>
      <w:r>
        <w:rPr>
          <w:rFonts w:ascii="Times New Roman" w:cs="Times New Roman" w:eastAsia="Times New Roman" w:hAnsi="Times New Roman"/>
          <w:sz w:val="16"/>
          <w:szCs w:val="16"/>
          <w:color w:val="auto"/>
        </w:rPr>
        <w:t xml:space="preserve"> General Instruction A.2. below):</w:t>
      </w:r>
    </w:p>
    <w:p>
      <w:pPr>
        <w:spacing w:after="0" w:line="83" w:lineRule="exact"/>
        <w:rPr>
          <w:sz w:val="20"/>
          <w:szCs w:val="20"/>
          <w:color w:val="auto"/>
        </w:rPr>
      </w:pPr>
    </w:p>
    <w:p>
      <w:pPr>
        <w:ind w:left="860" w:hanging="486"/>
        <w:spacing w:after="0"/>
        <w:tabs>
          <w:tab w:leader="none" w:pos="8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 pursuant to Rule 425 under the Securities Act (17 CFR 230.425)</w:t>
      </w:r>
    </w:p>
    <w:p>
      <w:pPr>
        <w:spacing w:after="0" w:line="116" w:lineRule="exact"/>
        <w:rPr>
          <w:rFonts w:ascii="MS PGothic" w:cs="MS PGothic" w:eastAsia="MS PGothic" w:hAnsi="MS PGothic"/>
          <w:sz w:val="16"/>
          <w:szCs w:val="16"/>
          <w:color w:val="auto"/>
        </w:rPr>
      </w:pPr>
    </w:p>
    <w:p>
      <w:pPr>
        <w:ind w:left="860" w:hanging="486"/>
        <w:spacing w:after="0"/>
        <w:tabs>
          <w:tab w:leader="none" w:pos="8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16" w:lineRule="exact"/>
        <w:rPr>
          <w:rFonts w:ascii="MS PGothic" w:cs="MS PGothic" w:eastAsia="MS PGothic" w:hAnsi="MS PGothic"/>
          <w:sz w:val="16"/>
          <w:szCs w:val="16"/>
          <w:color w:val="auto"/>
        </w:rPr>
      </w:pPr>
    </w:p>
    <w:p>
      <w:pPr>
        <w:ind w:left="860" w:hanging="486"/>
        <w:spacing w:after="0"/>
        <w:tabs>
          <w:tab w:leader="none" w:pos="8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 pursuant to Rule 14d-2(b) under the Exchange Act (17 CFR 240.14d-2(b))</w:t>
      </w:r>
    </w:p>
    <w:p>
      <w:pPr>
        <w:spacing w:after="0" w:line="116" w:lineRule="exact"/>
        <w:rPr>
          <w:rFonts w:ascii="MS PGothic" w:cs="MS PGothic" w:eastAsia="MS PGothic" w:hAnsi="MS PGothic"/>
          <w:sz w:val="16"/>
          <w:szCs w:val="16"/>
          <w:color w:val="auto"/>
        </w:rPr>
      </w:pPr>
    </w:p>
    <w:p>
      <w:pPr>
        <w:ind w:left="860" w:hanging="486"/>
        <w:spacing w:after="0"/>
        <w:tabs>
          <w:tab w:leader="none" w:pos="8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 pursuant to Rule 13e-4(c) under the Exchange Act (17 CFR 240.13e-4(c))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100" w:type="dxa"/>
            <w:vAlign w:val="bottom"/>
          </w:tcPr>
          <w:p>
            <w:pPr>
              <w:spacing w:after="0"/>
              <w:rPr>
                <w:sz w:val="13"/>
                <w:szCs w:val="13"/>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w:t>
            </w:r>
          </w:p>
        </w:tc>
      </w:tr>
      <w:tr>
        <w:trPr>
          <w:trHeight w:val="174"/>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00" w:type="dxa"/>
            <w:vAlign w:val="bottom"/>
          </w:tcPr>
          <w:p>
            <w:pPr>
              <w:spacing w:after="0"/>
              <w:rPr>
                <w:sz w:val="15"/>
                <w:szCs w:val="15"/>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100" w:type="dxa"/>
            <w:vAlign w:val="bottom"/>
          </w:tcPr>
          <w:p>
            <w:pPr>
              <w:spacing w:after="0"/>
              <w:rPr>
                <w:sz w:val="15"/>
                <w:szCs w:val="15"/>
                <w:color w:val="auto"/>
              </w:rPr>
            </w:pPr>
          </w:p>
        </w:tc>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on which registered</w:t>
            </w:r>
          </w:p>
        </w:tc>
      </w:tr>
      <w:tr>
        <w:trPr>
          <w:trHeight w:val="203"/>
        </w:trPr>
        <w:tc>
          <w:tcPr>
            <w:tcW w:w="3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Evergy, Inc. common stock</w:t>
            </w:r>
          </w:p>
        </w:tc>
        <w:tc>
          <w:tcPr>
            <w:tcW w:w="100" w:type="dxa"/>
            <w:vAlign w:val="bottom"/>
          </w:tcPr>
          <w:p>
            <w:pPr>
              <w:spacing w:after="0"/>
              <w:rPr>
                <w:sz w:val="17"/>
                <w:szCs w:val="17"/>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EVRG</w:t>
            </w:r>
          </w:p>
        </w:tc>
        <w:tc>
          <w:tcPr>
            <w:tcW w:w="100" w:type="dxa"/>
            <w:vAlign w:val="bottom"/>
          </w:tcPr>
          <w:p>
            <w:pPr>
              <w:spacing w:after="0"/>
              <w:rPr>
                <w:sz w:val="17"/>
                <w:szCs w:val="17"/>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The Nasdaq Stock Market LLC</w:t>
            </w:r>
          </w:p>
        </w:tc>
      </w:tr>
    </w:tbl>
    <w:p>
      <w:pPr>
        <w:spacing w:after="0" w:line="156"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21" w:lineRule="exact"/>
        <w:rPr>
          <w:sz w:val="20"/>
          <w:szCs w:val="20"/>
          <w:color w:val="auto"/>
        </w:rPr>
      </w:pPr>
    </w:p>
    <w:p>
      <w:pPr>
        <w:ind w:left="7860"/>
        <w:spacing w:after="0" w:line="162" w:lineRule="exact"/>
        <w:rPr>
          <w:sz w:val="20"/>
          <w:szCs w:val="20"/>
          <w:color w:val="auto"/>
        </w:rPr>
      </w:pPr>
      <w:r>
        <w:rPr>
          <w:rFonts w:ascii="Times New Roman" w:cs="Times New Roman" w:eastAsia="Times New Roman" w:hAnsi="Times New Roman"/>
          <w:sz w:val="14"/>
          <w:szCs w:val="14"/>
          <w:color w:val="auto"/>
        </w:rPr>
        <w:t>Emerging growth company</w:t>
      </w:r>
      <w:r>
        <w:rPr>
          <w:rFonts w:ascii="Arial" w:cs="Arial" w:eastAsia="Arial" w:hAnsi="Arial"/>
          <w:sz w:val="14"/>
          <w:szCs w:val="14"/>
          <w:color w:val="auto"/>
        </w:rPr>
        <w:t xml:space="preserve"> </w:t>
      </w:r>
      <w:r>
        <w:rPr>
          <w:rFonts w:ascii="MS PGothic" w:cs="MS PGothic" w:eastAsia="MS PGothic" w:hAnsi="MS PGothic"/>
          <w:sz w:val="14"/>
          <w:szCs w:val="14"/>
          <w:color w:val="auto"/>
        </w:rPr>
        <w:t>☐</w:t>
      </w:r>
    </w:p>
    <w:p>
      <w:pPr>
        <w:spacing w:after="0" w:line="244" w:lineRule="exact"/>
        <w:rPr>
          <w:sz w:val="20"/>
          <w:szCs w:val="20"/>
          <w:color w:val="auto"/>
        </w:rPr>
      </w:pPr>
    </w:p>
    <w:p>
      <w:pPr>
        <w:ind w:right="20"/>
        <w:spacing w:after="0" w:line="205" w:lineRule="exact"/>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99695</wp:posOffset>
            </wp:positionV>
            <wp:extent cx="621982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19825"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137795</wp:posOffset>
            </wp:positionV>
            <wp:extent cx="621982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ectPr>
          <w:pgSz w:w="11900" w:h="16840" w:orient="portrait"/>
          <w:cols w:equalWidth="0" w:num="1">
            <w:col w:w="9780"/>
          </w:cols>
          <w:pgMar w:left="1060" w:top="1085" w:right="1060" w:bottom="1440" w:gutter="0" w:footer="0" w:header="0"/>
        </w:sectPr>
      </w:pPr>
    </w:p>
    <w:bookmarkStart w:id="2" w:name="page3"/>
    <w:bookmarkEnd w:id="2"/>
    <w:p>
      <w:pPr>
        <w:jc w:val="both"/>
        <w:spacing w:after="0" w:line="24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48145" cy="50800"/>
                    </a:xfrm>
                    <a:prstGeom prst="rect">
                      <a:avLst/>
                    </a:prstGeom>
                    <a:noFill/>
                  </pic:spPr>
                </pic:pic>
              </a:graphicData>
            </a:graphic>
          </wp:anchor>
        </w:drawing>
        <w:t>This combined Current Report on Form 8-K is provided by the following registrants: Evergy, Inc. (“Evergy”), Evergy Kansas Central, Inc. (“Evergy Kansas Central”) and Evergy Metro, Inc. (“Evergy Metro”). Information relating to any individual registrant is filed by such registrant solely on its own behalf. Each registrant makes no representation as to information relating exclusively to the other registrants.</w:t>
      </w:r>
    </w:p>
    <w:p>
      <w:pPr>
        <w:spacing w:after="0" w:line="306"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t>Item</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2.02</w:t>
      </w:r>
      <w:r>
        <w:rPr>
          <w:sz w:val="20"/>
          <w:szCs w:val="20"/>
          <w:color w:val="auto"/>
        </w:rPr>
        <w:tab/>
      </w:r>
      <w:r>
        <w:rPr>
          <w:rFonts w:ascii="Times New Roman" w:cs="Times New Roman" w:eastAsia="Times New Roman" w:hAnsi="Times New Roman"/>
          <w:sz w:val="14"/>
          <w:szCs w:val="14"/>
          <w:b w:val="1"/>
          <w:bCs w:val="1"/>
          <w:color w:val="auto"/>
        </w:rPr>
        <w:t>Results of Operations and Financial Condition</w:t>
      </w:r>
    </w:p>
    <w:p>
      <w:pPr>
        <w:spacing w:after="0" w:line="93"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6"/>
          <w:szCs w:val="16"/>
          <w:color w:val="auto"/>
        </w:rPr>
        <w:t>On November 6, 2025, Evergy issued a press release announcing its results for the third quarter ended September 30, 2025. A copy of the press release is attached as Exhibit 99.1.</w:t>
      </w:r>
    </w:p>
    <w:p>
      <w:pPr>
        <w:spacing w:after="0" w:line="15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The press release contains information regarding Evergy Kansas Central and Evergy Metro. Accordingly, information in the press release relating to Evergy Kansas Central and Evergy Metro is also being furnished on behalf of Evergy Kansas Central and Evergy Metro.</w:t>
      </w:r>
    </w:p>
    <w:p>
      <w:pPr>
        <w:spacing w:after="0" w:line="155"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6"/>
          <w:szCs w:val="16"/>
          <w:color w:val="auto"/>
        </w:rPr>
        <w:t>The information under this Item 2.02 and in Exhibit 99.1 hereto is being furnished and shall not be deemed “filed” for the purposes of Section 18 of the Securities Exchange Act of 1934, as amended (“Exchange Act”) or otherwise subject to the liabilities of that section. The information under this Item 2.02 and Exhibit 99.1 hereto shall not be deemed incorporated by reference into any registration statement or other document pursuant to the Securities Act of 1933, as amended (“Securities Act”), unless otherwise expressly indicated in such registration statement or other document.</w:t>
      </w:r>
    </w:p>
    <w:p>
      <w:pPr>
        <w:spacing w:after="0" w:line="309"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t>Item</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7.01</w:t>
      </w:r>
      <w:r>
        <w:rPr>
          <w:sz w:val="20"/>
          <w:szCs w:val="20"/>
          <w:color w:val="auto"/>
        </w:rPr>
        <w:tab/>
      </w:r>
      <w:r>
        <w:rPr>
          <w:rFonts w:ascii="Times New Roman" w:cs="Times New Roman" w:eastAsia="Times New Roman" w:hAnsi="Times New Roman"/>
          <w:sz w:val="14"/>
          <w:szCs w:val="14"/>
          <w:b w:val="1"/>
          <w:bCs w:val="1"/>
          <w:color w:val="auto"/>
        </w:rPr>
        <w:t>Regulation FD Disclosure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 is furnishing 2025 fiscal year earnings guidance in the press release attached as Exhibit 99.1, which is incorporated herein by reference.</w:t>
      </w:r>
    </w:p>
    <w:p>
      <w:pPr>
        <w:spacing w:after="0" w:line="188"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The information under this Item 7.01 and in Exhibit 99.1 is being furnished and shall not be deemed “filed” for the purposes of Section 18 of the Exchange Act or otherwise subject to the liabilities of that section. The information under this Item 7.01 and in Exhibit 99.1 shall not be deemed incorporated by reference into any registration statement or other document pursuant to the Securities Act unless otherwise expressly indicated in such registration statement or other document.</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Item</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9.01</w:t>
            </w:r>
          </w:p>
        </w:tc>
        <w:tc>
          <w:tcPr>
            <w:tcW w:w="5380" w:type="dxa"/>
            <w:vAlign w:val="bottom"/>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Financial Statements and Exhibits</w:t>
            </w:r>
          </w:p>
        </w:tc>
      </w:tr>
      <w:tr>
        <w:trPr>
          <w:trHeight w:val="242"/>
        </w:trPr>
        <w:tc>
          <w:tcPr>
            <w:tcW w:w="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4"/>
              </w:rPr>
              <w:t>(d) Exhibits</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388"/>
        </w:trPr>
        <w:tc>
          <w:tcPr>
            <w:tcW w:w="9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Exhibit No.</w:t>
            </w:r>
          </w:p>
        </w:tc>
        <w:tc>
          <w:tcPr>
            <w:tcW w:w="340" w:type="dxa"/>
            <w:vAlign w:val="bottom"/>
          </w:tcPr>
          <w:p>
            <w:pPr>
              <w:spacing w:after="0"/>
              <w:rPr>
                <w:sz w:val="24"/>
                <w:szCs w:val="24"/>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Description</w:t>
            </w:r>
          </w:p>
        </w:tc>
      </w:tr>
      <w:tr>
        <w:trPr>
          <w:trHeight w:val="20"/>
        </w:trPr>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44"/>
        </w:trPr>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99.1</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40" w:type="dxa"/>
            <w:vAlign w:val="bottom"/>
            <w:gridSpan w:val="3"/>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Press Release issued by Evergy, Inc. on November 6, 2025.</w:t>
              </w:r>
            </w:hyperlink>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2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90"/>
        </w:trPr>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6"/>
                <w:szCs w:val="16"/>
                <w:color w:val="auto"/>
                <w:w w:val="96"/>
              </w:rPr>
              <w:t>Cover Page Interactive Data File (embedded within the Inline XBRL document).</w:t>
            </w:r>
          </w:p>
        </w:tc>
      </w:tr>
    </w:tbl>
    <w:p>
      <w:pPr>
        <w:sectPr>
          <w:pgSz w:w="11900" w:h="16840" w:orient="portrait"/>
          <w:cols w:equalWidth="0" w:num="1">
            <w:col w:w="9800"/>
          </w:cols>
          <w:pgMar w:left="1060" w:top="713" w:right="1040" w:bottom="1440" w:gutter="0" w:footer="0" w:header="0"/>
        </w:sectPr>
      </w:pPr>
    </w:p>
    <w:bookmarkStart w:id="3" w:name="page4"/>
    <w:bookmarkEnd w:id="3"/>
    <w:p>
      <w:pPr>
        <w:jc w:val="center"/>
        <w:ind w:right="-359"/>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48145" cy="50800"/>
                    </a:xfrm>
                    <a:prstGeom prst="rect">
                      <a:avLst/>
                    </a:prstGeom>
                    <a:noFill/>
                  </pic:spPr>
                </pic:pic>
              </a:graphicData>
            </a:graphic>
          </wp:anchor>
        </w:drawing>
        <w:t>SIGNATURES</w:t>
      </w:r>
    </w:p>
    <w:p>
      <w:pPr>
        <w:spacing w:after="0" w:line="190"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registrants have duly caused this report to be signed on their behalf by the undersigned hereunto duly authorized.</w:t>
      </w:r>
    </w:p>
    <w:p>
      <w:pPr>
        <w:spacing w:after="0" w:line="18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b w:val="1"/>
          <w:bCs w:val="1"/>
          <w:color w:val="auto"/>
        </w:rPr>
        <w:t>Evergy, Inc.</w:t>
      </w:r>
    </w:p>
    <w:p>
      <w:pPr>
        <w:spacing w:after="0" w:line="19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/s/ Geoffrey T. 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5715</wp:posOffset>
            </wp:positionV>
            <wp:extent cx="248475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84755" cy="7620"/>
                    </a:xfrm>
                    <a:prstGeom prst="rect">
                      <a:avLst/>
                    </a:prstGeom>
                    <a:noFill/>
                  </pic:spPr>
                </pic:pic>
              </a:graphicData>
            </a:graphic>
          </wp:anchor>
        </w:drawing>
      </w:r>
    </w:p>
    <w:p>
      <w:pPr>
        <w:ind w:left="5880"/>
        <w:spacing w:after="0"/>
        <w:rPr>
          <w:sz w:val="20"/>
          <w:szCs w:val="20"/>
          <w:color w:val="auto"/>
        </w:rPr>
      </w:pPr>
      <w:r>
        <w:rPr>
          <w:rFonts w:ascii="Times New Roman" w:cs="Times New Roman" w:eastAsia="Times New Roman" w:hAnsi="Times New Roman"/>
          <w:sz w:val="16"/>
          <w:szCs w:val="16"/>
          <w:color w:val="auto"/>
        </w:rPr>
        <w:t>Geoffrey T. Ley</w:t>
      </w:r>
    </w:p>
    <w:p>
      <w:pPr>
        <w:spacing w:after="0" w:line="1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color w:val="auto"/>
        </w:rPr>
        <w:t>Senior Vice President, Corporate Planning and Treasurer</w:t>
      </w:r>
    </w:p>
    <w:p>
      <w:pPr>
        <w:spacing w:after="0" w:line="22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b w:val="1"/>
          <w:bCs w:val="1"/>
          <w:color w:val="auto"/>
        </w:rPr>
        <w:t>Evergy Kansas Central, Inc.</w:t>
      </w:r>
    </w:p>
    <w:p>
      <w:pPr>
        <w:spacing w:after="0" w:line="19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/s/ Geoffrey T. 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5715</wp:posOffset>
            </wp:positionV>
            <wp:extent cx="248475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84755" cy="7620"/>
                    </a:xfrm>
                    <a:prstGeom prst="rect">
                      <a:avLst/>
                    </a:prstGeom>
                    <a:noFill/>
                  </pic:spPr>
                </pic:pic>
              </a:graphicData>
            </a:graphic>
          </wp:anchor>
        </w:drawing>
      </w:r>
    </w:p>
    <w:p>
      <w:pPr>
        <w:ind w:left="5880"/>
        <w:spacing w:after="0"/>
        <w:rPr>
          <w:sz w:val="20"/>
          <w:szCs w:val="20"/>
          <w:color w:val="auto"/>
        </w:rPr>
      </w:pPr>
      <w:r>
        <w:rPr>
          <w:rFonts w:ascii="Times New Roman" w:cs="Times New Roman" w:eastAsia="Times New Roman" w:hAnsi="Times New Roman"/>
          <w:sz w:val="16"/>
          <w:szCs w:val="16"/>
          <w:color w:val="auto"/>
        </w:rPr>
        <w:t>Geoffrey T. Ley</w:t>
      </w:r>
    </w:p>
    <w:p>
      <w:pPr>
        <w:spacing w:after="0" w:line="1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color w:val="auto"/>
        </w:rPr>
        <w:t>Senior Vice President, Corporate Planning and Treasurer</w:t>
      </w:r>
    </w:p>
    <w:p>
      <w:pPr>
        <w:spacing w:after="0" w:line="22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b w:val="1"/>
          <w:bCs w:val="1"/>
          <w:color w:val="auto"/>
        </w:rPr>
        <w:t>Evergy Metro, Inc.</w:t>
      </w:r>
    </w:p>
    <w:p>
      <w:pPr>
        <w:spacing w:after="0" w:line="19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/s/ Geoffrey T. 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5715</wp:posOffset>
            </wp:positionV>
            <wp:extent cx="248475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84755" cy="7620"/>
                    </a:xfrm>
                    <a:prstGeom prst="rect">
                      <a:avLst/>
                    </a:prstGeom>
                    <a:noFill/>
                  </pic:spPr>
                </pic:pic>
              </a:graphicData>
            </a:graphic>
          </wp:anchor>
        </w:drawing>
      </w:r>
    </w:p>
    <w:p>
      <w:pPr>
        <w:ind w:left="5880"/>
        <w:spacing w:after="0"/>
        <w:rPr>
          <w:sz w:val="20"/>
          <w:szCs w:val="20"/>
          <w:color w:val="auto"/>
        </w:rPr>
      </w:pPr>
      <w:r>
        <w:rPr>
          <w:rFonts w:ascii="Times New Roman" w:cs="Times New Roman" w:eastAsia="Times New Roman" w:hAnsi="Times New Roman"/>
          <w:sz w:val="16"/>
          <w:szCs w:val="16"/>
          <w:color w:val="auto"/>
        </w:rPr>
        <w:t>Geoffrey T. Ley</w:t>
      </w:r>
    </w:p>
    <w:p>
      <w:pPr>
        <w:spacing w:after="0" w:line="1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color w:val="auto"/>
        </w:rPr>
        <w:t>Senior Vice President, Corporate Planning and Treasurer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November 6, 2025</w:t>
      </w:r>
    </w:p>
    <w:p>
      <w:pPr>
        <w:sectPr>
          <w:pgSz w:w="11900" w:h="16840" w:orient="portrait"/>
          <w:cols w:equalWidth="0" w:num="1">
            <w:col w:w="9420"/>
          </w:cols>
          <w:pgMar w:left="1060" w:top="711" w:right="142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-106680</wp:posOffset>
            </wp:positionV>
            <wp:extent cx="1456055" cy="3352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56055" cy="33528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Evergy Announces Third Quarter 2025 Results, Increases Quarterly Dividend and Narrows 2025 Guidance</w:t>
      </w:r>
    </w:p>
    <w:p>
      <w:pPr>
        <w:spacing w:after="0" w:line="116" w:lineRule="exact"/>
        <w:rPr>
          <w:sz w:val="20"/>
          <w:szCs w:val="20"/>
          <w:color w:val="auto"/>
        </w:rPr>
      </w:pPr>
    </w:p>
    <w:p>
      <w:pPr>
        <w:ind w:left="860" w:hanging="390"/>
        <w:spacing w:after="0"/>
        <w:tabs>
          <w:tab w:leader="none" w:pos="8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Third Quarter 2025 GAAP EPS of $2.03, compared to $2.02 in 2024</w:t>
      </w:r>
    </w:p>
    <w:p>
      <w:pPr>
        <w:spacing w:after="0" w:line="116" w:lineRule="exact"/>
        <w:rPr>
          <w:rFonts w:ascii="Times New Roman" w:cs="Times New Roman" w:eastAsia="Times New Roman" w:hAnsi="Times New Roman"/>
          <w:sz w:val="16"/>
          <w:szCs w:val="16"/>
          <w:color w:val="auto"/>
        </w:rPr>
      </w:pPr>
    </w:p>
    <w:p>
      <w:pPr>
        <w:ind w:left="860" w:hanging="390"/>
        <w:spacing w:after="0"/>
        <w:tabs>
          <w:tab w:leader="none" w:pos="8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Third Quarter 2025 Adjusted EPS (non-GAAP) of $2.03, compared to $2.02 in 2024</w:t>
      </w:r>
    </w:p>
    <w:p>
      <w:pPr>
        <w:spacing w:after="0" w:line="116" w:lineRule="exact"/>
        <w:rPr>
          <w:rFonts w:ascii="Times New Roman" w:cs="Times New Roman" w:eastAsia="Times New Roman" w:hAnsi="Times New Roman"/>
          <w:sz w:val="16"/>
          <w:szCs w:val="16"/>
          <w:color w:val="auto"/>
        </w:rPr>
      </w:pPr>
    </w:p>
    <w:p>
      <w:pPr>
        <w:ind w:left="860" w:hanging="390"/>
        <w:spacing w:after="0"/>
        <w:tabs>
          <w:tab w:leader="none" w:pos="8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Increases quarterly dividend 4% to $0.6950 per share</w:t>
      </w:r>
    </w:p>
    <w:p>
      <w:pPr>
        <w:spacing w:after="0" w:line="116" w:lineRule="exact"/>
        <w:rPr>
          <w:rFonts w:ascii="Times New Roman" w:cs="Times New Roman" w:eastAsia="Times New Roman" w:hAnsi="Times New Roman"/>
          <w:sz w:val="16"/>
          <w:szCs w:val="16"/>
          <w:color w:val="auto"/>
        </w:rPr>
      </w:pPr>
    </w:p>
    <w:p>
      <w:pPr>
        <w:ind w:left="860" w:hanging="390"/>
        <w:spacing w:after="0"/>
        <w:tabs>
          <w:tab w:leader="none" w:pos="8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Narrows 2025 Adjusted (non-GAAP) EPS guidance to a range of $3.92 to $4.02</w:t>
      </w:r>
    </w:p>
    <w:p>
      <w:pPr>
        <w:spacing w:after="0" w:line="190"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6"/>
          <w:szCs w:val="16"/>
          <w:color w:val="auto"/>
        </w:rPr>
        <w:t>KANSAS CITY, MO., November 6, 2025 – Evergy, Inc. (NASDAQ: EVRG) today announced third quarter 2025 GAAP earnings of $475.0 million, or $2.03 per share, compared to GAAP earnings of $465.6 million, or $2.02 per share, for the third quarter 2024.</w:t>
      </w:r>
    </w:p>
    <w:p>
      <w:pPr>
        <w:spacing w:after="0" w:line="155"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Evergy’s third quarter 2025 adjusted earnings (non-GAAP) and adjusted earnings per share (non-GAAP) were $475.1 million, or $2.03 per share, compared to $465.6 million, or $2.02 in 2024. Adjusted earnings (non-GAAP) and adjusted earnings per share (non-GAAP) are reconciled to GAAP earnings in the financial table included in this release.</w:t>
      </w:r>
    </w:p>
    <w:p>
      <w:pPr>
        <w:spacing w:after="0" w:line="164" w:lineRule="exact"/>
        <w:rPr>
          <w:sz w:val="20"/>
          <w:szCs w:val="20"/>
          <w:color w:val="auto"/>
        </w:rPr>
      </w:pPr>
    </w:p>
    <w:p>
      <w:pPr>
        <w:ind w:right="620"/>
        <w:spacing w:after="0" w:line="259" w:lineRule="auto"/>
        <w:rPr>
          <w:sz w:val="20"/>
          <w:szCs w:val="20"/>
          <w:color w:val="auto"/>
        </w:rPr>
      </w:pPr>
      <w:r>
        <w:rPr>
          <w:rFonts w:ascii="Times New Roman" w:cs="Times New Roman" w:eastAsia="Times New Roman" w:hAnsi="Times New Roman"/>
          <w:sz w:val="16"/>
          <w:szCs w:val="16"/>
          <w:color w:val="auto"/>
        </w:rPr>
        <w:t>Relative to the same period in 2024, third quarter 2025 adjusted earnings (non-GAAP) per share were higher due primarily to recovery of regulated investments and growth in weather-normalized demand, partially offset by higher interest expense and depreciation expense.</w:t>
      </w:r>
    </w:p>
    <w:p>
      <w:pPr>
        <w:spacing w:after="0" w:line="155"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“With these results year-to-date, we are narrowing our 2025 adjusted EPS guidance range to $ 3.92 to $4.02, primarily due to the impact of cooler than normal summer weather,” said David Campbell, chairman and chief executive officer. “While we’ve implemented cost and mitigation actions across the business, these do not fully offset second and third quarter weather headwinds in what has otherwise been a strong year of regulatory and operational execution and advancing our strategic objectives. Our fundamental long- term outlook remains stronger than ever, bolstered by tailwinds from a generational economic development opportunity and the investment needed to enable it. We remain on track and are excited to share our updated growth outlook on our year-end earnings call in February.”</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Earnings Guidance</w:t>
      </w:r>
    </w:p>
    <w:p>
      <w:pPr>
        <w:spacing w:after="0" w:line="94"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The Company narrows its 2025 adjusted EPS (non-GAAP) guidance range of $3.92 to $4.02 from its original 2025 adjusted EPS(non- GAAP) guidance range of $3.92 to $4.12. Additionally, the Company reaffirms its long-term adjusted EPS (non-GAAP) annual growth target of 4% to 6% through 2029 based on the 2025 adjusted EPS (non-GAAP) guidance midpoint of $4.02. The Company expects adjusted EPS growth in the upper half of the 4% to 6% range beginning in 2026. Adjusted EPS (non-GAAP) could differ from GAAP EPS for items such as impairments, divestitures,mark- to-market impacts, the impact of regulatory orders, or changes in accounting principles. Evergy management is not able to forecast if any of these items will occur or any amounts that may be reported for future periods. Therefore, Evergy is not able to provide a corresponding GAAP equivalent for 2025 or future years’ Adjusted EPS (non-GAAP)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100965</wp:posOffset>
            </wp:positionV>
            <wp:extent cx="621982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investors.evergy.com</w:t>
      </w:r>
    </w:p>
    <w:p>
      <w:pPr>
        <w:sectPr>
          <w:pgSz w:w="11900" w:h="16840" w:orient="portrait"/>
          <w:cols w:equalWidth="0" w:num="1">
            <w:col w:w="9780"/>
          </w:cols>
          <w:pgMar w:left="1060" w:top="555" w:right="106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48145" cy="35560"/>
                    </a:xfrm>
                    <a:prstGeom prst="rect">
                      <a:avLst/>
                    </a:prstGeom>
                    <a:noFill/>
                  </pic:spPr>
                </pic:pic>
              </a:graphicData>
            </a:graphic>
          </wp:anchor>
        </w:drawing>
        <w:drawing>
          <wp:anchor simplePos="0" relativeHeight="251657728" behindDoc="1" locked="0" layoutInCell="0" allowOverlap="1">
            <wp:simplePos x="0" y="0"/>
            <wp:positionH relativeFrom="page">
              <wp:posOffset>5430520</wp:posOffset>
            </wp:positionH>
            <wp:positionV relativeFrom="page">
              <wp:posOffset>445770</wp:posOffset>
            </wp:positionV>
            <wp:extent cx="1456055" cy="335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456055" cy="335280"/>
                    </a:xfrm>
                    <a:prstGeom prst="rect">
                      <a:avLst/>
                    </a:prstGeom>
                    <a:noFill/>
                  </pic:spPr>
                </pic:pic>
              </a:graphicData>
            </a:graphic>
          </wp:anchor>
        </w:drawing>
        <w:t>Dividend Declaration</w:t>
      </w:r>
    </w:p>
    <w:p>
      <w:pPr>
        <w:spacing w:after="0" w:line="94" w:lineRule="exact"/>
        <w:rPr>
          <w:sz w:val="20"/>
          <w:szCs w:val="20"/>
          <w:color w:val="auto"/>
        </w:rPr>
      </w:pPr>
    </w:p>
    <w:p>
      <w:pPr>
        <w:ind w:right="360"/>
        <w:spacing w:after="0" w:line="259" w:lineRule="auto"/>
        <w:rPr>
          <w:sz w:val="20"/>
          <w:szCs w:val="20"/>
          <w:color w:val="auto"/>
        </w:rPr>
      </w:pPr>
      <w:r>
        <w:rPr>
          <w:rFonts w:ascii="Times New Roman" w:cs="Times New Roman" w:eastAsia="Times New Roman" w:hAnsi="Times New Roman"/>
          <w:sz w:val="16"/>
          <w:szCs w:val="16"/>
          <w:color w:val="auto"/>
        </w:rPr>
        <w:t>The Board of Directors declared a dividend on the Company’s common stock of $0.6950 per share payable on December 19, 2025. The dividends are payable to shareholders of record as of November 21, 2025.</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Earnings Conference Call</w:t>
      </w:r>
    </w:p>
    <w:p>
      <w:pPr>
        <w:spacing w:after="0" w:line="94"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6"/>
          <w:szCs w:val="16"/>
          <w:color w:val="auto"/>
        </w:rPr>
        <w:t xml:space="preserve">Evergy management will host a conference call Thursday, November 6, with the investment community at 9:00 a.m. ET (8:00 a.m. CT). To view the webcast and presentation slides, please go to </w:t>
      </w:r>
      <w:r>
        <w:rPr>
          <w:rFonts w:ascii="Times New Roman" w:cs="Times New Roman" w:eastAsia="Times New Roman" w:hAnsi="Times New Roman"/>
          <w:sz w:val="16"/>
          <w:szCs w:val="16"/>
          <w:u w:val="single" w:color="auto"/>
          <w:color w:val="auto"/>
        </w:rPr>
        <w:t>investors.evergy.com</w:t>
      </w:r>
      <w:r>
        <w:rPr>
          <w:rFonts w:ascii="Times New Roman" w:cs="Times New Roman" w:eastAsia="Times New Roman" w:hAnsi="Times New Roman"/>
          <w:sz w:val="16"/>
          <w:szCs w:val="16"/>
          <w:color w:val="auto"/>
        </w:rPr>
        <w:t>. To access via phone, investors and analysts will need to register using this</w:t>
      </w:r>
      <w:r>
        <w:rPr>
          <w:rFonts w:ascii="Times New Roman" w:cs="Times New Roman" w:eastAsia="Times New Roman" w:hAnsi="Times New Roman"/>
          <w:sz w:val="16"/>
          <w:szCs w:val="16"/>
          <w:u w:val="single" w:color="auto"/>
          <w:color w:val="auto"/>
        </w:rPr>
        <w:t>link</w:t>
      </w:r>
      <w:r>
        <w:rPr>
          <w:rFonts w:ascii="Times New Roman" w:cs="Times New Roman" w:eastAsia="Times New Roman" w:hAnsi="Times New Roman"/>
          <w:sz w:val="16"/>
          <w:szCs w:val="16"/>
          <w:color w:val="auto"/>
        </w:rPr>
        <w:t xml:space="preserve"> where they will be provided a phone number and access code.</w:t>
      </w:r>
    </w:p>
    <w:p>
      <w:pPr>
        <w:spacing w:after="0" w:line="164"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6"/>
          <w:szCs w:val="16"/>
          <w:color w:val="auto"/>
        </w:rPr>
        <w:t xml:space="preserve">This earnings announcement, a package of detailed third quarter financial information, the Company’s quarterly report on Form 10-Q for the period ended September 30, 2025, and other filings the Company has made with the Securities and Exchange Commission are available on the Company’s website at </w:t>
      </w:r>
      <w:r>
        <w:rPr>
          <w:rFonts w:ascii="Times New Roman" w:cs="Times New Roman" w:eastAsia="Times New Roman" w:hAnsi="Times New Roman"/>
          <w:sz w:val="16"/>
          <w:szCs w:val="16"/>
          <w:u w:val="single" w:color="auto"/>
          <w:color w:val="auto"/>
        </w:rPr>
        <w:t>http://investors.evergy.com</w:t>
      </w:r>
      <w:r>
        <w:rPr>
          <w:rFonts w:ascii="Times New Roman" w:cs="Times New Roman" w:eastAsia="Times New Roman" w:hAnsi="Times New Roman"/>
          <w:sz w:val="16"/>
          <w:szCs w:val="16"/>
          <w:color w:val="auto"/>
        </w:rPr>
        <w:t>.</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Adjusted Earnings (non-GAAP) and Adjusted Earnings Per Share (non-GAAP)</w:t>
      </w:r>
    </w:p>
    <w:p>
      <w:pPr>
        <w:spacing w:after="0" w:line="9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Management believes that adjusted earnings (non-GAAP) and adjusted EPS (non -GAAP) are representative measures of Evergy’s recurring earnings, assist in the comparability of results and are consistent with how management reviews performance.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Evergy’s adjusted earnings (non-GAAP) and adjusted EPS (non-GAAP) for the three months ended and year to date September 30, 2025, were</w:t>
      </w:r>
    </w:p>
    <w:p>
      <w:pPr>
        <w:spacing w:after="0" w:line="14" w:lineRule="exact"/>
        <w:rPr>
          <w:sz w:val="20"/>
          <w:szCs w:val="20"/>
          <w:color w:val="auto"/>
        </w:rPr>
      </w:pPr>
    </w:p>
    <w:p>
      <w:pPr>
        <w:jc w:val="both"/>
        <w:ind w:right="260"/>
        <w:spacing w:after="0" w:line="237" w:lineRule="auto"/>
        <w:rPr>
          <w:sz w:val="20"/>
          <w:szCs w:val="20"/>
          <w:color w:val="auto"/>
        </w:rPr>
      </w:pPr>
      <w:r>
        <w:rPr>
          <w:rFonts w:ascii="Times New Roman" w:cs="Times New Roman" w:eastAsia="Times New Roman" w:hAnsi="Times New Roman"/>
          <w:sz w:val="16"/>
          <w:szCs w:val="16"/>
          <w:color w:val="auto"/>
        </w:rPr>
        <w:t>$475.1 million or $2.03 per share and $794.0 million or $3.41 per share, respectively. For the three months ended and year to date September 30, 2024, Evergy’s adjusted earnings (non-GAAP) and adjusted EPS (non-GAAP) were $465.6 million or $2.02 per share and $797.3 million or $3.46 per share, respectively.</w:t>
      </w:r>
    </w:p>
    <w:p>
      <w:pPr>
        <w:spacing w:after="0" w:line="169" w:lineRule="exact"/>
        <w:rPr>
          <w:sz w:val="20"/>
          <w:szCs w:val="20"/>
          <w:color w:val="auto"/>
        </w:rPr>
      </w:pPr>
    </w:p>
    <w:p>
      <w:pPr>
        <w:ind w:right="540"/>
        <w:spacing w:after="0" w:line="259" w:lineRule="auto"/>
        <w:rPr>
          <w:sz w:val="20"/>
          <w:szCs w:val="20"/>
          <w:color w:val="auto"/>
        </w:rPr>
      </w:pPr>
      <w:r>
        <w:rPr>
          <w:rFonts w:ascii="Times New Roman" w:cs="Times New Roman" w:eastAsia="Times New Roman" w:hAnsi="Times New Roman"/>
          <w:sz w:val="16"/>
          <w:szCs w:val="16"/>
          <w:color w:val="auto"/>
        </w:rPr>
        <w:t>In addition to net income attributable to Evergy, Inc. and diluted EPS, Evergy’s management uses adjusted earnings(non-GAAP) and adjusted EPS (non-GAAP) to evaluate earnings and EPS without:</w:t>
      </w:r>
    </w:p>
    <w:p>
      <w:pPr>
        <w:spacing w:after="0" w:line="83" w:lineRule="exact"/>
        <w:rPr>
          <w:sz w:val="20"/>
          <w:szCs w:val="20"/>
          <w:color w:val="auto"/>
        </w:rPr>
      </w:pPr>
    </w:p>
    <w:p>
      <w:pPr>
        <w:ind w:left="860" w:right="100" w:hanging="486"/>
        <w:spacing w:after="0" w:line="259" w:lineRule="auto"/>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unrealized losses and impairment losses from non-regulated investments in early-stage clean energy and energy solutions companies and costs related to the disposal of these investments; and</w:t>
      </w:r>
    </w:p>
    <w:p>
      <w:pPr>
        <w:spacing w:after="0" w:line="83" w:lineRule="exact"/>
        <w:rPr>
          <w:rFonts w:ascii="Times New Roman" w:cs="Times New Roman" w:eastAsia="Times New Roman" w:hAnsi="Times New Roman"/>
          <w:sz w:val="16"/>
          <w:szCs w:val="16"/>
          <w:color w:val="auto"/>
        </w:rPr>
      </w:pPr>
    </w:p>
    <w:p>
      <w:pPr>
        <w:ind w:left="860" w:hanging="486"/>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mark-to-market impacts of economic hedges related to Evergy Kansas Central’s 8% ownership share of Jeffrey Energy Center (JEC).</w:t>
      </w:r>
    </w:p>
    <w:p>
      <w:pPr>
        <w:spacing w:after="0" w:line="18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Adjusted earnings (non-GAAP) and adjusted EPS (non-GAAP) are intended to aid an investor’s overall understanding of results. Management believes that adjusted earnings (non-GAAP) provides a meaningful basis for evaluating Evergy’s operations across periods because it excludes certain items that management does not believe are indicative of Evergy’s ongoing performance or that can create period to period earnings volatility.</w:t>
      </w:r>
    </w:p>
    <w:p>
      <w:pPr>
        <w:spacing w:after="0" w:line="164" w:lineRule="exact"/>
        <w:rPr>
          <w:sz w:val="20"/>
          <w:szCs w:val="20"/>
          <w:color w:val="auto"/>
        </w:rPr>
      </w:pPr>
    </w:p>
    <w:p>
      <w:pPr>
        <w:ind w:right="120"/>
        <w:spacing w:after="0" w:line="299" w:lineRule="auto"/>
        <w:rPr>
          <w:sz w:val="20"/>
          <w:szCs w:val="20"/>
          <w:color w:val="auto"/>
        </w:rPr>
      </w:pPr>
      <w:r>
        <w:rPr>
          <w:rFonts w:ascii="Times New Roman" w:cs="Times New Roman" w:eastAsia="Times New Roman" w:hAnsi="Times New Roman"/>
          <w:sz w:val="14"/>
          <w:szCs w:val="14"/>
          <w:color w:val="auto"/>
        </w:rPr>
        <w:t>Adjusted earnings (non-GAAP) and adjusted EPS (non- GAAP) are used internally to measure performance against budget and in reports for management and the Evergy Board. Adjusted earnings (non-GAAP) and adjusted EPS (non -GAAP) are financial measures that are not calculated in accordance with GAAP and may not be comparable to other companies’ presentations or more useful than the GAAP information provided elsewhere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76200</wp:posOffset>
            </wp:positionV>
            <wp:extent cx="621982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investors.evergy.com</w:t>
      </w:r>
    </w:p>
    <w:p>
      <w:pPr>
        <w:sectPr>
          <w:pgSz w:w="11900" w:h="16840" w:orient="portrait"/>
          <w:cols w:equalWidth="0" w:num="1">
            <w:col w:w="9700"/>
          </w:cols>
          <w:pgMar w:left="1060" w:top="1407" w:right="1140" w:bottom="1440" w:gutter="0" w:footer="0" w:header="0"/>
        </w:sectPr>
      </w:pPr>
    </w:p>
    <w:bookmarkStart w:id="6" w:name="page7"/>
    <w:bookmarkEnd w:id="6"/>
    <w:p>
      <w:pPr>
        <w:jc w:val="center"/>
        <w:ind w:right="-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48145" cy="35560"/>
                    </a:xfrm>
                    <a:prstGeom prst="rect">
                      <a:avLst/>
                    </a:prstGeom>
                    <a:noFill/>
                  </pic:spPr>
                </pic:pic>
              </a:graphicData>
            </a:graphic>
          </wp:anchor>
        </w:drawing>
        <w:drawing>
          <wp:anchor simplePos="0" relativeHeight="251657728" behindDoc="1" locked="0" layoutInCell="0" allowOverlap="1">
            <wp:simplePos x="0" y="0"/>
            <wp:positionH relativeFrom="page">
              <wp:posOffset>5430520</wp:posOffset>
            </wp:positionH>
            <wp:positionV relativeFrom="page">
              <wp:posOffset>445770</wp:posOffset>
            </wp:positionV>
            <wp:extent cx="1456055" cy="335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456055" cy="335280"/>
                    </a:xfrm>
                    <a:prstGeom prst="rect">
                      <a:avLst/>
                    </a:prstGeom>
                    <a:noFill/>
                  </pic:spPr>
                </pic:pic>
              </a:graphicData>
            </a:graphic>
          </wp:anchor>
        </w:drawing>
        <w:t>Evergy, Inc</w:t>
      </w:r>
    </w:p>
    <w:p>
      <w:pPr>
        <w:spacing w:after="0" w:line="1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Consolidated Earnings and Diluted Earnings Per Share</w:t>
      </w:r>
    </w:p>
    <w:p>
      <w:pPr>
        <w:jc w:val="center"/>
        <w:ind w:right="-9"/>
        <w:spacing w:after="0"/>
        <w:rPr>
          <w:sz w:val="20"/>
          <w:szCs w:val="20"/>
          <w:color w:val="auto"/>
        </w:rPr>
      </w:pPr>
      <w:r>
        <w:rPr>
          <w:rFonts w:ascii="Times New Roman" w:cs="Times New Roman" w:eastAsia="Times New Roman" w:hAnsi="Times New Roman"/>
          <w:sz w:val="16"/>
          <w:szCs w:val="16"/>
          <w:color w:val="auto"/>
        </w:rPr>
        <w:t>(Unaudited)</w:t>
      </w:r>
    </w:p>
    <w:p>
      <w:pPr>
        <w:spacing w:after="0" w:line="206" w:lineRule="exact"/>
        <w:rPr>
          <w:sz w:val="20"/>
          <w:szCs w:val="20"/>
          <w:color w:val="auto"/>
        </w:rPr>
      </w:pPr>
    </w:p>
    <w:tbl>
      <w:tblPr>
        <w:tblLayout w:type="fixed"/>
        <w:tblInd w:w="390" w:type="dxa"/>
        <w:tblCellMar>
          <w:top w:w="0" w:type="dxa"/>
          <w:left w:w="0" w:type="dxa"/>
          <w:bottom w:w="0" w:type="dxa"/>
          <w:right w:w="0" w:type="dxa"/>
        </w:tblCellMar>
      </w:tblPr>
      <w:tr>
        <w:trPr>
          <w:trHeight w:val="156"/>
        </w:trPr>
        <w:tc>
          <w:tcPr>
            <w:tcW w:w="1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0" w:type="dxa"/>
            <w:vAlign w:val="bottom"/>
          </w:tcPr>
          <w:p>
            <w:pPr>
              <w:spacing w:after="0"/>
              <w:rPr>
                <w:sz w:val="1"/>
                <w:szCs w:val="1"/>
                <w:color w:val="auto"/>
              </w:rPr>
            </w:pPr>
          </w:p>
        </w:tc>
      </w:tr>
      <w:tr>
        <w:trPr>
          <w:trHeight w:val="156"/>
        </w:trPr>
        <w:tc>
          <w:tcPr>
            <w:tcW w:w="1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(Loss)</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(Loss)</w:t>
            </w:r>
          </w:p>
        </w:tc>
        <w:tc>
          <w:tcPr>
            <w:tcW w:w="0" w:type="dxa"/>
            <w:vAlign w:val="bottom"/>
          </w:tcPr>
          <w:p>
            <w:pPr>
              <w:spacing w:after="0"/>
              <w:rPr>
                <w:sz w:val="1"/>
                <w:szCs w:val="1"/>
                <w:color w:val="auto"/>
              </w:rPr>
            </w:pPr>
          </w:p>
        </w:tc>
      </w:tr>
      <w:tr>
        <w:trPr>
          <w:trHeight w:val="156"/>
        </w:trPr>
        <w:tc>
          <w:tcPr>
            <w:tcW w:w="1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5"/>
              </w:rPr>
              <w:t>per</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per</w:t>
            </w:r>
          </w:p>
        </w:tc>
        <w:tc>
          <w:tcPr>
            <w:tcW w:w="0" w:type="dxa"/>
            <w:vAlign w:val="bottom"/>
          </w:tcPr>
          <w:p>
            <w:pPr>
              <w:spacing w:after="0"/>
              <w:rPr>
                <w:sz w:val="1"/>
                <w:szCs w:val="1"/>
                <w:color w:val="auto"/>
              </w:rPr>
            </w:pPr>
          </w:p>
        </w:tc>
      </w:tr>
      <w:tr>
        <w:trPr>
          <w:trHeight w:val="156"/>
        </w:trPr>
        <w:tc>
          <w:tcPr>
            <w:tcW w:w="1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340" w:type="dxa"/>
            <w:vAlign w:val="bottom"/>
          </w:tcPr>
          <w:p>
            <w:pPr>
              <w:spacing w:after="0"/>
              <w:rPr>
                <w:sz w:val="13"/>
                <w:szCs w:val="13"/>
                <w:color w:val="auto"/>
              </w:rPr>
            </w:pPr>
          </w:p>
        </w:tc>
        <w:tc>
          <w:tcPr>
            <w:tcW w:w="84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Diluted</w:t>
            </w:r>
          </w:p>
        </w:tc>
        <w:tc>
          <w:tcPr>
            <w:tcW w:w="8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0" w:type="dxa"/>
            <w:vAlign w:val="bottom"/>
          </w:tcPr>
          <w:p>
            <w:pPr>
              <w:spacing w:after="0"/>
              <w:rPr>
                <w:sz w:val="13"/>
                <w:szCs w:val="13"/>
                <w:color w:val="auto"/>
              </w:rPr>
            </w:pPr>
          </w:p>
        </w:tc>
        <w:tc>
          <w:tcPr>
            <w:tcW w:w="54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Diluted</w:t>
            </w:r>
          </w:p>
        </w:tc>
        <w:tc>
          <w:tcPr>
            <w:tcW w:w="0" w:type="dxa"/>
            <w:vAlign w:val="bottom"/>
          </w:tcPr>
          <w:p>
            <w:pPr>
              <w:spacing w:after="0"/>
              <w:rPr>
                <w:sz w:val="1"/>
                <w:szCs w:val="1"/>
                <w:color w:val="auto"/>
              </w:rPr>
            </w:pPr>
          </w:p>
        </w:tc>
      </w:tr>
      <w:tr>
        <w:trPr>
          <w:trHeight w:val="170"/>
        </w:trPr>
        <w:tc>
          <w:tcPr>
            <w:tcW w:w="590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80" w:type="dxa"/>
            <w:vAlign w:val="bottom"/>
          </w:tcPr>
          <w:p>
            <w:pPr>
              <w:spacing w:after="0"/>
              <w:rPr>
                <w:sz w:val="14"/>
                <w:szCs w:val="14"/>
                <w:color w:val="auto"/>
              </w:rPr>
            </w:pPr>
          </w:p>
        </w:tc>
        <w:tc>
          <w:tcPr>
            <w:tcW w:w="440" w:type="dxa"/>
            <w:vAlign w:val="bottom"/>
          </w:tcPr>
          <w:p>
            <w:pPr>
              <w:jc w:val="right"/>
              <w:ind w:right="24"/>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Share</w:t>
            </w:r>
          </w:p>
        </w:tc>
        <w:tc>
          <w:tcPr>
            <w:tcW w:w="80" w:type="dxa"/>
            <w:vAlign w:val="bottom"/>
          </w:tcPr>
          <w:p>
            <w:pPr>
              <w:spacing w:after="0"/>
              <w:rPr>
                <w:sz w:val="14"/>
                <w:szCs w:val="14"/>
                <w:color w:val="auto"/>
              </w:rPr>
            </w:pPr>
          </w:p>
        </w:tc>
        <w:tc>
          <w:tcPr>
            <w:tcW w:w="7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(Loss)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0" w:type="dxa"/>
            <w:vAlign w:val="bottom"/>
          </w:tcPr>
          <w:p>
            <w:pPr>
              <w:spacing w:after="0"/>
              <w:rPr>
                <w:sz w:val="1"/>
                <w:szCs w:val="1"/>
                <w:color w:val="auto"/>
              </w:rPr>
            </w:pPr>
          </w:p>
        </w:tc>
      </w:tr>
      <w:tr>
        <w:trPr>
          <w:trHeight w:val="140"/>
        </w:trPr>
        <w:tc>
          <w:tcPr>
            <w:tcW w:w="5900" w:type="dxa"/>
            <w:vAlign w:val="bottom"/>
            <w:gridSpan w:val="3"/>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ind w:left="40"/>
              <w:spacing w:after="0" w:line="136" w:lineRule="exact"/>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5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38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020" w:type="dxa"/>
            <w:vAlign w:val="bottom"/>
            <w:tcBorders>
              <w:top w:val="single" w:sz="8" w:color="auto"/>
            </w:tcBorders>
            <w:gridSpan w:val="7"/>
          </w:tcPr>
          <w:p>
            <w:pPr>
              <w:ind w:left="60"/>
              <w:spacing w:after="0"/>
              <w:rPr>
                <w:sz w:val="20"/>
                <w:szCs w:val="20"/>
                <w:color w:val="auto"/>
              </w:rPr>
            </w:pPr>
            <w:r>
              <w:rPr>
                <w:rFonts w:ascii="Times New Roman" w:cs="Times New Roman" w:eastAsia="Times New Roman" w:hAnsi="Times New Roman"/>
                <w:sz w:val="13"/>
                <w:szCs w:val="13"/>
                <w:color w:val="auto"/>
              </w:rPr>
              <w:t>(millions, except per share amounts)</w:t>
            </w: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900" w:type="dxa"/>
            <w:vAlign w:val="bottom"/>
            <w:gridSpan w:val="3"/>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income attributable to Evergy, Inc.</w:t>
            </w:r>
          </w:p>
        </w:tc>
        <w:tc>
          <w:tcPr>
            <w:tcW w:w="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475.0</w:t>
            </w:r>
          </w:p>
        </w:tc>
        <w:tc>
          <w:tcPr>
            <w:tcW w:w="420" w:type="dxa"/>
            <w:vAlign w:val="bottom"/>
            <w:gridSpan w:val="2"/>
            <w:shd w:val="clear" w:color="auto" w:fill="CCEEFF"/>
          </w:tcPr>
          <w:p>
            <w:pPr>
              <w:ind w:left="34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2.03</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465.6</w:t>
            </w:r>
          </w:p>
        </w:tc>
        <w:tc>
          <w:tcPr>
            <w:tcW w:w="10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2.02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0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color w:val="auto"/>
              </w:rPr>
              <w:t>Non-GAAP reconciling items:</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900" w:type="dxa"/>
            <w:vAlign w:val="bottom"/>
            <w:gridSpan w:val="3"/>
            <w:shd w:val="clear" w:color="auto" w:fill="CCEEFF"/>
          </w:tcPr>
          <w:p>
            <w:pPr>
              <w:ind w:left="340"/>
              <w:spacing w:after="0" w:line="167" w:lineRule="exact"/>
              <w:rPr>
                <w:sz w:val="20"/>
                <w:szCs w:val="20"/>
                <w:color w:val="auto"/>
              </w:rPr>
            </w:pPr>
            <w:r>
              <w:rPr>
                <w:rFonts w:ascii="Times New Roman" w:cs="Times New Roman" w:eastAsia="Times New Roman" w:hAnsi="Times New Roman"/>
                <w:sz w:val="16"/>
                <w:szCs w:val="16"/>
                <w:color w:val="auto"/>
              </w:rPr>
              <w:t>Losses from investments in early-stage clean energy and energy solutions</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5900" w:type="dxa"/>
            <w:vAlign w:val="bottom"/>
            <w:gridSpan w:val="3"/>
            <w:shd w:val="clear" w:color="auto" w:fill="CCEEFF"/>
          </w:tcPr>
          <w:p>
            <w:pPr>
              <w:ind w:left="480"/>
              <w:spacing w:after="0" w:line="193" w:lineRule="exact"/>
              <w:rPr>
                <w:sz w:val="20"/>
                <w:szCs w:val="20"/>
                <w:color w:val="auto"/>
              </w:rPr>
            </w:pPr>
            <w:r>
              <w:rPr>
                <w:rFonts w:ascii="Times New Roman" w:cs="Times New Roman" w:eastAsia="Times New Roman" w:hAnsi="Times New Roman"/>
                <w:sz w:val="14"/>
                <w:szCs w:val="14"/>
                <w:color w:val="auto"/>
              </w:rPr>
              <w:t>companies, pre-tax</w:t>
            </w:r>
            <w:r>
              <w:rPr>
                <w:rFonts w:ascii="Times New Roman" w:cs="Times New Roman" w:eastAsia="Times New Roman" w:hAnsi="Times New Roman"/>
                <w:sz w:val="22"/>
                <w:szCs w:val="22"/>
                <w:color w:val="auto"/>
                <w:vertAlign w:val="superscript"/>
              </w:rPr>
              <w:t>(a)</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0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Adjusted earnings (non-GAAP)</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475.1</w:t>
            </w:r>
          </w:p>
        </w:tc>
        <w:tc>
          <w:tcPr>
            <w:tcW w:w="4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34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465.6</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1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0" w:type="dxa"/>
            <w:vAlign w:val="bottom"/>
          </w:tcPr>
          <w:p>
            <w:pPr>
              <w:spacing w:after="0"/>
              <w:rPr>
                <w:sz w:val="1"/>
                <w:szCs w:val="1"/>
                <w:color w:val="auto"/>
              </w:rPr>
            </w:pPr>
          </w:p>
        </w:tc>
      </w:tr>
      <w:tr>
        <w:trPr>
          <w:trHeight w:val="156"/>
        </w:trPr>
        <w:tc>
          <w:tcPr>
            <w:tcW w:w="1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(Loss)</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(Loss)</w:t>
            </w:r>
          </w:p>
        </w:tc>
        <w:tc>
          <w:tcPr>
            <w:tcW w:w="0" w:type="dxa"/>
            <w:vAlign w:val="bottom"/>
          </w:tcPr>
          <w:p>
            <w:pPr>
              <w:spacing w:after="0"/>
              <w:rPr>
                <w:sz w:val="1"/>
                <w:szCs w:val="1"/>
                <w:color w:val="auto"/>
              </w:rPr>
            </w:pPr>
          </w:p>
        </w:tc>
      </w:tr>
      <w:tr>
        <w:trPr>
          <w:trHeight w:val="156"/>
        </w:trPr>
        <w:tc>
          <w:tcPr>
            <w:tcW w:w="1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5"/>
              </w:rPr>
              <w:t>per</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per</w:t>
            </w:r>
          </w:p>
        </w:tc>
        <w:tc>
          <w:tcPr>
            <w:tcW w:w="0" w:type="dxa"/>
            <w:vAlign w:val="bottom"/>
          </w:tcPr>
          <w:p>
            <w:pPr>
              <w:spacing w:after="0"/>
              <w:rPr>
                <w:sz w:val="1"/>
                <w:szCs w:val="1"/>
                <w:color w:val="auto"/>
              </w:rPr>
            </w:pPr>
          </w:p>
        </w:tc>
      </w:tr>
      <w:tr>
        <w:trPr>
          <w:trHeight w:val="156"/>
        </w:trPr>
        <w:tc>
          <w:tcPr>
            <w:tcW w:w="1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340" w:type="dxa"/>
            <w:vAlign w:val="bottom"/>
          </w:tcPr>
          <w:p>
            <w:pPr>
              <w:spacing w:after="0"/>
              <w:rPr>
                <w:sz w:val="13"/>
                <w:szCs w:val="13"/>
                <w:color w:val="auto"/>
              </w:rPr>
            </w:pPr>
          </w:p>
        </w:tc>
        <w:tc>
          <w:tcPr>
            <w:tcW w:w="84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Diluted</w:t>
            </w:r>
          </w:p>
        </w:tc>
        <w:tc>
          <w:tcPr>
            <w:tcW w:w="8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0" w:type="dxa"/>
            <w:vAlign w:val="bottom"/>
          </w:tcPr>
          <w:p>
            <w:pPr>
              <w:spacing w:after="0"/>
              <w:rPr>
                <w:sz w:val="13"/>
                <w:szCs w:val="13"/>
                <w:color w:val="auto"/>
              </w:rPr>
            </w:pPr>
          </w:p>
        </w:tc>
        <w:tc>
          <w:tcPr>
            <w:tcW w:w="54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Diluted</w:t>
            </w:r>
          </w:p>
        </w:tc>
        <w:tc>
          <w:tcPr>
            <w:tcW w:w="0" w:type="dxa"/>
            <w:vAlign w:val="bottom"/>
          </w:tcPr>
          <w:p>
            <w:pPr>
              <w:spacing w:after="0"/>
              <w:rPr>
                <w:sz w:val="1"/>
                <w:szCs w:val="1"/>
                <w:color w:val="auto"/>
              </w:rPr>
            </w:pPr>
          </w:p>
        </w:tc>
      </w:tr>
      <w:tr>
        <w:trPr>
          <w:trHeight w:val="170"/>
        </w:trPr>
        <w:tc>
          <w:tcPr>
            <w:tcW w:w="590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Year to Date September 30</w:t>
            </w:r>
          </w:p>
        </w:tc>
        <w:tc>
          <w:tcPr>
            <w:tcW w:w="80" w:type="dxa"/>
            <w:vAlign w:val="bottom"/>
          </w:tcPr>
          <w:p>
            <w:pPr>
              <w:spacing w:after="0"/>
              <w:rPr>
                <w:sz w:val="14"/>
                <w:szCs w:val="14"/>
                <w:color w:val="auto"/>
              </w:rPr>
            </w:pPr>
          </w:p>
        </w:tc>
        <w:tc>
          <w:tcPr>
            <w:tcW w:w="440" w:type="dxa"/>
            <w:vAlign w:val="bottom"/>
          </w:tcPr>
          <w:p>
            <w:pPr>
              <w:jc w:val="right"/>
              <w:ind w:right="24"/>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Share</w:t>
            </w:r>
          </w:p>
        </w:tc>
        <w:tc>
          <w:tcPr>
            <w:tcW w:w="80" w:type="dxa"/>
            <w:vAlign w:val="bottom"/>
          </w:tcPr>
          <w:p>
            <w:pPr>
              <w:spacing w:after="0"/>
              <w:rPr>
                <w:sz w:val="14"/>
                <w:szCs w:val="14"/>
                <w:color w:val="auto"/>
              </w:rPr>
            </w:pPr>
          </w:p>
        </w:tc>
        <w:tc>
          <w:tcPr>
            <w:tcW w:w="7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(Loss)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0" w:type="dxa"/>
            <w:vAlign w:val="bottom"/>
          </w:tcPr>
          <w:p>
            <w:pPr>
              <w:spacing w:after="0"/>
              <w:rPr>
                <w:sz w:val="1"/>
                <w:szCs w:val="1"/>
                <w:color w:val="auto"/>
              </w:rPr>
            </w:pPr>
          </w:p>
        </w:tc>
      </w:tr>
      <w:tr>
        <w:trPr>
          <w:trHeight w:val="140"/>
        </w:trPr>
        <w:tc>
          <w:tcPr>
            <w:tcW w:w="5900" w:type="dxa"/>
            <w:vAlign w:val="bottom"/>
            <w:gridSpan w:val="3"/>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ind w:left="40"/>
              <w:spacing w:after="0" w:line="136" w:lineRule="exact"/>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54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020" w:type="dxa"/>
            <w:vAlign w:val="bottom"/>
            <w:tcBorders>
              <w:top w:val="single" w:sz="8" w:color="auto"/>
            </w:tcBorders>
            <w:gridSpan w:val="7"/>
          </w:tcPr>
          <w:p>
            <w:pPr>
              <w:ind w:left="60"/>
              <w:spacing w:after="0"/>
              <w:rPr>
                <w:sz w:val="20"/>
                <w:szCs w:val="20"/>
                <w:color w:val="auto"/>
              </w:rPr>
            </w:pPr>
            <w:r>
              <w:rPr>
                <w:rFonts w:ascii="Times New Roman" w:cs="Times New Roman" w:eastAsia="Times New Roman" w:hAnsi="Times New Roman"/>
                <w:sz w:val="13"/>
                <w:szCs w:val="13"/>
                <w:color w:val="auto"/>
              </w:rPr>
              <w:t>(millions, except per share amounts)</w:t>
            </w: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900" w:type="dxa"/>
            <w:vAlign w:val="bottom"/>
            <w:gridSpan w:val="3"/>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income attributable to Evergy, Inc.</w:t>
            </w:r>
          </w:p>
        </w:tc>
        <w:tc>
          <w:tcPr>
            <w:tcW w:w="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771.3</w:t>
            </w:r>
          </w:p>
        </w:tc>
        <w:tc>
          <w:tcPr>
            <w:tcW w:w="420" w:type="dxa"/>
            <w:vAlign w:val="bottom"/>
            <w:gridSpan w:val="2"/>
            <w:shd w:val="clear" w:color="auto" w:fill="CCEEFF"/>
          </w:tcPr>
          <w:p>
            <w:pPr>
              <w:ind w:left="34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3.31</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795.3</w:t>
            </w:r>
          </w:p>
        </w:tc>
        <w:tc>
          <w:tcPr>
            <w:tcW w:w="10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3.45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0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color w:val="auto"/>
              </w:rPr>
              <w:t>Non-GAAP reconciling items:</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900" w:type="dxa"/>
            <w:vAlign w:val="bottom"/>
            <w:gridSpan w:val="3"/>
            <w:shd w:val="clear" w:color="auto" w:fill="CCEEFF"/>
          </w:tcPr>
          <w:p>
            <w:pPr>
              <w:ind w:left="340"/>
              <w:spacing w:after="0" w:line="167" w:lineRule="exact"/>
              <w:rPr>
                <w:sz w:val="20"/>
                <w:szCs w:val="20"/>
                <w:color w:val="auto"/>
              </w:rPr>
            </w:pPr>
            <w:r>
              <w:rPr>
                <w:rFonts w:ascii="Times New Roman" w:cs="Times New Roman" w:eastAsia="Times New Roman" w:hAnsi="Times New Roman"/>
                <w:sz w:val="16"/>
                <w:szCs w:val="16"/>
                <w:color w:val="auto"/>
              </w:rPr>
              <w:t>Losses from investments in early-stage clean energy and energy solutions</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5900" w:type="dxa"/>
            <w:vAlign w:val="bottom"/>
            <w:gridSpan w:val="3"/>
            <w:shd w:val="clear" w:color="auto" w:fill="CCEEFF"/>
          </w:tcPr>
          <w:p>
            <w:pPr>
              <w:ind w:left="480"/>
              <w:spacing w:after="0" w:line="193" w:lineRule="exact"/>
              <w:rPr>
                <w:sz w:val="20"/>
                <w:szCs w:val="20"/>
                <w:color w:val="auto"/>
              </w:rPr>
            </w:pPr>
            <w:r>
              <w:rPr>
                <w:rFonts w:ascii="Times New Roman" w:cs="Times New Roman" w:eastAsia="Times New Roman" w:hAnsi="Times New Roman"/>
                <w:sz w:val="14"/>
                <w:szCs w:val="14"/>
                <w:color w:val="auto"/>
              </w:rPr>
              <w:t>companies, pre-tax</w:t>
            </w:r>
            <w:r>
              <w:rPr>
                <w:rFonts w:ascii="Times New Roman" w:cs="Times New Roman" w:eastAsia="Times New Roman" w:hAnsi="Times New Roman"/>
                <w:sz w:val="22"/>
                <w:szCs w:val="22"/>
                <w:color w:val="auto"/>
                <w:vertAlign w:val="superscript"/>
              </w:rPr>
              <w:t>(a)</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180"/>
        </w:trPr>
        <w:tc>
          <w:tcPr>
            <w:tcW w:w="5900" w:type="dxa"/>
            <w:vAlign w:val="bottom"/>
            <w:gridSpan w:val="3"/>
          </w:tcPr>
          <w:p>
            <w:pPr>
              <w:ind w:left="340"/>
              <w:spacing w:after="0" w:line="180" w:lineRule="exact"/>
              <w:rPr>
                <w:sz w:val="20"/>
                <w:szCs w:val="20"/>
                <w:color w:val="auto"/>
              </w:rPr>
            </w:pPr>
            <w:r>
              <w:rPr>
                <w:rFonts w:ascii="Times New Roman" w:cs="Times New Roman" w:eastAsia="Times New Roman" w:hAnsi="Times New Roman"/>
                <w:sz w:val="13"/>
                <w:szCs w:val="13"/>
                <w:color w:val="auto"/>
              </w:rPr>
              <w:t>Mark-to-market impact of JEC economic hedges, pre-tax</w:t>
            </w:r>
            <w:r>
              <w:rPr>
                <w:rFonts w:ascii="Times New Roman" w:cs="Times New Roman" w:eastAsia="Times New Roman" w:hAnsi="Times New Roman"/>
                <w:sz w:val="20"/>
                <w:szCs w:val="20"/>
                <w:color w:val="auto"/>
                <w:vertAlign w:val="superscript"/>
              </w:rPr>
              <w:t>(b)</w:t>
            </w:r>
          </w:p>
        </w:tc>
        <w:tc>
          <w:tcPr>
            <w:tcW w:w="80" w:type="dxa"/>
            <w:vAlign w:val="bottom"/>
          </w:tcPr>
          <w:p>
            <w:pPr>
              <w:spacing w:after="0"/>
              <w:rPr>
                <w:sz w:val="15"/>
                <w:szCs w:val="15"/>
                <w:color w:val="auto"/>
              </w:rPr>
            </w:pP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34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80" w:type="dxa"/>
            <w:vAlign w:val="bottom"/>
          </w:tcPr>
          <w:p>
            <w:pPr>
              <w:spacing w:after="0"/>
              <w:rPr>
                <w:sz w:val="15"/>
                <w:szCs w:val="15"/>
                <w:color w:val="auto"/>
              </w:rPr>
            </w:pPr>
          </w:p>
        </w:tc>
        <w:tc>
          <w:tcPr>
            <w:tcW w:w="760" w:type="dxa"/>
            <w:vAlign w:val="bottom"/>
            <w:gridSpan w:val="2"/>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2.6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00" w:type="dxa"/>
            <w:vAlign w:val="bottom"/>
            <w:gridSpan w:val="3"/>
            <w:shd w:val="clear" w:color="auto" w:fill="CCEEFF"/>
          </w:tcPr>
          <w:p>
            <w:pPr>
              <w:ind w:left="340"/>
              <w:spacing w:after="0" w:line="180" w:lineRule="exact"/>
              <w:rPr>
                <w:sz w:val="20"/>
                <w:szCs w:val="20"/>
                <w:color w:val="auto"/>
              </w:rPr>
            </w:pPr>
            <w:r>
              <w:rPr>
                <w:rFonts w:ascii="Times New Roman" w:cs="Times New Roman" w:eastAsia="Times New Roman" w:hAnsi="Times New Roman"/>
                <w:sz w:val="13"/>
                <w:szCs w:val="13"/>
                <w:color w:val="auto"/>
              </w:rPr>
              <w:t xml:space="preserve">Income tax benefit </w:t>
            </w:r>
            <w:r>
              <w:rPr>
                <w:rFonts w:ascii="Times New Roman" w:cs="Times New Roman" w:eastAsia="Times New Roman" w:hAnsi="Times New Roman"/>
                <w:sz w:val="20"/>
                <w:szCs w:val="20"/>
                <w:color w:val="auto"/>
                <w:vertAlign w:val="superscript"/>
              </w:rPr>
              <w:t>(c)</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8"/>
              <w:spacing w:after="0" w:line="180" w:lineRule="exact"/>
              <w:rPr>
                <w:sz w:val="20"/>
                <w:szCs w:val="20"/>
                <w:color w:val="auto"/>
              </w:rPr>
            </w:pPr>
            <w:r>
              <w:rPr>
                <w:rFonts w:ascii="Times New Roman" w:cs="Times New Roman" w:eastAsia="Times New Roman" w:hAnsi="Times New Roman"/>
                <w:sz w:val="16"/>
                <w:szCs w:val="16"/>
                <w:color w:val="auto"/>
              </w:rPr>
              <w:t>(6.4)</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(0.03)</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(0.6)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20"/>
        </w:trPr>
        <w:tc>
          <w:tcPr>
            <w:tcW w:w="5900" w:type="dxa"/>
            <w:vAlign w:val="bottom"/>
            <w:gridSpan w:val="3"/>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0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Adjusted earnings (non-GAAP)</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794.0</w:t>
            </w:r>
          </w:p>
        </w:tc>
        <w:tc>
          <w:tcPr>
            <w:tcW w:w="4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34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797.3</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left="390" w:hanging="390"/>
        <w:spacing w:after="0" w:line="239" w:lineRule="auto"/>
        <w:tabs>
          <w:tab w:leader="none" w:pos="39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unrealized losses and impairment losses year to date September 30, 2025, of $29.0 million fromnon-regulated investments in early-stage clean energy and energy solution companies that are included in investment earnings (loss) on the consolidated statements of comprehensive income and $0.1 million for the three months ended and year to date September 30, 2025, of costs related to the disposal of these investments that are included in operating and maintenance expense on the consolidated statements of comprehensive income. Evergy has initiated a process to dispose of these investments.</w:t>
      </w:r>
    </w:p>
    <w:p>
      <w:pPr>
        <w:spacing w:after="0" w:line="2" w:lineRule="exact"/>
        <w:rPr>
          <w:rFonts w:ascii="Times New Roman" w:cs="Times New Roman" w:eastAsia="Times New Roman" w:hAnsi="Times New Roman"/>
          <w:sz w:val="16"/>
          <w:szCs w:val="16"/>
          <w:color w:val="auto"/>
        </w:rPr>
      </w:pPr>
    </w:p>
    <w:p>
      <w:pPr>
        <w:ind w:left="390" w:right="120" w:hanging="390"/>
        <w:spacing w:after="0" w:line="234" w:lineRule="auto"/>
        <w:tabs>
          <w:tab w:leader="none" w:pos="39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mark-to-market gains or losses related to forward contracts for natural gas and electricity entered into as economic hedges against fuel price volatility related to Evergy Kansas Central’s 8% ownership share of JEC that are included in operating revenues on the consolidated statements of comprehensive income.</w:t>
      </w:r>
    </w:p>
    <w:p>
      <w:pPr>
        <w:spacing w:after="0" w:line="1" w:lineRule="exact"/>
        <w:rPr>
          <w:rFonts w:ascii="Times New Roman" w:cs="Times New Roman" w:eastAsia="Times New Roman" w:hAnsi="Times New Roman"/>
          <w:sz w:val="16"/>
          <w:szCs w:val="16"/>
          <w:color w:val="auto"/>
        </w:rPr>
      </w:pPr>
    </w:p>
    <w:p>
      <w:pPr>
        <w:ind w:left="390" w:hanging="390"/>
        <w:spacing w:after="0"/>
        <w:tabs>
          <w:tab w:leader="none" w:pos="39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an income tax effect calculated at a statutory rate of approximately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621982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16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investors.evergy.com</w:t>
      </w:r>
    </w:p>
    <w:p>
      <w:pPr>
        <w:sectPr>
          <w:pgSz w:w="11900" w:h="16840" w:orient="portrait"/>
          <w:cols w:equalWidth="0" w:num="1">
            <w:col w:w="9790"/>
          </w:cols>
          <w:pgMar w:left="1050" w:top="1407" w:right="106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48145" cy="35560"/>
                    </a:xfrm>
                    <a:prstGeom prst="rect">
                      <a:avLst/>
                    </a:prstGeom>
                    <a:noFill/>
                  </pic:spPr>
                </pic:pic>
              </a:graphicData>
            </a:graphic>
          </wp:anchor>
        </w:drawing>
        <w:drawing>
          <wp:anchor simplePos="0" relativeHeight="251657728" behindDoc="1" locked="0" layoutInCell="0" allowOverlap="1">
            <wp:simplePos x="0" y="0"/>
            <wp:positionH relativeFrom="page">
              <wp:posOffset>5430520</wp:posOffset>
            </wp:positionH>
            <wp:positionV relativeFrom="page">
              <wp:posOffset>445770</wp:posOffset>
            </wp:positionV>
            <wp:extent cx="1456055" cy="335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456055" cy="335280"/>
                    </a:xfrm>
                    <a:prstGeom prst="rect">
                      <a:avLst/>
                    </a:prstGeom>
                    <a:noFill/>
                  </pic:spPr>
                </pic:pic>
              </a:graphicData>
            </a:graphic>
          </wp:anchor>
        </w:drawing>
        <w:t>About Evergy</w:t>
      </w:r>
    </w:p>
    <w:p>
      <w:pPr>
        <w:spacing w:after="0" w:line="94"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Evergy, Inc. (NASDAQ: EVRG), serves 1.7 million customers in Kansas and Missouri. Evergy’s mission is to empower a better future. Our focus remains on producing, transmitting and delivering reliable, affordable, and sustainable energy for the benefit of our stakeholders. Today, about half of Evergy’s power comes from carbon-free sources, creating more reliable energy with less impact to the environment. We value innovation and adaptability to give our customers better ways to manage their energy use, to create a safe and rewarding workplace for our employees, and to add value for our investors. Headquartered in Kansas City, our employees are active members of the communities we serve.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For more information about Evergy, visit us at </w:t>
      </w:r>
      <w:r>
        <w:rPr>
          <w:rFonts w:ascii="Times New Roman" w:cs="Times New Roman" w:eastAsia="Times New Roman" w:hAnsi="Times New Roman"/>
          <w:sz w:val="16"/>
          <w:szCs w:val="16"/>
          <w:u w:val="single" w:color="auto"/>
          <w:color w:val="auto"/>
        </w:rPr>
        <w:t>http://investors.evergy.com</w:t>
      </w:r>
      <w:r>
        <w:rPr>
          <w:rFonts w:ascii="Times New Roman" w:cs="Times New Roman" w:eastAsia="Times New Roman" w:hAnsi="Times New Roman"/>
          <w:sz w:val="16"/>
          <w:szCs w:val="16"/>
          <w:color w:val="auto"/>
        </w:rPr>
        <w: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Forward Looking Statements</w:t>
      </w:r>
    </w:p>
    <w:p>
      <w:pPr>
        <w:spacing w:after="0" w:line="94"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6"/>
          <w:szCs w:val="16"/>
          <w:color w:val="auto"/>
        </w:rPr>
        <w:t>Statements made in this document that are not based on historical facts are forward -looking, may involve risks and uncertainties, and are intended to be as of the date when made. Forward-looking statements include, but are not limited to, statements relating to Evergy’s strategic plan, including, without limitation, those related to earnings per share, dividend, operating and maintenance expense and capital investment goals; the outcome of legislative efforts and regulatory and legal proceedings; future energy demand, including demand driven by new and existing customers; future power prices; plans with respect to existing and potential future generation resources; the availability and cost of generation resources and energy storage; target emissions reductions; and other matters relating to expected financial performance or affecting future operations. Forward-looking statements are often accompanied by forward-looking words such as “anticipates,” “believes,” “expects,” “estimates,” “forecasts,” “guidance,” “should,” “could,” “may,” “seeks,” “intends,” “predict,” “potential,” “opportunities,” “proposed,” “projects,” “planned,” “target,” “outlook,” “remain confident,” “goal,” “will” or other words of similar meaning. Forward-looking statements involve risks, uncertainties and other factors that could cause actual results to differ materially from the forward-looking information.</w:t>
      </w:r>
    </w:p>
    <w:p>
      <w:pPr>
        <w:spacing w:after="0" w:line="17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In connection with the safe harbor provisions of the Private Securities Litigation Reform Act of 1995, the Evergy Companies are providing a number of risks, uncertainties and other factors that could cause actual results to differ from the forward-looking information. These risks, uncertainties and other factors include, but are not limited to: economic and weather conditions and any impact on sales, prices and costs; significant changes in the demand for electricity; changes in business strategy or operations, including with respect to the Evergy Companies’ strategy to meet demand requirements of existing and future customers; the impact of federal, state and local political, legislative, judicial and regulatory actions or developments, including deregulation, re-regulation, securitization and restructuring of the electric utility industry; changes in U.S. trade policies (including tariffs and other trade measures) and responses from other countries; the ability to build or acquire generation, battery storage and transmission facilities to meet the future demand for electricity from customers; the ability to control costs, avoid costs and schedule overruns during the development, construction and operation of generation, battery storage transmission, distribution or other projects due to challenges, which include, but are not limited to, changes in labor costs, availability and productivity, challenges with the management of contractors or vendors, subcontractor performance, shortages, delays, increased costs or inconsistent quality of equipment, materials and labor and increased financing costs as a result of changes in interest rates or as a result of project delays; decisions of regulators regarding, among other things, customer rates and the prudency of operational decisions such as capital expenditures and asset retirements; changes in applicable laws, regulations, rules, principles or practices, or the interpretations thereof, governing tax, accounting and environmental matters, including air and water quality and waste management and disposal; development, adoption and use of artificial intelligence by the Evergy Companies and its third-party vendors; the impact of climate change, including increased frequency and severity of significant weather events; risks relating to potential wildfires, including costs of litigation, potential regulatory penalties and damages in excess of insurance liability coverage; the extent to which counterparties are willing to do business with, finance the operations of or purchase energy from the Evergy Companies due to the fact that the Evergy Companies operate coal-fired generation; prices and availability of electricity and natural gas in wholesale markets; market perception of the energy industry and the Evergy Companies; the impact of future pandemic health events on, among other things, sales, results of operations, financial position, liquidity and cash flows, and also on operational issues, such as supply chain issues and the availability and ability of the Evergy Companies’ employees and suppliers to perform the functions that are necessary to operate the Evergy Companies; changes in the energy trading markets in which the Evergy Companies participate, including retroactive repricing of transactions by regional transmission organizations (RTO) and independent system operators; financial market conditions and performance, disruptions in the banking industry, including volatility in interest rates and credit spreads and in availability and cost of capital and the effects on derivatives and hedges, nuclear decommissioning trust and pension plan assets and costs; impairments of long-lived assets or goodwill; credit ratings; inflation rates; effectiveness of risk management policies and procedures and the ability of counterparties to satisfy their contractual commitments; impact of physical and cybersecurity breaches, criminal activity, terrorist attacks, acts of war and other disruptions to the Evergy Companies’ facilities or information technology infrastructure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441960</wp:posOffset>
            </wp:positionV>
            <wp:extent cx="621982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investors.evergy.com</w:t>
      </w:r>
    </w:p>
    <w:p>
      <w:pPr>
        <w:sectPr>
          <w:pgSz w:w="11900" w:h="16840" w:orient="portrait"/>
          <w:cols w:equalWidth="0" w:num="1">
            <w:col w:w="9780"/>
          </w:cols>
          <w:pgMar w:left="1060" w:top="1407" w:right="1060" w:bottom="1440" w:gutter="0" w:footer="0" w:header="0"/>
        </w:sectPr>
      </w:pPr>
    </w:p>
    <w:bookmarkStart w:id="8" w:name="page9"/>
    <w:bookmarkEnd w:id="8"/>
    <w:p>
      <w:pPr>
        <w:spacing w:after="0" w:line="27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48145" cy="35560"/>
                    </a:xfrm>
                    <a:prstGeom prst="rect">
                      <a:avLst/>
                    </a:prstGeom>
                    <a:noFill/>
                  </pic:spPr>
                </pic:pic>
              </a:graphicData>
            </a:graphic>
          </wp:anchor>
        </w:drawing>
        <w:drawing>
          <wp:anchor simplePos="0" relativeHeight="251657728" behindDoc="1" locked="0" layoutInCell="0" allowOverlap="1">
            <wp:simplePos x="0" y="0"/>
            <wp:positionH relativeFrom="page">
              <wp:posOffset>5430520</wp:posOffset>
            </wp:positionH>
            <wp:positionV relativeFrom="page">
              <wp:posOffset>445770</wp:posOffset>
            </wp:positionV>
            <wp:extent cx="1456055" cy="335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456055" cy="335280"/>
                    </a:xfrm>
                    <a:prstGeom prst="rect">
                      <a:avLst/>
                    </a:prstGeom>
                    <a:noFill/>
                  </pic:spPr>
                </pic:pic>
              </a:graphicData>
            </a:graphic>
          </wp:anchor>
        </w:drawing>
        <w:t>facilities and infrastructure of third-party service providers on which the Evergy Companies rely; impact of geopolitical conflicts on the global energy market, including the ability to contract for non-Russian sourced uranium; ability to carry out marketing and sales plans; cost, availability, quality and timely provision of equipment, supplies, labor and fuel; ability to achieve generation goals and the occurrence and duration of planned and unplanned generation outages; the Evergy Companies’ ability to manage their generation, transmission and distribution development plans and transmission joint ventures; the inherent risks associated with the ownership and operation of a nuclear facility, including environmental, health, safety, regulatory and financial risks; workforce risks, including those related to the Evergy Companies’ ability to attract and retain qualified personnel, maintain satisfactory relationships with their labor unions and manage costs of, or changes in, wages, retirement, health care and other benefits; disruption, costs and uncertainties caused by or related to the actions of individuals or entities, such as activist shareholders or special interest groups, that seek to influence Evergy’s strategic plan, financial results or operations; the impact of changing expectations and demands of the Evergy Companies’ customers, regulators, investors and stakeholders, including differing views on environmental, social and governance concerns, which, among other things, could impact the trajectory of expected load growth; the possibility that strategic initiatives, including mergers, acquisitions, joint ventures and divestitures, and long-term financial plans, may not create the value that they are expected to achieve in a timely manner or at all; difficulties in maintaining relationships with customers, employees, contractors, regulators or suppliers; the outcome of litigation involving the Evergy Companies; and other risks and uncertainties.</w:t>
      </w:r>
    </w:p>
    <w:p>
      <w:pPr>
        <w:spacing w:after="0" w:line="335"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4"/>
          <w:szCs w:val="14"/>
          <w:color w:val="auto"/>
        </w:rPr>
        <w:t>This list of factors is not all-inclusive because it is not possible to predict all factors. You should also carefully consider the information contained in the Evergy Companies’ other filings with the Securities and Exchange Commission (SEC). Additional risks and uncertainties are discussed from time to time in current, quarterly and annual reports filed by the Evergy Companies with the SEC. New factors emerge from time to time, and it’s not possible for the Evergy Companies to predict all such factors, nor can the Evergy Companies assess the impact of each such factor on the business or the extent to which any factor, or combination of factors, may cause actual results to differ materially from those contained or implied in any forward-looking statement. Given these uncertainties, undue reliance should not be placed on these forward-looking statements. The Evergy Companies undertake no obligation to publicly update or revise any forward-looking statement, whether as a result of new information, future events or otherwise, except as required by law.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Investor Contact:</w:t>
            </w:r>
          </w:p>
        </w:tc>
        <w:tc>
          <w:tcPr>
            <w:tcW w:w="654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Media Contact:</w:t>
            </w:r>
          </w:p>
        </w:tc>
      </w:tr>
      <w:tr>
        <w:trPr>
          <w:trHeight w:val="180"/>
        </w:trPr>
        <w:tc>
          <w:tcPr>
            <w:tcW w:w="32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Pete Flynn</w:t>
            </w:r>
          </w:p>
        </w:tc>
        <w:tc>
          <w:tcPr>
            <w:tcW w:w="6540" w:type="dxa"/>
            <w:vAlign w:val="bottom"/>
          </w:tcPr>
          <w:p>
            <w:pPr>
              <w:ind w:left="480"/>
              <w:spacing w:after="0" w:line="180" w:lineRule="exact"/>
              <w:rPr>
                <w:sz w:val="20"/>
                <w:szCs w:val="20"/>
                <w:color w:val="auto"/>
              </w:rPr>
            </w:pPr>
            <w:r>
              <w:rPr>
                <w:rFonts w:ascii="Times New Roman" w:cs="Times New Roman" w:eastAsia="Times New Roman" w:hAnsi="Times New Roman"/>
                <w:sz w:val="16"/>
                <w:szCs w:val="16"/>
                <w:color w:val="auto"/>
              </w:rPr>
              <w:t>Gina Penzig</w:t>
            </w:r>
          </w:p>
        </w:tc>
      </w:tr>
      <w:tr>
        <w:trPr>
          <w:trHeight w:val="180"/>
        </w:trPr>
        <w:tc>
          <w:tcPr>
            <w:tcW w:w="32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Sr. Director, Investor Relations &amp; Insurance</w:t>
            </w:r>
          </w:p>
        </w:tc>
        <w:tc>
          <w:tcPr>
            <w:tcW w:w="6540" w:type="dxa"/>
            <w:vAlign w:val="bottom"/>
          </w:tcPr>
          <w:p>
            <w:pPr>
              <w:ind w:left="480"/>
              <w:spacing w:after="0" w:line="180" w:lineRule="exact"/>
              <w:rPr>
                <w:sz w:val="20"/>
                <w:szCs w:val="20"/>
                <w:color w:val="auto"/>
              </w:rPr>
            </w:pPr>
            <w:r>
              <w:rPr>
                <w:rFonts w:ascii="Times New Roman" w:cs="Times New Roman" w:eastAsia="Times New Roman" w:hAnsi="Times New Roman"/>
                <w:sz w:val="16"/>
                <w:szCs w:val="16"/>
                <w:color w:val="auto"/>
              </w:rPr>
              <w:t>Director, Corporate Communications</w:t>
            </w:r>
          </w:p>
        </w:tc>
      </w:tr>
      <w:tr>
        <w:trPr>
          <w:trHeight w:val="180"/>
        </w:trPr>
        <w:tc>
          <w:tcPr>
            <w:tcW w:w="32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Phone: 816-652-1060</w:t>
            </w:r>
          </w:p>
        </w:tc>
        <w:tc>
          <w:tcPr>
            <w:tcW w:w="6540" w:type="dxa"/>
            <w:vAlign w:val="bottom"/>
          </w:tcPr>
          <w:p>
            <w:pPr>
              <w:ind w:left="480"/>
              <w:spacing w:after="0" w:line="180" w:lineRule="exact"/>
              <w:rPr>
                <w:sz w:val="20"/>
                <w:szCs w:val="20"/>
                <w:color w:val="auto"/>
              </w:rPr>
            </w:pPr>
            <w:r>
              <w:rPr>
                <w:rFonts w:ascii="Times New Roman" w:cs="Times New Roman" w:eastAsia="Times New Roman" w:hAnsi="Times New Roman"/>
                <w:sz w:val="16"/>
                <w:szCs w:val="16"/>
                <w:color w:val="auto"/>
              </w:rPr>
              <w:t>Phone: 785-508-2410</w:t>
            </w:r>
          </w:p>
        </w:tc>
      </w:tr>
      <w:tr>
        <w:trPr>
          <w:trHeight w:val="180"/>
        </w:trPr>
        <w:tc>
          <w:tcPr>
            <w:tcW w:w="32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Peter.Flynn@evergy.com</w:t>
            </w:r>
          </w:p>
        </w:tc>
        <w:tc>
          <w:tcPr>
            <w:tcW w:w="6540" w:type="dxa"/>
            <w:vAlign w:val="bottom"/>
          </w:tcPr>
          <w:p>
            <w:pPr>
              <w:ind w:left="480"/>
              <w:spacing w:after="0" w:line="180" w:lineRule="exact"/>
              <w:rPr>
                <w:sz w:val="20"/>
                <w:szCs w:val="20"/>
                <w:color w:val="auto"/>
              </w:rPr>
            </w:pPr>
            <w:r>
              <w:rPr>
                <w:rFonts w:ascii="Times New Roman" w:cs="Times New Roman" w:eastAsia="Times New Roman" w:hAnsi="Times New Roman"/>
                <w:sz w:val="16"/>
                <w:szCs w:val="16"/>
                <w:color w:val="auto"/>
              </w:rPr>
              <w:t>Gina.Penzig@evergy.com</w:t>
            </w:r>
          </w:p>
        </w:tc>
      </w:tr>
      <w:tr>
        <w:trPr>
          <w:trHeight w:val="203"/>
        </w:trPr>
        <w:tc>
          <w:tcPr>
            <w:tcW w:w="3240" w:type="dxa"/>
            <w:vAlign w:val="bottom"/>
          </w:tcPr>
          <w:p>
            <w:pPr>
              <w:spacing w:after="0"/>
              <w:rPr>
                <w:sz w:val="17"/>
                <w:szCs w:val="17"/>
                <w:color w:val="auto"/>
              </w:rPr>
            </w:pPr>
          </w:p>
        </w:tc>
        <w:tc>
          <w:tcPr>
            <w:tcW w:w="65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Media line: 888-613-0003</w:t>
            </w:r>
          </w:p>
        </w:tc>
      </w:tr>
      <w:tr>
        <w:trPr>
          <w:trHeight w:val="170"/>
        </w:trPr>
        <w:tc>
          <w:tcPr>
            <w:tcW w:w="3240" w:type="dxa"/>
            <w:vAlign w:val="bottom"/>
            <w:tcBorders>
              <w:bottom w:val="single" w:sz="8" w:color="auto"/>
            </w:tcBorders>
          </w:tcPr>
          <w:p>
            <w:pPr>
              <w:spacing w:after="0"/>
              <w:rPr>
                <w:sz w:val="14"/>
                <w:szCs w:val="14"/>
                <w:color w:val="auto"/>
              </w:rPr>
            </w:pPr>
          </w:p>
        </w:tc>
        <w:tc>
          <w:tcPr>
            <w:tcW w:w="6540" w:type="dxa"/>
            <w:vAlign w:val="bottom"/>
            <w:tcBorders>
              <w:bottom w:val="single" w:sz="8" w:color="auto"/>
            </w:tcBorders>
          </w:tcPr>
          <w:p>
            <w:pPr>
              <w:spacing w:after="0"/>
              <w:rPr>
                <w:sz w:val="14"/>
                <w:szCs w:val="14"/>
                <w:color w:val="auto"/>
              </w:rPr>
            </w:pPr>
          </w:p>
        </w:tc>
      </w:tr>
      <w:tr>
        <w:trPr>
          <w:trHeight w:val="206"/>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investors.evergy.com</w:t>
            </w:r>
          </w:p>
        </w:tc>
        <w:tc>
          <w:tcPr>
            <w:tcW w:w="6540" w:type="dxa"/>
            <w:vAlign w:val="bottom"/>
          </w:tcPr>
          <w:p>
            <w:pPr>
              <w:spacing w:after="0"/>
              <w:rPr>
                <w:sz w:val="17"/>
                <w:szCs w:val="17"/>
                <w:color w:val="auto"/>
              </w:rPr>
            </w:pPr>
          </w:p>
        </w:tc>
      </w:tr>
    </w:tbl>
    <w:p>
      <w:pPr>
        <w:sectPr>
          <w:pgSz w:w="11900" w:h="16840" w:orient="portrait"/>
          <w:cols w:equalWidth="0" w:num="1">
            <w:col w:w="9800"/>
          </w:cols>
          <w:pgMar w:left="1060" w:top="1409" w:right="1040" w:bottom="1440" w:gutter="0" w:footer="0" w:header="0"/>
        </w:sectPr>
      </w:pPr>
    </w:p>
    <w:bookmarkStart w:id="9" w:name="page10"/>
    <w:bookmarkEnd w:id="9"/>
    <w:p>
      <w:pPr>
        <w:spacing w:after="0" w:line="1" w:lineRule="exact"/>
        <w:rPr>
          <w:sz w:val="20"/>
          <w:szCs w:val="20"/>
          <w:color w:val="auto"/>
        </w:rPr>
      </w:pPr>
    </w:p>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Roman"/>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2025-11-06T06:16:06Z</dcterms:created>
  <dcterms:modified xsi:type="dcterms:W3CDTF">2025-11-06T06:16:06Z</dcterms:modified>
</cp:coreProperties>
</file>