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58089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0898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5808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355" w:lineRule="exact"/>
        <w:rPr>
          <w:sz w:val="24"/>
          <w:szCs w:val="24"/>
          <w:color w:val="auto"/>
        </w:rPr>
      </w:pPr>
    </w:p>
    <w:p>
      <w:pPr>
        <w:jc w:val="center"/>
        <w:ind w:right="-50"/>
        <w:spacing w:after="0"/>
        <w:rPr>
          <w:sz w:val="20"/>
          <w:szCs w:val="20"/>
          <w:color w:val="auto"/>
        </w:rPr>
      </w:pPr>
      <w:r>
        <w:rPr>
          <w:rFonts w:ascii="Arial" w:cs="Arial" w:eastAsia="Arial" w:hAnsi="Arial"/>
          <w:sz w:val="24"/>
          <w:szCs w:val="24"/>
          <w:b w:val="1"/>
          <w:bCs w:val="1"/>
          <w:color w:val="auto"/>
        </w:rPr>
        <w:t>UNITED STATES</w:t>
      </w:r>
    </w:p>
    <w:p>
      <w:pPr>
        <w:jc w:val="center"/>
        <w:ind w:right="-50"/>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ind w:right="-5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2412365</wp:posOffset>
            </wp:positionH>
            <wp:positionV relativeFrom="paragraph">
              <wp:posOffset>139065</wp:posOffset>
            </wp:positionV>
            <wp:extent cx="984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329" w:lineRule="exact"/>
        <w:rPr>
          <w:sz w:val="24"/>
          <w:szCs w:val="24"/>
          <w:color w:val="auto"/>
        </w:rPr>
      </w:pPr>
    </w:p>
    <w:p>
      <w:pPr>
        <w:jc w:val="center"/>
        <w:ind w:right="-50"/>
        <w:spacing w:after="0"/>
        <w:rPr>
          <w:sz w:val="20"/>
          <w:szCs w:val="20"/>
          <w:color w:val="auto"/>
        </w:rPr>
      </w:pPr>
      <w:r>
        <w:rPr>
          <w:rFonts w:ascii="Arial" w:cs="Arial" w:eastAsia="Arial" w:hAnsi="Arial"/>
          <w:sz w:val="28"/>
          <w:szCs w:val="28"/>
          <w:b w:val="1"/>
          <w:bCs w:val="1"/>
          <w:color w:val="auto"/>
        </w:rPr>
        <w:t>SCHEDULE 14A</w:t>
      </w:r>
    </w:p>
    <w:p>
      <w:pPr>
        <w:spacing w:after="0" w:line="184" w:lineRule="exact"/>
        <w:rPr>
          <w:sz w:val="24"/>
          <w:szCs w:val="24"/>
          <w:color w:val="auto"/>
        </w:rPr>
      </w:pPr>
    </w:p>
    <w:p>
      <w:pPr>
        <w:jc w:val="center"/>
        <w:ind w:right="-50"/>
        <w:spacing w:after="0"/>
        <w:rPr>
          <w:sz w:val="20"/>
          <w:szCs w:val="20"/>
          <w:color w:val="auto"/>
        </w:rPr>
      </w:pPr>
      <w:r>
        <w:rPr>
          <w:rFonts w:ascii="Arial" w:cs="Arial" w:eastAsia="Arial" w:hAnsi="Arial"/>
          <w:sz w:val="17"/>
          <w:szCs w:val="17"/>
          <w:b w:val="1"/>
          <w:bCs w:val="1"/>
          <w:color w:val="auto"/>
        </w:rPr>
        <w:t>Proxy Statement Pursuant to Section 14(a) of</w:t>
      </w:r>
    </w:p>
    <w:p>
      <w:pPr>
        <w:spacing w:after="0" w:line="19" w:lineRule="exact"/>
        <w:rPr>
          <w:sz w:val="24"/>
          <w:szCs w:val="24"/>
          <w:color w:val="auto"/>
        </w:rPr>
      </w:pPr>
    </w:p>
    <w:p>
      <w:pPr>
        <w:jc w:val="center"/>
        <w:ind w:right="-50"/>
        <w:spacing w:after="0"/>
        <w:rPr>
          <w:sz w:val="20"/>
          <w:szCs w:val="20"/>
          <w:color w:val="auto"/>
        </w:rPr>
      </w:pPr>
      <w:r>
        <w:rPr>
          <w:rFonts w:ascii="Arial" w:cs="Arial" w:eastAsia="Arial" w:hAnsi="Arial"/>
          <w:sz w:val="17"/>
          <w:szCs w:val="17"/>
          <w:b w:val="1"/>
          <w:bCs w:val="1"/>
          <w:color w:val="auto"/>
        </w:rPr>
        <w:t>the Securities Exchange Act of 1934</w:t>
      </w:r>
    </w:p>
    <w:p>
      <w:pPr>
        <w:jc w:val="center"/>
        <w:ind w:right="-50"/>
        <w:spacing w:after="0"/>
        <w:rPr>
          <w:sz w:val="20"/>
          <w:szCs w:val="20"/>
          <w:color w:val="auto"/>
        </w:rPr>
      </w:pPr>
      <w:r>
        <w:rPr>
          <w:rFonts w:ascii="Arial" w:cs="Arial" w:eastAsia="Arial" w:hAnsi="Arial"/>
          <w:sz w:val="17"/>
          <w:szCs w:val="17"/>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2412365</wp:posOffset>
            </wp:positionH>
            <wp:positionV relativeFrom="paragraph">
              <wp:posOffset>122555</wp:posOffset>
            </wp:positionV>
            <wp:extent cx="984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341" w:lineRule="exact"/>
        <w:rPr>
          <w:sz w:val="24"/>
          <w:szCs w:val="24"/>
          <w:color w:val="auto"/>
        </w:rPr>
      </w:pPr>
    </w:p>
    <w:p>
      <w:pPr>
        <w:ind w:left="10"/>
        <w:spacing w:after="0"/>
        <w:tabs>
          <w:tab w:leader="none" w:pos="2090" w:val="left"/>
        </w:tabs>
        <w:rPr>
          <w:sz w:val="20"/>
          <w:szCs w:val="20"/>
          <w:color w:val="auto"/>
        </w:rPr>
      </w:pPr>
      <w:r>
        <w:rPr>
          <w:rFonts w:ascii="Arial" w:cs="Arial" w:eastAsia="Arial" w:hAnsi="Arial"/>
          <w:sz w:val="17"/>
          <w:szCs w:val="17"/>
          <w:color w:val="auto"/>
        </w:rPr>
        <w:t>Filed by the Registrant o</w:t>
        <w:tab/>
        <w:t>Filed by a Party other than the Registrant o</w:t>
      </w:r>
    </w:p>
    <w:p>
      <w:pPr>
        <w:spacing w:after="0" w:line="139" w:lineRule="exact"/>
        <w:rPr>
          <w:sz w:val="24"/>
          <w:szCs w:val="24"/>
          <w:color w:val="auto"/>
        </w:rPr>
      </w:pPr>
    </w:p>
    <w:p>
      <w:pPr>
        <w:ind w:left="10"/>
        <w:spacing w:after="0"/>
        <w:rPr>
          <w:sz w:val="20"/>
          <w:szCs w:val="20"/>
          <w:color w:val="auto"/>
        </w:rPr>
      </w:pPr>
      <w:r>
        <w:rPr>
          <w:rFonts w:ascii="Arial" w:cs="Arial" w:eastAsia="Arial" w:hAnsi="Arial"/>
          <w:sz w:val="17"/>
          <w:szCs w:val="17"/>
          <w:color w:val="auto"/>
        </w:rPr>
        <w:t>Check the appropriate box:</w:t>
      </w:r>
    </w:p>
    <w:p>
      <w:pPr>
        <w:spacing w:after="0" w:line="76" w:lineRule="exact"/>
        <w:rPr>
          <w:sz w:val="24"/>
          <w:szCs w:val="24"/>
          <w:color w:val="auto"/>
        </w:rPr>
      </w:pPr>
    </w:p>
    <w:p>
      <w:pPr>
        <w:ind w:left="370" w:hanging="367"/>
        <w:spacing w:after="0"/>
        <w:tabs>
          <w:tab w:leader="none" w:pos="37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15" w:lineRule="exact"/>
        <w:rPr>
          <w:rFonts w:ascii="Arial" w:cs="Arial" w:eastAsia="Arial" w:hAnsi="Arial"/>
          <w:sz w:val="17"/>
          <w:szCs w:val="17"/>
          <w:color w:val="auto"/>
        </w:rPr>
      </w:pPr>
    </w:p>
    <w:p>
      <w:pPr>
        <w:ind w:left="370" w:hanging="367"/>
        <w:spacing w:after="0"/>
        <w:tabs>
          <w:tab w:leader="none" w:pos="37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34" w:lineRule="exact"/>
        <w:rPr>
          <w:rFonts w:ascii="Arial" w:cs="Arial" w:eastAsia="Arial" w:hAnsi="Arial"/>
          <w:sz w:val="17"/>
          <w:szCs w:val="17"/>
          <w:color w:val="auto"/>
        </w:rPr>
      </w:pPr>
    </w:p>
    <w:p>
      <w:pPr>
        <w:ind w:left="10"/>
        <w:spacing w:after="0" w:line="196"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48" w:lineRule="exact"/>
        <w:rPr>
          <w:rFonts w:ascii="Arial" w:cs="Arial" w:eastAsia="Arial" w:hAnsi="Arial"/>
          <w:sz w:val="17"/>
          <w:szCs w:val="17"/>
          <w:color w:val="auto"/>
        </w:rPr>
      </w:pPr>
    </w:p>
    <w:p>
      <w:pPr>
        <w:ind w:left="370" w:hanging="367"/>
        <w:spacing w:after="0"/>
        <w:tabs>
          <w:tab w:leader="none" w:pos="37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37" w:lineRule="exact"/>
        <w:rPr>
          <w:rFonts w:ascii="Arial" w:cs="Arial" w:eastAsia="Arial" w:hAnsi="Arial"/>
          <w:sz w:val="17"/>
          <w:szCs w:val="17"/>
          <w:color w:val="auto"/>
        </w:rPr>
      </w:pPr>
    </w:p>
    <w:p>
      <w:pPr>
        <w:ind w:left="370" w:hanging="367"/>
        <w:spacing w:after="0"/>
        <w:tabs>
          <w:tab w:leader="none" w:pos="37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42" w:lineRule="exact"/>
        <w:rPr>
          <w:sz w:val="24"/>
          <w:szCs w:val="24"/>
          <w:color w:val="auto"/>
        </w:rPr>
      </w:pPr>
    </w:p>
    <w:p>
      <w:pPr>
        <w:jc w:val="center"/>
        <w:ind w:right="-50"/>
        <w:spacing w:after="0"/>
        <w:rPr>
          <w:sz w:val="20"/>
          <w:szCs w:val="20"/>
          <w:color w:val="auto"/>
        </w:rPr>
      </w:pPr>
      <w:r>
        <w:rPr>
          <w:rFonts w:ascii="Arial" w:cs="Arial" w:eastAsia="Arial" w:hAnsi="Arial"/>
          <w:sz w:val="31"/>
          <w:szCs w:val="31"/>
          <w:b w:val="1"/>
          <w:bCs w:val="1"/>
          <w:color w:val="auto"/>
        </w:rPr>
        <w:t>Evergy,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5808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58" w:lineRule="exact"/>
        <w:rPr>
          <w:sz w:val="24"/>
          <w:szCs w:val="24"/>
          <w:color w:val="auto"/>
        </w:rPr>
      </w:pPr>
    </w:p>
    <w:p>
      <w:pPr>
        <w:jc w:val="center"/>
        <w:ind w:right="-5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106680</wp:posOffset>
            </wp:positionH>
            <wp:positionV relativeFrom="paragraph">
              <wp:posOffset>130810</wp:posOffset>
            </wp:positionV>
            <wp:extent cx="5702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2300" cy="8255"/>
                    </a:xfrm>
                    <a:prstGeom prst="rect">
                      <a:avLst/>
                    </a:prstGeom>
                    <a:noFill/>
                  </pic:spPr>
                </pic:pic>
              </a:graphicData>
            </a:graphic>
          </wp:anchor>
        </w:drawing>
      </w:r>
    </w:p>
    <w:p>
      <w:pPr>
        <w:spacing w:after="0" w:line="211" w:lineRule="exact"/>
        <w:rPr>
          <w:sz w:val="24"/>
          <w:szCs w:val="24"/>
          <w:color w:val="auto"/>
        </w:rPr>
      </w:pPr>
    </w:p>
    <w:p>
      <w:pPr>
        <w:ind w:left="185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15" w:lineRule="exact"/>
        <w:rPr>
          <w:sz w:val="24"/>
          <w:szCs w:val="24"/>
          <w:color w:val="auto"/>
        </w:rPr>
      </w:pPr>
    </w:p>
    <w:p>
      <w:pPr>
        <w:ind w:left="10"/>
        <w:spacing w:after="0"/>
        <w:rPr>
          <w:sz w:val="20"/>
          <w:szCs w:val="20"/>
          <w:color w:val="auto"/>
        </w:rPr>
      </w:pPr>
      <w:r>
        <w:rPr>
          <w:rFonts w:ascii="Arial" w:cs="Arial" w:eastAsia="Arial" w:hAnsi="Arial"/>
          <w:sz w:val="17"/>
          <w:szCs w:val="17"/>
          <w:color w:val="auto"/>
        </w:rPr>
        <w:t>Payment of Filing Fee (Check the appropriate box):</w:t>
      </w:r>
    </w:p>
    <w:p>
      <w:pPr>
        <w:spacing w:after="0" w:line="63" w:lineRule="exact"/>
        <w:rPr>
          <w:sz w:val="24"/>
          <w:szCs w:val="24"/>
          <w:color w:val="auto"/>
        </w:rPr>
      </w:pPr>
    </w:p>
    <w:p>
      <w:pPr>
        <w:ind w:left="370" w:hanging="370"/>
        <w:spacing w:after="0"/>
        <w:tabs>
          <w:tab w:leader="none" w:pos="37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7" w:lineRule="exact"/>
        <w:rPr>
          <w:sz w:val="24"/>
          <w:szCs w:val="24"/>
          <w:color w:val="auto"/>
        </w:rPr>
      </w:pPr>
    </w:p>
    <w:p>
      <w:pPr>
        <w:ind w:left="370" w:hanging="367"/>
        <w:spacing w:after="0"/>
        <w:tabs>
          <w:tab w:leader="none" w:pos="37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3" w:lineRule="exact"/>
        <w:rPr>
          <w:rFonts w:ascii="Arial" w:cs="Arial" w:eastAsia="Arial" w:hAnsi="Arial"/>
          <w:sz w:val="17"/>
          <w:szCs w:val="17"/>
          <w:color w:val="auto"/>
        </w:rPr>
      </w:pPr>
    </w:p>
    <w:p>
      <w:pPr>
        <w:ind w:left="790" w:hanging="428"/>
        <w:spacing w:after="0"/>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56" w:lineRule="exact"/>
        <w:rPr>
          <w:rFonts w:ascii="Arial" w:cs="Arial" w:eastAsia="Arial" w:hAnsi="Arial"/>
          <w:sz w:val="17"/>
          <w:szCs w:val="17"/>
          <w:color w:val="auto"/>
        </w:rPr>
      </w:pPr>
    </w:p>
    <w:p>
      <w:pPr>
        <w:ind w:left="790" w:hanging="428"/>
        <w:spacing w:after="0"/>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56" w:lineRule="exact"/>
        <w:rPr>
          <w:rFonts w:ascii="Arial" w:cs="Arial" w:eastAsia="Arial" w:hAnsi="Arial"/>
          <w:sz w:val="17"/>
          <w:szCs w:val="17"/>
          <w:color w:val="auto"/>
        </w:rPr>
      </w:pPr>
    </w:p>
    <w:p>
      <w:pPr>
        <w:ind w:left="790" w:right="299" w:hanging="428"/>
        <w:spacing w:after="0" w:line="253" w:lineRule="auto"/>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33" w:lineRule="exact"/>
        <w:rPr>
          <w:rFonts w:ascii="Arial" w:cs="Arial" w:eastAsia="Arial" w:hAnsi="Arial"/>
          <w:sz w:val="17"/>
          <w:szCs w:val="17"/>
          <w:color w:val="auto"/>
        </w:rPr>
      </w:pPr>
    </w:p>
    <w:p>
      <w:pPr>
        <w:ind w:left="790" w:hanging="428"/>
        <w:spacing w:after="0"/>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56" w:lineRule="exact"/>
        <w:rPr>
          <w:rFonts w:ascii="Arial" w:cs="Arial" w:eastAsia="Arial" w:hAnsi="Arial"/>
          <w:sz w:val="17"/>
          <w:szCs w:val="17"/>
          <w:color w:val="auto"/>
        </w:rPr>
      </w:pPr>
    </w:p>
    <w:p>
      <w:pPr>
        <w:ind w:left="790" w:hanging="428"/>
        <w:spacing w:after="0"/>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56" w:lineRule="exact"/>
        <w:rPr>
          <w:rFonts w:ascii="Arial" w:cs="Arial" w:eastAsia="Arial" w:hAnsi="Arial"/>
          <w:sz w:val="17"/>
          <w:szCs w:val="17"/>
          <w:color w:val="auto"/>
        </w:rPr>
      </w:pPr>
    </w:p>
    <w:p>
      <w:pPr>
        <w:ind w:left="370" w:hanging="367"/>
        <w:spacing w:after="0"/>
        <w:tabs>
          <w:tab w:leader="none" w:pos="37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6" w:lineRule="exact"/>
        <w:rPr>
          <w:rFonts w:ascii="Arial" w:cs="Arial" w:eastAsia="Arial" w:hAnsi="Arial"/>
          <w:sz w:val="17"/>
          <w:szCs w:val="17"/>
          <w:color w:val="auto"/>
        </w:rPr>
      </w:pPr>
    </w:p>
    <w:p>
      <w:pPr>
        <w:jc w:val="both"/>
        <w:ind w:left="370" w:right="299" w:hanging="367"/>
        <w:spacing w:after="0" w:line="245" w:lineRule="auto"/>
        <w:tabs>
          <w:tab w:leader="none" w:pos="37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8" w:lineRule="exact"/>
        <w:rPr>
          <w:rFonts w:ascii="Arial" w:cs="Arial" w:eastAsia="Arial" w:hAnsi="Arial"/>
          <w:sz w:val="17"/>
          <w:szCs w:val="17"/>
          <w:color w:val="auto"/>
        </w:rPr>
      </w:pPr>
    </w:p>
    <w:p>
      <w:pPr>
        <w:ind w:left="790" w:hanging="428"/>
        <w:spacing w:after="0"/>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56" w:lineRule="exact"/>
        <w:rPr>
          <w:rFonts w:ascii="Arial" w:cs="Arial" w:eastAsia="Arial" w:hAnsi="Arial"/>
          <w:sz w:val="17"/>
          <w:szCs w:val="17"/>
          <w:color w:val="auto"/>
        </w:rPr>
      </w:pPr>
    </w:p>
    <w:p>
      <w:pPr>
        <w:ind w:left="790" w:hanging="428"/>
        <w:spacing w:after="0"/>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56" w:lineRule="exact"/>
        <w:rPr>
          <w:rFonts w:ascii="Arial" w:cs="Arial" w:eastAsia="Arial" w:hAnsi="Arial"/>
          <w:sz w:val="17"/>
          <w:szCs w:val="17"/>
          <w:color w:val="auto"/>
        </w:rPr>
      </w:pPr>
    </w:p>
    <w:p>
      <w:pPr>
        <w:ind w:left="790" w:hanging="428"/>
        <w:spacing w:after="0"/>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56" w:lineRule="exact"/>
        <w:rPr>
          <w:rFonts w:ascii="Arial" w:cs="Arial" w:eastAsia="Arial" w:hAnsi="Arial"/>
          <w:sz w:val="17"/>
          <w:szCs w:val="17"/>
          <w:color w:val="auto"/>
        </w:rPr>
      </w:pPr>
    </w:p>
    <w:p>
      <w:pPr>
        <w:ind w:left="790" w:hanging="428"/>
        <w:spacing w:after="0"/>
        <w:tabs>
          <w:tab w:leader="none" w:pos="79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467360</wp:posOffset>
            </wp:positionH>
            <wp:positionV relativeFrom="paragraph">
              <wp:posOffset>-3084830</wp:posOffset>
            </wp:positionV>
            <wp:extent cx="5341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-2797810</wp:posOffset>
            </wp:positionV>
            <wp:extent cx="5341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-2387600</wp:posOffset>
            </wp:positionV>
            <wp:extent cx="5341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-2100580</wp:posOffset>
            </wp:positionV>
            <wp:extent cx="5341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-1812925</wp:posOffset>
            </wp:positionV>
            <wp:extent cx="5341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-713740</wp:posOffset>
            </wp:positionV>
            <wp:extent cx="5341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-426720</wp:posOffset>
            </wp:positionV>
            <wp:extent cx="5341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-139065</wp:posOffset>
            </wp:positionV>
            <wp:extent cx="5341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147320</wp:posOffset>
            </wp:positionV>
            <wp:extent cx="5341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352425</wp:posOffset>
            </wp:positionV>
            <wp:extent cx="5808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08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393065</wp:posOffset>
            </wp:positionV>
            <wp:extent cx="580898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0898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688975</wp:posOffset>
            </wp:positionV>
            <wp:extent cx="580898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089"/>
          </w:cols>
          <w:pgMar w:left="1370" w:top="233" w:right="1440" w:bottom="1440"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6534150" cy="941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4150" cy="9410700"/>
                    </a:xfrm>
                    <a:prstGeom prst="rect">
                      <a:avLst/>
                    </a:prstGeom>
                    <a:noFill/>
                  </pic:spPr>
                </pic:pic>
              </a:graphicData>
            </a:graphic>
          </wp:anchor>
        </w:drawing>
      </w:r>
    </w:p>
    <w:p>
      <w:pPr>
        <w:sectPr>
          <w:pgSz w:w="11900" w:h="16838" w:orient="portrait"/>
          <w:cols w:equalWidth="0" w:num="1">
            <w:col w:w="9079"/>
          </w:cols>
          <w:pgMar w:left="1380" w:top="27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84455</wp:posOffset>
            </wp:positionV>
            <wp:extent cx="2362835" cy="483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6283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Evergy, Inc.</w:t>
      </w:r>
    </w:p>
    <w:p>
      <w:pPr>
        <w:jc w:val="center"/>
        <w:spacing w:after="0" w:line="222" w:lineRule="auto"/>
        <w:rPr>
          <w:sz w:val="20"/>
          <w:szCs w:val="20"/>
          <w:color w:val="auto"/>
        </w:rPr>
      </w:pPr>
      <w:r>
        <w:rPr>
          <w:rFonts w:ascii="Arial" w:cs="Arial" w:eastAsia="Arial" w:hAnsi="Arial"/>
          <w:sz w:val="17"/>
          <w:szCs w:val="17"/>
          <w:color w:val="auto"/>
        </w:rPr>
        <w:t>One Kansas City Place</w:t>
      </w:r>
    </w:p>
    <w:p>
      <w:pPr>
        <w:jc w:val="center"/>
        <w:spacing w:after="0" w:line="222" w:lineRule="auto"/>
        <w:rPr>
          <w:sz w:val="20"/>
          <w:szCs w:val="20"/>
          <w:color w:val="auto"/>
        </w:rPr>
      </w:pPr>
      <w:r>
        <w:rPr>
          <w:rFonts w:ascii="Arial" w:cs="Arial" w:eastAsia="Arial" w:hAnsi="Arial"/>
          <w:sz w:val="17"/>
          <w:szCs w:val="17"/>
          <w:color w:val="auto"/>
        </w:rPr>
        <w:t>1200 Main Street</w:t>
      </w:r>
    </w:p>
    <w:p>
      <w:pPr>
        <w:jc w:val="center"/>
        <w:spacing w:after="0"/>
        <w:rPr>
          <w:sz w:val="20"/>
          <w:szCs w:val="20"/>
          <w:color w:val="auto"/>
        </w:rPr>
      </w:pPr>
      <w:r>
        <w:rPr>
          <w:rFonts w:ascii="Arial" w:cs="Arial" w:eastAsia="Arial" w:hAnsi="Arial"/>
          <w:sz w:val="17"/>
          <w:szCs w:val="17"/>
          <w:color w:val="auto"/>
        </w:rPr>
        <w:t>Kansas City, Missouri 64105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940"/>
        <w:spacing w:after="0"/>
        <w:rPr>
          <w:sz w:val="20"/>
          <w:szCs w:val="20"/>
          <w:color w:val="auto"/>
        </w:rPr>
      </w:pPr>
      <w:r>
        <w:rPr>
          <w:rFonts w:ascii="Arial" w:cs="Arial" w:eastAsia="Arial" w:hAnsi="Arial"/>
          <w:sz w:val="17"/>
          <w:szCs w:val="17"/>
          <w:color w:val="auto"/>
        </w:rPr>
        <w:t>March 20, 2020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w:t>
      </w:r>
    </w:p>
    <w:p>
      <w:pPr>
        <w:spacing w:after="0" w:line="102"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We are pleased to invite you to the annual meeting of shareholders of Evergy, Inc. The meeting will be held at 10:00 a.m., local time, on Tuesday, May 5, 2020, at our Cedar Point Training Facility, located at 10058 Raytown Road, Kansas City, Missouri 64134.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this meeting, you will be asked to:</w:t>
      </w:r>
    </w:p>
    <w:p>
      <w:pPr>
        <w:spacing w:after="0" w:line="102" w:lineRule="exact"/>
        <w:rPr>
          <w:sz w:val="20"/>
          <w:szCs w:val="20"/>
          <w:color w:val="auto"/>
        </w:rPr>
      </w:pPr>
    </w:p>
    <w:p>
      <w:pPr>
        <w:ind w:left="500" w:hanging="342"/>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Elect the nominees named in the attached proxy statement as directors;</w:t>
      </w:r>
    </w:p>
    <w:p>
      <w:pPr>
        <w:spacing w:after="0" w:line="101" w:lineRule="exact"/>
        <w:rPr>
          <w:rFonts w:ascii="Arial" w:cs="Arial" w:eastAsia="Arial" w:hAnsi="Arial"/>
          <w:sz w:val="17"/>
          <w:szCs w:val="17"/>
          <w:color w:val="auto"/>
        </w:rPr>
      </w:pPr>
    </w:p>
    <w:p>
      <w:pPr>
        <w:ind w:left="500" w:hanging="342"/>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Provide an advisory non-binding vote to approve the 2019 compensation of our named executive officers;</w:t>
      </w:r>
    </w:p>
    <w:p>
      <w:pPr>
        <w:spacing w:after="0" w:line="101" w:lineRule="exact"/>
        <w:rPr>
          <w:rFonts w:ascii="Arial" w:cs="Arial" w:eastAsia="Arial" w:hAnsi="Arial"/>
          <w:sz w:val="17"/>
          <w:szCs w:val="17"/>
          <w:color w:val="auto"/>
        </w:rPr>
      </w:pPr>
    </w:p>
    <w:p>
      <w:pPr>
        <w:ind w:left="500" w:hanging="342"/>
        <w:spacing w:after="0" w:line="253"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Ratify the appointment of Deloitte &amp; Touche LLP as our independent registered public accounting firm for 2020; and</w:t>
      </w:r>
    </w:p>
    <w:p>
      <w:pPr>
        <w:spacing w:after="0" w:line="78" w:lineRule="exact"/>
        <w:rPr>
          <w:rFonts w:ascii="Arial" w:cs="Arial" w:eastAsia="Arial" w:hAnsi="Arial"/>
          <w:sz w:val="17"/>
          <w:szCs w:val="17"/>
          <w:color w:val="auto"/>
        </w:rPr>
      </w:pPr>
    </w:p>
    <w:p>
      <w:pPr>
        <w:ind w:left="500" w:right="20" w:hanging="342"/>
        <w:spacing w:after="0" w:line="253"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 any other business as may properly come before the meeting or any adjournments or postponements thereof.</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attached Notice of Annual Meeting and proxy statement describe the business to be transacted at the meeting.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Please review these materials and vote your shares.</w:t>
      </w:r>
    </w:p>
    <w:p>
      <w:pPr>
        <w:spacing w:after="0" w:line="115" w:lineRule="exact"/>
        <w:rPr>
          <w:sz w:val="20"/>
          <w:szCs w:val="20"/>
          <w:color w:val="auto"/>
        </w:rPr>
      </w:pPr>
    </w:p>
    <w:p>
      <w:pPr>
        <w:jc w:val="both"/>
        <w:ind w:right="20" w:firstLine="172"/>
        <w:spacing w:after="0" w:line="261" w:lineRule="auto"/>
        <w:rPr>
          <w:sz w:val="20"/>
          <w:szCs w:val="20"/>
          <w:color w:val="auto"/>
        </w:rPr>
      </w:pPr>
      <w:r>
        <w:rPr>
          <w:rFonts w:ascii="Arial" w:cs="Arial" w:eastAsia="Arial" w:hAnsi="Arial"/>
          <w:sz w:val="17"/>
          <w:szCs w:val="17"/>
          <w:color w:val="auto"/>
        </w:rPr>
        <w:t>Your vote is important. I encourage you to complete, sign, date and return your proxy card or use telephone or internet voting prior to the annual meeting so that your shares will be represented and voted at the meeting even if you cannot attend.</w:t>
      </w:r>
    </w:p>
    <w:p>
      <w:pPr>
        <w:spacing w:after="0" w:line="4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15875</wp:posOffset>
            </wp:positionV>
            <wp:extent cx="885825" cy="434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5825"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Terry Bassham</w:t>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285750</wp:posOffset>
            </wp:positionV>
            <wp:extent cx="580898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61"/>
        </w:trPr>
        <w:tc>
          <w:tcPr>
            <w:tcW w:w="1500" w:type="dxa"/>
            <w:vAlign w:val="bottom"/>
            <w:tcBorders>
              <w:bottom w:val="single" w:sz="8" w:color="0000EE"/>
            </w:tcBorders>
            <w:gridSpan w:val="6"/>
          </w:tcPr>
          <w:p>
            <w:pPr>
              <w:ind w:left="20"/>
              <w:spacing w:after="0"/>
              <w:rPr>
                <w:rFonts w:ascii="Arial" w:cs="Arial" w:eastAsia="Arial" w:hAnsi="Arial"/>
                <w:sz w:val="14"/>
                <w:szCs w:val="14"/>
                <w:b w:val="1"/>
                <w:bCs w:val="1"/>
                <w:color w:val="0000EE"/>
                <w:w w:val="96"/>
              </w:rPr>
            </w:pPr>
            <w:hyperlink w:anchor="page4">
              <w:r>
                <w:rPr>
                  <w:rFonts w:ascii="Arial" w:cs="Arial" w:eastAsia="Arial" w:hAnsi="Arial"/>
                  <w:sz w:val="14"/>
                  <w:szCs w:val="14"/>
                  <w:b w:val="1"/>
                  <w:bCs w:val="1"/>
                  <w:color w:val="0000EE"/>
                  <w:w w:val="96"/>
                </w:rPr>
                <w:t>TABLE OF CONTENTS</w:t>
              </w:r>
            </w:hyperlink>
          </w:p>
        </w:tc>
        <w:tc>
          <w:tcPr>
            <w:tcW w:w="7280" w:type="dxa"/>
            <w:vAlign w:val="bottom"/>
            <w:gridSpan w:val="2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5"/>
        </w:trPr>
        <w:tc>
          <w:tcPr>
            <w:tcW w:w="80" w:type="dxa"/>
            <w:vAlign w:val="bottom"/>
          </w:tcPr>
          <w:p>
            <w:pPr>
              <w:spacing w:after="0"/>
              <w:rPr>
                <w:sz w:val="24"/>
                <w:szCs w:val="24"/>
                <w:color w:val="auto"/>
              </w:rPr>
            </w:pPr>
          </w:p>
        </w:tc>
        <w:tc>
          <w:tcPr>
            <w:tcW w:w="8700" w:type="dxa"/>
            <w:vAlign w:val="bottom"/>
            <w:gridSpan w:val="27"/>
          </w:tcPr>
          <w:p>
            <w:pPr>
              <w:ind w:left="40"/>
              <w:spacing w:after="0"/>
              <w:rPr>
                <w:sz w:val="20"/>
                <w:szCs w:val="20"/>
                <w:color w:val="auto"/>
              </w:rPr>
            </w:pPr>
            <w:r>
              <w:rPr>
                <w:rFonts w:ascii="Arial" w:cs="Arial" w:eastAsia="Arial" w:hAnsi="Arial"/>
                <w:sz w:val="17"/>
                <w:szCs w:val="17"/>
                <w:b w:val="1"/>
                <w:bCs w:val="1"/>
                <w:color w:val="00215D"/>
              </w:rPr>
              <w:t>TABLE OF CONTENTS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9"/>
        </w:trPr>
        <w:tc>
          <w:tcPr>
            <w:tcW w:w="3440" w:type="dxa"/>
            <w:vAlign w:val="bottom"/>
            <w:gridSpan w:val="18"/>
          </w:tcPr>
          <w:p>
            <w:pPr>
              <w:ind w:left="20"/>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Notice of Annual Meeting of Shareholders</w:t>
              </w:r>
            </w:hyperlink>
          </w:p>
        </w:tc>
        <w:tc>
          <w:tcPr>
            <w:tcW w:w="5340" w:type="dxa"/>
            <w:vAlign w:val="bottom"/>
            <w:gridSpan w:val="10"/>
          </w:tcPr>
          <w:p>
            <w:pPr>
              <w:spacing w:after="0"/>
              <w:rPr>
                <w:sz w:val="24"/>
                <w:szCs w:val="24"/>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3440" w:type="dxa"/>
            <w:vAlign w:val="bottom"/>
            <w:gridSpan w:val="18"/>
          </w:tcPr>
          <w:p>
            <w:pPr>
              <w:ind w:left="20"/>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Proxy Statement Summary</w:t>
              </w:r>
            </w:hyperlink>
          </w:p>
        </w:tc>
        <w:tc>
          <w:tcPr>
            <w:tcW w:w="5340" w:type="dxa"/>
            <w:vAlign w:val="bottom"/>
            <w:gridSpan w:val="10"/>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6">
              <w:r>
                <w:rPr>
                  <w:rFonts w:ascii="Arial" w:cs="Arial" w:eastAsia="Arial" w:hAnsi="Arial"/>
                  <w:sz w:val="17"/>
                  <w:szCs w:val="17"/>
                  <w:color w:val="0000EE"/>
                </w:rPr>
                <w:t>2</w:t>
              </w:r>
            </w:hyperlink>
          </w:p>
        </w:tc>
      </w:tr>
      <w:tr>
        <w:trPr>
          <w:trHeight w:val="70"/>
        </w:trPr>
        <w:tc>
          <w:tcPr>
            <w:tcW w:w="80" w:type="dxa"/>
            <w:vAlign w:val="bottom"/>
            <w:tcBorders>
              <w:top w:val="single" w:sz="8" w:color="0000EE"/>
              <w:bottom w:val="single" w:sz="8" w:color="00215D"/>
            </w:tcBorders>
          </w:tcPr>
          <w:p>
            <w:pPr>
              <w:spacing w:after="0"/>
              <w:rPr>
                <w:sz w:val="6"/>
                <w:szCs w:val="6"/>
                <w:color w:val="auto"/>
              </w:rPr>
            </w:pPr>
          </w:p>
        </w:tc>
        <w:tc>
          <w:tcPr>
            <w:tcW w:w="100" w:type="dxa"/>
            <w:vAlign w:val="bottom"/>
            <w:tcBorders>
              <w:top w:val="single" w:sz="8" w:color="0000EE"/>
              <w:bottom w:val="single" w:sz="8" w:color="00215D"/>
            </w:tcBorders>
          </w:tcPr>
          <w:p>
            <w:pPr>
              <w:spacing w:after="0"/>
              <w:rPr>
                <w:sz w:val="6"/>
                <w:szCs w:val="6"/>
                <w:color w:val="auto"/>
              </w:rPr>
            </w:pPr>
          </w:p>
        </w:tc>
        <w:tc>
          <w:tcPr>
            <w:tcW w:w="1060" w:type="dxa"/>
            <w:vAlign w:val="bottom"/>
            <w:tcBorders>
              <w:top w:val="single" w:sz="8" w:color="0000EE"/>
              <w:bottom w:val="single" w:sz="8" w:color="00215D"/>
            </w:tcBorders>
          </w:tcPr>
          <w:p>
            <w:pPr>
              <w:spacing w:after="0"/>
              <w:rPr>
                <w:sz w:val="6"/>
                <w:szCs w:val="6"/>
                <w:color w:val="auto"/>
              </w:rPr>
            </w:pPr>
          </w:p>
        </w:tc>
        <w:tc>
          <w:tcPr>
            <w:tcW w:w="140" w:type="dxa"/>
            <w:vAlign w:val="bottom"/>
            <w:tcBorders>
              <w:top w:val="single" w:sz="8" w:color="0000EE"/>
              <w:bottom w:val="single" w:sz="8" w:color="00215D"/>
            </w:tcBorders>
          </w:tcPr>
          <w:p>
            <w:pPr>
              <w:spacing w:after="0"/>
              <w:rPr>
                <w:sz w:val="6"/>
                <w:szCs w:val="6"/>
                <w:color w:val="auto"/>
              </w:rPr>
            </w:pPr>
          </w:p>
        </w:tc>
        <w:tc>
          <w:tcPr>
            <w:tcW w:w="100" w:type="dxa"/>
            <w:vAlign w:val="bottom"/>
            <w:tcBorders>
              <w:top w:val="single" w:sz="8" w:color="0000EE"/>
              <w:bottom w:val="single" w:sz="8" w:color="00215D"/>
            </w:tcBorders>
          </w:tcPr>
          <w:p>
            <w:pPr>
              <w:spacing w:after="0"/>
              <w:rPr>
                <w:sz w:val="6"/>
                <w:szCs w:val="6"/>
                <w:color w:val="auto"/>
              </w:rPr>
            </w:pPr>
          </w:p>
        </w:tc>
        <w:tc>
          <w:tcPr>
            <w:tcW w:w="20" w:type="dxa"/>
            <w:vAlign w:val="bottom"/>
            <w:tcBorders>
              <w:top w:val="single" w:sz="8" w:color="0000EE"/>
              <w:bottom w:val="single" w:sz="8" w:color="00215D"/>
            </w:tcBorders>
          </w:tcPr>
          <w:p>
            <w:pPr>
              <w:spacing w:after="0"/>
              <w:rPr>
                <w:sz w:val="6"/>
                <w:szCs w:val="6"/>
                <w:color w:val="auto"/>
              </w:rPr>
            </w:pPr>
          </w:p>
        </w:tc>
        <w:tc>
          <w:tcPr>
            <w:tcW w:w="420" w:type="dxa"/>
            <w:vAlign w:val="bottom"/>
            <w:tcBorders>
              <w:top w:val="single" w:sz="8" w:color="0000EE"/>
              <w:bottom w:val="single" w:sz="8" w:color="00215D"/>
            </w:tcBorders>
          </w:tcPr>
          <w:p>
            <w:pPr>
              <w:spacing w:after="0"/>
              <w:rPr>
                <w:sz w:val="6"/>
                <w:szCs w:val="6"/>
                <w:color w:val="auto"/>
              </w:rPr>
            </w:pPr>
          </w:p>
        </w:tc>
        <w:tc>
          <w:tcPr>
            <w:tcW w:w="80" w:type="dxa"/>
            <w:vAlign w:val="bottom"/>
            <w:tcBorders>
              <w:top w:val="single" w:sz="8" w:color="0000EE"/>
              <w:bottom w:val="single" w:sz="8" w:color="00215D"/>
            </w:tcBorders>
          </w:tcPr>
          <w:p>
            <w:pPr>
              <w:spacing w:after="0"/>
              <w:rPr>
                <w:sz w:val="6"/>
                <w:szCs w:val="6"/>
                <w:color w:val="auto"/>
              </w:rPr>
            </w:pPr>
          </w:p>
        </w:tc>
        <w:tc>
          <w:tcPr>
            <w:tcW w:w="200" w:type="dxa"/>
            <w:vAlign w:val="bottom"/>
            <w:tcBorders>
              <w:top w:val="single" w:sz="8" w:color="0000EE"/>
              <w:bottom w:val="single" w:sz="8" w:color="00215D"/>
            </w:tcBorders>
          </w:tcPr>
          <w:p>
            <w:pPr>
              <w:spacing w:after="0"/>
              <w:rPr>
                <w:sz w:val="6"/>
                <w:szCs w:val="6"/>
                <w:color w:val="auto"/>
              </w:rPr>
            </w:pPr>
          </w:p>
        </w:tc>
        <w:tc>
          <w:tcPr>
            <w:tcW w:w="14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40" w:type="dxa"/>
            <w:vAlign w:val="bottom"/>
            <w:tcBorders>
              <w:bottom w:val="single" w:sz="8" w:color="00215D"/>
            </w:tcBorders>
          </w:tcPr>
          <w:p>
            <w:pPr>
              <w:spacing w:after="0"/>
              <w:rPr>
                <w:sz w:val="6"/>
                <w:szCs w:val="6"/>
                <w:color w:val="auto"/>
              </w:rPr>
            </w:pPr>
          </w:p>
        </w:tc>
        <w:tc>
          <w:tcPr>
            <w:tcW w:w="120" w:type="dxa"/>
            <w:vAlign w:val="bottom"/>
            <w:tcBorders>
              <w:bottom w:val="single" w:sz="8" w:color="00215D"/>
            </w:tcBorders>
          </w:tcPr>
          <w:p>
            <w:pPr>
              <w:spacing w:after="0"/>
              <w:rPr>
                <w:sz w:val="6"/>
                <w:szCs w:val="6"/>
                <w:color w:val="auto"/>
              </w:rPr>
            </w:pPr>
          </w:p>
        </w:tc>
        <w:tc>
          <w:tcPr>
            <w:tcW w:w="28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380" w:type="dxa"/>
            <w:vAlign w:val="bottom"/>
            <w:tcBorders>
              <w:bottom w:val="single" w:sz="8" w:color="00215D"/>
            </w:tcBorders>
          </w:tcPr>
          <w:p>
            <w:pPr>
              <w:spacing w:after="0"/>
              <w:rPr>
                <w:sz w:val="6"/>
                <w:szCs w:val="6"/>
                <w:color w:val="auto"/>
              </w:rPr>
            </w:pPr>
          </w:p>
        </w:tc>
        <w:tc>
          <w:tcPr>
            <w:tcW w:w="640" w:type="dxa"/>
            <w:vAlign w:val="bottom"/>
            <w:tcBorders>
              <w:bottom w:val="single" w:sz="8" w:color="00215D"/>
            </w:tcBorders>
          </w:tcPr>
          <w:p>
            <w:pPr>
              <w:spacing w:after="0"/>
              <w:rPr>
                <w:sz w:val="6"/>
                <w:szCs w:val="6"/>
                <w:color w:val="auto"/>
              </w:rPr>
            </w:pPr>
          </w:p>
        </w:tc>
        <w:tc>
          <w:tcPr>
            <w:tcW w:w="300" w:type="dxa"/>
            <w:vAlign w:val="bottom"/>
            <w:tcBorders>
              <w:bottom w:val="single" w:sz="8" w:color="00215D"/>
            </w:tcBorders>
          </w:tcPr>
          <w:p>
            <w:pPr>
              <w:spacing w:after="0"/>
              <w:rPr>
                <w:sz w:val="6"/>
                <w:szCs w:val="6"/>
                <w:color w:val="auto"/>
              </w:rPr>
            </w:pPr>
          </w:p>
        </w:tc>
        <w:tc>
          <w:tcPr>
            <w:tcW w:w="8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420" w:type="dxa"/>
            <w:vAlign w:val="bottom"/>
            <w:tcBorders>
              <w:bottom w:val="single" w:sz="8" w:color="00215D"/>
            </w:tcBorders>
          </w:tcPr>
          <w:p>
            <w:pPr>
              <w:spacing w:after="0"/>
              <w:rPr>
                <w:sz w:val="6"/>
                <w:szCs w:val="6"/>
                <w:color w:val="auto"/>
              </w:rPr>
            </w:pPr>
          </w:p>
        </w:tc>
        <w:tc>
          <w:tcPr>
            <w:tcW w:w="220" w:type="dxa"/>
            <w:vAlign w:val="bottom"/>
            <w:tcBorders>
              <w:bottom w:val="single" w:sz="8" w:color="00215D"/>
            </w:tcBorders>
          </w:tcPr>
          <w:p>
            <w:pPr>
              <w:spacing w:after="0"/>
              <w:rPr>
                <w:sz w:val="6"/>
                <w:szCs w:val="6"/>
                <w:color w:val="auto"/>
              </w:rPr>
            </w:pPr>
          </w:p>
        </w:tc>
        <w:tc>
          <w:tcPr>
            <w:tcW w:w="2880" w:type="dxa"/>
            <w:vAlign w:val="bottom"/>
            <w:tcBorders>
              <w:bottom w:val="single" w:sz="8" w:color="00215D"/>
            </w:tcBorders>
          </w:tcPr>
          <w:p>
            <w:pPr>
              <w:spacing w:after="0"/>
              <w:rPr>
                <w:sz w:val="6"/>
                <w:szCs w:val="6"/>
                <w:color w:val="auto"/>
              </w:rPr>
            </w:pPr>
          </w:p>
        </w:tc>
        <w:tc>
          <w:tcPr>
            <w:tcW w:w="80" w:type="dxa"/>
            <w:vAlign w:val="bottom"/>
            <w:tcBorders>
              <w:bottom w:val="single" w:sz="8" w:color="00215D"/>
            </w:tcBorders>
          </w:tcPr>
          <w:p>
            <w:pPr>
              <w:spacing w:after="0"/>
              <w:rPr>
                <w:sz w:val="6"/>
                <w:szCs w:val="6"/>
                <w:color w:val="auto"/>
              </w:rPr>
            </w:pPr>
          </w:p>
        </w:tc>
        <w:tc>
          <w:tcPr>
            <w:tcW w:w="20" w:type="dxa"/>
            <w:vAlign w:val="bottom"/>
            <w:tcBorders>
              <w:bottom w:val="single" w:sz="8" w:color="00215D"/>
            </w:tcBorders>
          </w:tcPr>
          <w:p>
            <w:pPr>
              <w:spacing w:after="0"/>
              <w:rPr>
                <w:sz w:val="6"/>
                <w:szCs w:val="6"/>
                <w:color w:val="auto"/>
              </w:rPr>
            </w:pPr>
          </w:p>
        </w:tc>
        <w:tc>
          <w:tcPr>
            <w:tcW w:w="60" w:type="dxa"/>
            <w:vAlign w:val="bottom"/>
            <w:tcBorders>
              <w:bottom w:val="single" w:sz="8" w:color="00215D"/>
            </w:tcBorders>
          </w:tcPr>
          <w:p>
            <w:pPr>
              <w:spacing w:after="0"/>
              <w:rPr>
                <w:sz w:val="6"/>
                <w:szCs w:val="6"/>
                <w:color w:val="auto"/>
              </w:rPr>
            </w:pPr>
          </w:p>
        </w:tc>
        <w:tc>
          <w:tcPr>
            <w:tcW w:w="20" w:type="dxa"/>
            <w:vAlign w:val="bottom"/>
            <w:tcBorders>
              <w:bottom w:val="single" w:sz="8" w:color="00215D"/>
            </w:tcBorders>
          </w:tcPr>
          <w:p>
            <w:pPr>
              <w:spacing w:after="0"/>
              <w:rPr>
                <w:sz w:val="6"/>
                <w:szCs w:val="6"/>
                <w:color w:val="auto"/>
              </w:rPr>
            </w:pPr>
          </w:p>
        </w:tc>
        <w:tc>
          <w:tcPr>
            <w:tcW w:w="100" w:type="dxa"/>
            <w:vAlign w:val="bottom"/>
            <w:tcBorders>
              <w:top w:val="single" w:sz="8" w:color="0000EE"/>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r>
      <w:tr>
        <w:trPr>
          <w:trHeight w:val="174"/>
        </w:trPr>
        <w:tc>
          <w:tcPr>
            <w:tcW w:w="80" w:type="dxa"/>
            <w:vAlign w:val="bottom"/>
            <w:tcBorders>
              <w:left w:val="single" w:sz="8" w:color="00215D"/>
            </w:tcBorders>
          </w:tcPr>
          <w:p>
            <w:pPr>
              <w:spacing w:after="0"/>
              <w:rPr>
                <w:sz w:val="15"/>
                <w:szCs w:val="15"/>
                <w:color w:val="auto"/>
              </w:rPr>
            </w:pPr>
          </w:p>
        </w:tc>
        <w:tc>
          <w:tcPr>
            <w:tcW w:w="8700" w:type="dxa"/>
            <w:vAlign w:val="bottom"/>
            <w:gridSpan w:val="27"/>
          </w:tcPr>
          <w:p>
            <w:pPr>
              <w:spacing w:after="0" w:line="174"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Proposal 1: Election of Directors</w:t>
              </w:r>
            </w:hyperlink>
          </w:p>
        </w:tc>
        <w:tc>
          <w:tcPr>
            <w:tcW w:w="280" w:type="dxa"/>
            <w:vAlign w:val="bottom"/>
            <w:gridSpan w:val="5"/>
          </w:tcPr>
          <w:p>
            <w:pPr>
              <w:jc w:val="right"/>
              <w:ind w:right="20"/>
              <w:spacing w:after="0" w:line="174" w:lineRule="exact"/>
              <w:rPr>
                <w:rFonts w:ascii="Arial" w:cs="Arial" w:eastAsia="Arial" w:hAnsi="Arial"/>
                <w:sz w:val="17"/>
                <w:szCs w:val="17"/>
                <w:color w:val="0000EE"/>
              </w:rPr>
            </w:pPr>
            <w:hyperlink w:anchor="page10">
              <w:r>
                <w:rPr>
                  <w:rFonts w:ascii="Arial" w:cs="Arial" w:eastAsia="Arial" w:hAnsi="Arial"/>
                  <w:sz w:val="17"/>
                  <w:szCs w:val="17"/>
                  <w:color w:val="0000EE"/>
                </w:rPr>
                <w:t>6</w:t>
              </w:r>
            </w:hyperlink>
          </w:p>
        </w:tc>
        <w:tc>
          <w:tcPr>
            <w:tcW w:w="100" w:type="dxa"/>
            <w:vAlign w:val="bottom"/>
            <w:tcBorders>
              <w:right w:val="single" w:sz="8" w:color="00215D"/>
            </w:tcBorders>
          </w:tcPr>
          <w:p>
            <w:pPr>
              <w:spacing w:after="0"/>
              <w:rPr>
                <w:sz w:val="15"/>
                <w:szCs w:val="15"/>
                <w:color w:val="auto"/>
              </w:rPr>
            </w:pPr>
          </w:p>
        </w:tc>
      </w:tr>
      <w:tr>
        <w:trPr>
          <w:trHeight w:val="20"/>
        </w:trPr>
        <w:tc>
          <w:tcPr>
            <w:tcW w:w="80" w:type="dxa"/>
            <w:vAlign w:val="bottom"/>
            <w:tcBorders>
              <w:left w:val="single" w:sz="8" w:color="00215D"/>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6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20" w:type="dxa"/>
            <w:vAlign w:val="bottom"/>
            <w:tcBorders>
              <w:top w:val="single" w:sz="8" w:color="0000EE"/>
              <w:bottom w:val="single" w:sz="8" w:color="00215D"/>
            </w:tcBorders>
          </w:tcPr>
          <w:p>
            <w:pPr>
              <w:spacing w:after="0" w:line="20" w:lineRule="exact"/>
              <w:rPr>
                <w:sz w:val="1"/>
                <w:szCs w:val="1"/>
                <w:color w:val="auto"/>
              </w:rPr>
            </w:pPr>
          </w:p>
        </w:tc>
        <w:tc>
          <w:tcPr>
            <w:tcW w:w="420" w:type="dxa"/>
            <w:vAlign w:val="bottom"/>
            <w:tcBorders>
              <w:top w:val="single" w:sz="8" w:color="0000EE"/>
              <w:bottom w:val="single" w:sz="8" w:color="00215D"/>
            </w:tcBorders>
          </w:tcPr>
          <w:p>
            <w:pPr>
              <w:spacing w:after="0" w:line="20" w:lineRule="exact"/>
              <w:rPr>
                <w:sz w:val="1"/>
                <w:szCs w:val="1"/>
                <w:color w:val="auto"/>
              </w:rPr>
            </w:pPr>
          </w:p>
        </w:tc>
        <w:tc>
          <w:tcPr>
            <w:tcW w:w="80" w:type="dxa"/>
            <w:vAlign w:val="bottom"/>
            <w:tcBorders>
              <w:top w:val="single" w:sz="8" w:color="0000EE"/>
              <w:bottom w:val="single" w:sz="8" w:color="00215D"/>
            </w:tcBorders>
          </w:tcPr>
          <w:p>
            <w:pPr>
              <w:spacing w:after="0" w:line="20" w:lineRule="exact"/>
              <w:rPr>
                <w:sz w:val="1"/>
                <w:szCs w:val="1"/>
                <w:color w:val="auto"/>
              </w:rPr>
            </w:pPr>
          </w:p>
        </w:tc>
        <w:tc>
          <w:tcPr>
            <w:tcW w:w="20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bottom w:val="single" w:sz="8" w:color="00215D"/>
            </w:tcBorders>
          </w:tcPr>
          <w:p>
            <w:pPr>
              <w:spacing w:after="0" w:line="20" w:lineRule="exact"/>
              <w:rPr>
                <w:sz w:val="1"/>
                <w:szCs w:val="1"/>
                <w:color w:val="auto"/>
              </w:rPr>
            </w:pPr>
          </w:p>
        </w:tc>
        <w:tc>
          <w:tcPr>
            <w:tcW w:w="120" w:type="dxa"/>
            <w:vAlign w:val="bottom"/>
            <w:tcBorders>
              <w:bottom w:val="single" w:sz="8" w:color="00215D"/>
            </w:tcBorders>
          </w:tcPr>
          <w:p>
            <w:pPr>
              <w:spacing w:after="0" w:line="20" w:lineRule="exact"/>
              <w:rPr>
                <w:sz w:val="1"/>
                <w:szCs w:val="1"/>
                <w:color w:val="auto"/>
              </w:rPr>
            </w:pPr>
          </w:p>
        </w:tc>
        <w:tc>
          <w:tcPr>
            <w:tcW w:w="280" w:type="dxa"/>
            <w:vAlign w:val="bottom"/>
            <w:tcBorders>
              <w:bottom w:val="single" w:sz="8" w:color="00215D"/>
            </w:tcBorders>
          </w:tcPr>
          <w:p>
            <w:pPr>
              <w:spacing w:after="0" w:line="20" w:lineRule="exact"/>
              <w:rPr>
                <w:sz w:val="1"/>
                <w:szCs w:val="1"/>
                <w:color w:val="auto"/>
              </w:rPr>
            </w:pPr>
          </w:p>
        </w:tc>
        <w:tc>
          <w:tcPr>
            <w:tcW w:w="160" w:type="dxa"/>
            <w:vAlign w:val="bottom"/>
            <w:tcBorders>
              <w:bottom w:val="single" w:sz="8" w:color="00215D"/>
            </w:tcBorders>
          </w:tcPr>
          <w:p>
            <w:pPr>
              <w:spacing w:after="0" w:line="20" w:lineRule="exact"/>
              <w:rPr>
                <w:sz w:val="1"/>
                <w:szCs w:val="1"/>
                <w:color w:val="auto"/>
              </w:rPr>
            </w:pPr>
          </w:p>
        </w:tc>
        <w:tc>
          <w:tcPr>
            <w:tcW w:w="100" w:type="dxa"/>
            <w:vAlign w:val="bottom"/>
            <w:tcBorders>
              <w:bottom w:val="single" w:sz="8" w:color="00215D"/>
            </w:tcBorders>
          </w:tcPr>
          <w:p>
            <w:pPr>
              <w:spacing w:after="0" w:line="20" w:lineRule="exact"/>
              <w:rPr>
                <w:sz w:val="1"/>
                <w:szCs w:val="1"/>
                <w:color w:val="auto"/>
              </w:rPr>
            </w:pPr>
          </w:p>
        </w:tc>
        <w:tc>
          <w:tcPr>
            <w:tcW w:w="160" w:type="dxa"/>
            <w:vAlign w:val="bottom"/>
            <w:tcBorders>
              <w:bottom w:val="single" w:sz="8" w:color="00215D"/>
            </w:tcBorders>
          </w:tcPr>
          <w:p>
            <w:pPr>
              <w:spacing w:after="0" w:line="20" w:lineRule="exact"/>
              <w:rPr>
                <w:sz w:val="1"/>
                <w:szCs w:val="1"/>
                <w:color w:val="auto"/>
              </w:rPr>
            </w:pPr>
          </w:p>
        </w:tc>
        <w:tc>
          <w:tcPr>
            <w:tcW w:w="380" w:type="dxa"/>
            <w:vAlign w:val="bottom"/>
            <w:tcBorders>
              <w:bottom w:val="single" w:sz="8" w:color="00215D"/>
            </w:tcBorders>
          </w:tcPr>
          <w:p>
            <w:pPr>
              <w:spacing w:after="0" w:line="20" w:lineRule="exact"/>
              <w:rPr>
                <w:sz w:val="1"/>
                <w:szCs w:val="1"/>
                <w:color w:val="auto"/>
              </w:rPr>
            </w:pPr>
          </w:p>
        </w:tc>
        <w:tc>
          <w:tcPr>
            <w:tcW w:w="640" w:type="dxa"/>
            <w:vAlign w:val="bottom"/>
            <w:tcBorders>
              <w:bottom w:val="single" w:sz="8" w:color="00215D"/>
            </w:tcBorders>
          </w:tcPr>
          <w:p>
            <w:pPr>
              <w:spacing w:after="0" w:line="20" w:lineRule="exact"/>
              <w:rPr>
                <w:sz w:val="1"/>
                <w:szCs w:val="1"/>
                <w:color w:val="auto"/>
              </w:rPr>
            </w:pPr>
          </w:p>
        </w:tc>
        <w:tc>
          <w:tcPr>
            <w:tcW w:w="300" w:type="dxa"/>
            <w:vAlign w:val="bottom"/>
            <w:tcBorders>
              <w:bottom w:val="single" w:sz="8" w:color="00215D"/>
            </w:tcBorders>
          </w:tcPr>
          <w:p>
            <w:pPr>
              <w:spacing w:after="0" w:line="20" w:lineRule="exact"/>
              <w:rPr>
                <w:sz w:val="1"/>
                <w:szCs w:val="1"/>
                <w:color w:val="auto"/>
              </w:rPr>
            </w:pPr>
          </w:p>
        </w:tc>
        <w:tc>
          <w:tcPr>
            <w:tcW w:w="80" w:type="dxa"/>
            <w:vAlign w:val="bottom"/>
            <w:tcBorders>
              <w:bottom w:val="single" w:sz="8" w:color="00215D"/>
            </w:tcBorders>
          </w:tcPr>
          <w:p>
            <w:pPr>
              <w:spacing w:after="0" w:line="20" w:lineRule="exact"/>
              <w:rPr>
                <w:sz w:val="1"/>
                <w:szCs w:val="1"/>
                <w:color w:val="auto"/>
              </w:rPr>
            </w:pPr>
          </w:p>
        </w:tc>
        <w:tc>
          <w:tcPr>
            <w:tcW w:w="160" w:type="dxa"/>
            <w:vAlign w:val="bottom"/>
            <w:tcBorders>
              <w:bottom w:val="single" w:sz="8" w:color="00215D"/>
            </w:tcBorders>
          </w:tcPr>
          <w:p>
            <w:pPr>
              <w:spacing w:after="0" w:line="20" w:lineRule="exact"/>
              <w:rPr>
                <w:sz w:val="1"/>
                <w:szCs w:val="1"/>
                <w:color w:val="auto"/>
              </w:rPr>
            </w:pPr>
          </w:p>
        </w:tc>
        <w:tc>
          <w:tcPr>
            <w:tcW w:w="420" w:type="dxa"/>
            <w:vAlign w:val="bottom"/>
            <w:tcBorders>
              <w:bottom w:val="single" w:sz="8" w:color="00215D"/>
            </w:tcBorders>
          </w:tcPr>
          <w:p>
            <w:pPr>
              <w:spacing w:after="0" w:line="20" w:lineRule="exact"/>
              <w:rPr>
                <w:sz w:val="1"/>
                <w:szCs w:val="1"/>
                <w:color w:val="auto"/>
              </w:rPr>
            </w:pPr>
          </w:p>
        </w:tc>
        <w:tc>
          <w:tcPr>
            <w:tcW w:w="220" w:type="dxa"/>
            <w:vAlign w:val="bottom"/>
            <w:tcBorders>
              <w:bottom w:val="single" w:sz="8" w:color="00215D"/>
            </w:tcBorders>
          </w:tcPr>
          <w:p>
            <w:pPr>
              <w:spacing w:after="0" w:line="20" w:lineRule="exact"/>
              <w:rPr>
                <w:sz w:val="1"/>
                <w:szCs w:val="1"/>
                <w:color w:val="auto"/>
              </w:rPr>
            </w:pPr>
          </w:p>
        </w:tc>
        <w:tc>
          <w:tcPr>
            <w:tcW w:w="2880" w:type="dxa"/>
            <w:vAlign w:val="bottom"/>
            <w:tcBorders>
              <w:bottom w:val="single" w:sz="8" w:color="00215D"/>
            </w:tcBorders>
          </w:tcPr>
          <w:p>
            <w:pPr>
              <w:spacing w:after="0" w:line="20" w:lineRule="exact"/>
              <w:rPr>
                <w:sz w:val="1"/>
                <w:szCs w:val="1"/>
                <w:color w:val="auto"/>
              </w:rPr>
            </w:pPr>
          </w:p>
        </w:tc>
        <w:tc>
          <w:tcPr>
            <w:tcW w:w="80" w:type="dxa"/>
            <w:vAlign w:val="bottom"/>
            <w:tcBorders>
              <w:bottom w:val="single" w:sz="8" w:color="00215D"/>
            </w:tcBorders>
          </w:tcPr>
          <w:p>
            <w:pPr>
              <w:spacing w:after="0" w:line="20" w:lineRule="exact"/>
              <w:rPr>
                <w:sz w:val="1"/>
                <w:szCs w:val="1"/>
                <w:color w:val="auto"/>
              </w:rPr>
            </w:pPr>
          </w:p>
        </w:tc>
        <w:tc>
          <w:tcPr>
            <w:tcW w:w="20" w:type="dxa"/>
            <w:vAlign w:val="bottom"/>
            <w:tcBorders>
              <w:bottom w:val="single" w:sz="8" w:color="00215D"/>
            </w:tcBorders>
          </w:tcPr>
          <w:p>
            <w:pPr>
              <w:spacing w:after="0" w:line="20" w:lineRule="exact"/>
              <w:rPr>
                <w:sz w:val="1"/>
                <w:szCs w:val="1"/>
                <w:color w:val="auto"/>
              </w:rPr>
            </w:pPr>
          </w:p>
        </w:tc>
        <w:tc>
          <w:tcPr>
            <w:tcW w:w="60" w:type="dxa"/>
            <w:vAlign w:val="bottom"/>
            <w:tcBorders>
              <w:bottom w:val="single" w:sz="8" w:color="00215D"/>
            </w:tcBorders>
          </w:tcPr>
          <w:p>
            <w:pPr>
              <w:spacing w:after="0" w:line="20" w:lineRule="exact"/>
              <w:rPr>
                <w:sz w:val="1"/>
                <w:szCs w:val="1"/>
                <w:color w:val="auto"/>
              </w:rPr>
            </w:pPr>
          </w:p>
        </w:tc>
        <w:tc>
          <w:tcPr>
            <w:tcW w:w="2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bottom w:val="single" w:sz="8" w:color="00215D"/>
              <w:right w:val="single" w:sz="8" w:color="00215D"/>
            </w:tcBorders>
          </w:tcPr>
          <w:p>
            <w:pPr>
              <w:spacing w:after="0" w:line="20" w:lineRule="exact"/>
              <w:rPr>
                <w:sz w:val="1"/>
                <w:szCs w:val="1"/>
                <w:color w:val="auto"/>
              </w:rPr>
            </w:pPr>
          </w:p>
        </w:tc>
      </w:tr>
      <w:tr>
        <w:trPr>
          <w:trHeight w:val="224"/>
        </w:trPr>
        <w:tc>
          <w:tcPr>
            <w:tcW w:w="2540" w:type="dxa"/>
            <w:vAlign w:val="bottom"/>
            <w:gridSpan w:val="12"/>
          </w:tcPr>
          <w:p>
            <w:pPr>
              <w:ind w:left="20"/>
              <w:spacing w:after="0"/>
              <w:rPr>
                <w:rFonts w:ascii="Arial" w:cs="Arial" w:eastAsia="Arial" w:hAnsi="Arial"/>
                <w:sz w:val="17"/>
                <w:szCs w:val="17"/>
                <w:b w:val="1"/>
                <w:bCs w:val="1"/>
                <w:color w:val="0000EE"/>
              </w:rPr>
            </w:pPr>
            <w:hyperlink w:anchor="page20">
              <w:r>
                <w:rPr>
                  <w:rFonts w:ascii="Arial" w:cs="Arial" w:eastAsia="Arial" w:hAnsi="Arial"/>
                  <w:sz w:val="17"/>
                  <w:szCs w:val="17"/>
                  <w:b w:val="1"/>
                  <w:bCs w:val="1"/>
                  <w:color w:val="0000EE"/>
                </w:rPr>
                <w:t>Corporate Governance Matters</w:t>
              </w:r>
            </w:hyperlink>
          </w:p>
        </w:tc>
        <w:tc>
          <w:tcPr>
            <w:tcW w:w="6240" w:type="dxa"/>
            <w:vAlign w:val="bottom"/>
            <w:gridSpan w:val="16"/>
          </w:tcPr>
          <w:p>
            <w:pPr>
              <w:spacing w:after="0"/>
              <w:rPr>
                <w:sz w:val="19"/>
                <w:szCs w:val="19"/>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20">
              <w:r>
                <w:rPr>
                  <w:rFonts w:ascii="Arial" w:cs="Arial" w:eastAsia="Arial" w:hAnsi="Arial"/>
                  <w:sz w:val="17"/>
                  <w:szCs w:val="17"/>
                  <w:color w:val="0000EE"/>
                </w:rPr>
                <w:t>16</w:t>
              </w:r>
            </w:hyperlink>
          </w:p>
        </w:tc>
      </w:tr>
      <w:tr>
        <w:trPr>
          <w:trHeight w:val="20"/>
        </w:trPr>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10"/>
          </w:tcPr>
          <w:p>
            <w:pPr>
              <w:spacing w:after="0"/>
              <w:rPr>
                <w:rFonts w:ascii="Arial" w:cs="Arial" w:eastAsia="Arial" w:hAnsi="Arial"/>
                <w:sz w:val="17"/>
                <w:szCs w:val="17"/>
                <w:color w:val="0000EE"/>
              </w:rPr>
            </w:pPr>
            <w:hyperlink w:anchor="page20">
              <w:r>
                <w:rPr>
                  <w:rFonts w:ascii="Arial" w:cs="Arial" w:eastAsia="Arial" w:hAnsi="Arial"/>
                  <w:sz w:val="17"/>
                  <w:szCs w:val="17"/>
                  <w:color w:val="0000EE"/>
                </w:rPr>
                <w:t>Board Structure</w:t>
              </w:r>
            </w:hyperlink>
          </w:p>
        </w:tc>
        <w:tc>
          <w:tcPr>
            <w:tcW w:w="6240" w:type="dxa"/>
            <w:vAlign w:val="bottom"/>
            <w:gridSpan w:val="16"/>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20">
              <w:r>
                <w:rPr>
                  <w:rFonts w:ascii="Arial" w:cs="Arial" w:eastAsia="Arial" w:hAnsi="Arial"/>
                  <w:sz w:val="17"/>
                  <w:szCs w:val="17"/>
                  <w:color w:val="0000EE"/>
                </w:rPr>
                <w:t>16</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0" w:type="dxa"/>
            <w:vAlign w:val="bottom"/>
            <w:gridSpan w:val="26"/>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Corporate Governance Practices</w:t>
              </w:r>
            </w:hyperlink>
          </w:p>
        </w:tc>
        <w:tc>
          <w:tcPr>
            <w:tcW w:w="380" w:type="dxa"/>
            <w:vAlign w:val="bottom"/>
            <w:gridSpan w:val="6"/>
          </w:tcPr>
          <w:p>
            <w:pPr>
              <w:jc w:val="right"/>
              <w:ind w:right="100"/>
              <w:spacing w:after="0"/>
              <w:rPr>
                <w:rFonts w:ascii="Arial" w:cs="Arial" w:eastAsia="Arial" w:hAnsi="Arial"/>
                <w:sz w:val="17"/>
                <w:szCs w:val="17"/>
                <w:color w:val="0000EE"/>
              </w:rPr>
            </w:pPr>
            <w:hyperlink w:anchor="page24">
              <w:r>
                <w:rPr>
                  <w:rFonts w:ascii="Arial" w:cs="Arial" w:eastAsia="Arial" w:hAnsi="Arial"/>
                  <w:sz w:val="17"/>
                  <w:szCs w:val="17"/>
                  <w:color w:val="0000EE"/>
                </w:rPr>
                <w:t>20</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11"/>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Director Independence</w:t>
              </w:r>
            </w:hyperlink>
          </w:p>
        </w:tc>
        <w:tc>
          <w:tcPr>
            <w:tcW w:w="6140" w:type="dxa"/>
            <w:vAlign w:val="bottom"/>
            <w:gridSpan w:val="15"/>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26">
              <w:r>
                <w:rPr>
                  <w:rFonts w:ascii="Arial" w:cs="Arial" w:eastAsia="Arial" w:hAnsi="Arial"/>
                  <w:sz w:val="17"/>
                  <w:szCs w:val="17"/>
                  <w:color w:val="0000EE"/>
                </w:rPr>
                <w:t>22</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rFonts w:ascii="Arial" w:cs="Arial" w:eastAsia="Arial" w:hAnsi="Arial"/>
                <w:sz w:val="17"/>
                <w:szCs w:val="17"/>
                <w:color w:val="0000EE"/>
                <w:w w:val="98"/>
              </w:rPr>
            </w:pPr>
            <w:hyperlink w:anchor="page27">
              <w:r>
                <w:rPr>
                  <w:rFonts w:ascii="Arial" w:cs="Arial" w:eastAsia="Arial" w:hAnsi="Arial"/>
                  <w:sz w:val="17"/>
                  <w:szCs w:val="17"/>
                  <w:color w:val="0000EE"/>
                  <w:w w:val="98"/>
                </w:rPr>
                <w:t>Other Matters</w:t>
              </w:r>
            </w:hyperlink>
          </w:p>
        </w:tc>
        <w:tc>
          <w:tcPr>
            <w:tcW w:w="680" w:type="dxa"/>
            <w:vAlign w:val="bottom"/>
            <w:gridSpan w:val="4"/>
          </w:tcPr>
          <w:p>
            <w:pPr>
              <w:spacing w:after="0"/>
              <w:rPr>
                <w:sz w:val="17"/>
                <w:szCs w:val="17"/>
                <w:color w:val="auto"/>
              </w:rPr>
            </w:pPr>
          </w:p>
        </w:tc>
        <w:tc>
          <w:tcPr>
            <w:tcW w:w="6860" w:type="dxa"/>
            <w:vAlign w:val="bottom"/>
            <w:gridSpan w:val="21"/>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27">
              <w:r>
                <w:rPr>
                  <w:rFonts w:ascii="Arial" w:cs="Arial" w:eastAsia="Arial" w:hAnsi="Arial"/>
                  <w:sz w:val="17"/>
                  <w:szCs w:val="17"/>
                  <w:color w:val="0000EE"/>
                </w:rPr>
                <w:t>23</w:t>
              </w:r>
            </w:hyperlink>
          </w:p>
        </w:tc>
      </w:tr>
      <w:tr>
        <w:trPr>
          <w:trHeight w:val="20"/>
        </w:trPr>
        <w:tc>
          <w:tcPr>
            <w:tcW w:w="180" w:type="dxa"/>
            <w:vAlign w:val="bottom"/>
            <w:gridSpan w:val="2"/>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780" w:type="dxa"/>
            <w:vAlign w:val="bottom"/>
            <w:gridSpan w:val="28"/>
          </w:tcPr>
          <w:p>
            <w:pPr>
              <w:ind w:left="20"/>
              <w:spacing w:after="0"/>
              <w:rPr>
                <w:rFonts w:ascii="Arial" w:cs="Arial" w:eastAsia="Arial" w:hAnsi="Arial"/>
                <w:sz w:val="17"/>
                <w:szCs w:val="17"/>
                <w:b w:val="1"/>
                <w:bCs w:val="1"/>
                <w:color w:val="0000EE"/>
              </w:rPr>
            </w:pPr>
            <w:hyperlink w:anchor="page28">
              <w:r>
                <w:rPr>
                  <w:rFonts w:ascii="Arial" w:cs="Arial" w:eastAsia="Arial" w:hAnsi="Arial"/>
                  <w:sz w:val="17"/>
                  <w:szCs w:val="17"/>
                  <w:b w:val="1"/>
                  <w:bCs w:val="1"/>
                  <w:color w:val="0000EE"/>
                </w:rPr>
                <w:t>Director Compensation</w:t>
              </w:r>
            </w:hyperlink>
          </w:p>
        </w:tc>
        <w:tc>
          <w:tcPr>
            <w:tcW w:w="380" w:type="dxa"/>
            <w:vAlign w:val="bottom"/>
            <w:gridSpan w:val="6"/>
          </w:tcPr>
          <w:p>
            <w:pPr>
              <w:jc w:val="right"/>
              <w:ind w:right="100"/>
              <w:spacing w:after="0"/>
              <w:rPr>
                <w:rFonts w:ascii="Arial" w:cs="Arial" w:eastAsia="Arial" w:hAnsi="Arial"/>
                <w:sz w:val="17"/>
                <w:szCs w:val="17"/>
                <w:color w:val="0000EE"/>
              </w:rPr>
            </w:pPr>
            <w:hyperlink w:anchor="page28">
              <w:r>
                <w:rPr>
                  <w:rFonts w:ascii="Arial" w:cs="Arial" w:eastAsia="Arial" w:hAnsi="Arial"/>
                  <w:sz w:val="17"/>
                  <w:szCs w:val="17"/>
                  <w:color w:val="0000EE"/>
                </w:rPr>
                <w:t>24</w:t>
              </w:r>
            </w:hyperlink>
          </w:p>
        </w:tc>
      </w:tr>
      <w:tr>
        <w:trPr>
          <w:trHeight w:val="70"/>
        </w:trPr>
        <w:tc>
          <w:tcPr>
            <w:tcW w:w="80" w:type="dxa"/>
            <w:vAlign w:val="bottom"/>
            <w:tcBorders>
              <w:top w:val="single" w:sz="8" w:color="0000EE"/>
              <w:bottom w:val="single" w:sz="8" w:color="00215D"/>
            </w:tcBorders>
          </w:tcPr>
          <w:p>
            <w:pPr>
              <w:spacing w:after="0"/>
              <w:rPr>
                <w:sz w:val="6"/>
                <w:szCs w:val="6"/>
                <w:color w:val="auto"/>
              </w:rPr>
            </w:pPr>
          </w:p>
        </w:tc>
        <w:tc>
          <w:tcPr>
            <w:tcW w:w="100" w:type="dxa"/>
            <w:vAlign w:val="bottom"/>
            <w:tcBorders>
              <w:top w:val="single" w:sz="8" w:color="0000EE"/>
              <w:bottom w:val="single" w:sz="8" w:color="00215D"/>
            </w:tcBorders>
          </w:tcPr>
          <w:p>
            <w:pPr>
              <w:spacing w:after="0"/>
              <w:rPr>
                <w:sz w:val="6"/>
                <w:szCs w:val="6"/>
                <w:color w:val="auto"/>
              </w:rPr>
            </w:pPr>
          </w:p>
        </w:tc>
        <w:tc>
          <w:tcPr>
            <w:tcW w:w="1060" w:type="dxa"/>
            <w:vAlign w:val="bottom"/>
            <w:tcBorders>
              <w:top w:val="single" w:sz="8" w:color="0000EE"/>
              <w:bottom w:val="single" w:sz="8" w:color="00215D"/>
            </w:tcBorders>
          </w:tcPr>
          <w:p>
            <w:pPr>
              <w:spacing w:after="0"/>
              <w:rPr>
                <w:sz w:val="6"/>
                <w:szCs w:val="6"/>
                <w:color w:val="auto"/>
              </w:rPr>
            </w:pPr>
          </w:p>
        </w:tc>
        <w:tc>
          <w:tcPr>
            <w:tcW w:w="140" w:type="dxa"/>
            <w:vAlign w:val="bottom"/>
            <w:tcBorders>
              <w:top w:val="single" w:sz="8" w:color="0000EE"/>
              <w:bottom w:val="single" w:sz="8" w:color="00215D"/>
            </w:tcBorders>
          </w:tcPr>
          <w:p>
            <w:pPr>
              <w:spacing w:after="0"/>
              <w:rPr>
                <w:sz w:val="6"/>
                <w:szCs w:val="6"/>
                <w:color w:val="auto"/>
              </w:rPr>
            </w:pPr>
          </w:p>
        </w:tc>
        <w:tc>
          <w:tcPr>
            <w:tcW w:w="100" w:type="dxa"/>
            <w:vAlign w:val="bottom"/>
            <w:tcBorders>
              <w:top w:val="single" w:sz="8" w:color="0000EE"/>
              <w:bottom w:val="single" w:sz="8" w:color="00215D"/>
            </w:tcBorders>
          </w:tcPr>
          <w:p>
            <w:pPr>
              <w:spacing w:after="0"/>
              <w:rPr>
                <w:sz w:val="6"/>
                <w:szCs w:val="6"/>
                <w:color w:val="auto"/>
              </w:rPr>
            </w:pPr>
          </w:p>
        </w:tc>
        <w:tc>
          <w:tcPr>
            <w:tcW w:w="20" w:type="dxa"/>
            <w:vAlign w:val="bottom"/>
            <w:tcBorders>
              <w:top w:val="single" w:sz="8" w:color="0000EE"/>
              <w:bottom w:val="single" w:sz="8" w:color="00215D"/>
            </w:tcBorders>
          </w:tcPr>
          <w:p>
            <w:pPr>
              <w:spacing w:after="0"/>
              <w:rPr>
                <w:sz w:val="6"/>
                <w:szCs w:val="6"/>
                <w:color w:val="auto"/>
              </w:rPr>
            </w:pPr>
          </w:p>
        </w:tc>
        <w:tc>
          <w:tcPr>
            <w:tcW w:w="420" w:type="dxa"/>
            <w:vAlign w:val="bottom"/>
            <w:tcBorders>
              <w:top w:val="single" w:sz="8" w:color="0000EE"/>
              <w:bottom w:val="single" w:sz="8" w:color="00215D"/>
            </w:tcBorders>
          </w:tcPr>
          <w:p>
            <w:pPr>
              <w:spacing w:after="0"/>
              <w:rPr>
                <w:sz w:val="6"/>
                <w:szCs w:val="6"/>
                <w:color w:val="auto"/>
              </w:rPr>
            </w:pPr>
          </w:p>
        </w:tc>
        <w:tc>
          <w:tcPr>
            <w:tcW w:w="80" w:type="dxa"/>
            <w:vAlign w:val="bottom"/>
            <w:tcBorders>
              <w:bottom w:val="single" w:sz="8" w:color="00215D"/>
            </w:tcBorders>
          </w:tcPr>
          <w:p>
            <w:pPr>
              <w:spacing w:after="0"/>
              <w:rPr>
                <w:sz w:val="6"/>
                <w:szCs w:val="6"/>
                <w:color w:val="auto"/>
              </w:rPr>
            </w:pPr>
          </w:p>
        </w:tc>
        <w:tc>
          <w:tcPr>
            <w:tcW w:w="200" w:type="dxa"/>
            <w:vAlign w:val="bottom"/>
            <w:tcBorders>
              <w:bottom w:val="single" w:sz="8" w:color="00215D"/>
            </w:tcBorders>
          </w:tcPr>
          <w:p>
            <w:pPr>
              <w:spacing w:after="0"/>
              <w:rPr>
                <w:sz w:val="6"/>
                <w:szCs w:val="6"/>
                <w:color w:val="auto"/>
              </w:rPr>
            </w:pPr>
          </w:p>
        </w:tc>
        <w:tc>
          <w:tcPr>
            <w:tcW w:w="14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40" w:type="dxa"/>
            <w:vAlign w:val="bottom"/>
            <w:tcBorders>
              <w:bottom w:val="single" w:sz="8" w:color="00215D"/>
            </w:tcBorders>
          </w:tcPr>
          <w:p>
            <w:pPr>
              <w:spacing w:after="0"/>
              <w:rPr>
                <w:sz w:val="6"/>
                <w:szCs w:val="6"/>
                <w:color w:val="auto"/>
              </w:rPr>
            </w:pPr>
          </w:p>
        </w:tc>
        <w:tc>
          <w:tcPr>
            <w:tcW w:w="120" w:type="dxa"/>
            <w:vAlign w:val="bottom"/>
            <w:tcBorders>
              <w:bottom w:val="single" w:sz="8" w:color="00215D"/>
            </w:tcBorders>
          </w:tcPr>
          <w:p>
            <w:pPr>
              <w:spacing w:after="0"/>
              <w:rPr>
                <w:sz w:val="6"/>
                <w:szCs w:val="6"/>
                <w:color w:val="auto"/>
              </w:rPr>
            </w:pPr>
          </w:p>
        </w:tc>
        <w:tc>
          <w:tcPr>
            <w:tcW w:w="28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380" w:type="dxa"/>
            <w:vAlign w:val="bottom"/>
            <w:tcBorders>
              <w:bottom w:val="single" w:sz="8" w:color="00215D"/>
            </w:tcBorders>
          </w:tcPr>
          <w:p>
            <w:pPr>
              <w:spacing w:after="0"/>
              <w:rPr>
                <w:sz w:val="6"/>
                <w:szCs w:val="6"/>
                <w:color w:val="auto"/>
              </w:rPr>
            </w:pPr>
          </w:p>
        </w:tc>
        <w:tc>
          <w:tcPr>
            <w:tcW w:w="640" w:type="dxa"/>
            <w:vAlign w:val="bottom"/>
            <w:tcBorders>
              <w:bottom w:val="single" w:sz="8" w:color="00215D"/>
            </w:tcBorders>
          </w:tcPr>
          <w:p>
            <w:pPr>
              <w:spacing w:after="0"/>
              <w:rPr>
                <w:sz w:val="6"/>
                <w:szCs w:val="6"/>
                <w:color w:val="auto"/>
              </w:rPr>
            </w:pPr>
          </w:p>
        </w:tc>
        <w:tc>
          <w:tcPr>
            <w:tcW w:w="300" w:type="dxa"/>
            <w:vAlign w:val="bottom"/>
            <w:tcBorders>
              <w:bottom w:val="single" w:sz="8" w:color="00215D"/>
            </w:tcBorders>
          </w:tcPr>
          <w:p>
            <w:pPr>
              <w:spacing w:after="0"/>
              <w:rPr>
                <w:sz w:val="6"/>
                <w:szCs w:val="6"/>
                <w:color w:val="auto"/>
              </w:rPr>
            </w:pPr>
          </w:p>
        </w:tc>
        <w:tc>
          <w:tcPr>
            <w:tcW w:w="8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420" w:type="dxa"/>
            <w:vAlign w:val="bottom"/>
            <w:tcBorders>
              <w:bottom w:val="single" w:sz="8" w:color="00215D"/>
            </w:tcBorders>
          </w:tcPr>
          <w:p>
            <w:pPr>
              <w:spacing w:after="0"/>
              <w:rPr>
                <w:sz w:val="6"/>
                <w:szCs w:val="6"/>
                <w:color w:val="auto"/>
              </w:rPr>
            </w:pPr>
          </w:p>
        </w:tc>
        <w:tc>
          <w:tcPr>
            <w:tcW w:w="220" w:type="dxa"/>
            <w:vAlign w:val="bottom"/>
            <w:tcBorders>
              <w:bottom w:val="single" w:sz="8" w:color="00215D"/>
            </w:tcBorders>
          </w:tcPr>
          <w:p>
            <w:pPr>
              <w:spacing w:after="0"/>
              <w:rPr>
                <w:sz w:val="6"/>
                <w:szCs w:val="6"/>
                <w:color w:val="auto"/>
              </w:rPr>
            </w:pPr>
          </w:p>
        </w:tc>
        <w:tc>
          <w:tcPr>
            <w:tcW w:w="2880" w:type="dxa"/>
            <w:vAlign w:val="bottom"/>
            <w:tcBorders>
              <w:bottom w:val="single" w:sz="8" w:color="00215D"/>
            </w:tcBorders>
          </w:tcPr>
          <w:p>
            <w:pPr>
              <w:spacing w:after="0"/>
              <w:rPr>
                <w:sz w:val="6"/>
                <w:szCs w:val="6"/>
                <w:color w:val="auto"/>
              </w:rPr>
            </w:pPr>
          </w:p>
        </w:tc>
        <w:tc>
          <w:tcPr>
            <w:tcW w:w="80" w:type="dxa"/>
            <w:vAlign w:val="bottom"/>
            <w:tcBorders>
              <w:bottom w:val="single" w:sz="8" w:color="00215D"/>
            </w:tcBorders>
          </w:tcPr>
          <w:p>
            <w:pPr>
              <w:spacing w:after="0"/>
              <w:rPr>
                <w:sz w:val="6"/>
                <w:szCs w:val="6"/>
                <w:color w:val="auto"/>
              </w:rPr>
            </w:pPr>
          </w:p>
        </w:tc>
        <w:tc>
          <w:tcPr>
            <w:tcW w:w="20" w:type="dxa"/>
            <w:vAlign w:val="bottom"/>
            <w:tcBorders>
              <w:bottom w:val="single" w:sz="8" w:color="00215D"/>
            </w:tcBorders>
          </w:tcPr>
          <w:p>
            <w:pPr>
              <w:spacing w:after="0"/>
              <w:rPr>
                <w:sz w:val="6"/>
                <w:szCs w:val="6"/>
                <w:color w:val="auto"/>
              </w:rPr>
            </w:pPr>
          </w:p>
        </w:tc>
        <w:tc>
          <w:tcPr>
            <w:tcW w:w="60" w:type="dxa"/>
            <w:vAlign w:val="bottom"/>
            <w:tcBorders>
              <w:top w:val="single" w:sz="8" w:color="0000EE"/>
              <w:bottom w:val="single" w:sz="8" w:color="00215D"/>
            </w:tcBorders>
          </w:tcPr>
          <w:p>
            <w:pPr>
              <w:spacing w:after="0"/>
              <w:rPr>
                <w:sz w:val="6"/>
                <w:szCs w:val="6"/>
                <w:color w:val="auto"/>
              </w:rPr>
            </w:pPr>
          </w:p>
        </w:tc>
        <w:tc>
          <w:tcPr>
            <w:tcW w:w="20" w:type="dxa"/>
            <w:vAlign w:val="bottom"/>
            <w:tcBorders>
              <w:top w:val="single" w:sz="8" w:color="0000EE"/>
              <w:bottom w:val="single" w:sz="8" w:color="00215D"/>
            </w:tcBorders>
          </w:tcPr>
          <w:p>
            <w:pPr>
              <w:spacing w:after="0"/>
              <w:rPr>
                <w:sz w:val="6"/>
                <w:szCs w:val="6"/>
                <w:color w:val="auto"/>
              </w:rPr>
            </w:pPr>
          </w:p>
        </w:tc>
        <w:tc>
          <w:tcPr>
            <w:tcW w:w="100" w:type="dxa"/>
            <w:vAlign w:val="bottom"/>
            <w:tcBorders>
              <w:top w:val="single" w:sz="8" w:color="0000EE"/>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r>
      <w:tr>
        <w:trPr>
          <w:trHeight w:val="174"/>
        </w:trPr>
        <w:tc>
          <w:tcPr>
            <w:tcW w:w="80" w:type="dxa"/>
            <w:vAlign w:val="bottom"/>
            <w:tcBorders>
              <w:left w:val="single" w:sz="8" w:color="00215D"/>
            </w:tcBorders>
          </w:tcPr>
          <w:p>
            <w:pPr>
              <w:spacing w:after="0"/>
              <w:rPr>
                <w:sz w:val="15"/>
                <w:szCs w:val="15"/>
                <w:color w:val="auto"/>
              </w:rPr>
            </w:pPr>
          </w:p>
        </w:tc>
        <w:tc>
          <w:tcPr>
            <w:tcW w:w="8700" w:type="dxa"/>
            <w:vAlign w:val="bottom"/>
            <w:gridSpan w:val="27"/>
          </w:tcPr>
          <w:p>
            <w:pPr>
              <w:spacing w:after="0" w:line="174" w:lineRule="exact"/>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Proposal 2: Advisory Vote to Approve Executive Compensation</w:t>
              </w:r>
            </w:hyperlink>
          </w:p>
        </w:tc>
        <w:tc>
          <w:tcPr>
            <w:tcW w:w="280" w:type="dxa"/>
            <w:vAlign w:val="bottom"/>
            <w:gridSpan w:val="5"/>
          </w:tcPr>
          <w:p>
            <w:pPr>
              <w:jc w:val="right"/>
              <w:ind w:right="20"/>
              <w:spacing w:after="0" w:line="174" w:lineRule="exact"/>
              <w:rPr>
                <w:rFonts w:ascii="Arial" w:cs="Arial" w:eastAsia="Arial" w:hAnsi="Arial"/>
                <w:sz w:val="17"/>
                <w:szCs w:val="17"/>
                <w:color w:val="0000EE"/>
              </w:rPr>
            </w:pPr>
            <w:hyperlink w:anchor="page30">
              <w:r>
                <w:rPr>
                  <w:rFonts w:ascii="Arial" w:cs="Arial" w:eastAsia="Arial" w:hAnsi="Arial"/>
                  <w:sz w:val="17"/>
                  <w:szCs w:val="17"/>
                  <w:color w:val="0000EE"/>
                </w:rPr>
                <w:t>26</w:t>
              </w:r>
            </w:hyperlink>
          </w:p>
        </w:tc>
        <w:tc>
          <w:tcPr>
            <w:tcW w:w="100" w:type="dxa"/>
            <w:vAlign w:val="bottom"/>
            <w:tcBorders>
              <w:right w:val="single" w:sz="8" w:color="00215D"/>
            </w:tcBorders>
          </w:tcPr>
          <w:p>
            <w:pPr>
              <w:spacing w:after="0"/>
              <w:rPr>
                <w:sz w:val="15"/>
                <w:szCs w:val="15"/>
                <w:color w:val="auto"/>
              </w:rPr>
            </w:pPr>
          </w:p>
        </w:tc>
      </w:tr>
      <w:tr>
        <w:trPr>
          <w:trHeight w:val="20"/>
        </w:trPr>
        <w:tc>
          <w:tcPr>
            <w:tcW w:w="80" w:type="dxa"/>
            <w:vAlign w:val="bottom"/>
            <w:tcBorders>
              <w:left w:val="single" w:sz="8" w:color="00215D"/>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6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20" w:type="dxa"/>
            <w:vAlign w:val="bottom"/>
            <w:tcBorders>
              <w:top w:val="single" w:sz="8" w:color="0000EE"/>
              <w:bottom w:val="single" w:sz="8" w:color="00215D"/>
            </w:tcBorders>
          </w:tcPr>
          <w:p>
            <w:pPr>
              <w:spacing w:after="0" w:line="20" w:lineRule="exact"/>
              <w:rPr>
                <w:sz w:val="1"/>
                <w:szCs w:val="1"/>
                <w:color w:val="auto"/>
              </w:rPr>
            </w:pPr>
          </w:p>
        </w:tc>
        <w:tc>
          <w:tcPr>
            <w:tcW w:w="420" w:type="dxa"/>
            <w:vAlign w:val="bottom"/>
            <w:tcBorders>
              <w:top w:val="single" w:sz="8" w:color="0000EE"/>
              <w:bottom w:val="single" w:sz="8" w:color="00215D"/>
            </w:tcBorders>
          </w:tcPr>
          <w:p>
            <w:pPr>
              <w:spacing w:after="0" w:line="20" w:lineRule="exact"/>
              <w:rPr>
                <w:sz w:val="1"/>
                <w:szCs w:val="1"/>
                <w:color w:val="auto"/>
              </w:rPr>
            </w:pPr>
          </w:p>
        </w:tc>
        <w:tc>
          <w:tcPr>
            <w:tcW w:w="80" w:type="dxa"/>
            <w:vAlign w:val="bottom"/>
            <w:tcBorders>
              <w:top w:val="single" w:sz="8" w:color="0000EE"/>
              <w:bottom w:val="single" w:sz="8" w:color="00215D"/>
            </w:tcBorders>
          </w:tcPr>
          <w:p>
            <w:pPr>
              <w:spacing w:after="0" w:line="20" w:lineRule="exact"/>
              <w:rPr>
                <w:sz w:val="1"/>
                <w:szCs w:val="1"/>
                <w:color w:val="auto"/>
              </w:rPr>
            </w:pPr>
          </w:p>
        </w:tc>
        <w:tc>
          <w:tcPr>
            <w:tcW w:w="20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top w:val="single" w:sz="8" w:color="0000EE"/>
              <w:bottom w:val="single" w:sz="8" w:color="00215D"/>
            </w:tcBorders>
          </w:tcPr>
          <w:p>
            <w:pPr>
              <w:spacing w:after="0" w:line="20" w:lineRule="exact"/>
              <w:rPr>
                <w:sz w:val="1"/>
                <w:szCs w:val="1"/>
                <w:color w:val="auto"/>
              </w:rPr>
            </w:pPr>
          </w:p>
        </w:tc>
        <w:tc>
          <w:tcPr>
            <w:tcW w:w="120" w:type="dxa"/>
            <w:vAlign w:val="bottom"/>
            <w:tcBorders>
              <w:top w:val="single" w:sz="8" w:color="0000EE"/>
              <w:bottom w:val="single" w:sz="8" w:color="00215D"/>
            </w:tcBorders>
          </w:tcPr>
          <w:p>
            <w:pPr>
              <w:spacing w:after="0" w:line="20" w:lineRule="exact"/>
              <w:rPr>
                <w:sz w:val="1"/>
                <w:szCs w:val="1"/>
                <w:color w:val="auto"/>
              </w:rPr>
            </w:pPr>
          </w:p>
        </w:tc>
        <w:tc>
          <w:tcPr>
            <w:tcW w:w="280" w:type="dxa"/>
            <w:vAlign w:val="bottom"/>
            <w:tcBorders>
              <w:top w:val="single" w:sz="8" w:color="0000EE"/>
              <w:bottom w:val="single" w:sz="8" w:color="00215D"/>
            </w:tcBorders>
          </w:tcPr>
          <w:p>
            <w:pPr>
              <w:spacing w:after="0" w:line="20" w:lineRule="exact"/>
              <w:rPr>
                <w:sz w:val="1"/>
                <w:szCs w:val="1"/>
                <w:color w:val="auto"/>
              </w:rPr>
            </w:pPr>
          </w:p>
        </w:tc>
        <w:tc>
          <w:tcPr>
            <w:tcW w:w="16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60" w:type="dxa"/>
            <w:vAlign w:val="bottom"/>
            <w:tcBorders>
              <w:top w:val="single" w:sz="8" w:color="0000EE"/>
              <w:bottom w:val="single" w:sz="8" w:color="00215D"/>
            </w:tcBorders>
          </w:tcPr>
          <w:p>
            <w:pPr>
              <w:spacing w:after="0" w:line="20" w:lineRule="exact"/>
              <w:rPr>
                <w:sz w:val="1"/>
                <w:szCs w:val="1"/>
                <w:color w:val="auto"/>
              </w:rPr>
            </w:pPr>
          </w:p>
        </w:tc>
        <w:tc>
          <w:tcPr>
            <w:tcW w:w="380" w:type="dxa"/>
            <w:vAlign w:val="bottom"/>
            <w:tcBorders>
              <w:top w:val="single" w:sz="8" w:color="0000EE"/>
              <w:bottom w:val="single" w:sz="8" w:color="00215D"/>
            </w:tcBorders>
          </w:tcPr>
          <w:p>
            <w:pPr>
              <w:spacing w:after="0" w:line="20" w:lineRule="exact"/>
              <w:rPr>
                <w:sz w:val="1"/>
                <w:szCs w:val="1"/>
                <w:color w:val="auto"/>
              </w:rPr>
            </w:pPr>
          </w:p>
        </w:tc>
        <w:tc>
          <w:tcPr>
            <w:tcW w:w="640" w:type="dxa"/>
            <w:vAlign w:val="bottom"/>
            <w:tcBorders>
              <w:top w:val="single" w:sz="8" w:color="0000EE"/>
              <w:bottom w:val="single" w:sz="8" w:color="00215D"/>
            </w:tcBorders>
          </w:tcPr>
          <w:p>
            <w:pPr>
              <w:spacing w:after="0" w:line="20" w:lineRule="exact"/>
              <w:rPr>
                <w:sz w:val="1"/>
                <w:szCs w:val="1"/>
                <w:color w:val="auto"/>
              </w:rPr>
            </w:pPr>
          </w:p>
        </w:tc>
        <w:tc>
          <w:tcPr>
            <w:tcW w:w="300" w:type="dxa"/>
            <w:vAlign w:val="bottom"/>
            <w:tcBorders>
              <w:top w:val="single" w:sz="8" w:color="0000EE"/>
              <w:bottom w:val="single" w:sz="8" w:color="00215D"/>
            </w:tcBorders>
          </w:tcPr>
          <w:p>
            <w:pPr>
              <w:spacing w:after="0" w:line="20" w:lineRule="exact"/>
              <w:rPr>
                <w:sz w:val="1"/>
                <w:szCs w:val="1"/>
                <w:color w:val="auto"/>
              </w:rPr>
            </w:pPr>
          </w:p>
        </w:tc>
        <w:tc>
          <w:tcPr>
            <w:tcW w:w="80" w:type="dxa"/>
            <w:vAlign w:val="bottom"/>
            <w:tcBorders>
              <w:top w:val="single" w:sz="8" w:color="0000EE"/>
              <w:bottom w:val="single" w:sz="8" w:color="00215D"/>
            </w:tcBorders>
          </w:tcPr>
          <w:p>
            <w:pPr>
              <w:spacing w:after="0" w:line="20" w:lineRule="exact"/>
              <w:rPr>
                <w:sz w:val="1"/>
                <w:szCs w:val="1"/>
                <w:color w:val="auto"/>
              </w:rPr>
            </w:pPr>
          </w:p>
        </w:tc>
        <w:tc>
          <w:tcPr>
            <w:tcW w:w="160" w:type="dxa"/>
            <w:vAlign w:val="bottom"/>
            <w:tcBorders>
              <w:top w:val="single" w:sz="8" w:color="0000EE"/>
              <w:bottom w:val="single" w:sz="8" w:color="00215D"/>
            </w:tcBorders>
          </w:tcPr>
          <w:p>
            <w:pPr>
              <w:spacing w:after="0" w:line="20" w:lineRule="exact"/>
              <w:rPr>
                <w:sz w:val="1"/>
                <w:szCs w:val="1"/>
                <w:color w:val="auto"/>
              </w:rPr>
            </w:pPr>
          </w:p>
        </w:tc>
        <w:tc>
          <w:tcPr>
            <w:tcW w:w="420" w:type="dxa"/>
            <w:vAlign w:val="bottom"/>
            <w:tcBorders>
              <w:bottom w:val="single" w:sz="8" w:color="00215D"/>
            </w:tcBorders>
          </w:tcPr>
          <w:p>
            <w:pPr>
              <w:spacing w:after="0" w:line="20" w:lineRule="exact"/>
              <w:rPr>
                <w:sz w:val="1"/>
                <w:szCs w:val="1"/>
                <w:color w:val="auto"/>
              </w:rPr>
            </w:pPr>
          </w:p>
        </w:tc>
        <w:tc>
          <w:tcPr>
            <w:tcW w:w="220" w:type="dxa"/>
            <w:vAlign w:val="bottom"/>
            <w:tcBorders>
              <w:bottom w:val="single" w:sz="8" w:color="00215D"/>
            </w:tcBorders>
          </w:tcPr>
          <w:p>
            <w:pPr>
              <w:spacing w:after="0" w:line="20" w:lineRule="exact"/>
              <w:rPr>
                <w:sz w:val="1"/>
                <w:szCs w:val="1"/>
                <w:color w:val="auto"/>
              </w:rPr>
            </w:pPr>
          </w:p>
        </w:tc>
        <w:tc>
          <w:tcPr>
            <w:tcW w:w="2880" w:type="dxa"/>
            <w:vAlign w:val="bottom"/>
            <w:tcBorders>
              <w:bottom w:val="single" w:sz="8" w:color="00215D"/>
            </w:tcBorders>
          </w:tcPr>
          <w:p>
            <w:pPr>
              <w:spacing w:after="0" w:line="20" w:lineRule="exact"/>
              <w:rPr>
                <w:sz w:val="1"/>
                <w:szCs w:val="1"/>
                <w:color w:val="auto"/>
              </w:rPr>
            </w:pPr>
          </w:p>
        </w:tc>
        <w:tc>
          <w:tcPr>
            <w:tcW w:w="80" w:type="dxa"/>
            <w:vAlign w:val="bottom"/>
            <w:tcBorders>
              <w:bottom w:val="single" w:sz="8" w:color="00215D"/>
            </w:tcBorders>
          </w:tcPr>
          <w:p>
            <w:pPr>
              <w:spacing w:after="0" w:line="20" w:lineRule="exact"/>
              <w:rPr>
                <w:sz w:val="1"/>
                <w:szCs w:val="1"/>
                <w:color w:val="auto"/>
              </w:rPr>
            </w:pPr>
          </w:p>
        </w:tc>
        <w:tc>
          <w:tcPr>
            <w:tcW w:w="20" w:type="dxa"/>
            <w:vAlign w:val="bottom"/>
            <w:tcBorders>
              <w:top w:val="single" w:sz="8" w:color="0000EE"/>
              <w:bottom w:val="single" w:sz="8" w:color="00215D"/>
            </w:tcBorders>
          </w:tcPr>
          <w:p>
            <w:pPr>
              <w:spacing w:after="0" w:line="20" w:lineRule="exact"/>
              <w:rPr>
                <w:sz w:val="1"/>
                <w:szCs w:val="1"/>
                <w:color w:val="auto"/>
              </w:rPr>
            </w:pPr>
          </w:p>
        </w:tc>
        <w:tc>
          <w:tcPr>
            <w:tcW w:w="60" w:type="dxa"/>
            <w:vAlign w:val="bottom"/>
            <w:tcBorders>
              <w:top w:val="single" w:sz="8" w:color="0000EE"/>
              <w:bottom w:val="single" w:sz="8" w:color="00215D"/>
            </w:tcBorders>
          </w:tcPr>
          <w:p>
            <w:pPr>
              <w:spacing w:after="0" w:line="20" w:lineRule="exact"/>
              <w:rPr>
                <w:sz w:val="1"/>
                <w:szCs w:val="1"/>
                <w:color w:val="auto"/>
              </w:rPr>
            </w:pPr>
          </w:p>
        </w:tc>
        <w:tc>
          <w:tcPr>
            <w:tcW w:w="2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bottom w:val="single" w:sz="8" w:color="00215D"/>
              <w:right w:val="single" w:sz="8" w:color="00215D"/>
            </w:tcBorders>
          </w:tcPr>
          <w:p>
            <w:pPr>
              <w:spacing w:after="0" w:line="20" w:lineRule="exact"/>
              <w:rPr>
                <w:sz w:val="1"/>
                <w:szCs w:val="1"/>
                <w:color w:val="auto"/>
              </w:rPr>
            </w:pPr>
          </w:p>
        </w:tc>
      </w:tr>
      <w:tr>
        <w:trPr>
          <w:trHeight w:val="224"/>
        </w:trPr>
        <w:tc>
          <w:tcPr>
            <w:tcW w:w="3540" w:type="dxa"/>
            <w:vAlign w:val="bottom"/>
            <w:gridSpan w:val="19"/>
          </w:tcPr>
          <w:p>
            <w:pPr>
              <w:ind w:left="20"/>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Executive Summary of 2019 Compensation</w:t>
              </w:r>
            </w:hyperlink>
          </w:p>
        </w:tc>
        <w:tc>
          <w:tcPr>
            <w:tcW w:w="5240" w:type="dxa"/>
            <w:vAlign w:val="bottom"/>
            <w:gridSpan w:val="9"/>
          </w:tcPr>
          <w:p>
            <w:pPr>
              <w:spacing w:after="0"/>
              <w:rPr>
                <w:sz w:val="19"/>
                <w:szCs w:val="19"/>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31">
              <w:r>
                <w:rPr>
                  <w:rFonts w:ascii="Arial" w:cs="Arial" w:eastAsia="Arial" w:hAnsi="Arial"/>
                  <w:sz w:val="17"/>
                  <w:szCs w:val="17"/>
                  <w:color w:val="0000EE"/>
                </w:rPr>
                <w:t>27</w:t>
              </w:r>
            </w:hyperlink>
          </w:p>
        </w:tc>
      </w:tr>
      <w:tr>
        <w:trPr>
          <w:trHeight w:val="20"/>
        </w:trPr>
        <w:tc>
          <w:tcPr>
            <w:tcW w:w="12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3540" w:type="dxa"/>
            <w:vAlign w:val="bottom"/>
            <w:gridSpan w:val="19"/>
          </w:tcPr>
          <w:p>
            <w:pPr>
              <w:ind w:left="20"/>
              <w:spacing w:after="0"/>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Compensation Discussion and Analysis</w:t>
              </w:r>
            </w:hyperlink>
          </w:p>
        </w:tc>
        <w:tc>
          <w:tcPr>
            <w:tcW w:w="5240" w:type="dxa"/>
            <w:vAlign w:val="bottom"/>
            <w:gridSpan w:val="9"/>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33">
              <w:r>
                <w:rPr>
                  <w:rFonts w:ascii="Arial" w:cs="Arial" w:eastAsia="Arial" w:hAnsi="Arial"/>
                  <w:sz w:val="17"/>
                  <w:szCs w:val="17"/>
                  <w:color w:val="0000EE"/>
                </w:rPr>
                <w:t>29</w:t>
              </w:r>
            </w:hyperlink>
          </w:p>
        </w:tc>
      </w:tr>
      <w:tr>
        <w:trPr>
          <w:trHeight w:val="20"/>
        </w:trPr>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gridSpan w:val="19"/>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Compensation Philosophy, Objectives and Process</w:t>
              </w:r>
            </w:hyperlink>
          </w:p>
        </w:tc>
        <w:tc>
          <w:tcPr>
            <w:tcW w:w="4700" w:type="dxa"/>
            <w:vAlign w:val="bottom"/>
            <w:gridSpan w:val="7"/>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33">
              <w:r>
                <w:rPr>
                  <w:rFonts w:ascii="Arial" w:cs="Arial" w:eastAsia="Arial" w:hAnsi="Arial"/>
                  <w:sz w:val="17"/>
                  <w:szCs w:val="17"/>
                  <w:color w:val="0000EE"/>
                </w:rPr>
                <w:t>29</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0" w:type="dxa"/>
            <w:vAlign w:val="bottom"/>
            <w:gridSpan w:val="26"/>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Summary and Analysis of Executive Compensation</w:t>
              </w:r>
            </w:hyperlink>
          </w:p>
        </w:tc>
        <w:tc>
          <w:tcPr>
            <w:tcW w:w="380" w:type="dxa"/>
            <w:vAlign w:val="bottom"/>
            <w:gridSpan w:val="6"/>
          </w:tcPr>
          <w:p>
            <w:pPr>
              <w:jc w:val="right"/>
              <w:ind w:right="100"/>
              <w:spacing w:after="0"/>
              <w:rPr>
                <w:rFonts w:ascii="Arial" w:cs="Arial" w:eastAsia="Arial" w:hAnsi="Arial"/>
                <w:sz w:val="17"/>
                <w:szCs w:val="17"/>
                <w:color w:val="0000EE"/>
              </w:rPr>
            </w:pPr>
            <w:hyperlink w:anchor="page35">
              <w:r>
                <w:rPr>
                  <w:rFonts w:ascii="Arial" w:cs="Arial" w:eastAsia="Arial" w:hAnsi="Arial"/>
                  <w:sz w:val="17"/>
                  <w:szCs w:val="17"/>
                  <w:color w:val="0000EE"/>
                </w:rPr>
                <w:t>31</w:t>
              </w:r>
            </w:hyperlink>
          </w:p>
        </w:tc>
      </w:tr>
      <w:tr>
        <w:trPr>
          <w:trHeight w:val="20"/>
        </w:trPr>
        <w:tc>
          <w:tcPr>
            <w:tcW w:w="180" w:type="dxa"/>
            <w:vAlign w:val="bottom"/>
            <w:gridSpan w:val="2"/>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780" w:type="dxa"/>
            <w:vAlign w:val="bottom"/>
            <w:gridSpan w:val="28"/>
          </w:tcPr>
          <w:p>
            <w:pPr>
              <w:ind w:left="20"/>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Compensation Committee Report</w:t>
              </w:r>
            </w:hyperlink>
          </w:p>
        </w:tc>
        <w:tc>
          <w:tcPr>
            <w:tcW w:w="380" w:type="dxa"/>
            <w:vAlign w:val="bottom"/>
            <w:gridSpan w:val="6"/>
          </w:tcPr>
          <w:p>
            <w:pPr>
              <w:jc w:val="right"/>
              <w:ind w:right="100"/>
              <w:spacing w:after="0"/>
              <w:rPr>
                <w:rFonts w:ascii="Arial" w:cs="Arial" w:eastAsia="Arial" w:hAnsi="Arial"/>
                <w:sz w:val="17"/>
                <w:szCs w:val="17"/>
                <w:color w:val="0000EE"/>
              </w:rPr>
            </w:pPr>
            <w:hyperlink w:anchor="page44">
              <w:r>
                <w:rPr>
                  <w:rFonts w:ascii="Arial" w:cs="Arial" w:eastAsia="Arial" w:hAnsi="Arial"/>
                  <w:sz w:val="17"/>
                  <w:szCs w:val="17"/>
                  <w:color w:val="0000EE"/>
                </w:rPr>
                <w:t>40</w:t>
              </w:r>
            </w:hyperlink>
          </w:p>
        </w:tc>
      </w:tr>
      <w:tr>
        <w:trPr>
          <w:trHeight w:val="20"/>
        </w:trPr>
        <w:tc>
          <w:tcPr>
            <w:tcW w:w="12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640" w:type="dxa"/>
            <w:vAlign w:val="bottom"/>
            <w:gridSpan w:val="13"/>
          </w:tcPr>
          <w:p>
            <w:pPr>
              <w:ind w:left="20"/>
              <w:spacing w:after="0"/>
              <w:rPr>
                <w:rFonts w:ascii="Arial" w:cs="Arial" w:eastAsia="Arial" w:hAnsi="Arial"/>
                <w:sz w:val="17"/>
                <w:szCs w:val="17"/>
                <w:b w:val="1"/>
                <w:bCs w:val="1"/>
                <w:color w:val="0000EE"/>
                <w:w w:val="98"/>
              </w:rPr>
            </w:pPr>
            <w:hyperlink w:anchor="page45">
              <w:r>
                <w:rPr>
                  <w:rFonts w:ascii="Arial" w:cs="Arial" w:eastAsia="Arial" w:hAnsi="Arial"/>
                  <w:sz w:val="17"/>
                  <w:szCs w:val="17"/>
                  <w:b w:val="1"/>
                  <w:bCs w:val="1"/>
                  <w:color w:val="0000EE"/>
                  <w:w w:val="98"/>
                </w:rPr>
                <w:t>Executive Compensation Tables</w:t>
              </w:r>
            </w:hyperlink>
          </w:p>
        </w:tc>
        <w:tc>
          <w:tcPr>
            <w:tcW w:w="100" w:type="dxa"/>
            <w:vAlign w:val="bottom"/>
          </w:tcPr>
          <w:p>
            <w:pPr>
              <w:spacing w:after="0"/>
              <w:rPr>
                <w:sz w:val="17"/>
                <w:szCs w:val="17"/>
                <w:color w:val="auto"/>
              </w:rPr>
            </w:pPr>
          </w:p>
        </w:tc>
        <w:tc>
          <w:tcPr>
            <w:tcW w:w="6040" w:type="dxa"/>
            <w:vAlign w:val="bottom"/>
            <w:gridSpan w:val="14"/>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45">
              <w:r>
                <w:rPr>
                  <w:rFonts w:ascii="Arial" w:cs="Arial" w:eastAsia="Arial" w:hAnsi="Arial"/>
                  <w:sz w:val="17"/>
                  <w:szCs w:val="17"/>
                  <w:color w:val="0000EE"/>
                </w:rPr>
                <w:t>41</w:t>
              </w:r>
            </w:hyperlink>
          </w:p>
        </w:tc>
      </w:tr>
      <w:tr>
        <w:trPr>
          <w:trHeight w:val="20"/>
        </w:trPr>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10"/>
          </w:tcPr>
          <w:p>
            <w:pPr>
              <w:spacing w:after="0"/>
              <w:rPr>
                <w:rFonts w:ascii="Arial" w:cs="Arial" w:eastAsia="Arial" w:hAnsi="Arial"/>
                <w:sz w:val="17"/>
                <w:szCs w:val="17"/>
                <w:color w:val="0000EE"/>
                <w:w w:val="99"/>
              </w:rPr>
            </w:pPr>
            <w:hyperlink w:anchor="page45">
              <w:r>
                <w:rPr>
                  <w:rFonts w:ascii="Arial" w:cs="Arial" w:eastAsia="Arial" w:hAnsi="Arial"/>
                  <w:sz w:val="17"/>
                  <w:szCs w:val="17"/>
                  <w:color w:val="0000EE"/>
                  <w:w w:val="99"/>
                </w:rPr>
                <w:t>Summary Compensation Table</w:t>
              </w:r>
            </w:hyperlink>
          </w:p>
        </w:tc>
        <w:tc>
          <w:tcPr>
            <w:tcW w:w="100" w:type="dxa"/>
            <w:vAlign w:val="bottom"/>
          </w:tcPr>
          <w:p>
            <w:pPr>
              <w:spacing w:after="0"/>
              <w:rPr>
                <w:sz w:val="17"/>
                <w:szCs w:val="17"/>
                <w:color w:val="auto"/>
              </w:rPr>
            </w:pPr>
          </w:p>
        </w:tc>
        <w:tc>
          <w:tcPr>
            <w:tcW w:w="6140" w:type="dxa"/>
            <w:vAlign w:val="bottom"/>
            <w:gridSpan w:val="15"/>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45">
              <w:r>
                <w:rPr>
                  <w:rFonts w:ascii="Arial" w:cs="Arial" w:eastAsia="Arial" w:hAnsi="Arial"/>
                  <w:sz w:val="17"/>
                  <w:szCs w:val="17"/>
                  <w:color w:val="0000EE"/>
                </w:rPr>
                <w:t>41</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10"/>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Grants of Plan-Based Awards</w:t>
              </w:r>
            </w:hyperlink>
          </w:p>
        </w:tc>
        <w:tc>
          <w:tcPr>
            <w:tcW w:w="6240" w:type="dxa"/>
            <w:vAlign w:val="bottom"/>
            <w:gridSpan w:val="16"/>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47">
              <w:r>
                <w:rPr>
                  <w:rFonts w:ascii="Arial" w:cs="Arial" w:eastAsia="Arial" w:hAnsi="Arial"/>
                  <w:sz w:val="17"/>
                  <w:szCs w:val="17"/>
                  <w:color w:val="0000EE"/>
                </w:rPr>
                <w:t>43</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0" w:type="dxa"/>
            <w:vAlign w:val="bottom"/>
            <w:gridSpan w:val="26"/>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Outstanding Equity Awards at Fiscal Year-End</w:t>
              </w:r>
            </w:hyperlink>
          </w:p>
        </w:tc>
        <w:tc>
          <w:tcPr>
            <w:tcW w:w="380" w:type="dxa"/>
            <w:vAlign w:val="bottom"/>
            <w:gridSpan w:val="6"/>
          </w:tcPr>
          <w:p>
            <w:pPr>
              <w:jc w:val="right"/>
              <w:ind w:right="100"/>
              <w:spacing w:after="0"/>
              <w:rPr>
                <w:rFonts w:ascii="Arial" w:cs="Arial" w:eastAsia="Arial" w:hAnsi="Arial"/>
                <w:sz w:val="17"/>
                <w:szCs w:val="17"/>
                <w:color w:val="0000EE"/>
              </w:rPr>
            </w:pPr>
            <w:hyperlink w:anchor="page48">
              <w:r>
                <w:rPr>
                  <w:rFonts w:ascii="Arial" w:cs="Arial" w:eastAsia="Arial" w:hAnsi="Arial"/>
                  <w:sz w:val="17"/>
                  <w:szCs w:val="17"/>
                  <w:color w:val="0000EE"/>
                </w:rPr>
                <w:t>44</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13"/>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Option Exercises and Stock Vested</w:t>
              </w:r>
            </w:hyperlink>
          </w:p>
        </w:tc>
        <w:tc>
          <w:tcPr>
            <w:tcW w:w="820" w:type="dxa"/>
            <w:vAlign w:val="bottom"/>
            <w:gridSpan w:val="5"/>
          </w:tcPr>
          <w:p>
            <w:pPr>
              <w:spacing w:after="0"/>
              <w:rPr>
                <w:sz w:val="17"/>
                <w:szCs w:val="17"/>
                <w:color w:val="auto"/>
              </w:rPr>
            </w:pPr>
          </w:p>
        </w:tc>
        <w:tc>
          <w:tcPr>
            <w:tcW w:w="5080" w:type="dxa"/>
            <w:vAlign w:val="bottom"/>
            <w:gridSpan w:val="8"/>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49">
              <w:r>
                <w:rPr>
                  <w:rFonts w:ascii="Arial" w:cs="Arial" w:eastAsia="Arial" w:hAnsi="Arial"/>
                  <w:sz w:val="17"/>
                  <w:szCs w:val="17"/>
                  <w:color w:val="0000EE"/>
                </w:rPr>
                <w:t>45</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Pension Benefits</w:t>
              </w:r>
            </w:hyperlink>
          </w:p>
        </w:tc>
        <w:tc>
          <w:tcPr>
            <w:tcW w:w="1400" w:type="dxa"/>
            <w:vAlign w:val="bottom"/>
            <w:gridSpan w:val="10"/>
          </w:tcPr>
          <w:p>
            <w:pPr>
              <w:spacing w:after="0"/>
              <w:rPr>
                <w:sz w:val="17"/>
                <w:szCs w:val="17"/>
                <w:color w:val="auto"/>
              </w:rPr>
            </w:pPr>
          </w:p>
        </w:tc>
        <w:tc>
          <w:tcPr>
            <w:tcW w:w="5900" w:type="dxa"/>
            <w:vAlign w:val="bottom"/>
            <w:gridSpan w:val="13"/>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50">
              <w:r>
                <w:rPr>
                  <w:rFonts w:ascii="Arial" w:cs="Arial" w:eastAsia="Arial" w:hAnsi="Arial"/>
                  <w:sz w:val="17"/>
                  <w:szCs w:val="17"/>
                  <w:color w:val="0000EE"/>
                </w:rPr>
                <w:t>46</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14"/>
          </w:tcPr>
          <w:p>
            <w:pPr>
              <w:spacing w:after="0"/>
              <w:rPr>
                <w:rFonts w:ascii="Arial" w:cs="Arial" w:eastAsia="Arial" w:hAnsi="Arial"/>
                <w:sz w:val="17"/>
                <w:szCs w:val="17"/>
                <w:color w:val="0000EE"/>
                <w:w w:val="99"/>
              </w:rPr>
            </w:pPr>
            <w:hyperlink w:anchor="page52">
              <w:r>
                <w:rPr>
                  <w:rFonts w:ascii="Arial" w:cs="Arial" w:eastAsia="Arial" w:hAnsi="Arial"/>
                  <w:sz w:val="17"/>
                  <w:szCs w:val="17"/>
                  <w:color w:val="0000EE"/>
                  <w:w w:val="99"/>
                </w:rPr>
                <w:t>Nonqualified Deferred Compensation</w:t>
              </w:r>
            </w:hyperlink>
          </w:p>
        </w:tc>
        <w:tc>
          <w:tcPr>
            <w:tcW w:w="5780" w:type="dxa"/>
            <w:vAlign w:val="bottom"/>
            <w:gridSpan w:val="12"/>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52">
              <w:r>
                <w:rPr>
                  <w:rFonts w:ascii="Arial" w:cs="Arial" w:eastAsia="Arial" w:hAnsi="Arial"/>
                  <w:sz w:val="17"/>
                  <w:szCs w:val="17"/>
                  <w:color w:val="0000EE"/>
                </w:rPr>
                <w:t>48</w:t>
              </w:r>
            </w:hyperlink>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720" w:type="dxa"/>
            <w:vAlign w:val="bottom"/>
            <w:tcBorders>
              <w:left w:val="single" w:sz="8" w:color="0000EE"/>
            </w:tcBorders>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gridSpan w:val="20"/>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Potential Payments Upon Termination or Change-in-Control</w:t>
              </w:r>
            </w:hyperlink>
          </w:p>
        </w:tc>
        <w:tc>
          <w:tcPr>
            <w:tcW w:w="4060" w:type="dxa"/>
            <w:vAlign w:val="bottom"/>
            <w:gridSpan w:val="6"/>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53">
              <w:r>
                <w:rPr>
                  <w:rFonts w:ascii="Arial" w:cs="Arial" w:eastAsia="Arial" w:hAnsi="Arial"/>
                  <w:sz w:val="17"/>
                  <w:szCs w:val="17"/>
                  <w:color w:val="0000EE"/>
                </w:rPr>
                <w:t>49</w:t>
              </w:r>
            </w:hyperlink>
          </w:p>
        </w:tc>
      </w:tr>
      <w:tr>
        <w:trPr>
          <w:trHeight w:val="20"/>
        </w:trPr>
        <w:tc>
          <w:tcPr>
            <w:tcW w:w="180" w:type="dxa"/>
            <w:vAlign w:val="bottom"/>
            <w:gridSpan w:val="2"/>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720" w:type="dxa"/>
            <w:vAlign w:val="bottom"/>
            <w:tcBorders>
              <w:left w:val="single" w:sz="8" w:color="0000EE"/>
            </w:tcBorders>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780" w:type="dxa"/>
            <w:vAlign w:val="bottom"/>
            <w:gridSpan w:val="28"/>
          </w:tcPr>
          <w:p>
            <w:pPr>
              <w:ind w:left="20"/>
              <w:spacing w:after="0"/>
              <w:rPr>
                <w:rFonts w:ascii="Arial" w:cs="Arial" w:eastAsia="Arial" w:hAnsi="Arial"/>
                <w:sz w:val="17"/>
                <w:szCs w:val="17"/>
                <w:b w:val="1"/>
                <w:bCs w:val="1"/>
                <w:color w:val="0000EE"/>
              </w:rPr>
            </w:pPr>
            <w:hyperlink w:anchor="page57">
              <w:r>
                <w:rPr>
                  <w:rFonts w:ascii="Arial" w:cs="Arial" w:eastAsia="Arial" w:hAnsi="Arial"/>
                  <w:sz w:val="17"/>
                  <w:szCs w:val="17"/>
                  <w:b w:val="1"/>
                  <w:bCs w:val="1"/>
                  <w:color w:val="0000EE"/>
                </w:rPr>
                <w:t>CEO Pay Ratio</w:t>
              </w:r>
            </w:hyperlink>
          </w:p>
        </w:tc>
        <w:tc>
          <w:tcPr>
            <w:tcW w:w="380" w:type="dxa"/>
            <w:vAlign w:val="bottom"/>
            <w:gridSpan w:val="6"/>
          </w:tcPr>
          <w:p>
            <w:pPr>
              <w:jc w:val="right"/>
              <w:ind w:right="100"/>
              <w:spacing w:after="0"/>
              <w:rPr>
                <w:rFonts w:ascii="Arial" w:cs="Arial" w:eastAsia="Arial" w:hAnsi="Arial"/>
                <w:sz w:val="17"/>
                <w:szCs w:val="17"/>
                <w:color w:val="0000EE"/>
              </w:rPr>
            </w:pPr>
            <w:hyperlink w:anchor="page57">
              <w:r>
                <w:rPr>
                  <w:rFonts w:ascii="Arial" w:cs="Arial" w:eastAsia="Arial" w:hAnsi="Arial"/>
                  <w:sz w:val="17"/>
                  <w:szCs w:val="17"/>
                  <w:color w:val="0000EE"/>
                </w:rPr>
                <w:t>53</w:t>
              </w:r>
            </w:hyperlink>
          </w:p>
        </w:tc>
      </w:tr>
      <w:tr>
        <w:trPr>
          <w:trHeight w:val="70"/>
        </w:trPr>
        <w:tc>
          <w:tcPr>
            <w:tcW w:w="80" w:type="dxa"/>
            <w:vAlign w:val="bottom"/>
            <w:tcBorders>
              <w:top w:val="single" w:sz="8" w:color="0000EE"/>
              <w:bottom w:val="single" w:sz="8" w:color="00215D"/>
            </w:tcBorders>
          </w:tcPr>
          <w:p>
            <w:pPr>
              <w:spacing w:after="0"/>
              <w:rPr>
                <w:sz w:val="6"/>
                <w:szCs w:val="6"/>
                <w:color w:val="auto"/>
              </w:rPr>
            </w:pPr>
          </w:p>
        </w:tc>
        <w:tc>
          <w:tcPr>
            <w:tcW w:w="100" w:type="dxa"/>
            <w:vAlign w:val="bottom"/>
            <w:tcBorders>
              <w:top w:val="single" w:sz="8" w:color="0000EE"/>
              <w:bottom w:val="single" w:sz="8" w:color="00215D"/>
            </w:tcBorders>
          </w:tcPr>
          <w:p>
            <w:pPr>
              <w:spacing w:after="0"/>
              <w:rPr>
                <w:sz w:val="6"/>
                <w:szCs w:val="6"/>
                <w:color w:val="auto"/>
              </w:rPr>
            </w:pPr>
          </w:p>
        </w:tc>
        <w:tc>
          <w:tcPr>
            <w:tcW w:w="1060" w:type="dxa"/>
            <w:vAlign w:val="bottom"/>
            <w:tcBorders>
              <w:top w:val="single" w:sz="8" w:color="0000EE"/>
              <w:bottom w:val="single" w:sz="8" w:color="00215D"/>
            </w:tcBorders>
          </w:tcPr>
          <w:p>
            <w:pPr>
              <w:spacing w:after="0"/>
              <w:rPr>
                <w:sz w:val="6"/>
                <w:szCs w:val="6"/>
                <w:color w:val="auto"/>
              </w:rPr>
            </w:pPr>
          </w:p>
        </w:tc>
        <w:tc>
          <w:tcPr>
            <w:tcW w:w="14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20" w:type="dxa"/>
            <w:vAlign w:val="bottom"/>
            <w:tcBorders>
              <w:bottom w:val="single" w:sz="8" w:color="00215D"/>
            </w:tcBorders>
          </w:tcPr>
          <w:p>
            <w:pPr>
              <w:spacing w:after="0"/>
              <w:rPr>
                <w:sz w:val="6"/>
                <w:szCs w:val="6"/>
                <w:color w:val="auto"/>
              </w:rPr>
            </w:pPr>
          </w:p>
        </w:tc>
        <w:tc>
          <w:tcPr>
            <w:tcW w:w="420" w:type="dxa"/>
            <w:vAlign w:val="bottom"/>
            <w:tcBorders>
              <w:bottom w:val="single" w:sz="8" w:color="00215D"/>
            </w:tcBorders>
          </w:tcPr>
          <w:p>
            <w:pPr>
              <w:spacing w:after="0"/>
              <w:rPr>
                <w:sz w:val="6"/>
                <w:szCs w:val="6"/>
                <w:color w:val="auto"/>
              </w:rPr>
            </w:pPr>
          </w:p>
        </w:tc>
        <w:tc>
          <w:tcPr>
            <w:tcW w:w="80" w:type="dxa"/>
            <w:vAlign w:val="bottom"/>
            <w:tcBorders>
              <w:bottom w:val="single" w:sz="8" w:color="00215D"/>
            </w:tcBorders>
          </w:tcPr>
          <w:p>
            <w:pPr>
              <w:spacing w:after="0"/>
              <w:rPr>
                <w:sz w:val="6"/>
                <w:szCs w:val="6"/>
                <w:color w:val="auto"/>
              </w:rPr>
            </w:pPr>
          </w:p>
        </w:tc>
        <w:tc>
          <w:tcPr>
            <w:tcW w:w="200" w:type="dxa"/>
            <w:vAlign w:val="bottom"/>
            <w:tcBorders>
              <w:bottom w:val="single" w:sz="8" w:color="00215D"/>
            </w:tcBorders>
          </w:tcPr>
          <w:p>
            <w:pPr>
              <w:spacing w:after="0"/>
              <w:rPr>
                <w:sz w:val="6"/>
                <w:szCs w:val="6"/>
                <w:color w:val="auto"/>
              </w:rPr>
            </w:pPr>
          </w:p>
        </w:tc>
        <w:tc>
          <w:tcPr>
            <w:tcW w:w="14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40" w:type="dxa"/>
            <w:vAlign w:val="bottom"/>
            <w:tcBorders>
              <w:bottom w:val="single" w:sz="8" w:color="00215D"/>
            </w:tcBorders>
          </w:tcPr>
          <w:p>
            <w:pPr>
              <w:spacing w:after="0"/>
              <w:rPr>
                <w:sz w:val="6"/>
                <w:szCs w:val="6"/>
                <w:color w:val="auto"/>
              </w:rPr>
            </w:pPr>
          </w:p>
        </w:tc>
        <w:tc>
          <w:tcPr>
            <w:tcW w:w="120" w:type="dxa"/>
            <w:vAlign w:val="bottom"/>
            <w:tcBorders>
              <w:bottom w:val="single" w:sz="8" w:color="00215D"/>
            </w:tcBorders>
          </w:tcPr>
          <w:p>
            <w:pPr>
              <w:spacing w:after="0"/>
              <w:rPr>
                <w:sz w:val="6"/>
                <w:szCs w:val="6"/>
                <w:color w:val="auto"/>
              </w:rPr>
            </w:pPr>
          </w:p>
        </w:tc>
        <w:tc>
          <w:tcPr>
            <w:tcW w:w="28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380" w:type="dxa"/>
            <w:vAlign w:val="bottom"/>
            <w:tcBorders>
              <w:bottom w:val="single" w:sz="8" w:color="00215D"/>
            </w:tcBorders>
          </w:tcPr>
          <w:p>
            <w:pPr>
              <w:spacing w:after="0"/>
              <w:rPr>
                <w:sz w:val="6"/>
                <w:szCs w:val="6"/>
                <w:color w:val="auto"/>
              </w:rPr>
            </w:pPr>
          </w:p>
        </w:tc>
        <w:tc>
          <w:tcPr>
            <w:tcW w:w="640" w:type="dxa"/>
            <w:vAlign w:val="bottom"/>
            <w:tcBorders>
              <w:bottom w:val="single" w:sz="8" w:color="00215D"/>
            </w:tcBorders>
          </w:tcPr>
          <w:p>
            <w:pPr>
              <w:spacing w:after="0"/>
              <w:rPr>
                <w:sz w:val="6"/>
                <w:szCs w:val="6"/>
                <w:color w:val="auto"/>
              </w:rPr>
            </w:pPr>
          </w:p>
        </w:tc>
        <w:tc>
          <w:tcPr>
            <w:tcW w:w="300" w:type="dxa"/>
            <w:vAlign w:val="bottom"/>
            <w:tcBorders>
              <w:bottom w:val="single" w:sz="8" w:color="00215D"/>
            </w:tcBorders>
          </w:tcPr>
          <w:p>
            <w:pPr>
              <w:spacing w:after="0"/>
              <w:rPr>
                <w:sz w:val="6"/>
                <w:szCs w:val="6"/>
                <w:color w:val="auto"/>
              </w:rPr>
            </w:pPr>
          </w:p>
        </w:tc>
        <w:tc>
          <w:tcPr>
            <w:tcW w:w="80" w:type="dxa"/>
            <w:vAlign w:val="bottom"/>
            <w:tcBorders>
              <w:bottom w:val="single" w:sz="8" w:color="00215D"/>
            </w:tcBorders>
          </w:tcPr>
          <w:p>
            <w:pPr>
              <w:spacing w:after="0"/>
              <w:rPr>
                <w:sz w:val="6"/>
                <w:szCs w:val="6"/>
                <w:color w:val="auto"/>
              </w:rPr>
            </w:pPr>
          </w:p>
        </w:tc>
        <w:tc>
          <w:tcPr>
            <w:tcW w:w="160" w:type="dxa"/>
            <w:vAlign w:val="bottom"/>
            <w:tcBorders>
              <w:bottom w:val="single" w:sz="8" w:color="00215D"/>
            </w:tcBorders>
          </w:tcPr>
          <w:p>
            <w:pPr>
              <w:spacing w:after="0"/>
              <w:rPr>
                <w:sz w:val="6"/>
                <w:szCs w:val="6"/>
                <w:color w:val="auto"/>
              </w:rPr>
            </w:pPr>
          </w:p>
        </w:tc>
        <w:tc>
          <w:tcPr>
            <w:tcW w:w="420" w:type="dxa"/>
            <w:vAlign w:val="bottom"/>
            <w:tcBorders>
              <w:bottom w:val="single" w:sz="8" w:color="00215D"/>
            </w:tcBorders>
          </w:tcPr>
          <w:p>
            <w:pPr>
              <w:spacing w:after="0"/>
              <w:rPr>
                <w:sz w:val="6"/>
                <w:szCs w:val="6"/>
                <w:color w:val="auto"/>
              </w:rPr>
            </w:pPr>
          </w:p>
        </w:tc>
        <w:tc>
          <w:tcPr>
            <w:tcW w:w="220" w:type="dxa"/>
            <w:vAlign w:val="bottom"/>
            <w:tcBorders>
              <w:bottom w:val="single" w:sz="8" w:color="00215D"/>
            </w:tcBorders>
          </w:tcPr>
          <w:p>
            <w:pPr>
              <w:spacing w:after="0"/>
              <w:rPr>
                <w:sz w:val="6"/>
                <w:szCs w:val="6"/>
                <w:color w:val="auto"/>
              </w:rPr>
            </w:pPr>
          </w:p>
        </w:tc>
        <w:tc>
          <w:tcPr>
            <w:tcW w:w="2880" w:type="dxa"/>
            <w:vAlign w:val="bottom"/>
            <w:tcBorders>
              <w:bottom w:val="single" w:sz="8" w:color="00215D"/>
            </w:tcBorders>
          </w:tcPr>
          <w:p>
            <w:pPr>
              <w:spacing w:after="0"/>
              <w:rPr>
                <w:sz w:val="6"/>
                <w:szCs w:val="6"/>
                <w:color w:val="auto"/>
              </w:rPr>
            </w:pPr>
          </w:p>
        </w:tc>
        <w:tc>
          <w:tcPr>
            <w:tcW w:w="80" w:type="dxa"/>
            <w:vAlign w:val="bottom"/>
            <w:tcBorders>
              <w:bottom w:val="single" w:sz="8" w:color="00215D"/>
            </w:tcBorders>
          </w:tcPr>
          <w:p>
            <w:pPr>
              <w:spacing w:after="0"/>
              <w:rPr>
                <w:sz w:val="6"/>
                <w:szCs w:val="6"/>
                <w:color w:val="auto"/>
              </w:rPr>
            </w:pPr>
          </w:p>
        </w:tc>
        <w:tc>
          <w:tcPr>
            <w:tcW w:w="20" w:type="dxa"/>
            <w:vAlign w:val="bottom"/>
            <w:tcBorders>
              <w:bottom w:val="single" w:sz="8" w:color="00215D"/>
            </w:tcBorders>
          </w:tcPr>
          <w:p>
            <w:pPr>
              <w:spacing w:after="0"/>
              <w:rPr>
                <w:sz w:val="6"/>
                <w:szCs w:val="6"/>
                <w:color w:val="auto"/>
              </w:rPr>
            </w:pPr>
          </w:p>
        </w:tc>
        <w:tc>
          <w:tcPr>
            <w:tcW w:w="60" w:type="dxa"/>
            <w:vAlign w:val="bottom"/>
            <w:tcBorders>
              <w:top w:val="single" w:sz="8" w:color="0000EE"/>
              <w:bottom w:val="single" w:sz="8" w:color="00215D"/>
            </w:tcBorders>
          </w:tcPr>
          <w:p>
            <w:pPr>
              <w:spacing w:after="0"/>
              <w:rPr>
                <w:sz w:val="6"/>
                <w:szCs w:val="6"/>
                <w:color w:val="auto"/>
              </w:rPr>
            </w:pPr>
          </w:p>
        </w:tc>
        <w:tc>
          <w:tcPr>
            <w:tcW w:w="20" w:type="dxa"/>
            <w:vAlign w:val="bottom"/>
            <w:tcBorders>
              <w:top w:val="single" w:sz="8" w:color="0000EE"/>
              <w:bottom w:val="single" w:sz="8" w:color="00215D"/>
            </w:tcBorders>
          </w:tcPr>
          <w:p>
            <w:pPr>
              <w:spacing w:after="0"/>
              <w:rPr>
                <w:sz w:val="6"/>
                <w:szCs w:val="6"/>
                <w:color w:val="auto"/>
              </w:rPr>
            </w:pPr>
          </w:p>
        </w:tc>
        <w:tc>
          <w:tcPr>
            <w:tcW w:w="100" w:type="dxa"/>
            <w:vAlign w:val="bottom"/>
            <w:tcBorders>
              <w:top w:val="single" w:sz="8" w:color="0000EE"/>
              <w:bottom w:val="single" w:sz="8" w:color="00215D"/>
            </w:tcBorders>
          </w:tcPr>
          <w:p>
            <w:pPr>
              <w:spacing w:after="0"/>
              <w:rPr>
                <w:sz w:val="6"/>
                <w:szCs w:val="6"/>
                <w:color w:val="auto"/>
              </w:rPr>
            </w:pPr>
          </w:p>
        </w:tc>
        <w:tc>
          <w:tcPr>
            <w:tcW w:w="100" w:type="dxa"/>
            <w:vAlign w:val="bottom"/>
            <w:tcBorders>
              <w:bottom w:val="single" w:sz="8" w:color="00215D"/>
            </w:tcBorders>
          </w:tcPr>
          <w:p>
            <w:pPr>
              <w:spacing w:after="0"/>
              <w:rPr>
                <w:sz w:val="6"/>
                <w:szCs w:val="6"/>
                <w:color w:val="auto"/>
              </w:rPr>
            </w:pPr>
          </w:p>
        </w:tc>
      </w:tr>
      <w:tr>
        <w:trPr>
          <w:trHeight w:val="174"/>
        </w:trPr>
        <w:tc>
          <w:tcPr>
            <w:tcW w:w="80" w:type="dxa"/>
            <w:vAlign w:val="bottom"/>
            <w:tcBorders>
              <w:left w:val="single" w:sz="8" w:color="00215D"/>
            </w:tcBorders>
          </w:tcPr>
          <w:p>
            <w:pPr>
              <w:spacing w:after="0"/>
              <w:rPr>
                <w:sz w:val="15"/>
                <w:szCs w:val="15"/>
                <w:color w:val="auto"/>
              </w:rPr>
            </w:pPr>
          </w:p>
        </w:tc>
        <w:tc>
          <w:tcPr>
            <w:tcW w:w="8700" w:type="dxa"/>
            <w:vAlign w:val="bottom"/>
            <w:gridSpan w:val="27"/>
          </w:tcPr>
          <w:p>
            <w:pPr>
              <w:spacing w:after="0" w:line="174" w:lineRule="exact"/>
              <w:rPr>
                <w:rFonts w:ascii="Arial" w:cs="Arial" w:eastAsia="Arial" w:hAnsi="Arial"/>
                <w:sz w:val="17"/>
                <w:szCs w:val="17"/>
                <w:b w:val="1"/>
                <w:bCs w:val="1"/>
                <w:color w:val="0000EE"/>
              </w:rPr>
            </w:pPr>
            <w:hyperlink w:anchor="page58">
              <w:r>
                <w:rPr>
                  <w:rFonts w:ascii="Arial" w:cs="Arial" w:eastAsia="Arial" w:hAnsi="Arial"/>
                  <w:sz w:val="17"/>
                  <w:szCs w:val="17"/>
                  <w:b w:val="1"/>
                  <w:bCs w:val="1"/>
                  <w:color w:val="0000EE"/>
                </w:rPr>
                <w:t>Proposal 3: Ratification of Appointment of Deloitte &amp; Touche</w:t>
              </w:r>
            </w:hyperlink>
          </w:p>
        </w:tc>
        <w:tc>
          <w:tcPr>
            <w:tcW w:w="280" w:type="dxa"/>
            <w:vAlign w:val="bottom"/>
            <w:gridSpan w:val="5"/>
          </w:tcPr>
          <w:p>
            <w:pPr>
              <w:jc w:val="right"/>
              <w:ind w:right="20"/>
              <w:spacing w:after="0" w:line="174" w:lineRule="exact"/>
              <w:rPr>
                <w:rFonts w:ascii="Arial" w:cs="Arial" w:eastAsia="Arial" w:hAnsi="Arial"/>
                <w:sz w:val="17"/>
                <w:szCs w:val="17"/>
                <w:color w:val="0000EE"/>
              </w:rPr>
            </w:pPr>
            <w:hyperlink w:anchor="page58">
              <w:r>
                <w:rPr>
                  <w:rFonts w:ascii="Arial" w:cs="Arial" w:eastAsia="Arial" w:hAnsi="Arial"/>
                  <w:sz w:val="17"/>
                  <w:szCs w:val="17"/>
                  <w:color w:val="0000EE"/>
                </w:rPr>
                <w:t>54</w:t>
              </w:r>
            </w:hyperlink>
          </w:p>
        </w:tc>
        <w:tc>
          <w:tcPr>
            <w:tcW w:w="100" w:type="dxa"/>
            <w:vAlign w:val="bottom"/>
            <w:tcBorders>
              <w:right w:val="single" w:sz="8" w:color="00215D"/>
            </w:tcBorders>
          </w:tcPr>
          <w:p>
            <w:pPr>
              <w:spacing w:after="0"/>
              <w:rPr>
                <w:sz w:val="15"/>
                <w:szCs w:val="15"/>
                <w:color w:val="auto"/>
              </w:rPr>
            </w:pPr>
          </w:p>
        </w:tc>
      </w:tr>
      <w:tr>
        <w:trPr>
          <w:trHeight w:val="20"/>
        </w:trPr>
        <w:tc>
          <w:tcPr>
            <w:tcW w:w="80" w:type="dxa"/>
            <w:vAlign w:val="bottom"/>
            <w:tcBorders>
              <w:left w:val="single" w:sz="8" w:color="00215D"/>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6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20" w:type="dxa"/>
            <w:vAlign w:val="bottom"/>
            <w:tcBorders>
              <w:top w:val="single" w:sz="8" w:color="0000EE"/>
              <w:bottom w:val="single" w:sz="8" w:color="00215D"/>
            </w:tcBorders>
          </w:tcPr>
          <w:p>
            <w:pPr>
              <w:spacing w:after="0" w:line="20" w:lineRule="exact"/>
              <w:rPr>
                <w:sz w:val="1"/>
                <w:szCs w:val="1"/>
                <w:color w:val="auto"/>
              </w:rPr>
            </w:pPr>
          </w:p>
        </w:tc>
        <w:tc>
          <w:tcPr>
            <w:tcW w:w="420" w:type="dxa"/>
            <w:vAlign w:val="bottom"/>
            <w:tcBorders>
              <w:top w:val="single" w:sz="8" w:color="0000EE"/>
              <w:bottom w:val="single" w:sz="8" w:color="00215D"/>
            </w:tcBorders>
          </w:tcPr>
          <w:p>
            <w:pPr>
              <w:spacing w:after="0" w:line="20" w:lineRule="exact"/>
              <w:rPr>
                <w:sz w:val="1"/>
                <w:szCs w:val="1"/>
                <w:color w:val="auto"/>
              </w:rPr>
            </w:pPr>
          </w:p>
        </w:tc>
        <w:tc>
          <w:tcPr>
            <w:tcW w:w="80" w:type="dxa"/>
            <w:vAlign w:val="bottom"/>
            <w:tcBorders>
              <w:top w:val="single" w:sz="8" w:color="0000EE"/>
              <w:bottom w:val="single" w:sz="8" w:color="00215D"/>
            </w:tcBorders>
          </w:tcPr>
          <w:p>
            <w:pPr>
              <w:spacing w:after="0" w:line="20" w:lineRule="exact"/>
              <w:rPr>
                <w:sz w:val="1"/>
                <w:szCs w:val="1"/>
                <w:color w:val="auto"/>
              </w:rPr>
            </w:pPr>
          </w:p>
        </w:tc>
        <w:tc>
          <w:tcPr>
            <w:tcW w:w="20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40" w:type="dxa"/>
            <w:vAlign w:val="bottom"/>
            <w:tcBorders>
              <w:top w:val="single" w:sz="8" w:color="0000EE"/>
              <w:bottom w:val="single" w:sz="8" w:color="00215D"/>
            </w:tcBorders>
          </w:tcPr>
          <w:p>
            <w:pPr>
              <w:spacing w:after="0" w:line="20" w:lineRule="exact"/>
              <w:rPr>
                <w:sz w:val="1"/>
                <w:szCs w:val="1"/>
                <w:color w:val="auto"/>
              </w:rPr>
            </w:pPr>
          </w:p>
        </w:tc>
        <w:tc>
          <w:tcPr>
            <w:tcW w:w="120" w:type="dxa"/>
            <w:vAlign w:val="bottom"/>
            <w:tcBorders>
              <w:top w:val="single" w:sz="8" w:color="0000EE"/>
              <w:bottom w:val="single" w:sz="8" w:color="00215D"/>
            </w:tcBorders>
          </w:tcPr>
          <w:p>
            <w:pPr>
              <w:spacing w:after="0" w:line="20" w:lineRule="exact"/>
              <w:rPr>
                <w:sz w:val="1"/>
                <w:szCs w:val="1"/>
                <w:color w:val="auto"/>
              </w:rPr>
            </w:pPr>
          </w:p>
        </w:tc>
        <w:tc>
          <w:tcPr>
            <w:tcW w:w="280" w:type="dxa"/>
            <w:vAlign w:val="bottom"/>
            <w:tcBorders>
              <w:top w:val="single" w:sz="8" w:color="0000EE"/>
              <w:bottom w:val="single" w:sz="8" w:color="00215D"/>
            </w:tcBorders>
          </w:tcPr>
          <w:p>
            <w:pPr>
              <w:spacing w:after="0" w:line="20" w:lineRule="exact"/>
              <w:rPr>
                <w:sz w:val="1"/>
                <w:szCs w:val="1"/>
                <w:color w:val="auto"/>
              </w:rPr>
            </w:pPr>
          </w:p>
        </w:tc>
        <w:tc>
          <w:tcPr>
            <w:tcW w:w="16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60" w:type="dxa"/>
            <w:vAlign w:val="bottom"/>
            <w:tcBorders>
              <w:top w:val="single" w:sz="8" w:color="0000EE"/>
              <w:bottom w:val="single" w:sz="8" w:color="00215D"/>
            </w:tcBorders>
          </w:tcPr>
          <w:p>
            <w:pPr>
              <w:spacing w:after="0" w:line="20" w:lineRule="exact"/>
              <w:rPr>
                <w:sz w:val="1"/>
                <w:szCs w:val="1"/>
                <w:color w:val="auto"/>
              </w:rPr>
            </w:pPr>
          </w:p>
        </w:tc>
        <w:tc>
          <w:tcPr>
            <w:tcW w:w="380" w:type="dxa"/>
            <w:vAlign w:val="bottom"/>
            <w:tcBorders>
              <w:top w:val="single" w:sz="8" w:color="0000EE"/>
              <w:bottom w:val="single" w:sz="8" w:color="00215D"/>
            </w:tcBorders>
          </w:tcPr>
          <w:p>
            <w:pPr>
              <w:spacing w:after="0" w:line="20" w:lineRule="exact"/>
              <w:rPr>
                <w:sz w:val="1"/>
                <w:szCs w:val="1"/>
                <w:color w:val="auto"/>
              </w:rPr>
            </w:pPr>
          </w:p>
        </w:tc>
        <w:tc>
          <w:tcPr>
            <w:tcW w:w="640" w:type="dxa"/>
            <w:vAlign w:val="bottom"/>
            <w:tcBorders>
              <w:top w:val="single" w:sz="8" w:color="0000EE"/>
              <w:bottom w:val="single" w:sz="8" w:color="00215D"/>
            </w:tcBorders>
          </w:tcPr>
          <w:p>
            <w:pPr>
              <w:spacing w:after="0" w:line="20" w:lineRule="exact"/>
              <w:rPr>
                <w:sz w:val="1"/>
                <w:szCs w:val="1"/>
                <w:color w:val="auto"/>
              </w:rPr>
            </w:pPr>
          </w:p>
        </w:tc>
        <w:tc>
          <w:tcPr>
            <w:tcW w:w="300" w:type="dxa"/>
            <w:vAlign w:val="bottom"/>
            <w:tcBorders>
              <w:top w:val="single" w:sz="8" w:color="0000EE"/>
              <w:bottom w:val="single" w:sz="8" w:color="00215D"/>
            </w:tcBorders>
          </w:tcPr>
          <w:p>
            <w:pPr>
              <w:spacing w:after="0" w:line="20" w:lineRule="exact"/>
              <w:rPr>
                <w:sz w:val="1"/>
                <w:szCs w:val="1"/>
                <w:color w:val="auto"/>
              </w:rPr>
            </w:pPr>
          </w:p>
        </w:tc>
        <w:tc>
          <w:tcPr>
            <w:tcW w:w="80" w:type="dxa"/>
            <w:vAlign w:val="bottom"/>
            <w:tcBorders>
              <w:bottom w:val="single" w:sz="8" w:color="00215D"/>
            </w:tcBorders>
          </w:tcPr>
          <w:p>
            <w:pPr>
              <w:spacing w:after="0" w:line="20" w:lineRule="exact"/>
              <w:rPr>
                <w:sz w:val="1"/>
                <w:szCs w:val="1"/>
                <w:color w:val="auto"/>
              </w:rPr>
            </w:pPr>
          </w:p>
        </w:tc>
        <w:tc>
          <w:tcPr>
            <w:tcW w:w="160" w:type="dxa"/>
            <w:vAlign w:val="bottom"/>
            <w:tcBorders>
              <w:bottom w:val="single" w:sz="8" w:color="00215D"/>
            </w:tcBorders>
          </w:tcPr>
          <w:p>
            <w:pPr>
              <w:spacing w:after="0" w:line="20" w:lineRule="exact"/>
              <w:rPr>
                <w:sz w:val="1"/>
                <w:szCs w:val="1"/>
                <w:color w:val="auto"/>
              </w:rPr>
            </w:pPr>
          </w:p>
        </w:tc>
        <w:tc>
          <w:tcPr>
            <w:tcW w:w="420" w:type="dxa"/>
            <w:vAlign w:val="bottom"/>
            <w:tcBorders>
              <w:bottom w:val="single" w:sz="8" w:color="00215D"/>
            </w:tcBorders>
          </w:tcPr>
          <w:p>
            <w:pPr>
              <w:spacing w:after="0" w:line="20" w:lineRule="exact"/>
              <w:rPr>
                <w:sz w:val="1"/>
                <w:szCs w:val="1"/>
                <w:color w:val="auto"/>
              </w:rPr>
            </w:pPr>
          </w:p>
        </w:tc>
        <w:tc>
          <w:tcPr>
            <w:tcW w:w="220" w:type="dxa"/>
            <w:vAlign w:val="bottom"/>
            <w:tcBorders>
              <w:bottom w:val="single" w:sz="8" w:color="00215D"/>
            </w:tcBorders>
          </w:tcPr>
          <w:p>
            <w:pPr>
              <w:spacing w:after="0" w:line="20" w:lineRule="exact"/>
              <w:rPr>
                <w:sz w:val="1"/>
                <w:szCs w:val="1"/>
                <w:color w:val="auto"/>
              </w:rPr>
            </w:pPr>
          </w:p>
        </w:tc>
        <w:tc>
          <w:tcPr>
            <w:tcW w:w="2880" w:type="dxa"/>
            <w:vAlign w:val="bottom"/>
            <w:tcBorders>
              <w:bottom w:val="single" w:sz="8" w:color="00215D"/>
            </w:tcBorders>
          </w:tcPr>
          <w:p>
            <w:pPr>
              <w:spacing w:after="0" w:line="20" w:lineRule="exact"/>
              <w:rPr>
                <w:sz w:val="1"/>
                <w:szCs w:val="1"/>
                <w:color w:val="auto"/>
              </w:rPr>
            </w:pPr>
          </w:p>
        </w:tc>
        <w:tc>
          <w:tcPr>
            <w:tcW w:w="80" w:type="dxa"/>
            <w:vAlign w:val="bottom"/>
            <w:tcBorders>
              <w:bottom w:val="single" w:sz="8" w:color="00215D"/>
            </w:tcBorders>
          </w:tcPr>
          <w:p>
            <w:pPr>
              <w:spacing w:after="0" w:line="20" w:lineRule="exact"/>
              <w:rPr>
                <w:sz w:val="1"/>
                <w:szCs w:val="1"/>
                <w:color w:val="auto"/>
              </w:rPr>
            </w:pPr>
          </w:p>
        </w:tc>
        <w:tc>
          <w:tcPr>
            <w:tcW w:w="20" w:type="dxa"/>
            <w:vAlign w:val="bottom"/>
            <w:tcBorders>
              <w:top w:val="single" w:sz="8" w:color="0000EE"/>
              <w:bottom w:val="single" w:sz="8" w:color="00215D"/>
            </w:tcBorders>
          </w:tcPr>
          <w:p>
            <w:pPr>
              <w:spacing w:after="0" w:line="20" w:lineRule="exact"/>
              <w:rPr>
                <w:sz w:val="1"/>
                <w:szCs w:val="1"/>
                <w:color w:val="auto"/>
              </w:rPr>
            </w:pPr>
          </w:p>
        </w:tc>
        <w:tc>
          <w:tcPr>
            <w:tcW w:w="60" w:type="dxa"/>
            <w:vAlign w:val="bottom"/>
            <w:tcBorders>
              <w:top w:val="single" w:sz="8" w:color="0000EE"/>
              <w:bottom w:val="single" w:sz="8" w:color="00215D"/>
            </w:tcBorders>
          </w:tcPr>
          <w:p>
            <w:pPr>
              <w:spacing w:after="0" w:line="20" w:lineRule="exact"/>
              <w:rPr>
                <w:sz w:val="1"/>
                <w:szCs w:val="1"/>
                <w:color w:val="auto"/>
              </w:rPr>
            </w:pPr>
          </w:p>
        </w:tc>
        <w:tc>
          <w:tcPr>
            <w:tcW w:w="2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top w:val="single" w:sz="8" w:color="0000EE"/>
              <w:bottom w:val="single" w:sz="8" w:color="00215D"/>
            </w:tcBorders>
          </w:tcPr>
          <w:p>
            <w:pPr>
              <w:spacing w:after="0" w:line="20" w:lineRule="exact"/>
              <w:rPr>
                <w:sz w:val="1"/>
                <w:szCs w:val="1"/>
                <w:color w:val="auto"/>
              </w:rPr>
            </w:pPr>
          </w:p>
        </w:tc>
        <w:tc>
          <w:tcPr>
            <w:tcW w:w="100" w:type="dxa"/>
            <w:vAlign w:val="bottom"/>
            <w:tcBorders>
              <w:bottom w:val="single" w:sz="8" w:color="00215D"/>
              <w:right w:val="single" w:sz="8" w:color="00215D"/>
            </w:tcBorders>
          </w:tcPr>
          <w:p>
            <w:pPr>
              <w:spacing w:after="0" w:line="20" w:lineRule="exact"/>
              <w:rPr>
                <w:sz w:val="1"/>
                <w:szCs w:val="1"/>
                <w:color w:val="auto"/>
              </w:rPr>
            </w:pPr>
          </w:p>
        </w:tc>
      </w:tr>
      <w:tr>
        <w:trPr>
          <w:trHeight w:val="224"/>
        </w:trPr>
        <w:tc>
          <w:tcPr>
            <w:tcW w:w="8780" w:type="dxa"/>
            <w:vAlign w:val="bottom"/>
            <w:gridSpan w:val="28"/>
          </w:tcPr>
          <w:p>
            <w:pPr>
              <w:ind w:left="20"/>
              <w:spacing w:after="0"/>
              <w:rPr>
                <w:rFonts w:ascii="Arial" w:cs="Arial" w:eastAsia="Arial" w:hAnsi="Arial"/>
                <w:sz w:val="17"/>
                <w:szCs w:val="17"/>
                <w:b w:val="1"/>
                <w:bCs w:val="1"/>
                <w:color w:val="0000EE"/>
              </w:rPr>
            </w:pPr>
            <w:hyperlink w:anchor="page58">
              <w:r>
                <w:rPr>
                  <w:rFonts w:ascii="Arial" w:cs="Arial" w:eastAsia="Arial" w:hAnsi="Arial"/>
                  <w:sz w:val="17"/>
                  <w:szCs w:val="17"/>
                  <w:b w:val="1"/>
                  <w:bCs w:val="1"/>
                  <w:color w:val="0000EE"/>
                </w:rPr>
                <w:t>Information Regarding Audit Matters</w:t>
              </w:r>
            </w:hyperlink>
          </w:p>
        </w:tc>
        <w:tc>
          <w:tcPr>
            <w:tcW w:w="380" w:type="dxa"/>
            <w:vAlign w:val="bottom"/>
            <w:gridSpan w:val="6"/>
          </w:tcPr>
          <w:p>
            <w:pPr>
              <w:jc w:val="right"/>
              <w:ind w:right="100"/>
              <w:spacing w:after="0"/>
              <w:rPr>
                <w:rFonts w:ascii="Arial" w:cs="Arial" w:eastAsia="Arial" w:hAnsi="Arial"/>
                <w:sz w:val="17"/>
                <w:szCs w:val="17"/>
                <w:color w:val="0000EE"/>
              </w:rPr>
            </w:pPr>
            <w:hyperlink w:anchor="page58">
              <w:r>
                <w:rPr>
                  <w:rFonts w:ascii="Arial" w:cs="Arial" w:eastAsia="Arial" w:hAnsi="Arial"/>
                  <w:sz w:val="17"/>
                  <w:szCs w:val="17"/>
                  <w:color w:val="0000EE"/>
                </w:rPr>
                <w:t>54</w:t>
              </w:r>
            </w:hyperlink>
          </w:p>
        </w:tc>
      </w:tr>
      <w:tr>
        <w:trPr>
          <w:trHeight w:val="20"/>
        </w:trPr>
        <w:tc>
          <w:tcPr>
            <w:tcW w:w="2000" w:type="dxa"/>
            <w:vAlign w:val="bottom"/>
            <w:tcBorders>
              <w:left w:val="single" w:sz="8" w:color="0000EE"/>
            </w:tcBorders>
            <w:gridSpan w:val="8"/>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000" w:type="dxa"/>
            <w:vAlign w:val="bottom"/>
            <w:gridSpan w:val="8"/>
          </w:tcPr>
          <w:p>
            <w:pPr>
              <w:ind w:left="20"/>
              <w:spacing w:after="0"/>
              <w:rPr>
                <w:rFonts w:ascii="Arial" w:cs="Arial" w:eastAsia="Arial" w:hAnsi="Arial"/>
                <w:sz w:val="17"/>
                <w:szCs w:val="17"/>
                <w:b w:val="1"/>
                <w:bCs w:val="1"/>
                <w:color w:val="0000EE"/>
              </w:rPr>
            </w:pPr>
            <w:hyperlink w:anchor="page60">
              <w:r>
                <w:rPr>
                  <w:rFonts w:ascii="Arial" w:cs="Arial" w:eastAsia="Arial" w:hAnsi="Arial"/>
                  <w:sz w:val="17"/>
                  <w:szCs w:val="17"/>
                  <w:b w:val="1"/>
                  <w:bCs w:val="1"/>
                  <w:color w:val="0000EE"/>
                </w:rPr>
                <w:t>Audit Committee Report</w:t>
              </w:r>
            </w:hyperlink>
          </w:p>
        </w:tc>
        <w:tc>
          <w:tcPr>
            <w:tcW w:w="1000" w:type="dxa"/>
            <w:vAlign w:val="bottom"/>
            <w:gridSpan w:val="8"/>
          </w:tcPr>
          <w:p>
            <w:pPr>
              <w:spacing w:after="0"/>
              <w:rPr>
                <w:sz w:val="17"/>
                <w:szCs w:val="17"/>
                <w:color w:val="auto"/>
              </w:rPr>
            </w:pPr>
          </w:p>
        </w:tc>
        <w:tc>
          <w:tcPr>
            <w:tcW w:w="5780" w:type="dxa"/>
            <w:vAlign w:val="bottom"/>
            <w:gridSpan w:val="12"/>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60">
              <w:r>
                <w:rPr>
                  <w:rFonts w:ascii="Arial" w:cs="Arial" w:eastAsia="Arial" w:hAnsi="Arial"/>
                  <w:sz w:val="17"/>
                  <w:szCs w:val="17"/>
                  <w:color w:val="0000EE"/>
                </w:rPr>
                <w:t>56</w:t>
              </w:r>
            </w:hyperlink>
          </w:p>
        </w:tc>
      </w:tr>
      <w:tr>
        <w:trPr>
          <w:trHeight w:val="20"/>
        </w:trPr>
        <w:tc>
          <w:tcPr>
            <w:tcW w:w="2000" w:type="dxa"/>
            <w:vAlign w:val="bottom"/>
            <w:tcBorders>
              <w:left w:val="single" w:sz="8" w:color="0000EE"/>
            </w:tcBorders>
            <w:gridSpan w:val="8"/>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780" w:type="dxa"/>
            <w:vAlign w:val="bottom"/>
            <w:gridSpan w:val="28"/>
          </w:tcPr>
          <w:p>
            <w:pPr>
              <w:ind w:left="20"/>
              <w:spacing w:after="0"/>
              <w:rPr>
                <w:rFonts w:ascii="Arial" w:cs="Arial" w:eastAsia="Arial" w:hAnsi="Arial"/>
                <w:sz w:val="17"/>
                <w:szCs w:val="17"/>
                <w:b w:val="1"/>
                <w:bCs w:val="1"/>
                <w:color w:val="0000EE"/>
              </w:rPr>
            </w:pPr>
            <w:hyperlink w:anchor="page62">
              <w:r>
                <w:rPr>
                  <w:rFonts w:ascii="Arial" w:cs="Arial" w:eastAsia="Arial" w:hAnsi="Arial"/>
                  <w:sz w:val="17"/>
                  <w:szCs w:val="17"/>
                  <w:b w:val="1"/>
                  <w:bCs w:val="1"/>
                  <w:color w:val="0000EE"/>
                </w:rPr>
                <w:t>Security Ownership of Directors, Management and Beneficial Owners</w:t>
              </w:r>
            </w:hyperlink>
          </w:p>
        </w:tc>
        <w:tc>
          <w:tcPr>
            <w:tcW w:w="380" w:type="dxa"/>
            <w:vAlign w:val="bottom"/>
            <w:gridSpan w:val="6"/>
          </w:tcPr>
          <w:p>
            <w:pPr>
              <w:jc w:val="right"/>
              <w:ind w:right="100"/>
              <w:spacing w:after="0"/>
              <w:rPr>
                <w:rFonts w:ascii="Arial" w:cs="Arial" w:eastAsia="Arial" w:hAnsi="Arial"/>
                <w:sz w:val="17"/>
                <w:szCs w:val="17"/>
                <w:color w:val="0000EE"/>
              </w:rPr>
            </w:pPr>
            <w:hyperlink w:anchor="page62">
              <w:r>
                <w:rPr>
                  <w:rFonts w:ascii="Arial" w:cs="Arial" w:eastAsia="Arial" w:hAnsi="Arial"/>
                  <w:sz w:val="17"/>
                  <w:szCs w:val="17"/>
                  <w:color w:val="0000EE"/>
                </w:rPr>
                <w:t>58</w:t>
              </w:r>
            </w:hyperlink>
          </w:p>
        </w:tc>
      </w:tr>
      <w:tr>
        <w:trPr>
          <w:trHeight w:val="20"/>
        </w:trPr>
        <w:tc>
          <w:tcPr>
            <w:tcW w:w="2340" w:type="dxa"/>
            <w:vAlign w:val="bottom"/>
            <w:tcBorders>
              <w:left w:val="single" w:sz="8" w:color="0000EE"/>
            </w:tcBorders>
            <w:gridSpan w:val="10"/>
            <w:shd w:val="clear" w:color="auto" w:fill="0000EE"/>
          </w:tcPr>
          <w:p>
            <w:pPr>
              <w:spacing w:after="0" w:line="20" w:lineRule="exact"/>
              <w:rPr>
                <w:sz w:val="1"/>
                <w:szCs w:val="1"/>
                <w:color w:val="auto"/>
              </w:rPr>
            </w:pPr>
          </w:p>
        </w:tc>
        <w:tc>
          <w:tcPr>
            <w:tcW w:w="2760" w:type="dxa"/>
            <w:vAlign w:val="bottom"/>
            <w:gridSpan w:val="1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5680" w:type="dxa"/>
            <w:vAlign w:val="bottom"/>
            <w:gridSpan w:val="26"/>
          </w:tcPr>
          <w:p>
            <w:pPr>
              <w:ind w:left="20"/>
              <w:spacing w:after="0"/>
              <w:rPr>
                <w:rFonts w:ascii="Arial" w:cs="Arial" w:eastAsia="Arial" w:hAnsi="Arial"/>
                <w:sz w:val="17"/>
                <w:szCs w:val="17"/>
                <w:b w:val="1"/>
                <w:bCs w:val="1"/>
                <w:color w:val="0000EE"/>
              </w:rPr>
            </w:pPr>
            <w:hyperlink w:anchor="page64">
              <w:r>
                <w:rPr>
                  <w:rFonts w:ascii="Arial" w:cs="Arial" w:eastAsia="Arial" w:hAnsi="Arial"/>
                  <w:sz w:val="17"/>
                  <w:szCs w:val="17"/>
                  <w:b w:val="1"/>
                  <w:bCs w:val="1"/>
                  <w:color w:val="0000EE"/>
                </w:rPr>
                <w:t>Frequently Asked Questions</w:t>
              </w:r>
            </w:hyperlink>
          </w:p>
        </w:tc>
        <w:tc>
          <w:tcPr>
            <w:tcW w:w="3100" w:type="dxa"/>
            <w:vAlign w:val="bottom"/>
            <w:gridSpan w:val="2"/>
          </w:tcPr>
          <w:p>
            <w:pPr>
              <w:spacing w:after="0"/>
              <w:rPr>
                <w:sz w:val="17"/>
                <w:szCs w:val="17"/>
                <w:color w:val="auto"/>
              </w:rPr>
            </w:pPr>
          </w:p>
        </w:tc>
        <w:tc>
          <w:tcPr>
            <w:tcW w:w="380" w:type="dxa"/>
            <w:vAlign w:val="bottom"/>
            <w:gridSpan w:val="6"/>
          </w:tcPr>
          <w:p>
            <w:pPr>
              <w:jc w:val="right"/>
              <w:ind w:right="100"/>
              <w:spacing w:after="0"/>
              <w:rPr>
                <w:rFonts w:ascii="Arial" w:cs="Arial" w:eastAsia="Arial" w:hAnsi="Arial"/>
                <w:sz w:val="17"/>
                <w:szCs w:val="17"/>
                <w:color w:val="0000EE"/>
              </w:rPr>
            </w:pPr>
            <w:hyperlink w:anchor="page64">
              <w:r>
                <w:rPr>
                  <w:rFonts w:ascii="Arial" w:cs="Arial" w:eastAsia="Arial" w:hAnsi="Arial"/>
                  <w:sz w:val="17"/>
                  <w:szCs w:val="17"/>
                  <w:color w:val="0000EE"/>
                </w:rPr>
                <w:t>60</w:t>
              </w:r>
            </w:hyperlink>
          </w:p>
        </w:tc>
      </w:tr>
      <w:tr>
        <w:trPr>
          <w:trHeight w:val="20"/>
        </w:trPr>
        <w:tc>
          <w:tcPr>
            <w:tcW w:w="2340" w:type="dxa"/>
            <w:vAlign w:val="bottom"/>
            <w:tcBorders>
              <w:left w:val="single" w:sz="8" w:color="0000EE"/>
            </w:tcBorders>
            <w:gridSpan w:val="10"/>
            <w:shd w:val="clear" w:color="auto" w:fill="0000EE"/>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780" w:type="dxa"/>
            <w:vAlign w:val="bottom"/>
            <w:gridSpan w:val="28"/>
          </w:tcPr>
          <w:p>
            <w:pPr>
              <w:ind w:left="20"/>
              <w:spacing w:after="0"/>
              <w:rPr>
                <w:rFonts w:ascii="Arial" w:cs="Arial" w:eastAsia="Arial" w:hAnsi="Arial"/>
                <w:sz w:val="17"/>
                <w:szCs w:val="17"/>
                <w:b w:val="1"/>
                <w:bCs w:val="1"/>
                <w:color w:val="0000EE"/>
              </w:rPr>
            </w:pPr>
            <w:hyperlink w:anchor="page68">
              <w:r>
                <w:rPr>
                  <w:rFonts w:ascii="Arial" w:cs="Arial" w:eastAsia="Arial" w:hAnsi="Arial"/>
                  <w:sz w:val="17"/>
                  <w:szCs w:val="17"/>
                  <w:b w:val="1"/>
                  <w:bCs w:val="1"/>
                  <w:color w:val="0000EE"/>
                </w:rPr>
                <w:t xml:space="preserve">Appendix A </w:t>
              </w:r>
              <w:r>
                <w:rPr>
                  <w:rFonts w:ascii="Arial" w:cs="Arial" w:eastAsia="Arial" w:hAnsi="Arial"/>
                  <w:sz w:val="17"/>
                  <w:szCs w:val="17"/>
                  <w:color w:val="0000EE"/>
                </w:rPr>
                <w:t>– GAAP to Non-GAAP Financial Metric Reconciliation</w:t>
              </w:r>
            </w:hyperlink>
          </w:p>
        </w:tc>
        <w:tc>
          <w:tcPr>
            <w:tcW w:w="380" w:type="dxa"/>
            <w:vAlign w:val="bottom"/>
            <w:gridSpan w:val="6"/>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A-1</w:t>
              </w:r>
            </w:hyperlink>
          </w:p>
        </w:tc>
      </w:tr>
      <w:tr>
        <w:trPr>
          <w:trHeight w:val="20"/>
        </w:trPr>
        <w:tc>
          <w:tcPr>
            <w:tcW w:w="5100" w:type="dxa"/>
            <w:vAlign w:val="bottom"/>
            <w:tcBorders>
              <w:left w:val="single" w:sz="8" w:color="0000EE"/>
            </w:tcBorders>
            <w:gridSpan w:val="24"/>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8780" w:type="dxa"/>
            <w:vAlign w:val="bottom"/>
            <w:gridSpan w:val="28"/>
          </w:tcPr>
          <w:p>
            <w:pPr>
              <w:ind w:left="20"/>
              <w:spacing w:after="0"/>
              <w:rPr>
                <w:rFonts w:ascii="Arial" w:cs="Arial" w:eastAsia="Arial" w:hAnsi="Arial"/>
                <w:sz w:val="17"/>
                <w:szCs w:val="17"/>
                <w:b w:val="1"/>
                <w:bCs w:val="1"/>
                <w:color w:val="0000EE"/>
              </w:rPr>
            </w:pPr>
            <w:hyperlink w:anchor="page69">
              <w:r>
                <w:rPr>
                  <w:rFonts w:ascii="Arial" w:cs="Arial" w:eastAsia="Arial" w:hAnsi="Arial"/>
                  <w:sz w:val="17"/>
                  <w:szCs w:val="17"/>
                  <w:b w:val="1"/>
                  <w:bCs w:val="1"/>
                  <w:color w:val="0000EE"/>
                </w:rPr>
                <w:t xml:space="preserve">Appendix B </w:t>
              </w:r>
              <w:r>
                <w:rPr>
                  <w:rFonts w:ascii="Arial" w:cs="Arial" w:eastAsia="Arial" w:hAnsi="Arial"/>
                  <w:sz w:val="17"/>
                  <w:szCs w:val="17"/>
                  <w:color w:val="0000EE"/>
                </w:rPr>
                <w:t>– Information Regarding Legacy Change-in-Control Agreements</w:t>
              </w:r>
            </w:hyperlink>
          </w:p>
        </w:tc>
        <w:tc>
          <w:tcPr>
            <w:tcW w:w="380" w:type="dxa"/>
            <w:vAlign w:val="bottom"/>
            <w:gridSpan w:val="6"/>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B-1</w:t>
              </w:r>
            </w:hyperlink>
          </w:p>
        </w:tc>
      </w:tr>
      <w:tr>
        <w:trPr>
          <w:trHeight w:val="458"/>
        </w:trPr>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65"/>
        </w:trPr>
        <w:tc>
          <w:tcPr>
            <w:tcW w:w="80" w:type="dxa"/>
            <w:vAlign w:val="bottom"/>
            <w:tcBorders>
              <w:lef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6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80" w:type="dxa"/>
            <w:vAlign w:val="bottom"/>
            <w:tcBorders>
              <w:lef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8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-5193030</wp:posOffset>
            </wp:positionV>
            <wp:extent cx="1181735" cy="246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1735" cy="246380"/>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84455</wp:posOffset>
            </wp:positionV>
            <wp:extent cx="2362835" cy="483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6283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Evergy, Inc.</w:t>
      </w:r>
    </w:p>
    <w:p>
      <w:pPr>
        <w:jc w:val="center"/>
        <w:ind w:right="20"/>
        <w:spacing w:after="0" w:line="222" w:lineRule="auto"/>
        <w:rPr>
          <w:sz w:val="20"/>
          <w:szCs w:val="20"/>
          <w:color w:val="auto"/>
        </w:rPr>
      </w:pPr>
      <w:r>
        <w:rPr>
          <w:rFonts w:ascii="Arial" w:cs="Arial" w:eastAsia="Arial" w:hAnsi="Arial"/>
          <w:sz w:val="17"/>
          <w:szCs w:val="17"/>
          <w:color w:val="auto"/>
        </w:rPr>
        <w:t>One Kansas City Place</w:t>
      </w:r>
    </w:p>
    <w:p>
      <w:pPr>
        <w:jc w:val="center"/>
        <w:ind w:right="20"/>
        <w:spacing w:after="0" w:line="222" w:lineRule="auto"/>
        <w:rPr>
          <w:sz w:val="20"/>
          <w:szCs w:val="20"/>
          <w:color w:val="auto"/>
        </w:rPr>
      </w:pPr>
      <w:r>
        <w:rPr>
          <w:rFonts w:ascii="Arial" w:cs="Arial" w:eastAsia="Arial" w:hAnsi="Arial"/>
          <w:sz w:val="17"/>
          <w:szCs w:val="17"/>
          <w:color w:val="auto"/>
        </w:rPr>
        <w:t>1200 Main Street</w:t>
      </w:r>
    </w:p>
    <w:p>
      <w:pPr>
        <w:jc w:val="center"/>
        <w:ind w:right="20"/>
        <w:spacing w:after="0"/>
        <w:rPr>
          <w:sz w:val="20"/>
          <w:szCs w:val="20"/>
          <w:color w:val="auto"/>
        </w:rPr>
      </w:pPr>
      <w:r>
        <w:rPr>
          <w:rFonts w:ascii="Arial" w:cs="Arial" w:eastAsia="Arial" w:hAnsi="Arial"/>
          <w:sz w:val="17"/>
          <w:szCs w:val="17"/>
          <w:color w:val="auto"/>
        </w:rPr>
        <w:t>Kansas City, Missouri 64105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808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5808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p>
      <w:pPr>
        <w:spacing w:after="0" w:line="29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Tuesday, May 5, 2020</w:t>
      </w:r>
    </w:p>
    <w:p>
      <w:pPr>
        <w:spacing w:after="0" w:line="48" w:lineRule="exact"/>
        <w:rPr>
          <w:sz w:val="20"/>
          <w:szCs w:val="20"/>
          <w:color w:val="auto"/>
        </w:rPr>
      </w:pPr>
    </w:p>
    <w:p>
      <w:pPr>
        <w:sectPr>
          <w:pgSz w:w="11900" w:h="16838" w:orient="portrait"/>
          <w:cols w:equalWidth="0" w:num="2">
            <w:col w:w="2980" w:space="500"/>
            <w:col w:w="5660"/>
          </w:cols>
          <w:pgMar w:left="1380" w:top="272" w:right="1379" w:bottom="1440" w:gutter="0" w:footer="0" w:header="0"/>
          <w:type w:val="continuous"/>
        </w:sectPr>
      </w:pPr>
    </w:p>
    <w:p>
      <w:pPr>
        <w:ind w:left="2560"/>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10:00 a.m. (Central Daylight Time)</w:t>
      </w:r>
    </w:p>
    <w:p>
      <w:pPr>
        <w:spacing w:after="0" w:line="35" w:lineRule="exact"/>
        <w:rPr>
          <w:sz w:val="20"/>
          <w:szCs w:val="20"/>
          <w:color w:val="auto"/>
        </w:rPr>
      </w:pPr>
    </w:p>
    <w:p>
      <w:pPr>
        <w:sectPr>
          <w:pgSz w:w="11900" w:h="16838" w:orient="portrait"/>
          <w:cols w:equalWidth="0" w:num="2">
            <w:col w:w="3000" w:space="480"/>
            <w:col w:w="5660"/>
          </w:cols>
          <w:pgMar w:left="1380" w:top="272" w:right="1379" w:bottom="1440" w:gutter="0" w:footer="0" w:header="0"/>
          <w:type w:val="continuous"/>
        </w:sectPr>
      </w:pPr>
    </w:p>
    <w:p>
      <w:pPr>
        <w:spacing w:after="0" w:line="2"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Cedar Point Training Facility</w:t>
      </w:r>
    </w:p>
    <w:p>
      <w:pPr>
        <w:spacing w:after="0" w:line="237" w:lineRule="auto"/>
        <w:rPr>
          <w:sz w:val="20"/>
          <w:szCs w:val="20"/>
          <w:color w:val="auto"/>
        </w:rPr>
      </w:pPr>
      <w:r>
        <w:rPr>
          <w:rFonts w:ascii="Arial" w:cs="Arial" w:eastAsia="Arial" w:hAnsi="Arial"/>
          <w:sz w:val="17"/>
          <w:szCs w:val="17"/>
          <w:color w:val="auto"/>
        </w:rPr>
        <w:t>10058 Raytown Road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Kansas City, Missouri 64134</w:t>
      </w:r>
    </w:p>
    <w:p>
      <w:pPr>
        <w:spacing w:after="0" w:line="183" w:lineRule="exact"/>
        <w:rPr>
          <w:sz w:val="20"/>
          <w:szCs w:val="20"/>
          <w:color w:val="auto"/>
        </w:rPr>
      </w:pPr>
    </w:p>
    <w:p>
      <w:pPr>
        <w:sectPr>
          <w:pgSz w:w="11900" w:h="16838" w:orient="portrait"/>
          <w:cols w:equalWidth="0" w:num="2">
            <w:col w:w="3040" w:space="440"/>
            <w:col w:w="5660"/>
          </w:cols>
          <w:pgMar w:left="1380" w:top="272" w:right="137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124"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This proxy statement, the accompanying proxy card and our 2019 Annual Report are made available to, and mailed, beginning on or about March 20, 2020, to holders of our common stock for the solicitation of proxies by our Board of Directors (“Board”) for the 2020 annual meeting of shareholders (the “2020 Annual Meeting”). Shareholders of record at the close of business on February 25, 2020, are entitled to notice of, and to vote at, the 2020 Annual Meeting or any adjournment thereof. The Board encourages you to read this document carefully and take this opportunity to vote on the matters to be decided at the 2020 Annual Meeting.</w:t>
      </w:r>
    </w:p>
    <w:p>
      <w:pPr>
        <w:spacing w:after="0" w:line="93" w:lineRule="exact"/>
        <w:rPr>
          <w:sz w:val="20"/>
          <w:szCs w:val="20"/>
          <w:color w:val="auto"/>
        </w:rPr>
      </w:pPr>
    </w:p>
    <w:p>
      <w:pPr>
        <w:jc w:val="both"/>
        <w:ind w:right="20" w:firstLine="172"/>
        <w:spacing w:after="0" w:line="269" w:lineRule="auto"/>
        <w:rPr>
          <w:sz w:val="20"/>
          <w:szCs w:val="20"/>
          <w:color w:val="auto"/>
        </w:rPr>
      </w:pPr>
      <w:r>
        <w:rPr>
          <w:rFonts w:ascii="Arial" w:cs="Arial" w:eastAsia="Arial" w:hAnsi="Arial"/>
          <w:sz w:val="17"/>
          <w:szCs w:val="17"/>
          <w:color w:val="auto"/>
        </w:rPr>
        <w:t>In this proxy statement, we refer to Evergy, Inc. as “we,” “us,” “our,” “Company,” or “Evergy,” unless the context clearly indicates otherwise.</w:t>
      </w:r>
    </w:p>
    <w:p>
      <w:pPr>
        <w:spacing w:after="0" w:line="40"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15875</wp:posOffset>
            </wp:positionV>
            <wp:extent cx="1386840" cy="42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86840" cy="42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Heather A. Humphrey</w:t>
      </w:r>
    </w:p>
    <w:p>
      <w:pPr>
        <w:ind w:left="4580"/>
        <w:spacing w:after="0" w:line="237" w:lineRule="auto"/>
        <w:rPr>
          <w:sz w:val="20"/>
          <w:szCs w:val="20"/>
          <w:color w:val="auto"/>
        </w:rPr>
      </w:pPr>
      <w:r>
        <w:rPr>
          <w:rFonts w:ascii="Arial" w:cs="Arial" w:eastAsia="Arial" w:hAnsi="Arial"/>
          <w:sz w:val="17"/>
          <w:szCs w:val="17"/>
          <w:i w:val="1"/>
          <w:iCs w:val="1"/>
          <w:color w:val="auto"/>
        </w:rPr>
        <w:t>Senior Vice President, General Counsel and</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7"/>
          <w:szCs w:val="17"/>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5808980" cy="1944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08980" cy="1944370"/>
                    </a:xfrm>
                    <a:prstGeom prst="rect">
                      <a:avLst/>
                    </a:prstGeom>
                    <a:noFill/>
                  </pic:spPr>
                </pic:pic>
              </a:graphicData>
            </a:graphic>
          </wp:anchor>
        </w:drawing>
      </w:r>
    </w:p>
    <w:p>
      <w:pPr>
        <w:spacing w:after="0" w:line="288" w:lineRule="exact"/>
        <w:rPr>
          <w:sz w:val="20"/>
          <w:szCs w:val="20"/>
          <w:color w:val="auto"/>
        </w:rPr>
      </w:pPr>
    </w:p>
    <w:p>
      <w:pPr>
        <w:jc w:val="both"/>
        <w:ind w:left="60" w:right="80"/>
        <w:spacing w:after="0"/>
        <w:rPr>
          <w:sz w:val="20"/>
          <w:szCs w:val="20"/>
          <w:color w:val="auto"/>
        </w:rPr>
      </w:pPr>
      <w:r>
        <w:rPr>
          <w:rFonts w:ascii="Arial" w:cs="Arial" w:eastAsia="Arial" w:hAnsi="Arial"/>
          <w:sz w:val="17"/>
          <w:szCs w:val="17"/>
          <w:color w:val="auto"/>
        </w:rPr>
        <w:t xml:space="preserve">We intend to hold our annual meeting in person. However, we are actively monitoring the coronavirus (COVID-19) and we are sensitive to the public health and travel concerns our shareholders may have and the protocols that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monitor our investor relations website at </w:t>
      </w:r>
      <w:r>
        <w:rPr>
          <w:rFonts w:ascii="Arial" w:cs="Arial" w:eastAsia="Arial" w:hAnsi="Arial"/>
          <w:sz w:val="17"/>
          <w:szCs w:val="17"/>
          <w:i w:val="1"/>
          <w:iCs w:val="1"/>
          <w:color w:val="auto"/>
        </w:rPr>
        <w:t xml:space="preserve">evergyinc.com </w:t>
      </w:r>
      <w:r>
        <w:rPr>
          <w:rFonts w:ascii="Arial" w:cs="Arial" w:eastAsia="Arial" w:hAnsi="Arial"/>
          <w:sz w:val="17"/>
          <w:szCs w:val="17"/>
          <w:color w:val="auto"/>
        </w:rPr>
        <w:t>for updated information. If you are planning to attend our meeting, please check the website one week</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meeting date. As always, we encourage you to vote your shares prior to the annual meeting.</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Important Notice Regarding the Availability of Proxy Materials for the Shareholder</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Meeting to Be Held on May 5, 2020:</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This proxy statement and our 2019 Annual Report are available at</w:t>
      </w:r>
    </w:p>
    <w:p>
      <w:pPr>
        <w:jc w:val="center"/>
        <w:ind w:right="-139"/>
        <w:spacing w:after="0"/>
        <w:rPr>
          <w:sz w:val="20"/>
          <w:szCs w:val="20"/>
          <w:color w:val="auto"/>
        </w:rPr>
      </w:pPr>
      <w:r>
        <w:rPr>
          <w:rFonts w:ascii="Arial" w:cs="Arial" w:eastAsia="Arial" w:hAnsi="Arial"/>
          <w:sz w:val="17"/>
          <w:szCs w:val="17"/>
          <w:b w:val="1"/>
          <w:bCs w:val="1"/>
          <w:i w:val="1"/>
          <w:iCs w:val="1"/>
          <w:color w:val="auto"/>
        </w:rPr>
        <w:t>https://materials.proxyvote.com/30034W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286385</wp:posOffset>
            </wp:positionV>
            <wp:extent cx="5808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3280" w:val="left"/>
        </w:tabs>
        <w:rPr>
          <w:sz w:val="20"/>
          <w:szCs w:val="20"/>
          <w:color w:val="auto"/>
        </w:rPr>
      </w:pPr>
      <w:r>
        <w:rPr>
          <w:rFonts w:ascii="Arial" w:cs="Arial" w:eastAsia="Arial" w:hAnsi="Arial"/>
          <w:sz w:val="14"/>
          <w:szCs w:val="14"/>
          <w:b w:val="1"/>
          <w:bCs w:val="1"/>
          <w:color w:val="307CC0"/>
        </w:rPr>
        <w:t>Notice of Annual Meeting of Shareholders</w:t>
      </w:r>
      <w:r>
        <w:rPr>
          <w:sz w:val="20"/>
          <w:szCs w:val="20"/>
          <w:color w:val="auto"/>
        </w:rPr>
        <w:tab/>
      </w:r>
      <w:r>
        <w:rPr>
          <w:rFonts w:ascii="Arial" w:cs="Arial" w:eastAsia="Arial" w:hAnsi="Arial"/>
          <w:sz w:val="13"/>
          <w:szCs w:val="13"/>
          <w:b w:val="1"/>
          <w:bCs w:val="1"/>
          <w:color w:val="7F7F7F"/>
        </w:rPr>
        <w:t xml:space="preserve">Proxy Statement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5838190" cy="7118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8190" cy="71183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Proxy Statement Summary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This section is a summary, and you should read the entire proxy statement before voting.</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Voting Matters and Board Recommendations</w:t>
      </w:r>
    </w:p>
    <w:p>
      <w:pPr>
        <w:spacing w:after="0" w:line="61"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360" w:type="dxa"/>
            <w:vAlign w:val="bottom"/>
            <w:shd w:val="clear" w:color="auto" w:fill="307CC0"/>
          </w:tcPr>
          <w:p>
            <w:pPr>
              <w:spacing w:after="0"/>
              <w:rPr>
                <w:sz w:val="16"/>
                <w:szCs w:val="16"/>
                <w:color w:val="auto"/>
              </w:rPr>
            </w:pPr>
          </w:p>
        </w:tc>
        <w:tc>
          <w:tcPr>
            <w:tcW w:w="5060" w:type="dxa"/>
            <w:vAlign w:val="bottom"/>
            <w:shd w:val="clear" w:color="auto" w:fill="307CC0"/>
          </w:tcPr>
          <w:p>
            <w:pPr>
              <w:spacing w:after="0"/>
              <w:rPr>
                <w:sz w:val="16"/>
                <w:szCs w:val="16"/>
                <w:color w:val="auto"/>
              </w:rPr>
            </w:pPr>
          </w:p>
        </w:tc>
        <w:tc>
          <w:tcPr>
            <w:tcW w:w="1160" w:type="dxa"/>
            <w:vAlign w:val="bottom"/>
            <w:shd w:val="clear" w:color="auto" w:fill="307CC0"/>
          </w:tcPr>
          <w:p>
            <w:pPr>
              <w:spacing w:after="0"/>
              <w:rPr>
                <w:sz w:val="16"/>
                <w:szCs w:val="16"/>
                <w:color w:val="auto"/>
              </w:rPr>
            </w:pPr>
          </w:p>
        </w:tc>
        <w:tc>
          <w:tcPr>
            <w:tcW w:w="1700" w:type="dxa"/>
            <w:vAlign w:val="bottom"/>
            <w:shd w:val="clear" w:color="auto" w:fill="307CC0"/>
          </w:tcPr>
          <w:p>
            <w:pPr>
              <w:jc w:val="center"/>
              <w:spacing w:after="0"/>
              <w:rPr>
                <w:sz w:val="20"/>
                <w:szCs w:val="20"/>
                <w:color w:val="auto"/>
              </w:rPr>
            </w:pPr>
            <w:r>
              <w:rPr>
                <w:rFonts w:ascii="Arial" w:cs="Arial" w:eastAsia="Arial" w:hAnsi="Arial"/>
                <w:sz w:val="17"/>
                <w:szCs w:val="17"/>
                <w:b w:val="1"/>
                <w:bCs w:val="1"/>
                <w:color w:val="FFFFFF"/>
                <w:w w:val="99"/>
              </w:rPr>
              <w:t>Board Vote</w:t>
            </w:r>
          </w:p>
        </w:tc>
        <w:tc>
          <w:tcPr>
            <w:tcW w:w="260" w:type="dxa"/>
            <w:vAlign w:val="bottom"/>
            <w:shd w:val="clear" w:color="auto" w:fill="307CC0"/>
          </w:tcPr>
          <w:p>
            <w:pPr>
              <w:spacing w:after="0"/>
              <w:rPr>
                <w:sz w:val="16"/>
                <w:szCs w:val="16"/>
                <w:color w:val="auto"/>
              </w:rPr>
            </w:pPr>
          </w:p>
        </w:tc>
        <w:tc>
          <w:tcPr>
            <w:tcW w:w="40" w:type="dxa"/>
            <w:vAlign w:val="bottom"/>
            <w:shd w:val="clear" w:color="auto" w:fill="307CC0"/>
          </w:tcPr>
          <w:p>
            <w:pPr>
              <w:spacing w:after="0"/>
              <w:rPr>
                <w:sz w:val="16"/>
                <w:szCs w:val="16"/>
                <w:color w:val="auto"/>
              </w:rPr>
            </w:pPr>
          </w:p>
        </w:tc>
        <w:tc>
          <w:tcPr>
            <w:tcW w:w="100" w:type="dxa"/>
            <w:vAlign w:val="bottom"/>
            <w:shd w:val="clear" w:color="auto" w:fill="307CC0"/>
          </w:tcPr>
          <w:p>
            <w:pPr>
              <w:spacing w:after="0"/>
              <w:rPr>
                <w:sz w:val="16"/>
                <w:szCs w:val="16"/>
                <w:color w:val="auto"/>
              </w:rPr>
            </w:pPr>
          </w:p>
        </w:tc>
        <w:tc>
          <w:tcPr>
            <w:tcW w:w="40" w:type="dxa"/>
            <w:vAlign w:val="bottom"/>
            <w:shd w:val="clear" w:color="auto" w:fill="307CC0"/>
          </w:tcPr>
          <w:p>
            <w:pPr>
              <w:spacing w:after="0"/>
              <w:rPr>
                <w:sz w:val="16"/>
                <w:szCs w:val="16"/>
                <w:color w:val="auto"/>
              </w:rPr>
            </w:pPr>
          </w:p>
        </w:tc>
        <w:tc>
          <w:tcPr>
            <w:tcW w:w="220" w:type="dxa"/>
            <w:vAlign w:val="bottom"/>
            <w:shd w:val="clear" w:color="auto" w:fill="307CC0"/>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307CC0"/>
          </w:tcPr>
          <w:p>
            <w:pPr>
              <w:spacing w:after="0"/>
              <w:rPr>
                <w:sz w:val="19"/>
                <w:szCs w:val="19"/>
                <w:color w:val="auto"/>
              </w:rPr>
            </w:pPr>
          </w:p>
        </w:tc>
        <w:tc>
          <w:tcPr>
            <w:tcW w:w="5060" w:type="dxa"/>
            <w:vAlign w:val="bottom"/>
            <w:shd w:val="clear" w:color="auto" w:fill="307CC0"/>
          </w:tcPr>
          <w:p>
            <w:pPr>
              <w:ind w:left="2400"/>
              <w:spacing w:after="0"/>
              <w:rPr>
                <w:sz w:val="20"/>
                <w:szCs w:val="20"/>
                <w:color w:val="auto"/>
              </w:rPr>
            </w:pPr>
            <w:r>
              <w:rPr>
                <w:rFonts w:ascii="Arial" w:cs="Arial" w:eastAsia="Arial" w:hAnsi="Arial"/>
                <w:sz w:val="17"/>
                <w:szCs w:val="17"/>
                <w:b w:val="1"/>
                <w:bCs w:val="1"/>
                <w:color w:val="FFFFFF"/>
              </w:rPr>
              <w:t>Agenda Item</w:t>
            </w:r>
          </w:p>
        </w:tc>
        <w:tc>
          <w:tcPr>
            <w:tcW w:w="1160" w:type="dxa"/>
            <w:vAlign w:val="bottom"/>
            <w:shd w:val="clear" w:color="auto" w:fill="307CC0"/>
          </w:tcPr>
          <w:p>
            <w:pPr>
              <w:spacing w:after="0"/>
              <w:rPr>
                <w:sz w:val="19"/>
                <w:szCs w:val="19"/>
                <w:color w:val="auto"/>
              </w:rPr>
            </w:pPr>
          </w:p>
        </w:tc>
        <w:tc>
          <w:tcPr>
            <w:tcW w:w="1700" w:type="dxa"/>
            <w:vAlign w:val="bottom"/>
            <w:shd w:val="clear" w:color="auto" w:fill="307CC0"/>
          </w:tcPr>
          <w:p>
            <w:pPr>
              <w:jc w:val="center"/>
              <w:spacing w:after="0"/>
              <w:rPr>
                <w:sz w:val="20"/>
                <w:szCs w:val="20"/>
                <w:color w:val="auto"/>
              </w:rPr>
            </w:pPr>
            <w:r>
              <w:rPr>
                <w:rFonts w:ascii="Arial" w:cs="Arial" w:eastAsia="Arial" w:hAnsi="Arial"/>
                <w:sz w:val="17"/>
                <w:szCs w:val="17"/>
                <w:b w:val="1"/>
                <w:bCs w:val="1"/>
                <w:color w:val="FFFFFF"/>
              </w:rPr>
              <w:t>Recommendation</w:t>
            </w:r>
          </w:p>
        </w:tc>
        <w:tc>
          <w:tcPr>
            <w:tcW w:w="660" w:type="dxa"/>
            <w:vAlign w:val="bottom"/>
            <w:gridSpan w:val="5"/>
            <w:shd w:val="clear" w:color="auto" w:fill="307CC0"/>
          </w:tcPr>
          <w:p>
            <w:pPr>
              <w:ind w:left="140"/>
              <w:spacing w:after="0"/>
              <w:rPr>
                <w:sz w:val="20"/>
                <w:szCs w:val="20"/>
                <w:color w:val="auto"/>
              </w:rPr>
            </w:pPr>
            <w:r>
              <w:rPr>
                <w:rFonts w:ascii="Arial" w:cs="Arial" w:eastAsia="Arial" w:hAnsi="Arial"/>
                <w:sz w:val="17"/>
                <w:szCs w:val="17"/>
                <w:b w:val="1"/>
                <w:bCs w:val="1"/>
                <w:color w:val="FFFFFF"/>
              </w:rPr>
              <w:t>Page</w:t>
            </w:r>
          </w:p>
        </w:tc>
        <w:tc>
          <w:tcPr>
            <w:tcW w:w="0" w:type="dxa"/>
            <w:vAlign w:val="bottom"/>
          </w:tcPr>
          <w:p>
            <w:pPr>
              <w:spacing w:after="0"/>
              <w:rPr>
                <w:sz w:val="1"/>
                <w:szCs w:val="1"/>
                <w:color w:val="auto"/>
              </w:rPr>
            </w:pPr>
          </w:p>
        </w:tc>
      </w:tr>
      <w:tr>
        <w:trPr>
          <w:trHeight w:val="184"/>
        </w:trPr>
        <w:tc>
          <w:tcPr>
            <w:tcW w:w="5420" w:type="dxa"/>
            <w:vAlign w:val="bottom"/>
            <w:gridSpan w:val="2"/>
            <w:vMerge w:val="restart"/>
          </w:tcPr>
          <w:p>
            <w:pPr>
              <w:ind w:left="100"/>
              <w:spacing w:after="0"/>
              <w:rPr>
                <w:sz w:val="20"/>
                <w:szCs w:val="20"/>
                <w:color w:val="auto"/>
              </w:rPr>
            </w:pPr>
            <w:r>
              <w:rPr>
                <w:rFonts w:ascii="Arial" w:cs="Arial" w:eastAsia="Arial" w:hAnsi="Arial"/>
                <w:sz w:val="17"/>
                <w:szCs w:val="17"/>
                <w:color w:val="auto"/>
              </w:rPr>
              <w:t>1:   Elect the nominees named in the proxy statement as directors</w:t>
            </w:r>
          </w:p>
        </w:tc>
        <w:tc>
          <w:tcPr>
            <w:tcW w:w="1160" w:type="dxa"/>
            <w:vAlign w:val="bottom"/>
          </w:tcPr>
          <w:p>
            <w:pPr>
              <w:spacing w:after="0"/>
              <w:rPr>
                <w:sz w:val="15"/>
                <w:szCs w:val="15"/>
                <w:color w:val="auto"/>
              </w:rPr>
            </w:pPr>
          </w:p>
        </w:tc>
        <w:tc>
          <w:tcPr>
            <w:tcW w:w="170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rPr>
              <w:t>FOR each</w:t>
            </w:r>
          </w:p>
        </w:tc>
        <w:tc>
          <w:tcPr>
            <w:tcW w:w="440" w:type="dxa"/>
            <w:vAlign w:val="bottom"/>
            <w:gridSpan w:val="4"/>
            <w:vMerge w:val="restart"/>
          </w:tcPr>
          <w:p>
            <w:pPr>
              <w:jc w:val="center"/>
              <w:ind w:left="174"/>
              <w:spacing w:after="0"/>
              <w:rPr>
                <w:rFonts w:ascii="Arial" w:cs="Arial" w:eastAsia="Arial" w:hAnsi="Arial"/>
                <w:sz w:val="17"/>
                <w:szCs w:val="17"/>
                <w:color w:val="0000EE"/>
              </w:rPr>
            </w:pPr>
            <w:hyperlink w:anchor="page10">
              <w:r>
                <w:rPr>
                  <w:rFonts w:ascii="Arial" w:cs="Arial" w:eastAsia="Arial" w:hAnsi="Arial"/>
                  <w:sz w:val="17"/>
                  <w:szCs w:val="17"/>
                  <w:color w:val="0000EE"/>
                </w:rPr>
                <w:t>6</w:t>
              </w:r>
            </w:hyperlink>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542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17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nominee</w:t>
            </w:r>
          </w:p>
        </w:tc>
        <w:tc>
          <w:tcPr>
            <w:tcW w:w="44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Borders>
              <w:bottom w:val="single" w:sz="8" w:color="307CC0"/>
            </w:tcBorders>
          </w:tcPr>
          <w:p>
            <w:pPr>
              <w:spacing w:after="0"/>
              <w:rPr>
                <w:sz w:val="10"/>
                <w:szCs w:val="10"/>
                <w:color w:val="auto"/>
              </w:rPr>
            </w:pPr>
          </w:p>
        </w:tc>
        <w:tc>
          <w:tcPr>
            <w:tcW w:w="5060" w:type="dxa"/>
            <w:vAlign w:val="bottom"/>
            <w:tcBorders>
              <w:bottom w:val="single" w:sz="8" w:color="307CC0"/>
            </w:tcBorders>
          </w:tcPr>
          <w:p>
            <w:pPr>
              <w:spacing w:after="0"/>
              <w:rPr>
                <w:sz w:val="10"/>
                <w:szCs w:val="10"/>
                <w:color w:val="auto"/>
              </w:rPr>
            </w:pPr>
          </w:p>
        </w:tc>
        <w:tc>
          <w:tcPr>
            <w:tcW w:w="1160" w:type="dxa"/>
            <w:vAlign w:val="bottom"/>
            <w:tcBorders>
              <w:bottom w:val="single" w:sz="8" w:color="307CC0"/>
            </w:tcBorders>
          </w:tcPr>
          <w:p>
            <w:pPr>
              <w:spacing w:after="0"/>
              <w:rPr>
                <w:sz w:val="10"/>
                <w:szCs w:val="10"/>
                <w:color w:val="auto"/>
              </w:rPr>
            </w:pPr>
          </w:p>
        </w:tc>
        <w:tc>
          <w:tcPr>
            <w:tcW w:w="1700" w:type="dxa"/>
            <w:vAlign w:val="bottom"/>
            <w:tcBorders>
              <w:bottom w:val="single" w:sz="8" w:color="307CC0"/>
            </w:tcBorders>
            <w:vMerge w:val="continue"/>
          </w:tcPr>
          <w:p>
            <w:pPr>
              <w:spacing w:after="0"/>
              <w:rPr>
                <w:sz w:val="10"/>
                <w:szCs w:val="10"/>
                <w:color w:val="auto"/>
              </w:rPr>
            </w:pPr>
          </w:p>
        </w:tc>
        <w:tc>
          <w:tcPr>
            <w:tcW w:w="260" w:type="dxa"/>
            <w:vAlign w:val="bottom"/>
            <w:tcBorders>
              <w:bottom w:val="single" w:sz="8" w:color="307CC0"/>
            </w:tcBorders>
          </w:tcPr>
          <w:p>
            <w:pPr>
              <w:spacing w:after="0"/>
              <w:rPr>
                <w:sz w:val="10"/>
                <w:szCs w:val="10"/>
                <w:color w:val="auto"/>
              </w:rPr>
            </w:pPr>
          </w:p>
        </w:tc>
        <w:tc>
          <w:tcPr>
            <w:tcW w:w="40" w:type="dxa"/>
            <w:vAlign w:val="bottom"/>
            <w:tcBorders>
              <w:bottom w:val="single" w:sz="8" w:color="307CC0"/>
            </w:tcBorders>
          </w:tcPr>
          <w:p>
            <w:pPr>
              <w:spacing w:after="0"/>
              <w:rPr>
                <w:sz w:val="10"/>
                <w:szCs w:val="10"/>
                <w:color w:val="auto"/>
              </w:rPr>
            </w:pPr>
          </w:p>
        </w:tc>
        <w:tc>
          <w:tcPr>
            <w:tcW w:w="100" w:type="dxa"/>
            <w:vAlign w:val="bottom"/>
            <w:tcBorders>
              <w:top w:val="single" w:sz="8" w:color="0000EE"/>
              <w:bottom w:val="single" w:sz="8" w:color="307CC0"/>
            </w:tcBorders>
          </w:tcPr>
          <w:p>
            <w:pPr>
              <w:spacing w:after="0"/>
              <w:rPr>
                <w:sz w:val="10"/>
                <w:szCs w:val="10"/>
                <w:color w:val="auto"/>
              </w:rPr>
            </w:pPr>
          </w:p>
        </w:tc>
        <w:tc>
          <w:tcPr>
            <w:tcW w:w="40" w:type="dxa"/>
            <w:vAlign w:val="bottom"/>
            <w:tcBorders>
              <w:bottom w:val="single" w:sz="8" w:color="307CC0"/>
            </w:tcBorders>
          </w:tcPr>
          <w:p>
            <w:pPr>
              <w:spacing w:after="0"/>
              <w:rPr>
                <w:sz w:val="10"/>
                <w:szCs w:val="10"/>
                <w:color w:val="auto"/>
              </w:rPr>
            </w:pPr>
          </w:p>
        </w:tc>
        <w:tc>
          <w:tcPr>
            <w:tcW w:w="220" w:type="dxa"/>
            <w:vAlign w:val="bottom"/>
            <w:tcBorders>
              <w:bottom w:val="single" w:sz="8" w:color="307CC0"/>
            </w:tcBorders>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360" w:type="dxa"/>
            <w:vAlign w:val="bottom"/>
            <w:vMerge w:val="restart"/>
            <w:shd w:val="clear" w:color="auto" w:fill="D6E7FF"/>
          </w:tcPr>
          <w:p>
            <w:pPr>
              <w:ind w:left="100"/>
              <w:spacing w:after="0"/>
              <w:rPr>
                <w:sz w:val="20"/>
                <w:szCs w:val="20"/>
                <w:color w:val="auto"/>
              </w:rPr>
            </w:pPr>
            <w:r>
              <w:rPr>
                <w:rFonts w:ascii="Arial" w:cs="Arial" w:eastAsia="Arial" w:hAnsi="Arial"/>
                <w:sz w:val="17"/>
                <w:szCs w:val="17"/>
                <w:color w:val="auto"/>
              </w:rPr>
              <w:t>2:</w:t>
            </w:r>
          </w:p>
        </w:tc>
        <w:tc>
          <w:tcPr>
            <w:tcW w:w="6220" w:type="dxa"/>
            <w:vAlign w:val="bottom"/>
            <w:gridSpan w:val="2"/>
            <w:shd w:val="clear" w:color="auto" w:fill="D6E7FF"/>
          </w:tcPr>
          <w:p>
            <w:pPr>
              <w:ind w:left="120"/>
              <w:spacing w:after="0"/>
              <w:rPr>
                <w:sz w:val="20"/>
                <w:szCs w:val="20"/>
                <w:color w:val="auto"/>
              </w:rPr>
            </w:pPr>
            <w:r>
              <w:rPr>
                <w:rFonts w:ascii="Arial" w:cs="Arial" w:eastAsia="Arial" w:hAnsi="Arial"/>
                <w:sz w:val="17"/>
                <w:szCs w:val="17"/>
                <w:color w:val="auto"/>
              </w:rPr>
              <w:t>Approve on an advisory non-binding basis the 2019 compensation of our</w:t>
            </w:r>
          </w:p>
        </w:tc>
        <w:tc>
          <w:tcPr>
            <w:tcW w:w="1700" w:type="dxa"/>
            <w:vAlign w:val="bottom"/>
            <w:vMerge w:val="restart"/>
            <w:shd w:val="clear" w:color="auto" w:fill="D6E7FF"/>
          </w:tcPr>
          <w:p>
            <w:pPr>
              <w:jc w:val="center"/>
              <w:spacing w:after="0"/>
              <w:rPr>
                <w:sz w:val="20"/>
                <w:szCs w:val="20"/>
                <w:color w:val="auto"/>
              </w:rPr>
            </w:pPr>
            <w:r>
              <w:rPr>
                <w:rFonts w:ascii="Arial" w:cs="Arial" w:eastAsia="Arial" w:hAnsi="Arial"/>
                <w:sz w:val="17"/>
                <w:szCs w:val="17"/>
                <w:b w:val="1"/>
                <w:bCs w:val="1"/>
                <w:color w:val="auto"/>
              </w:rPr>
              <w:t>FOR</w:t>
            </w:r>
          </w:p>
        </w:tc>
        <w:tc>
          <w:tcPr>
            <w:tcW w:w="660" w:type="dxa"/>
            <w:vAlign w:val="bottom"/>
            <w:gridSpan w:val="5"/>
            <w:vMerge w:val="restart"/>
            <w:shd w:val="clear" w:color="auto" w:fill="D6E7FF"/>
          </w:tcPr>
          <w:p>
            <w:pPr>
              <w:jc w:val="center"/>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26</w:t>
              </w:r>
            </w:hyperlink>
          </w:p>
        </w:tc>
        <w:tc>
          <w:tcPr>
            <w:tcW w:w="0" w:type="dxa"/>
            <w:vAlign w:val="bottom"/>
          </w:tcPr>
          <w:p>
            <w:pPr>
              <w:spacing w:after="0"/>
              <w:rPr>
                <w:sz w:val="1"/>
                <w:szCs w:val="1"/>
                <w:color w:val="auto"/>
              </w:rPr>
            </w:pPr>
          </w:p>
        </w:tc>
      </w:tr>
      <w:tr>
        <w:trPr>
          <w:trHeight w:val="65"/>
        </w:trPr>
        <w:tc>
          <w:tcPr>
            <w:tcW w:w="360" w:type="dxa"/>
            <w:vAlign w:val="bottom"/>
            <w:vMerge w:val="continue"/>
            <w:shd w:val="clear" w:color="auto" w:fill="D6E7FF"/>
          </w:tcPr>
          <w:p>
            <w:pPr>
              <w:spacing w:after="0"/>
              <w:rPr>
                <w:sz w:val="5"/>
                <w:szCs w:val="5"/>
                <w:color w:val="auto"/>
              </w:rPr>
            </w:pPr>
          </w:p>
        </w:tc>
        <w:tc>
          <w:tcPr>
            <w:tcW w:w="5060" w:type="dxa"/>
            <w:vAlign w:val="bottom"/>
            <w:vMerge w:val="restart"/>
            <w:shd w:val="clear" w:color="auto" w:fill="D6E7FF"/>
          </w:tcPr>
          <w:p>
            <w:pPr>
              <w:ind w:left="120"/>
              <w:spacing w:after="0"/>
              <w:rPr>
                <w:sz w:val="20"/>
                <w:szCs w:val="20"/>
                <w:color w:val="auto"/>
              </w:rPr>
            </w:pPr>
            <w:r>
              <w:rPr>
                <w:rFonts w:ascii="Arial" w:cs="Arial" w:eastAsia="Arial" w:hAnsi="Arial"/>
                <w:sz w:val="17"/>
                <w:szCs w:val="17"/>
                <w:color w:val="auto"/>
              </w:rPr>
              <w:t>named executive officers</w:t>
            </w:r>
          </w:p>
        </w:tc>
        <w:tc>
          <w:tcPr>
            <w:tcW w:w="1160" w:type="dxa"/>
            <w:vAlign w:val="bottom"/>
            <w:shd w:val="clear" w:color="auto" w:fill="D6E7FF"/>
          </w:tcPr>
          <w:p>
            <w:pPr>
              <w:spacing w:after="0"/>
              <w:rPr>
                <w:sz w:val="5"/>
                <w:szCs w:val="5"/>
                <w:color w:val="auto"/>
              </w:rPr>
            </w:pPr>
          </w:p>
        </w:tc>
        <w:tc>
          <w:tcPr>
            <w:tcW w:w="1700" w:type="dxa"/>
            <w:vAlign w:val="bottom"/>
            <w:vMerge w:val="continue"/>
            <w:shd w:val="clear" w:color="auto" w:fill="D6E7FF"/>
          </w:tcPr>
          <w:p>
            <w:pPr>
              <w:spacing w:after="0"/>
              <w:rPr>
                <w:sz w:val="5"/>
                <w:szCs w:val="5"/>
                <w:color w:val="auto"/>
              </w:rPr>
            </w:pPr>
          </w:p>
        </w:tc>
        <w:tc>
          <w:tcPr>
            <w:tcW w:w="660" w:type="dxa"/>
            <w:vAlign w:val="bottom"/>
            <w:gridSpan w:val="5"/>
            <w:vMerge w:val="continue"/>
            <w:shd w:val="clear" w:color="auto" w:fill="D6E7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60" w:type="dxa"/>
            <w:vAlign w:val="bottom"/>
            <w:tcBorders>
              <w:top w:val="single" w:sz="8" w:color="D6E7FF"/>
              <w:bottom w:val="single" w:sz="8" w:color="307CC0"/>
            </w:tcBorders>
            <w:shd w:val="clear" w:color="auto" w:fill="D6E7FF"/>
          </w:tcPr>
          <w:p>
            <w:pPr>
              <w:spacing w:after="0"/>
              <w:rPr>
                <w:sz w:val="10"/>
                <w:szCs w:val="10"/>
                <w:color w:val="auto"/>
              </w:rPr>
            </w:pPr>
          </w:p>
        </w:tc>
        <w:tc>
          <w:tcPr>
            <w:tcW w:w="5060" w:type="dxa"/>
            <w:vAlign w:val="bottom"/>
            <w:tcBorders>
              <w:top w:val="single" w:sz="8" w:color="D6E7FF"/>
              <w:bottom w:val="single" w:sz="8" w:color="307CC0"/>
            </w:tcBorders>
            <w:vMerge w:val="continue"/>
            <w:shd w:val="clear" w:color="auto" w:fill="D6E7FF"/>
          </w:tcPr>
          <w:p>
            <w:pPr>
              <w:spacing w:after="0"/>
              <w:rPr>
                <w:sz w:val="10"/>
                <w:szCs w:val="10"/>
                <w:color w:val="auto"/>
              </w:rPr>
            </w:pPr>
          </w:p>
        </w:tc>
        <w:tc>
          <w:tcPr>
            <w:tcW w:w="1160" w:type="dxa"/>
            <w:vAlign w:val="bottom"/>
            <w:tcBorders>
              <w:top w:val="single" w:sz="8" w:color="D6E7FF"/>
              <w:bottom w:val="single" w:sz="8" w:color="307CC0"/>
            </w:tcBorders>
            <w:shd w:val="clear" w:color="auto" w:fill="D6E7FF"/>
          </w:tcPr>
          <w:p>
            <w:pPr>
              <w:spacing w:after="0"/>
              <w:rPr>
                <w:sz w:val="10"/>
                <w:szCs w:val="10"/>
                <w:color w:val="auto"/>
              </w:rPr>
            </w:pPr>
          </w:p>
        </w:tc>
        <w:tc>
          <w:tcPr>
            <w:tcW w:w="1700" w:type="dxa"/>
            <w:vAlign w:val="bottom"/>
            <w:tcBorders>
              <w:top w:val="single" w:sz="8" w:color="D6E7FF"/>
              <w:bottom w:val="single" w:sz="8" w:color="307CC0"/>
            </w:tcBorders>
            <w:shd w:val="clear" w:color="auto" w:fill="D6E7FF"/>
          </w:tcPr>
          <w:p>
            <w:pPr>
              <w:spacing w:after="0"/>
              <w:rPr>
                <w:sz w:val="10"/>
                <w:szCs w:val="10"/>
                <w:color w:val="auto"/>
              </w:rPr>
            </w:pPr>
          </w:p>
        </w:tc>
        <w:tc>
          <w:tcPr>
            <w:tcW w:w="260" w:type="dxa"/>
            <w:vAlign w:val="bottom"/>
            <w:tcBorders>
              <w:top w:val="single" w:sz="8" w:color="D6E7FF"/>
              <w:bottom w:val="single" w:sz="8" w:color="307CC0"/>
            </w:tcBorders>
            <w:shd w:val="clear" w:color="auto" w:fill="D6E7FF"/>
          </w:tcPr>
          <w:p>
            <w:pPr>
              <w:spacing w:after="0"/>
              <w:rPr>
                <w:sz w:val="10"/>
                <w:szCs w:val="10"/>
                <w:color w:val="auto"/>
              </w:rPr>
            </w:pPr>
          </w:p>
        </w:tc>
        <w:tc>
          <w:tcPr>
            <w:tcW w:w="40" w:type="dxa"/>
            <w:vAlign w:val="bottom"/>
            <w:tcBorders>
              <w:top w:val="single" w:sz="8" w:color="0000EE"/>
              <w:bottom w:val="single" w:sz="8" w:color="307CC0"/>
            </w:tcBorders>
            <w:shd w:val="clear" w:color="auto" w:fill="D6E7FF"/>
          </w:tcPr>
          <w:p>
            <w:pPr>
              <w:spacing w:after="0"/>
              <w:rPr>
                <w:sz w:val="10"/>
                <w:szCs w:val="10"/>
                <w:color w:val="auto"/>
              </w:rPr>
            </w:pPr>
          </w:p>
        </w:tc>
        <w:tc>
          <w:tcPr>
            <w:tcW w:w="100" w:type="dxa"/>
            <w:vAlign w:val="bottom"/>
            <w:tcBorders>
              <w:top w:val="single" w:sz="8" w:color="0000EE"/>
              <w:bottom w:val="single" w:sz="8" w:color="307CC0"/>
            </w:tcBorders>
            <w:shd w:val="clear" w:color="auto" w:fill="D6E7FF"/>
          </w:tcPr>
          <w:p>
            <w:pPr>
              <w:spacing w:after="0"/>
              <w:rPr>
                <w:sz w:val="10"/>
                <w:szCs w:val="10"/>
                <w:color w:val="auto"/>
              </w:rPr>
            </w:pPr>
          </w:p>
        </w:tc>
        <w:tc>
          <w:tcPr>
            <w:tcW w:w="40" w:type="dxa"/>
            <w:vAlign w:val="bottom"/>
            <w:tcBorders>
              <w:top w:val="single" w:sz="8" w:color="0000EE"/>
              <w:bottom w:val="single" w:sz="8" w:color="307CC0"/>
            </w:tcBorders>
            <w:shd w:val="clear" w:color="auto" w:fill="D6E7FF"/>
          </w:tcPr>
          <w:p>
            <w:pPr>
              <w:spacing w:after="0"/>
              <w:rPr>
                <w:sz w:val="10"/>
                <w:szCs w:val="10"/>
                <w:color w:val="auto"/>
              </w:rPr>
            </w:pPr>
          </w:p>
        </w:tc>
        <w:tc>
          <w:tcPr>
            <w:tcW w:w="220" w:type="dxa"/>
            <w:vAlign w:val="bottom"/>
            <w:tcBorders>
              <w:top w:val="single" w:sz="8" w:color="D6E7FF"/>
              <w:bottom w:val="single" w:sz="8" w:color="307CC0"/>
            </w:tcBorders>
            <w:shd w:val="clear" w:color="auto" w:fill="D6E7FF"/>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360" w:type="dxa"/>
            <w:vAlign w:val="bottom"/>
            <w:vMerge w:val="restart"/>
          </w:tcPr>
          <w:p>
            <w:pPr>
              <w:ind w:left="100"/>
              <w:spacing w:after="0"/>
              <w:rPr>
                <w:sz w:val="20"/>
                <w:szCs w:val="20"/>
                <w:color w:val="auto"/>
              </w:rPr>
            </w:pPr>
            <w:r>
              <w:rPr>
                <w:rFonts w:ascii="Arial" w:cs="Arial" w:eastAsia="Arial" w:hAnsi="Arial"/>
                <w:sz w:val="17"/>
                <w:szCs w:val="17"/>
                <w:color w:val="auto"/>
              </w:rPr>
              <w:t>3:</w:t>
            </w:r>
          </w:p>
        </w:tc>
        <w:tc>
          <w:tcPr>
            <w:tcW w:w="5060" w:type="dxa"/>
            <w:vAlign w:val="bottom"/>
          </w:tcPr>
          <w:p>
            <w:pPr>
              <w:ind w:left="120"/>
              <w:spacing w:after="0"/>
              <w:rPr>
                <w:sz w:val="20"/>
                <w:szCs w:val="20"/>
                <w:color w:val="auto"/>
              </w:rPr>
            </w:pPr>
            <w:r>
              <w:rPr>
                <w:rFonts w:ascii="Arial" w:cs="Arial" w:eastAsia="Arial" w:hAnsi="Arial"/>
                <w:sz w:val="17"/>
                <w:szCs w:val="17"/>
                <w:color w:val="auto"/>
              </w:rPr>
              <w:t>Ratify  the  appointment  of  Deloitte  &amp;  Touche  LLP  as  our</w:t>
            </w:r>
          </w:p>
        </w:tc>
        <w:tc>
          <w:tcPr>
            <w:tcW w:w="1160" w:type="dxa"/>
            <w:vAlign w:val="bottom"/>
          </w:tcPr>
          <w:p>
            <w:pPr>
              <w:ind w:left="80"/>
              <w:spacing w:after="0"/>
              <w:rPr>
                <w:sz w:val="20"/>
                <w:szCs w:val="20"/>
                <w:color w:val="auto"/>
              </w:rPr>
            </w:pPr>
            <w:r>
              <w:rPr>
                <w:rFonts w:ascii="Arial" w:cs="Arial" w:eastAsia="Arial" w:hAnsi="Arial"/>
                <w:sz w:val="17"/>
                <w:szCs w:val="17"/>
                <w:color w:val="auto"/>
              </w:rPr>
              <w:t>independent</w:t>
            </w:r>
          </w:p>
        </w:tc>
        <w:tc>
          <w:tcPr>
            <w:tcW w:w="17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660" w:type="dxa"/>
            <w:vAlign w:val="bottom"/>
            <w:gridSpan w:val="5"/>
            <w:vMerge w:val="restart"/>
          </w:tcPr>
          <w:p>
            <w:pPr>
              <w:jc w:val="center"/>
              <w:spacing w:after="0"/>
              <w:rPr>
                <w:rFonts w:ascii="Arial" w:cs="Arial" w:eastAsia="Arial" w:hAnsi="Arial"/>
                <w:sz w:val="17"/>
                <w:szCs w:val="17"/>
                <w:color w:val="0000EE"/>
                <w:w w:val="94"/>
              </w:rPr>
            </w:pPr>
            <w:hyperlink w:anchor="page58">
              <w:r>
                <w:rPr>
                  <w:rFonts w:ascii="Arial" w:cs="Arial" w:eastAsia="Arial" w:hAnsi="Arial"/>
                  <w:sz w:val="17"/>
                  <w:szCs w:val="17"/>
                  <w:color w:val="0000EE"/>
                  <w:w w:val="94"/>
                </w:rPr>
                <w:t>54</w:t>
              </w:r>
            </w:hyperlink>
          </w:p>
        </w:tc>
        <w:tc>
          <w:tcPr>
            <w:tcW w:w="0" w:type="dxa"/>
            <w:vAlign w:val="bottom"/>
          </w:tcPr>
          <w:p>
            <w:pPr>
              <w:spacing w:after="0"/>
              <w:rPr>
                <w:sz w:val="1"/>
                <w:szCs w:val="1"/>
                <w:color w:val="auto"/>
              </w:rPr>
            </w:pPr>
          </w:p>
        </w:tc>
      </w:tr>
      <w:tr>
        <w:trPr>
          <w:trHeight w:val="65"/>
        </w:trPr>
        <w:tc>
          <w:tcPr>
            <w:tcW w:w="360" w:type="dxa"/>
            <w:vAlign w:val="bottom"/>
            <w:vMerge w:val="continue"/>
          </w:tcPr>
          <w:p>
            <w:pPr>
              <w:spacing w:after="0"/>
              <w:rPr>
                <w:sz w:val="5"/>
                <w:szCs w:val="5"/>
                <w:color w:val="auto"/>
              </w:rPr>
            </w:pPr>
          </w:p>
        </w:tc>
        <w:tc>
          <w:tcPr>
            <w:tcW w:w="5060" w:type="dxa"/>
            <w:vAlign w:val="bottom"/>
            <w:vMerge w:val="restart"/>
          </w:tcPr>
          <w:p>
            <w:pPr>
              <w:ind w:left="120"/>
              <w:spacing w:after="0"/>
              <w:rPr>
                <w:sz w:val="20"/>
                <w:szCs w:val="20"/>
                <w:color w:val="auto"/>
              </w:rPr>
            </w:pPr>
            <w:r>
              <w:rPr>
                <w:rFonts w:ascii="Arial" w:cs="Arial" w:eastAsia="Arial" w:hAnsi="Arial"/>
                <w:sz w:val="17"/>
                <w:szCs w:val="17"/>
                <w:color w:val="auto"/>
              </w:rPr>
              <w:t>registered public accounting firm for 2020</w:t>
            </w:r>
          </w:p>
        </w:tc>
        <w:tc>
          <w:tcPr>
            <w:tcW w:w="11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60" w:type="dxa"/>
            <w:vAlign w:val="bottom"/>
            <w:tcBorders>
              <w:bottom w:val="single" w:sz="8" w:color="307CC0"/>
            </w:tcBorders>
          </w:tcPr>
          <w:p>
            <w:pPr>
              <w:spacing w:after="0"/>
              <w:rPr>
                <w:sz w:val="10"/>
                <w:szCs w:val="10"/>
                <w:color w:val="auto"/>
              </w:rPr>
            </w:pPr>
          </w:p>
        </w:tc>
        <w:tc>
          <w:tcPr>
            <w:tcW w:w="5060" w:type="dxa"/>
            <w:vAlign w:val="bottom"/>
            <w:tcBorders>
              <w:bottom w:val="single" w:sz="8" w:color="307CC0"/>
            </w:tcBorders>
            <w:vMerge w:val="continue"/>
          </w:tcPr>
          <w:p>
            <w:pPr>
              <w:spacing w:after="0"/>
              <w:rPr>
                <w:sz w:val="10"/>
                <w:szCs w:val="10"/>
                <w:color w:val="auto"/>
              </w:rPr>
            </w:pPr>
          </w:p>
        </w:tc>
        <w:tc>
          <w:tcPr>
            <w:tcW w:w="1160" w:type="dxa"/>
            <w:vAlign w:val="bottom"/>
            <w:tcBorders>
              <w:bottom w:val="single" w:sz="8" w:color="307CC0"/>
            </w:tcBorders>
          </w:tcPr>
          <w:p>
            <w:pPr>
              <w:spacing w:after="0"/>
              <w:rPr>
                <w:sz w:val="10"/>
                <w:szCs w:val="10"/>
                <w:color w:val="auto"/>
              </w:rPr>
            </w:pPr>
          </w:p>
        </w:tc>
        <w:tc>
          <w:tcPr>
            <w:tcW w:w="1700" w:type="dxa"/>
            <w:vAlign w:val="bottom"/>
            <w:tcBorders>
              <w:bottom w:val="single" w:sz="8" w:color="307CC0"/>
            </w:tcBorders>
          </w:tcPr>
          <w:p>
            <w:pPr>
              <w:spacing w:after="0"/>
              <w:rPr>
                <w:sz w:val="10"/>
                <w:szCs w:val="10"/>
                <w:color w:val="auto"/>
              </w:rPr>
            </w:pPr>
          </w:p>
        </w:tc>
        <w:tc>
          <w:tcPr>
            <w:tcW w:w="260" w:type="dxa"/>
            <w:vAlign w:val="bottom"/>
            <w:tcBorders>
              <w:bottom w:val="single" w:sz="8" w:color="307CC0"/>
            </w:tcBorders>
          </w:tcPr>
          <w:p>
            <w:pPr>
              <w:spacing w:after="0"/>
              <w:rPr>
                <w:sz w:val="10"/>
                <w:szCs w:val="10"/>
                <w:color w:val="auto"/>
              </w:rPr>
            </w:pPr>
          </w:p>
        </w:tc>
        <w:tc>
          <w:tcPr>
            <w:tcW w:w="40" w:type="dxa"/>
            <w:vAlign w:val="bottom"/>
            <w:tcBorders>
              <w:top w:val="single" w:sz="8" w:color="0000EE"/>
              <w:bottom w:val="single" w:sz="8" w:color="307CC0"/>
            </w:tcBorders>
          </w:tcPr>
          <w:p>
            <w:pPr>
              <w:spacing w:after="0"/>
              <w:rPr>
                <w:sz w:val="10"/>
                <w:szCs w:val="10"/>
                <w:color w:val="auto"/>
              </w:rPr>
            </w:pPr>
          </w:p>
        </w:tc>
        <w:tc>
          <w:tcPr>
            <w:tcW w:w="100" w:type="dxa"/>
            <w:vAlign w:val="bottom"/>
            <w:tcBorders>
              <w:top w:val="single" w:sz="8" w:color="0000EE"/>
              <w:bottom w:val="single" w:sz="8" w:color="307CC0"/>
            </w:tcBorders>
          </w:tcPr>
          <w:p>
            <w:pPr>
              <w:spacing w:after="0"/>
              <w:rPr>
                <w:sz w:val="10"/>
                <w:szCs w:val="10"/>
                <w:color w:val="auto"/>
              </w:rPr>
            </w:pPr>
          </w:p>
        </w:tc>
        <w:tc>
          <w:tcPr>
            <w:tcW w:w="40" w:type="dxa"/>
            <w:vAlign w:val="bottom"/>
            <w:tcBorders>
              <w:top w:val="single" w:sz="8" w:color="0000EE"/>
              <w:bottom w:val="single" w:sz="8" w:color="307CC0"/>
            </w:tcBorders>
          </w:tcPr>
          <w:p>
            <w:pPr>
              <w:spacing w:after="0"/>
              <w:rPr>
                <w:sz w:val="10"/>
                <w:szCs w:val="10"/>
                <w:color w:val="auto"/>
              </w:rPr>
            </w:pPr>
          </w:p>
        </w:tc>
        <w:tc>
          <w:tcPr>
            <w:tcW w:w="220" w:type="dxa"/>
            <w:vAlign w:val="bottom"/>
            <w:tcBorders>
              <w:bottom w:val="single" w:sz="8" w:color="307CC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100" w:right="80" w:firstLine="172"/>
        <w:spacing w:after="0" w:line="269" w:lineRule="auto"/>
        <w:rPr>
          <w:sz w:val="20"/>
          <w:szCs w:val="20"/>
          <w:color w:val="auto"/>
        </w:rPr>
      </w:pPr>
      <w:r>
        <w:rPr>
          <w:rFonts w:ascii="Arial" w:cs="Arial" w:eastAsia="Arial" w:hAnsi="Arial"/>
          <w:sz w:val="17"/>
          <w:szCs w:val="17"/>
          <w:color w:val="auto"/>
        </w:rPr>
        <w:t>Although management is not aware of any other business to be conducted at the 2020 Annual Meeting, shareholders may be asked to vote on such other business as may properly come before the meeting.</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About Evergy</w:t>
      </w:r>
    </w:p>
    <w:p>
      <w:pPr>
        <w:spacing w:after="0" w:line="124" w:lineRule="exact"/>
        <w:rPr>
          <w:sz w:val="20"/>
          <w:szCs w:val="20"/>
          <w:color w:val="auto"/>
        </w:rPr>
      </w:pPr>
    </w:p>
    <w:p>
      <w:pPr>
        <w:jc w:val="both"/>
        <w:ind w:left="100" w:right="80" w:firstLine="172"/>
        <w:spacing w:after="0" w:line="261" w:lineRule="auto"/>
        <w:rPr>
          <w:sz w:val="20"/>
          <w:szCs w:val="20"/>
          <w:color w:val="auto"/>
        </w:rPr>
      </w:pPr>
      <w:r>
        <w:rPr>
          <w:rFonts w:ascii="Arial" w:cs="Arial" w:eastAsia="Arial" w:hAnsi="Arial"/>
          <w:sz w:val="17"/>
          <w:szCs w:val="17"/>
          <w:color w:val="auto"/>
        </w:rPr>
        <w:t>Evergy, Inc. (NYSE: EVRG), a public utility holding company, engages in the generation, transmission, distribution and sale of electricity to approximately 1.6 million customers in the states of Kansas and Missouri. Our 2019 Annual Report contains additional information about our businesses.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2019 Financial and Operational Highlights</w:t>
      </w:r>
    </w:p>
    <w:p>
      <w:pPr>
        <w:spacing w:after="0" w:line="124" w:lineRule="exact"/>
        <w:rPr>
          <w:sz w:val="20"/>
          <w:szCs w:val="20"/>
          <w:color w:val="auto"/>
        </w:rPr>
      </w:pPr>
    </w:p>
    <w:p>
      <w:pPr>
        <w:jc w:val="both"/>
        <w:ind w:left="100" w:right="80" w:firstLine="172"/>
        <w:spacing w:after="0" w:line="258" w:lineRule="auto"/>
        <w:rPr>
          <w:sz w:val="20"/>
          <w:szCs w:val="20"/>
          <w:color w:val="auto"/>
        </w:rPr>
      </w:pPr>
      <w:r>
        <w:rPr>
          <w:rFonts w:ascii="Arial" w:cs="Arial" w:eastAsia="Arial" w:hAnsi="Arial"/>
          <w:sz w:val="17"/>
          <w:szCs w:val="17"/>
          <w:color w:val="auto"/>
        </w:rPr>
        <w:t>Evergy’s mission is to empower a better future. Our vision is to become the best energy company for all of our stakeholders, including our employees, customers and shareholders, and the communities that we are fortunate to serve. Highlights from 2019, which was the first full fiscal year of combined operations following the merger of Great Plains Energy Incorporated (“Great Plains Energy”) and Westar Energy, Inc. (“Westar Energy”), include:</w:t>
      </w:r>
    </w:p>
    <w:p>
      <w:pPr>
        <w:spacing w:after="0" w:line="68" w:lineRule="exact"/>
        <w:rPr>
          <w:sz w:val="20"/>
          <w:szCs w:val="20"/>
          <w:color w:val="auto"/>
        </w:rPr>
      </w:pPr>
    </w:p>
    <w:p>
      <w:pPr>
        <w:ind w:left="600" w:right="80" w:hanging="333"/>
        <w:spacing w:after="0" w:line="280" w:lineRule="auto"/>
        <w:tabs>
          <w:tab w:leader="none" w:pos="600" w:val="left"/>
        </w:tabs>
        <w:numPr>
          <w:ilvl w:val="0"/>
          <w:numId w:val="5"/>
        </w:numPr>
        <w:rPr>
          <w:rFonts w:ascii="Arial" w:cs="Arial" w:eastAsia="Arial" w:hAnsi="Arial"/>
          <w:sz w:val="17"/>
          <w:szCs w:val="17"/>
          <w:color w:val="307CC0"/>
        </w:rPr>
      </w:pPr>
      <w:r>
        <w:rPr>
          <w:rFonts w:ascii="Arial" w:cs="Arial" w:eastAsia="Arial" w:hAnsi="Arial"/>
          <w:sz w:val="17"/>
          <w:szCs w:val="17"/>
          <w:b w:val="1"/>
          <w:bCs w:val="1"/>
          <w:color w:val="auto"/>
        </w:rPr>
        <w:t xml:space="preserve">Exceeded Planned Merger Savings. </w:t>
      </w:r>
      <w:r>
        <w:rPr>
          <w:rFonts w:ascii="Arial" w:cs="Arial" w:eastAsia="Arial" w:hAnsi="Arial"/>
          <w:sz w:val="17"/>
          <w:szCs w:val="17"/>
          <w:color w:val="auto"/>
        </w:rPr>
        <w:t>We exceeded our 2019 net merger savings target of $110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ending the year at $150 million, or 36% above target.</w:t>
      </w:r>
    </w:p>
    <w:p>
      <w:pPr>
        <w:spacing w:after="0" w:line="34" w:lineRule="exact"/>
        <w:rPr>
          <w:rFonts w:ascii="Arial" w:cs="Arial" w:eastAsia="Arial" w:hAnsi="Arial"/>
          <w:sz w:val="17"/>
          <w:szCs w:val="17"/>
          <w:color w:val="307CC0"/>
        </w:rPr>
      </w:pPr>
    </w:p>
    <w:p>
      <w:pPr>
        <w:ind w:left="600" w:hanging="333"/>
        <w:spacing w:after="0"/>
        <w:tabs>
          <w:tab w:leader="none" w:pos="600" w:val="left"/>
        </w:tabs>
        <w:numPr>
          <w:ilvl w:val="0"/>
          <w:numId w:val="5"/>
        </w:numPr>
        <w:rPr>
          <w:rFonts w:ascii="Arial" w:cs="Arial" w:eastAsia="Arial" w:hAnsi="Arial"/>
          <w:sz w:val="17"/>
          <w:szCs w:val="17"/>
          <w:color w:val="307CC0"/>
        </w:rPr>
      </w:pPr>
      <w:r>
        <w:rPr>
          <w:rFonts w:ascii="Arial" w:cs="Arial" w:eastAsia="Arial" w:hAnsi="Arial"/>
          <w:sz w:val="17"/>
          <w:szCs w:val="17"/>
          <w:b w:val="1"/>
          <w:bCs w:val="1"/>
          <w:color w:val="auto"/>
        </w:rPr>
        <w:t xml:space="preserve">Continued Dividend Growth. </w:t>
      </w:r>
      <w:r>
        <w:rPr>
          <w:rFonts w:ascii="Arial" w:cs="Arial" w:eastAsia="Arial" w:hAnsi="Arial"/>
          <w:sz w:val="17"/>
          <w:szCs w:val="17"/>
          <w:color w:val="auto"/>
        </w:rPr>
        <w:t>We raised our dividend by 6.3% to an indicated annual rate of $2.02 per share.</w:t>
      </w:r>
    </w:p>
    <w:p>
      <w:pPr>
        <w:spacing w:after="0" w:line="101" w:lineRule="exact"/>
        <w:rPr>
          <w:rFonts w:ascii="Arial" w:cs="Arial" w:eastAsia="Arial" w:hAnsi="Arial"/>
          <w:sz w:val="17"/>
          <w:szCs w:val="17"/>
          <w:color w:val="307CC0"/>
        </w:rPr>
      </w:pPr>
    </w:p>
    <w:p>
      <w:pPr>
        <w:ind w:left="600" w:right="80" w:hanging="333"/>
        <w:spacing w:after="0" w:line="280" w:lineRule="auto"/>
        <w:tabs>
          <w:tab w:leader="none" w:pos="600" w:val="left"/>
        </w:tabs>
        <w:numPr>
          <w:ilvl w:val="0"/>
          <w:numId w:val="5"/>
        </w:numPr>
        <w:rPr>
          <w:rFonts w:ascii="Arial" w:cs="Arial" w:eastAsia="Arial" w:hAnsi="Arial"/>
          <w:sz w:val="17"/>
          <w:szCs w:val="17"/>
          <w:color w:val="307CC0"/>
        </w:rPr>
      </w:pPr>
      <w:r>
        <w:rPr>
          <w:rFonts w:ascii="Arial" w:cs="Arial" w:eastAsia="Arial" w:hAnsi="Arial"/>
          <w:sz w:val="17"/>
          <w:szCs w:val="17"/>
          <w:b w:val="1"/>
          <w:bCs w:val="1"/>
          <w:color w:val="auto"/>
        </w:rPr>
        <w:t xml:space="preserve">Returned Capital to Shareholders. </w:t>
      </w:r>
      <w:r>
        <w:rPr>
          <w:rFonts w:ascii="Arial" w:cs="Arial" w:eastAsia="Arial" w:hAnsi="Arial"/>
          <w:sz w:val="17"/>
          <w:szCs w:val="17"/>
          <w:color w:val="auto"/>
        </w:rPr>
        <w:t>We returned over $2 billion in capital to our shareholders through share</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repurchases and dividends.</w:t>
      </w:r>
    </w:p>
    <w:p>
      <w:pPr>
        <w:spacing w:after="0" w:line="34" w:lineRule="exact"/>
        <w:rPr>
          <w:rFonts w:ascii="Arial" w:cs="Arial" w:eastAsia="Arial" w:hAnsi="Arial"/>
          <w:sz w:val="17"/>
          <w:szCs w:val="17"/>
          <w:color w:val="307CC0"/>
        </w:rPr>
      </w:pPr>
    </w:p>
    <w:p>
      <w:pPr>
        <w:jc w:val="both"/>
        <w:ind w:left="600" w:right="80" w:hanging="333"/>
        <w:spacing w:after="0" w:line="259" w:lineRule="auto"/>
        <w:tabs>
          <w:tab w:leader="none" w:pos="600" w:val="left"/>
        </w:tabs>
        <w:numPr>
          <w:ilvl w:val="0"/>
          <w:numId w:val="5"/>
        </w:numPr>
        <w:rPr>
          <w:rFonts w:ascii="Arial" w:cs="Arial" w:eastAsia="Arial" w:hAnsi="Arial"/>
          <w:sz w:val="17"/>
          <w:szCs w:val="17"/>
          <w:color w:val="307CC0"/>
        </w:rPr>
      </w:pPr>
      <w:r>
        <w:rPr>
          <w:rFonts w:ascii="Arial" w:cs="Arial" w:eastAsia="Arial" w:hAnsi="Arial"/>
          <w:sz w:val="17"/>
          <w:szCs w:val="17"/>
          <w:b w:val="1"/>
          <w:bCs w:val="1"/>
          <w:color w:val="auto"/>
        </w:rPr>
        <w:t xml:space="preserve">Successful Execution of Capital Allocation Plan. </w:t>
      </w:r>
      <w:r>
        <w:rPr>
          <w:rFonts w:ascii="Arial" w:cs="Arial" w:eastAsia="Arial" w:hAnsi="Arial"/>
          <w:sz w:val="17"/>
          <w:szCs w:val="17"/>
          <w:color w:val="auto"/>
        </w:rPr>
        <w:t>We executed our capital allocation plan by investing $1.2</w:t>
      </w:r>
      <w:r>
        <w:rPr>
          <w:rFonts w:ascii="Arial" w:cs="Arial" w:eastAsia="Arial" w:hAnsi="Arial"/>
          <w:sz w:val="17"/>
          <w:szCs w:val="17"/>
          <w:b w:val="1"/>
          <w:bCs w:val="1"/>
          <w:color w:val="auto"/>
        </w:rPr>
        <w:t xml:space="preserve"> </w:t>
      </w:r>
      <w:r>
        <w:rPr>
          <w:rFonts w:ascii="Arial" w:cs="Arial" w:eastAsia="Arial" w:hAnsi="Arial"/>
          <w:sz w:val="17"/>
          <w:szCs w:val="17"/>
          <w:color w:val="auto"/>
        </w:rPr>
        <w:t>billion in infrastructure to maintain customer reliability, as well as continued our share repurchase program that was announced as part of our merger.</w:t>
      </w:r>
    </w:p>
    <w:p>
      <w:pPr>
        <w:spacing w:after="0" w:line="51" w:lineRule="exact"/>
        <w:rPr>
          <w:rFonts w:ascii="Arial" w:cs="Arial" w:eastAsia="Arial" w:hAnsi="Arial"/>
          <w:sz w:val="17"/>
          <w:szCs w:val="17"/>
          <w:color w:val="307CC0"/>
        </w:rPr>
      </w:pPr>
    </w:p>
    <w:p>
      <w:pPr>
        <w:jc w:val="both"/>
        <w:ind w:left="600" w:right="80" w:hanging="333"/>
        <w:spacing w:after="0" w:line="252" w:lineRule="auto"/>
        <w:tabs>
          <w:tab w:leader="none" w:pos="600" w:val="left"/>
        </w:tabs>
        <w:numPr>
          <w:ilvl w:val="0"/>
          <w:numId w:val="5"/>
        </w:numPr>
        <w:rPr>
          <w:rFonts w:ascii="Arial" w:cs="Arial" w:eastAsia="Arial" w:hAnsi="Arial"/>
          <w:sz w:val="17"/>
          <w:szCs w:val="17"/>
          <w:color w:val="307CC0"/>
        </w:rPr>
      </w:pPr>
      <w:r>
        <w:rPr>
          <w:rFonts w:ascii="Arial" w:cs="Arial" w:eastAsia="Arial" w:hAnsi="Arial"/>
          <w:sz w:val="17"/>
          <w:szCs w:val="17"/>
          <w:b w:val="1"/>
          <w:bCs w:val="1"/>
          <w:color w:val="auto"/>
        </w:rPr>
        <w:t xml:space="preserve">Continued Leader in Environmental Stewardship. </w:t>
      </w:r>
      <w:r>
        <w:rPr>
          <w:rFonts w:ascii="Arial" w:cs="Arial" w:eastAsia="Arial" w:hAnsi="Arial"/>
          <w:sz w:val="17"/>
          <w:szCs w:val="17"/>
          <w:color w:val="auto"/>
        </w:rPr>
        <w:t>We announced a goal to reduce carbon emissions by</w:t>
      </w:r>
      <w:r>
        <w:rPr>
          <w:rFonts w:ascii="Arial" w:cs="Arial" w:eastAsia="Arial" w:hAnsi="Arial"/>
          <w:sz w:val="17"/>
          <w:szCs w:val="17"/>
          <w:b w:val="1"/>
          <w:bCs w:val="1"/>
          <w:color w:val="auto"/>
        </w:rPr>
        <w:t xml:space="preserve"> </w:t>
      </w:r>
      <w:r>
        <w:rPr>
          <w:rFonts w:ascii="Arial" w:cs="Arial" w:eastAsia="Arial" w:hAnsi="Arial"/>
          <w:sz w:val="17"/>
          <w:szCs w:val="17"/>
          <w:color w:val="auto"/>
        </w:rPr>
        <w:t>80% by 2050 from 2005 levels. We have already made significant investments in protecting the environment and have reduced, from 2005 levels, carbon dioxide emissions by ~45%, sulfur dioxide emissions by ~98% and nitrogen oxide emissions by ~87%.</w:t>
      </w:r>
    </w:p>
    <w:p>
      <w:pPr>
        <w:spacing w:after="0" w:line="57" w:lineRule="exact"/>
        <w:rPr>
          <w:rFonts w:ascii="Arial" w:cs="Arial" w:eastAsia="Arial" w:hAnsi="Arial"/>
          <w:sz w:val="17"/>
          <w:szCs w:val="17"/>
          <w:color w:val="307CC0"/>
        </w:rPr>
      </w:pPr>
    </w:p>
    <w:p>
      <w:pPr>
        <w:jc w:val="both"/>
        <w:ind w:left="600" w:right="80" w:hanging="333"/>
        <w:spacing w:after="0" w:line="248" w:lineRule="auto"/>
        <w:tabs>
          <w:tab w:leader="none" w:pos="600" w:val="left"/>
        </w:tabs>
        <w:numPr>
          <w:ilvl w:val="0"/>
          <w:numId w:val="5"/>
        </w:numPr>
        <w:rPr>
          <w:rFonts w:ascii="Arial" w:cs="Arial" w:eastAsia="Arial" w:hAnsi="Arial"/>
          <w:sz w:val="17"/>
          <w:szCs w:val="17"/>
          <w:color w:val="307CC0"/>
        </w:rPr>
      </w:pPr>
      <w:r>
        <w:rPr>
          <w:rFonts w:ascii="Arial" w:cs="Arial" w:eastAsia="Arial" w:hAnsi="Arial"/>
          <w:sz w:val="17"/>
          <w:szCs w:val="17"/>
          <w:b w:val="1"/>
          <w:bCs w:val="1"/>
          <w:color w:val="auto"/>
        </w:rPr>
        <w:t xml:space="preserve">Sustainable Generation. </w:t>
      </w:r>
      <w:r>
        <w:rPr>
          <w:rFonts w:ascii="Arial" w:cs="Arial" w:eastAsia="Arial" w:hAnsi="Arial"/>
          <w:sz w:val="17"/>
          <w:szCs w:val="17"/>
          <w:color w:val="auto"/>
        </w:rPr>
        <w:t>As of the end of 2019, Evergy’s utility subsidiaries owned or purchased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3,600 megawatts of renewable generation, most of which comes from the wind that is abundant in our service territory. Evergy produces about a third of our customers’ power annually from renewable sources and, when combined with the production from our Wolf Creek nuclear facility, nearly half of the power we provide to homes and businesses comes from emission-free sources.</w:t>
      </w:r>
    </w:p>
    <w:p>
      <w:pPr>
        <w:spacing w:after="0" w:line="62" w:lineRule="exact"/>
        <w:rPr>
          <w:rFonts w:ascii="Arial" w:cs="Arial" w:eastAsia="Arial" w:hAnsi="Arial"/>
          <w:sz w:val="17"/>
          <w:szCs w:val="17"/>
          <w:color w:val="307CC0"/>
        </w:rPr>
      </w:pPr>
    </w:p>
    <w:p>
      <w:pPr>
        <w:jc w:val="both"/>
        <w:ind w:left="600" w:right="80" w:hanging="333"/>
        <w:spacing w:after="0" w:line="246" w:lineRule="auto"/>
        <w:tabs>
          <w:tab w:leader="none" w:pos="600" w:val="left"/>
        </w:tabs>
        <w:numPr>
          <w:ilvl w:val="0"/>
          <w:numId w:val="5"/>
        </w:numPr>
        <w:rPr>
          <w:rFonts w:ascii="Arial" w:cs="Arial" w:eastAsia="Arial" w:hAnsi="Arial"/>
          <w:sz w:val="17"/>
          <w:szCs w:val="17"/>
          <w:color w:val="307CC0"/>
        </w:rPr>
      </w:pPr>
      <w:r>
        <w:rPr>
          <w:rFonts w:ascii="Arial" w:cs="Arial" w:eastAsia="Arial" w:hAnsi="Arial"/>
          <w:sz w:val="17"/>
          <w:szCs w:val="17"/>
          <w:b w:val="1"/>
          <w:bCs w:val="1"/>
          <w:color w:val="auto"/>
        </w:rPr>
        <w:t xml:space="preserve">Enhanced Corporate Governance in Response to Shareholder Engagement. </w:t>
      </w:r>
      <w:r>
        <w:rPr>
          <w:rFonts w:ascii="Arial" w:cs="Arial" w:eastAsia="Arial" w:hAnsi="Arial"/>
          <w:sz w:val="17"/>
          <w:szCs w:val="17"/>
          <w:color w:val="auto"/>
        </w:rPr>
        <w:t>Based on feedback from</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investors, we adopted a market-standard “proxy access” by-law provision that allows shareholders to include nominees for our Board in our proxy statement. We also implemented “majority voting” whereby, in uncontested elections, directors are only elected to our Board if they receive a majority of the votes cast at an annual meeting. We also began Board refreshment by appointing one independent director in 2019 and recently appointing two additional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293370</wp:posOffset>
            </wp:positionV>
            <wp:extent cx="5808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tabs>
          <w:tab w:leader="none" w:pos="2100" w:val="left"/>
        </w:tabs>
        <w:rPr>
          <w:sz w:val="20"/>
          <w:szCs w:val="20"/>
          <w:color w:val="auto"/>
        </w:rPr>
      </w:pPr>
      <w:r>
        <w:rPr>
          <w:rFonts w:ascii="Arial" w:cs="Arial" w:eastAsia="Arial" w:hAnsi="Arial"/>
          <w:sz w:val="14"/>
          <w:szCs w:val="14"/>
          <w:b w:val="1"/>
          <w:bCs w:val="1"/>
          <w:color w:val="307CC0"/>
        </w:rPr>
        <w:t>Proxy Statement Summary</w:t>
      </w:r>
      <w:r>
        <w:rPr>
          <w:rFonts w:ascii="Arial" w:cs="Arial" w:eastAsia="Arial" w:hAnsi="Arial"/>
          <w:sz w:val="14"/>
          <w:szCs w:val="14"/>
          <w:b w:val="1"/>
          <w:bCs w:val="1"/>
          <w:color w:val="auto"/>
        </w:rPr>
        <w:tab/>
        <w:t>Evergy 2020 Proxy Statement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5838190" cy="5559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8190" cy="555942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Corporate Governance (p. 16)</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Board seeks to maintain strong corporate governance features, including the following:</w:t>
      </w:r>
    </w:p>
    <w:p>
      <w:pPr>
        <w:sectPr>
          <w:pgSz w:w="11900" w:h="16838" w:orient="portrait"/>
          <w:cols w:equalWidth="0" w:num="1">
            <w:col w:w="9140"/>
          </w:cols>
          <w:pgMar w:left="1380" w:top="272" w:right="1379" w:bottom="1440" w:gutter="0" w:footer="0" w:header="0"/>
        </w:sectPr>
      </w:pPr>
    </w:p>
    <w:p>
      <w:pPr>
        <w:spacing w:after="0" w:line="63" w:lineRule="exact"/>
        <w:rPr>
          <w:sz w:val="20"/>
          <w:szCs w:val="20"/>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Annual election of directors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Majority voting in uncontested elections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Proxy access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Separate Chair and CEO</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Lead Independent Director</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Independent committee chairs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Standing executive sessions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Diverse Board, including four female directors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Annual self-evaluations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Mandatory retirement / tenure policy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Board oversight of risk management</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Board oversight of environmental disclosures</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Carbon emission reduction goal</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Transparent environmental disclosures</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CEO oversight of diversity / inclusion</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Robust stock ownership requirements</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No shareholder rights plan or poison pill</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No short selling, hedging or pledging</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Board oversight of political spending</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Disclosure of political spending</w:t>
      </w:r>
    </w:p>
    <w:p>
      <w:pPr>
        <w:spacing w:after="0" w:line="157" w:lineRule="exact"/>
        <w:rPr>
          <w:sz w:val="20"/>
          <w:szCs w:val="20"/>
          <w:color w:val="auto"/>
        </w:rPr>
      </w:pPr>
    </w:p>
    <w:p>
      <w:pPr>
        <w:sectPr>
          <w:pgSz w:w="11900" w:h="16838" w:orient="portrait"/>
          <w:cols w:equalWidth="0" w:num="2">
            <w:col w:w="4000" w:space="655"/>
            <w:col w:w="4485"/>
          </w:cols>
          <w:pgMar w:left="1380" w:top="272" w:right="137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Recent Developments</w:t>
      </w:r>
    </w:p>
    <w:p>
      <w:pPr>
        <w:spacing w:after="0" w:line="124" w:lineRule="exact"/>
        <w:rPr>
          <w:sz w:val="20"/>
          <w:szCs w:val="20"/>
          <w:color w:val="auto"/>
        </w:rPr>
      </w:pPr>
    </w:p>
    <w:p>
      <w:pPr>
        <w:jc w:val="both"/>
        <w:ind w:left="100" w:right="80" w:firstLine="172"/>
        <w:spacing w:after="0" w:line="255" w:lineRule="auto"/>
        <w:rPr>
          <w:sz w:val="20"/>
          <w:szCs w:val="20"/>
          <w:color w:val="auto"/>
        </w:rPr>
      </w:pPr>
      <w:r>
        <w:rPr>
          <w:rFonts w:ascii="Arial" w:cs="Arial" w:eastAsia="Arial" w:hAnsi="Arial"/>
          <w:sz w:val="17"/>
          <w:szCs w:val="17"/>
          <w:color w:val="auto"/>
        </w:rPr>
        <w:t>On February 28, 2020, Evergy entered into an agreement (the “Agreement”) with affiliates of Elliott Management Corporation (“Elliott”), which as of that date owned an economic interest equal to approximately 10 million shares of Evergy common stock. As part of the Agreement and our ongoing board refreshment process, Evergy agreed, among other things, to increase the number of directors on the Board from fifteen to seventeen, and appoint Paul M. Keglevic and Kirkland B. Andrews to fill the newly-created directorships effective, March 3, 2020. The Agreement further provides that the size of the Board will be reduced to thirteen directors at the 2020 Annual Meeting, and reduced to twelve directors in 2021. To accommodate the new Board size, Charles Q. Chandler IV, Gary D. Forsee, Scott D. Grimes and John J. Sherman are not standing for re-election at the 2020 Annual Meeting. Our Board thanks Messrs. Chandler, Forsee, Grimes and Sherman for their many years of exemplary service.</w:t>
      </w:r>
    </w:p>
    <w:p>
      <w:pPr>
        <w:spacing w:after="0" w:line="95" w:lineRule="exact"/>
        <w:rPr>
          <w:sz w:val="20"/>
          <w:szCs w:val="20"/>
          <w:color w:val="auto"/>
        </w:rPr>
      </w:pPr>
    </w:p>
    <w:p>
      <w:pPr>
        <w:jc w:val="both"/>
        <w:ind w:left="100" w:right="80" w:firstLine="172"/>
        <w:spacing w:after="0" w:line="256" w:lineRule="auto"/>
        <w:rPr>
          <w:sz w:val="20"/>
          <w:szCs w:val="20"/>
          <w:color w:val="auto"/>
        </w:rPr>
      </w:pPr>
      <w:r>
        <w:rPr>
          <w:rFonts w:ascii="Arial" w:cs="Arial" w:eastAsia="Arial" w:hAnsi="Arial"/>
          <w:sz w:val="17"/>
          <w:szCs w:val="17"/>
          <w:color w:val="auto"/>
        </w:rPr>
        <w:t>Pursuant to the Agreement, the Board has also formed a new Strategic Review &amp; Operations Committee (the “Strategic Committee”) with a mandate to explore ways to enhance long-term shareholder value, including through a potential strategic combination or an enhanced long-term standalone operating plan and strategy. The Strategic Committee is co-chaired by John A. Stall and Paul M. Keglevic, and also includes Terry Bassham and Kirkland B. Andrews. The Agreement requires certain public disclosures around the outcome of the Strategic Committee’s process.</w:t>
      </w:r>
    </w:p>
    <w:p>
      <w:pPr>
        <w:spacing w:after="0" w:line="93" w:lineRule="exact"/>
        <w:rPr>
          <w:sz w:val="20"/>
          <w:szCs w:val="20"/>
          <w:color w:val="auto"/>
        </w:rPr>
      </w:pPr>
    </w:p>
    <w:p>
      <w:pPr>
        <w:jc w:val="both"/>
        <w:ind w:left="100" w:right="80" w:firstLine="172"/>
        <w:spacing w:after="0" w:line="256" w:lineRule="auto"/>
        <w:rPr>
          <w:sz w:val="20"/>
          <w:szCs w:val="20"/>
          <w:color w:val="auto"/>
        </w:rPr>
      </w:pPr>
      <w:r>
        <w:rPr>
          <w:rFonts w:ascii="Arial" w:cs="Arial" w:eastAsia="Arial" w:hAnsi="Arial"/>
          <w:sz w:val="17"/>
          <w:szCs w:val="17"/>
          <w:color w:val="auto"/>
        </w:rPr>
        <w:t>Under the Agreement, Elliott has agreed to certain customary standstill provisions, and Elliott and Evergy have agreed to mutual non-disparagement provisions, effective until November 2, 2020, subject to potential extension, certain exceptions and early termination upon certain specified events. During such period, Elliott has also agreed to vote its and its controlled affiliates’ shares of common stock of Evergy in favor of each director nominated and recommended by the Board, against any proposals or resolutions to remove any member of the Board and otherwise in accordance with the recommendation of the Board, other than with respect to certain extraordinary transactions.</w:t>
      </w:r>
    </w:p>
    <w:p>
      <w:pPr>
        <w:spacing w:after="0" w:line="93" w:lineRule="exact"/>
        <w:rPr>
          <w:sz w:val="20"/>
          <w:szCs w:val="20"/>
          <w:color w:val="auto"/>
        </w:rPr>
      </w:pPr>
    </w:p>
    <w:p>
      <w:pPr>
        <w:jc w:val="both"/>
        <w:ind w:left="100" w:right="80" w:firstLine="172"/>
        <w:spacing w:after="0" w:line="269" w:lineRule="auto"/>
        <w:rPr>
          <w:sz w:val="20"/>
          <w:szCs w:val="20"/>
          <w:color w:val="auto"/>
        </w:rPr>
      </w:pPr>
      <w:r>
        <w:rPr>
          <w:rFonts w:ascii="Arial" w:cs="Arial" w:eastAsia="Arial" w:hAnsi="Arial"/>
          <w:sz w:val="17"/>
          <w:szCs w:val="17"/>
          <w:color w:val="auto"/>
        </w:rPr>
        <w:t>The Agreement is more fully described in the Company’s Current Report on Form 8-K filed on March 2, 2020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288290</wp:posOffset>
            </wp:positionV>
            <wp:extent cx="5808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2100" w:val="left"/>
        </w:tabs>
        <w:rPr>
          <w:sz w:val="20"/>
          <w:szCs w:val="20"/>
          <w:color w:val="auto"/>
        </w:rPr>
      </w:pPr>
      <w:r>
        <w:rPr>
          <w:rFonts w:ascii="Arial" w:cs="Arial" w:eastAsia="Arial" w:hAnsi="Arial"/>
          <w:sz w:val="14"/>
          <w:szCs w:val="14"/>
          <w:b w:val="1"/>
          <w:bCs w:val="1"/>
          <w:color w:val="307CC0"/>
        </w:rPr>
        <w:t>Proxy Statement Summary</w:t>
      </w:r>
      <w:r>
        <w:rPr>
          <w:rFonts w:ascii="Arial" w:cs="Arial" w:eastAsia="Arial" w:hAnsi="Arial"/>
          <w:sz w:val="14"/>
          <w:szCs w:val="14"/>
          <w:b w:val="1"/>
          <w:bCs w:val="1"/>
          <w:color w:val="auto"/>
        </w:rPr>
        <w:tab/>
        <w:t>Evergy 2020 Proxy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5838190" cy="638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8190" cy="638810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Director Nominees (p. 6)</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51"/>
        </w:trPr>
        <w:tc>
          <w:tcPr>
            <w:tcW w:w="1600" w:type="dxa"/>
            <w:vAlign w:val="bottom"/>
            <w:shd w:val="clear" w:color="auto" w:fill="307CC0"/>
          </w:tcPr>
          <w:p>
            <w:pPr>
              <w:spacing w:after="0"/>
              <w:rPr>
                <w:sz w:val="13"/>
                <w:szCs w:val="13"/>
                <w:color w:val="auto"/>
              </w:rPr>
            </w:pPr>
          </w:p>
        </w:tc>
        <w:tc>
          <w:tcPr>
            <w:tcW w:w="1960" w:type="dxa"/>
            <w:vAlign w:val="bottom"/>
            <w:shd w:val="clear" w:color="auto" w:fill="307CC0"/>
          </w:tcPr>
          <w:p>
            <w:pPr>
              <w:spacing w:after="0"/>
              <w:rPr>
                <w:sz w:val="13"/>
                <w:szCs w:val="13"/>
                <w:color w:val="auto"/>
              </w:rPr>
            </w:pPr>
          </w:p>
        </w:tc>
        <w:tc>
          <w:tcPr>
            <w:tcW w:w="320" w:type="dxa"/>
            <w:vAlign w:val="bottom"/>
            <w:shd w:val="clear" w:color="auto" w:fill="307CC0"/>
          </w:tcPr>
          <w:p>
            <w:pPr>
              <w:spacing w:after="0"/>
              <w:rPr>
                <w:sz w:val="13"/>
                <w:szCs w:val="13"/>
                <w:color w:val="auto"/>
              </w:rPr>
            </w:pPr>
          </w:p>
        </w:tc>
        <w:tc>
          <w:tcPr>
            <w:tcW w:w="540" w:type="dxa"/>
            <w:vAlign w:val="bottom"/>
            <w:shd w:val="clear" w:color="auto" w:fill="307CC0"/>
          </w:tcPr>
          <w:p>
            <w:pPr>
              <w:spacing w:after="0"/>
              <w:rPr>
                <w:sz w:val="13"/>
                <w:szCs w:val="13"/>
                <w:color w:val="auto"/>
              </w:rPr>
            </w:pPr>
          </w:p>
        </w:tc>
        <w:tc>
          <w:tcPr>
            <w:tcW w:w="1340" w:type="dxa"/>
            <w:vAlign w:val="bottom"/>
            <w:shd w:val="clear" w:color="auto" w:fill="307CC0"/>
          </w:tcPr>
          <w:p>
            <w:pPr>
              <w:spacing w:after="0"/>
              <w:rPr>
                <w:sz w:val="13"/>
                <w:szCs w:val="13"/>
                <w:color w:val="auto"/>
              </w:rPr>
            </w:pPr>
          </w:p>
        </w:tc>
        <w:tc>
          <w:tcPr>
            <w:tcW w:w="1480" w:type="dxa"/>
            <w:vAlign w:val="bottom"/>
            <w:shd w:val="clear" w:color="auto" w:fill="307CC0"/>
          </w:tcPr>
          <w:p>
            <w:pPr>
              <w:spacing w:after="0"/>
              <w:rPr>
                <w:sz w:val="13"/>
                <w:szCs w:val="13"/>
                <w:color w:val="auto"/>
              </w:rPr>
            </w:pPr>
          </w:p>
        </w:tc>
        <w:tc>
          <w:tcPr>
            <w:tcW w:w="9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7"/>
              </w:rPr>
              <w:t>Nuclear,</w:t>
            </w:r>
          </w:p>
        </w:tc>
        <w:tc>
          <w:tcPr>
            <w:tcW w:w="74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307CC0"/>
          </w:tcPr>
          <w:p>
            <w:pPr>
              <w:spacing w:after="0"/>
              <w:rPr>
                <w:sz w:val="12"/>
                <w:szCs w:val="12"/>
                <w:color w:val="auto"/>
              </w:rPr>
            </w:pPr>
          </w:p>
        </w:tc>
        <w:tc>
          <w:tcPr>
            <w:tcW w:w="1960" w:type="dxa"/>
            <w:vAlign w:val="bottom"/>
            <w:shd w:val="clear" w:color="auto" w:fill="307CC0"/>
          </w:tcPr>
          <w:p>
            <w:pPr>
              <w:spacing w:after="0"/>
              <w:rPr>
                <w:sz w:val="12"/>
                <w:szCs w:val="12"/>
                <w:color w:val="auto"/>
              </w:rPr>
            </w:pPr>
          </w:p>
        </w:tc>
        <w:tc>
          <w:tcPr>
            <w:tcW w:w="320" w:type="dxa"/>
            <w:vAlign w:val="bottom"/>
            <w:shd w:val="clear" w:color="auto" w:fill="307CC0"/>
          </w:tcPr>
          <w:p>
            <w:pPr>
              <w:spacing w:after="0"/>
              <w:rPr>
                <w:sz w:val="12"/>
                <w:szCs w:val="12"/>
                <w:color w:val="auto"/>
              </w:rPr>
            </w:pPr>
          </w:p>
        </w:tc>
        <w:tc>
          <w:tcPr>
            <w:tcW w:w="540" w:type="dxa"/>
            <w:vAlign w:val="bottom"/>
            <w:shd w:val="clear" w:color="auto" w:fill="307CC0"/>
          </w:tcPr>
          <w:p>
            <w:pPr>
              <w:spacing w:after="0"/>
              <w:rPr>
                <w:sz w:val="12"/>
                <w:szCs w:val="12"/>
                <w:color w:val="auto"/>
              </w:rPr>
            </w:pPr>
          </w:p>
        </w:tc>
        <w:tc>
          <w:tcPr>
            <w:tcW w:w="1340" w:type="dxa"/>
            <w:vAlign w:val="bottom"/>
            <w:shd w:val="clear" w:color="auto" w:fill="307CC0"/>
          </w:tcPr>
          <w:p>
            <w:pPr>
              <w:jc w:val="center"/>
              <w:ind w:left="332"/>
              <w:spacing w:after="0" w:line="143" w:lineRule="exact"/>
              <w:rPr>
                <w:sz w:val="20"/>
                <w:szCs w:val="20"/>
                <w:color w:val="auto"/>
              </w:rPr>
            </w:pPr>
            <w:r>
              <w:rPr>
                <w:rFonts w:ascii="Arial" w:cs="Arial" w:eastAsia="Arial" w:hAnsi="Arial"/>
                <w:sz w:val="13"/>
                <w:szCs w:val="13"/>
                <w:b w:val="1"/>
                <w:bCs w:val="1"/>
                <w:color w:val="FFFFFF"/>
                <w:w w:val="99"/>
              </w:rPr>
              <w:t>Compensation</w:t>
            </w:r>
          </w:p>
        </w:tc>
        <w:tc>
          <w:tcPr>
            <w:tcW w:w="1480" w:type="dxa"/>
            <w:vAlign w:val="bottom"/>
            <w:shd w:val="clear" w:color="auto" w:fill="307CC0"/>
          </w:tcPr>
          <w:p>
            <w:pPr>
              <w:jc w:val="center"/>
              <w:ind w:right="472"/>
              <w:spacing w:after="0" w:line="143" w:lineRule="exact"/>
              <w:rPr>
                <w:sz w:val="20"/>
                <w:szCs w:val="20"/>
                <w:color w:val="auto"/>
              </w:rPr>
            </w:pPr>
            <w:r>
              <w:rPr>
                <w:rFonts w:ascii="Arial" w:cs="Arial" w:eastAsia="Arial" w:hAnsi="Arial"/>
                <w:sz w:val="13"/>
                <w:szCs w:val="13"/>
                <w:b w:val="1"/>
                <w:bCs w:val="1"/>
                <w:color w:val="FFFFFF"/>
                <w:w w:val="98"/>
              </w:rPr>
              <w:t>Nominating,</w:t>
            </w:r>
          </w:p>
        </w:tc>
        <w:tc>
          <w:tcPr>
            <w:tcW w:w="9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Operations,</w:t>
            </w:r>
          </w:p>
        </w:tc>
        <w:tc>
          <w:tcPr>
            <w:tcW w:w="740" w:type="dxa"/>
            <w:vAlign w:val="bottom"/>
            <w:shd w:val="clear" w:color="auto" w:fill="307CC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307CC0"/>
          </w:tcPr>
          <w:p>
            <w:pPr>
              <w:spacing w:after="0"/>
              <w:rPr>
                <w:sz w:val="12"/>
                <w:szCs w:val="12"/>
                <w:color w:val="auto"/>
              </w:rPr>
            </w:pPr>
          </w:p>
        </w:tc>
        <w:tc>
          <w:tcPr>
            <w:tcW w:w="1960" w:type="dxa"/>
            <w:vAlign w:val="bottom"/>
            <w:shd w:val="clear" w:color="auto" w:fill="307CC0"/>
          </w:tcPr>
          <w:p>
            <w:pPr>
              <w:spacing w:after="0"/>
              <w:rPr>
                <w:sz w:val="12"/>
                <w:szCs w:val="12"/>
                <w:color w:val="auto"/>
              </w:rPr>
            </w:pPr>
          </w:p>
        </w:tc>
        <w:tc>
          <w:tcPr>
            <w:tcW w:w="320" w:type="dxa"/>
            <w:vAlign w:val="bottom"/>
            <w:shd w:val="clear" w:color="auto" w:fill="307CC0"/>
          </w:tcPr>
          <w:p>
            <w:pPr>
              <w:spacing w:after="0"/>
              <w:rPr>
                <w:sz w:val="12"/>
                <w:szCs w:val="12"/>
                <w:color w:val="auto"/>
              </w:rPr>
            </w:pPr>
          </w:p>
        </w:tc>
        <w:tc>
          <w:tcPr>
            <w:tcW w:w="540" w:type="dxa"/>
            <w:vAlign w:val="bottom"/>
            <w:shd w:val="clear" w:color="auto" w:fill="307CC0"/>
          </w:tcPr>
          <w:p>
            <w:pPr>
              <w:spacing w:after="0"/>
              <w:rPr>
                <w:sz w:val="12"/>
                <w:szCs w:val="12"/>
                <w:color w:val="auto"/>
              </w:rPr>
            </w:pPr>
          </w:p>
        </w:tc>
        <w:tc>
          <w:tcPr>
            <w:tcW w:w="1340" w:type="dxa"/>
            <w:vAlign w:val="bottom"/>
            <w:shd w:val="clear" w:color="auto" w:fill="307CC0"/>
          </w:tcPr>
          <w:p>
            <w:pPr>
              <w:jc w:val="center"/>
              <w:ind w:left="312"/>
              <w:spacing w:after="0" w:line="143" w:lineRule="exact"/>
              <w:rPr>
                <w:sz w:val="20"/>
                <w:szCs w:val="20"/>
                <w:color w:val="auto"/>
              </w:rPr>
            </w:pPr>
            <w:r>
              <w:rPr>
                <w:rFonts w:ascii="Arial" w:cs="Arial" w:eastAsia="Arial" w:hAnsi="Arial"/>
                <w:sz w:val="13"/>
                <w:szCs w:val="13"/>
                <w:b w:val="1"/>
                <w:bCs w:val="1"/>
                <w:color w:val="FFFFFF"/>
              </w:rPr>
              <w:t>and</w:t>
            </w:r>
          </w:p>
        </w:tc>
        <w:tc>
          <w:tcPr>
            <w:tcW w:w="1480" w:type="dxa"/>
            <w:vAlign w:val="bottom"/>
            <w:shd w:val="clear" w:color="auto" w:fill="307CC0"/>
          </w:tcPr>
          <w:p>
            <w:pPr>
              <w:jc w:val="center"/>
              <w:ind w:right="472"/>
              <w:spacing w:after="0" w:line="143" w:lineRule="exact"/>
              <w:rPr>
                <w:sz w:val="20"/>
                <w:szCs w:val="20"/>
                <w:color w:val="auto"/>
              </w:rPr>
            </w:pPr>
            <w:r>
              <w:rPr>
                <w:rFonts w:ascii="Arial" w:cs="Arial" w:eastAsia="Arial" w:hAnsi="Arial"/>
                <w:sz w:val="13"/>
                <w:szCs w:val="13"/>
                <w:b w:val="1"/>
                <w:bCs w:val="1"/>
                <w:color w:val="FFFFFF"/>
                <w:w w:val="98"/>
              </w:rPr>
              <w:t>Governance,</w:t>
            </w:r>
          </w:p>
        </w:tc>
        <w:tc>
          <w:tcPr>
            <w:tcW w:w="9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4"/>
              </w:rPr>
              <w:t>and</w:t>
            </w:r>
          </w:p>
        </w:tc>
        <w:tc>
          <w:tcPr>
            <w:tcW w:w="7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6"/>
              </w:rPr>
              <w:t>Strategic</w:t>
            </w:r>
          </w:p>
        </w:tc>
        <w:tc>
          <w:tcPr>
            <w:tcW w:w="0" w:type="dxa"/>
            <w:vAlign w:val="bottom"/>
          </w:tcPr>
          <w:p>
            <w:pPr>
              <w:spacing w:after="0"/>
              <w:rPr>
                <w:sz w:val="1"/>
                <w:szCs w:val="1"/>
                <w:color w:val="auto"/>
              </w:rPr>
            </w:pPr>
          </w:p>
        </w:tc>
      </w:tr>
      <w:tr>
        <w:trPr>
          <w:trHeight w:val="142"/>
        </w:trPr>
        <w:tc>
          <w:tcPr>
            <w:tcW w:w="1600" w:type="dxa"/>
            <w:vAlign w:val="bottom"/>
            <w:shd w:val="clear" w:color="auto" w:fill="307CC0"/>
          </w:tcPr>
          <w:p>
            <w:pPr>
              <w:spacing w:after="0"/>
              <w:rPr>
                <w:sz w:val="12"/>
                <w:szCs w:val="12"/>
                <w:color w:val="auto"/>
              </w:rPr>
            </w:pPr>
          </w:p>
        </w:tc>
        <w:tc>
          <w:tcPr>
            <w:tcW w:w="1960" w:type="dxa"/>
            <w:vAlign w:val="bottom"/>
            <w:shd w:val="clear" w:color="auto" w:fill="307CC0"/>
          </w:tcPr>
          <w:p>
            <w:pPr>
              <w:spacing w:after="0"/>
              <w:rPr>
                <w:sz w:val="12"/>
                <w:szCs w:val="12"/>
                <w:color w:val="auto"/>
              </w:rPr>
            </w:pPr>
          </w:p>
        </w:tc>
        <w:tc>
          <w:tcPr>
            <w:tcW w:w="320" w:type="dxa"/>
            <w:vAlign w:val="bottom"/>
            <w:shd w:val="clear" w:color="auto" w:fill="307CC0"/>
          </w:tcPr>
          <w:p>
            <w:pPr>
              <w:spacing w:after="0"/>
              <w:rPr>
                <w:sz w:val="12"/>
                <w:szCs w:val="12"/>
                <w:color w:val="auto"/>
              </w:rPr>
            </w:pPr>
          </w:p>
        </w:tc>
        <w:tc>
          <w:tcPr>
            <w:tcW w:w="5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Director</w:t>
            </w:r>
          </w:p>
        </w:tc>
        <w:tc>
          <w:tcPr>
            <w:tcW w:w="1340" w:type="dxa"/>
            <w:vAlign w:val="bottom"/>
            <w:shd w:val="clear" w:color="auto" w:fill="307CC0"/>
          </w:tcPr>
          <w:p>
            <w:pPr>
              <w:jc w:val="center"/>
              <w:ind w:left="312"/>
              <w:spacing w:after="0" w:line="143" w:lineRule="exact"/>
              <w:rPr>
                <w:sz w:val="20"/>
                <w:szCs w:val="20"/>
                <w:color w:val="auto"/>
              </w:rPr>
            </w:pPr>
            <w:r>
              <w:rPr>
                <w:rFonts w:ascii="Arial" w:cs="Arial" w:eastAsia="Arial" w:hAnsi="Arial"/>
                <w:sz w:val="13"/>
                <w:szCs w:val="13"/>
                <w:b w:val="1"/>
                <w:bCs w:val="1"/>
                <w:color w:val="FFFFFF"/>
                <w:w w:val="97"/>
              </w:rPr>
              <w:t>Leadership</w:t>
            </w:r>
          </w:p>
        </w:tc>
        <w:tc>
          <w:tcPr>
            <w:tcW w:w="1480" w:type="dxa"/>
            <w:vAlign w:val="bottom"/>
            <w:shd w:val="clear" w:color="auto" w:fill="307CC0"/>
          </w:tcPr>
          <w:p>
            <w:pPr>
              <w:jc w:val="center"/>
              <w:ind w:right="452"/>
              <w:spacing w:after="0" w:line="143" w:lineRule="exact"/>
              <w:rPr>
                <w:sz w:val="20"/>
                <w:szCs w:val="20"/>
                <w:color w:val="auto"/>
              </w:rPr>
            </w:pPr>
            <w:r>
              <w:rPr>
                <w:rFonts w:ascii="Arial" w:cs="Arial" w:eastAsia="Arial" w:hAnsi="Arial"/>
                <w:sz w:val="13"/>
                <w:szCs w:val="13"/>
                <w:b w:val="1"/>
                <w:bCs w:val="1"/>
                <w:color w:val="FFFFFF"/>
                <w:w w:val="98"/>
              </w:rPr>
              <w:t>and Corporate</w:t>
            </w:r>
          </w:p>
        </w:tc>
        <w:tc>
          <w:tcPr>
            <w:tcW w:w="9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Environmental</w:t>
            </w:r>
          </w:p>
        </w:tc>
        <w:tc>
          <w:tcPr>
            <w:tcW w:w="7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Review &amp;</w:t>
            </w:r>
          </w:p>
        </w:tc>
        <w:tc>
          <w:tcPr>
            <w:tcW w:w="0" w:type="dxa"/>
            <w:vAlign w:val="bottom"/>
          </w:tcPr>
          <w:p>
            <w:pPr>
              <w:spacing w:after="0"/>
              <w:rPr>
                <w:sz w:val="1"/>
                <w:szCs w:val="1"/>
                <w:color w:val="auto"/>
              </w:rPr>
            </w:pPr>
          </w:p>
        </w:tc>
      </w:tr>
      <w:tr>
        <w:trPr>
          <w:trHeight w:val="185"/>
        </w:trPr>
        <w:tc>
          <w:tcPr>
            <w:tcW w:w="1600" w:type="dxa"/>
            <w:vAlign w:val="bottom"/>
            <w:shd w:val="clear" w:color="auto" w:fill="307CC0"/>
          </w:tcPr>
          <w:p>
            <w:pPr>
              <w:ind w:left="240"/>
              <w:spacing w:after="0"/>
              <w:rPr>
                <w:sz w:val="20"/>
                <w:szCs w:val="20"/>
                <w:color w:val="auto"/>
              </w:rPr>
            </w:pPr>
            <w:r>
              <w:rPr>
                <w:rFonts w:ascii="Arial" w:cs="Arial" w:eastAsia="Arial" w:hAnsi="Arial"/>
                <w:sz w:val="13"/>
                <w:szCs w:val="13"/>
                <w:b w:val="1"/>
                <w:bCs w:val="1"/>
                <w:color w:val="FFFFFF"/>
              </w:rPr>
              <w:t>Director Nominees</w:t>
            </w:r>
          </w:p>
        </w:tc>
        <w:tc>
          <w:tcPr>
            <w:tcW w:w="1960" w:type="dxa"/>
            <w:vAlign w:val="bottom"/>
            <w:shd w:val="clear" w:color="auto" w:fill="307CC0"/>
          </w:tcPr>
          <w:p>
            <w:pPr>
              <w:ind w:left="360"/>
              <w:spacing w:after="0"/>
              <w:rPr>
                <w:sz w:val="20"/>
                <w:szCs w:val="20"/>
                <w:color w:val="auto"/>
              </w:rPr>
            </w:pPr>
            <w:r>
              <w:rPr>
                <w:rFonts w:ascii="Arial" w:cs="Arial" w:eastAsia="Arial" w:hAnsi="Arial"/>
                <w:sz w:val="13"/>
                <w:szCs w:val="13"/>
                <w:b w:val="1"/>
                <w:bCs w:val="1"/>
                <w:color w:val="FFFFFF"/>
              </w:rPr>
              <w:t>Principal Occupation</w:t>
            </w:r>
          </w:p>
        </w:tc>
        <w:tc>
          <w:tcPr>
            <w:tcW w:w="3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7"/>
              </w:rPr>
              <w:t>Age</w:t>
            </w:r>
          </w:p>
        </w:tc>
        <w:tc>
          <w:tcPr>
            <w:tcW w:w="54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1340" w:type="dxa"/>
            <w:vAlign w:val="bottom"/>
            <w:shd w:val="clear" w:color="auto" w:fill="307CC0"/>
          </w:tcPr>
          <w:p>
            <w:pPr>
              <w:ind w:left="20"/>
              <w:spacing w:after="0"/>
              <w:rPr>
                <w:sz w:val="20"/>
                <w:szCs w:val="20"/>
                <w:color w:val="auto"/>
              </w:rPr>
            </w:pPr>
            <w:r>
              <w:rPr>
                <w:rFonts w:ascii="Arial" w:cs="Arial" w:eastAsia="Arial" w:hAnsi="Arial"/>
                <w:sz w:val="13"/>
                <w:szCs w:val="13"/>
                <w:b w:val="1"/>
                <w:bCs w:val="1"/>
                <w:color w:val="FFFFFF"/>
              </w:rPr>
              <w:t>Audit  Development</w:t>
            </w:r>
          </w:p>
        </w:tc>
        <w:tc>
          <w:tcPr>
            <w:tcW w:w="148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Responsibility Finance</w:t>
            </w:r>
          </w:p>
        </w:tc>
        <w:tc>
          <w:tcPr>
            <w:tcW w:w="9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Oversight</w:t>
            </w:r>
          </w:p>
        </w:tc>
        <w:tc>
          <w:tcPr>
            <w:tcW w:w="74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Operations</w:t>
            </w:r>
          </w:p>
        </w:tc>
        <w:tc>
          <w:tcPr>
            <w:tcW w:w="0" w:type="dxa"/>
            <w:vAlign w:val="bottom"/>
          </w:tcPr>
          <w:p>
            <w:pPr>
              <w:spacing w:after="0"/>
              <w:rPr>
                <w:sz w:val="1"/>
                <w:szCs w:val="1"/>
                <w:color w:val="auto"/>
              </w:rPr>
            </w:pPr>
          </w:p>
        </w:tc>
      </w:tr>
      <w:tr>
        <w:trPr>
          <w:trHeight w:val="158"/>
        </w:trPr>
        <w:tc>
          <w:tcPr>
            <w:tcW w:w="16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Mark A. Ruelle</w:t>
            </w:r>
          </w:p>
        </w:tc>
        <w:tc>
          <w:tcPr>
            <w:tcW w:w="196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Chairman of the Board and</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Chairman</w:t>
            </w:r>
          </w:p>
        </w:tc>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Former President and Chief</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2011</w:t>
            </w:r>
          </w:p>
        </w:tc>
        <w:tc>
          <w:tcPr>
            <w:tcW w:w="13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line="155" w:lineRule="exact"/>
              <w:rPr>
                <w:sz w:val="20"/>
                <w:szCs w:val="20"/>
                <w:color w:val="auto"/>
              </w:rPr>
            </w:pPr>
            <w:r>
              <w:rPr>
                <w:rFonts w:ascii="Arial" w:cs="Arial" w:eastAsia="Arial" w:hAnsi="Arial"/>
                <w:sz w:val="14"/>
                <w:szCs w:val="14"/>
                <w:color w:val="auto"/>
              </w:rPr>
              <w:t>Executive Officer, Westar</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CCEEFF"/>
          </w:tcPr>
          <w:p>
            <w:pPr>
              <w:spacing w:after="0"/>
              <w:rPr>
                <w:sz w:val="14"/>
                <w:szCs w:val="14"/>
                <w:color w:val="auto"/>
              </w:rPr>
            </w:pPr>
          </w:p>
        </w:tc>
        <w:tc>
          <w:tcPr>
            <w:tcW w:w="1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4"/>
                <w:szCs w:val="14"/>
                <w:color w:val="auto"/>
              </w:rPr>
              <w:t>Energy</w:t>
            </w:r>
          </w:p>
        </w:tc>
        <w:tc>
          <w:tcPr>
            <w:tcW w:w="320" w:type="dxa"/>
            <w:vAlign w:val="bottom"/>
            <w:tcBorders>
              <w:bottom w:val="single" w:sz="8" w:color="307CC0"/>
            </w:tcBorders>
            <w:shd w:val="clear" w:color="auto" w:fill="CCEEFF"/>
          </w:tcPr>
          <w:p>
            <w:pPr>
              <w:spacing w:after="0"/>
              <w:rPr>
                <w:sz w:val="14"/>
                <w:szCs w:val="14"/>
                <w:color w:val="auto"/>
              </w:rPr>
            </w:pPr>
          </w:p>
        </w:tc>
        <w:tc>
          <w:tcPr>
            <w:tcW w:w="540" w:type="dxa"/>
            <w:vAlign w:val="bottom"/>
            <w:tcBorders>
              <w:bottom w:val="single" w:sz="8" w:color="307CC0"/>
            </w:tcBorders>
            <w:shd w:val="clear" w:color="auto" w:fill="CCEEFF"/>
          </w:tcPr>
          <w:p>
            <w:pPr>
              <w:spacing w:after="0"/>
              <w:rPr>
                <w:sz w:val="14"/>
                <w:szCs w:val="14"/>
                <w:color w:val="auto"/>
              </w:rPr>
            </w:pPr>
          </w:p>
        </w:tc>
        <w:tc>
          <w:tcPr>
            <w:tcW w:w="1340" w:type="dxa"/>
            <w:vAlign w:val="bottom"/>
            <w:tcBorders>
              <w:bottom w:val="single" w:sz="8" w:color="307CC0"/>
            </w:tcBorders>
            <w:shd w:val="clear" w:color="auto" w:fill="CCEEFF"/>
          </w:tcPr>
          <w:p>
            <w:pPr>
              <w:spacing w:after="0"/>
              <w:rPr>
                <w:sz w:val="14"/>
                <w:szCs w:val="14"/>
                <w:color w:val="auto"/>
              </w:rPr>
            </w:pPr>
          </w:p>
        </w:tc>
        <w:tc>
          <w:tcPr>
            <w:tcW w:w="1480" w:type="dxa"/>
            <w:vAlign w:val="bottom"/>
            <w:tcBorders>
              <w:bottom w:val="single" w:sz="8" w:color="307CC0"/>
            </w:tcBorders>
            <w:shd w:val="clear" w:color="auto" w:fill="CCEEFF"/>
          </w:tcPr>
          <w:p>
            <w:pPr>
              <w:spacing w:after="0"/>
              <w:rPr>
                <w:sz w:val="14"/>
                <w:szCs w:val="14"/>
                <w:color w:val="auto"/>
              </w:rPr>
            </w:pPr>
          </w:p>
        </w:tc>
        <w:tc>
          <w:tcPr>
            <w:tcW w:w="960" w:type="dxa"/>
            <w:vAlign w:val="bottom"/>
            <w:tcBorders>
              <w:bottom w:val="single" w:sz="8" w:color="307CC0"/>
            </w:tcBorders>
            <w:shd w:val="clear" w:color="auto" w:fill="CCEEFF"/>
          </w:tcPr>
          <w:p>
            <w:pPr>
              <w:spacing w:after="0"/>
              <w:rPr>
                <w:sz w:val="14"/>
                <w:szCs w:val="14"/>
                <w:color w:val="auto"/>
              </w:rPr>
            </w:pPr>
          </w:p>
        </w:tc>
        <w:tc>
          <w:tcPr>
            <w:tcW w:w="740" w:type="dxa"/>
            <w:vAlign w:val="bottom"/>
            <w:tcBorders>
              <w:bottom w:val="single" w:sz="8" w:color="307CC0"/>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0" w:type="dxa"/>
            <w:vAlign w:val="bottom"/>
            <w:shd w:val="clear" w:color="auto" w:fill="D6E7FF"/>
          </w:tcPr>
          <w:p>
            <w:pPr>
              <w:ind w:left="20"/>
              <w:spacing w:after="0"/>
              <w:rPr>
                <w:sz w:val="20"/>
                <w:szCs w:val="20"/>
                <w:color w:val="auto"/>
              </w:rPr>
            </w:pPr>
            <w:r>
              <w:rPr>
                <w:rFonts w:ascii="Arial" w:cs="Arial" w:eastAsia="Arial" w:hAnsi="Arial"/>
                <w:sz w:val="14"/>
                <w:szCs w:val="14"/>
                <w:color w:val="auto"/>
              </w:rPr>
              <w:t>Terry Bassham</w:t>
            </w:r>
          </w:p>
        </w:tc>
        <w:tc>
          <w:tcPr>
            <w:tcW w:w="1960" w:type="dxa"/>
            <w:vAlign w:val="bottom"/>
            <w:shd w:val="clear" w:color="auto" w:fill="D6E7FF"/>
          </w:tcPr>
          <w:p>
            <w:pPr>
              <w:ind w:left="40"/>
              <w:spacing w:after="0"/>
              <w:rPr>
                <w:sz w:val="20"/>
                <w:szCs w:val="20"/>
                <w:color w:val="auto"/>
              </w:rPr>
            </w:pPr>
            <w:r>
              <w:rPr>
                <w:rFonts w:ascii="Arial" w:cs="Arial" w:eastAsia="Arial" w:hAnsi="Arial"/>
                <w:sz w:val="14"/>
                <w:szCs w:val="14"/>
                <w:color w:val="auto"/>
              </w:rPr>
              <w:t>President and Chief Executive</w:t>
            </w:r>
          </w:p>
        </w:tc>
        <w:tc>
          <w:tcPr>
            <w:tcW w:w="320" w:type="dxa"/>
            <w:vAlign w:val="bottom"/>
            <w:shd w:val="clear" w:color="auto" w:fill="D6E7FF"/>
          </w:tcPr>
          <w:p>
            <w:pPr>
              <w:jc w:val="center"/>
              <w:spacing w:after="0"/>
              <w:rPr>
                <w:sz w:val="20"/>
                <w:szCs w:val="20"/>
                <w:color w:val="auto"/>
              </w:rPr>
            </w:pPr>
            <w:r>
              <w:rPr>
                <w:rFonts w:ascii="Arial" w:cs="Arial" w:eastAsia="Arial" w:hAnsi="Arial"/>
                <w:sz w:val="14"/>
                <w:szCs w:val="14"/>
                <w:color w:val="auto"/>
                <w:w w:val="89"/>
              </w:rPr>
              <w:t>59</w:t>
            </w:r>
          </w:p>
        </w:tc>
        <w:tc>
          <w:tcPr>
            <w:tcW w:w="540" w:type="dxa"/>
            <w:vAlign w:val="bottom"/>
            <w:shd w:val="clear" w:color="auto" w:fill="D6E7FF"/>
          </w:tcPr>
          <w:p>
            <w:pPr>
              <w:jc w:val="center"/>
              <w:spacing w:after="0"/>
              <w:rPr>
                <w:sz w:val="20"/>
                <w:szCs w:val="20"/>
                <w:color w:val="auto"/>
              </w:rPr>
            </w:pPr>
            <w:r>
              <w:rPr>
                <w:rFonts w:ascii="Arial" w:cs="Arial" w:eastAsia="Arial" w:hAnsi="Arial"/>
                <w:sz w:val="14"/>
                <w:szCs w:val="14"/>
                <w:color w:val="auto"/>
                <w:w w:val="96"/>
              </w:rPr>
              <w:t>2011</w:t>
            </w:r>
          </w:p>
        </w:tc>
        <w:tc>
          <w:tcPr>
            <w:tcW w:w="1340" w:type="dxa"/>
            <w:vAlign w:val="bottom"/>
            <w:shd w:val="clear" w:color="auto" w:fill="D6E7FF"/>
          </w:tcPr>
          <w:p>
            <w:pPr>
              <w:spacing w:after="0"/>
              <w:rPr>
                <w:sz w:val="14"/>
                <w:szCs w:val="14"/>
                <w:color w:val="auto"/>
              </w:rPr>
            </w:pPr>
          </w:p>
        </w:tc>
        <w:tc>
          <w:tcPr>
            <w:tcW w:w="1480" w:type="dxa"/>
            <w:vAlign w:val="bottom"/>
            <w:shd w:val="clear" w:color="auto" w:fill="D6E7FF"/>
          </w:tcPr>
          <w:p>
            <w:pPr>
              <w:spacing w:after="0"/>
              <w:rPr>
                <w:sz w:val="14"/>
                <w:szCs w:val="14"/>
                <w:color w:val="auto"/>
              </w:rPr>
            </w:pPr>
          </w:p>
        </w:tc>
        <w:tc>
          <w:tcPr>
            <w:tcW w:w="960" w:type="dxa"/>
            <w:vAlign w:val="bottom"/>
            <w:shd w:val="clear" w:color="auto" w:fill="D6E7FF"/>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40" w:type="dxa"/>
            <w:vAlign w:val="bottom"/>
            <w:shd w:val="clear" w:color="auto" w:fill="D6E7FF"/>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D6E7FF"/>
          </w:tcPr>
          <w:p>
            <w:pPr>
              <w:spacing w:after="0"/>
              <w:rPr>
                <w:sz w:val="14"/>
                <w:szCs w:val="14"/>
                <w:color w:val="auto"/>
              </w:rPr>
            </w:pPr>
          </w:p>
        </w:tc>
        <w:tc>
          <w:tcPr>
            <w:tcW w:w="19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4"/>
                <w:szCs w:val="14"/>
                <w:color w:val="auto"/>
              </w:rPr>
              <w:t>Officer, Evergy, Inc.</w:t>
            </w:r>
          </w:p>
        </w:tc>
        <w:tc>
          <w:tcPr>
            <w:tcW w:w="320" w:type="dxa"/>
            <w:vAlign w:val="bottom"/>
            <w:tcBorders>
              <w:bottom w:val="single" w:sz="8" w:color="307CC0"/>
            </w:tcBorders>
            <w:shd w:val="clear" w:color="auto" w:fill="D6E7FF"/>
          </w:tcPr>
          <w:p>
            <w:pPr>
              <w:spacing w:after="0"/>
              <w:rPr>
                <w:sz w:val="14"/>
                <w:szCs w:val="14"/>
                <w:color w:val="auto"/>
              </w:rPr>
            </w:pPr>
          </w:p>
        </w:tc>
        <w:tc>
          <w:tcPr>
            <w:tcW w:w="540" w:type="dxa"/>
            <w:vAlign w:val="bottom"/>
            <w:tcBorders>
              <w:bottom w:val="single" w:sz="8" w:color="307CC0"/>
            </w:tcBorders>
            <w:shd w:val="clear" w:color="auto" w:fill="D6E7FF"/>
          </w:tcPr>
          <w:p>
            <w:pPr>
              <w:spacing w:after="0"/>
              <w:rPr>
                <w:sz w:val="14"/>
                <w:szCs w:val="14"/>
                <w:color w:val="auto"/>
              </w:rPr>
            </w:pPr>
          </w:p>
        </w:tc>
        <w:tc>
          <w:tcPr>
            <w:tcW w:w="1340" w:type="dxa"/>
            <w:vAlign w:val="bottom"/>
            <w:tcBorders>
              <w:bottom w:val="single" w:sz="8" w:color="307CC0"/>
            </w:tcBorders>
            <w:shd w:val="clear" w:color="auto" w:fill="D6E7FF"/>
          </w:tcPr>
          <w:p>
            <w:pPr>
              <w:spacing w:after="0"/>
              <w:rPr>
                <w:sz w:val="14"/>
                <w:szCs w:val="14"/>
                <w:color w:val="auto"/>
              </w:rPr>
            </w:pPr>
          </w:p>
        </w:tc>
        <w:tc>
          <w:tcPr>
            <w:tcW w:w="1480" w:type="dxa"/>
            <w:vAlign w:val="bottom"/>
            <w:tcBorders>
              <w:bottom w:val="single" w:sz="8" w:color="307CC0"/>
            </w:tcBorders>
            <w:shd w:val="clear" w:color="auto" w:fill="D6E7FF"/>
          </w:tcPr>
          <w:p>
            <w:pPr>
              <w:spacing w:after="0"/>
              <w:rPr>
                <w:sz w:val="14"/>
                <w:szCs w:val="14"/>
                <w:color w:val="auto"/>
              </w:rPr>
            </w:pPr>
          </w:p>
        </w:tc>
        <w:tc>
          <w:tcPr>
            <w:tcW w:w="960" w:type="dxa"/>
            <w:vAlign w:val="bottom"/>
            <w:tcBorders>
              <w:bottom w:val="single" w:sz="8" w:color="307CC0"/>
            </w:tcBorders>
            <w:shd w:val="clear" w:color="auto" w:fill="D6E7FF"/>
          </w:tcPr>
          <w:p>
            <w:pPr>
              <w:spacing w:after="0"/>
              <w:rPr>
                <w:sz w:val="14"/>
                <w:szCs w:val="14"/>
                <w:color w:val="auto"/>
              </w:rPr>
            </w:pPr>
          </w:p>
        </w:tc>
        <w:tc>
          <w:tcPr>
            <w:tcW w:w="740" w:type="dxa"/>
            <w:vAlign w:val="bottom"/>
            <w:tcBorders>
              <w:bottom w:val="single" w:sz="8" w:color="307CC0"/>
            </w:tcBorders>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Kirkland B. Andrews</w:t>
            </w:r>
          </w:p>
        </w:tc>
        <w:tc>
          <w:tcPr>
            <w:tcW w:w="19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Executive Vice President and</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center"/>
              <w:ind w:right="892"/>
              <w:spacing w:after="0" w:line="141" w:lineRule="exact"/>
              <w:rPr>
                <w:sz w:val="20"/>
                <w:szCs w:val="20"/>
                <w:color w:val="auto"/>
              </w:rPr>
            </w:pPr>
            <w:r>
              <w:rPr>
                <w:rFonts w:ascii="MS PGothic" w:cs="MS PGothic" w:eastAsia="MS PGothic" w:hAnsi="MS PGothic"/>
                <w:sz w:val="14"/>
                <w:szCs w:val="14"/>
                <w:color w:val="auto"/>
                <w:w w:val="71"/>
              </w:rPr>
              <w:t>✔</w:t>
            </w:r>
          </w:p>
        </w:tc>
        <w:tc>
          <w:tcPr>
            <w:tcW w:w="1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40" w:type="dxa"/>
            <w:vAlign w:val="bottom"/>
            <w:vMerge w:val="restart"/>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Chief Financial Officer,</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1340" w:type="dxa"/>
            <w:vAlign w:val="bottom"/>
            <w:vMerge w:val="continue"/>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CCEEFF"/>
          </w:tcPr>
          <w:p>
            <w:pPr>
              <w:spacing w:after="0"/>
              <w:rPr>
                <w:sz w:val="14"/>
                <w:szCs w:val="14"/>
                <w:color w:val="auto"/>
              </w:rPr>
            </w:pPr>
          </w:p>
        </w:tc>
        <w:tc>
          <w:tcPr>
            <w:tcW w:w="1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4"/>
                <w:szCs w:val="14"/>
                <w:color w:val="auto"/>
              </w:rPr>
              <w:t>NRG Energy, Inc.</w:t>
            </w:r>
          </w:p>
        </w:tc>
        <w:tc>
          <w:tcPr>
            <w:tcW w:w="320" w:type="dxa"/>
            <w:vAlign w:val="bottom"/>
            <w:tcBorders>
              <w:bottom w:val="single" w:sz="8" w:color="307CC0"/>
            </w:tcBorders>
            <w:shd w:val="clear" w:color="auto" w:fill="CCEEFF"/>
          </w:tcPr>
          <w:p>
            <w:pPr>
              <w:spacing w:after="0"/>
              <w:rPr>
                <w:sz w:val="14"/>
                <w:szCs w:val="14"/>
                <w:color w:val="auto"/>
              </w:rPr>
            </w:pPr>
          </w:p>
        </w:tc>
        <w:tc>
          <w:tcPr>
            <w:tcW w:w="540" w:type="dxa"/>
            <w:vAlign w:val="bottom"/>
            <w:tcBorders>
              <w:bottom w:val="single" w:sz="8" w:color="307CC0"/>
            </w:tcBorders>
            <w:shd w:val="clear" w:color="auto" w:fill="CCEEFF"/>
          </w:tcPr>
          <w:p>
            <w:pPr>
              <w:spacing w:after="0"/>
              <w:rPr>
                <w:sz w:val="14"/>
                <w:szCs w:val="14"/>
                <w:color w:val="auto"/>
              </w:rPr>
            </w:pPr>
          </w:p>
        </w:tc>
        <w:tc>
          <w:tcPr>
            <w:tcW w:w="1340" w:type="dxa"/>
            <w:vAlign w:val="bottom"/>
            <w:tcBorders>
              <w:bottom w:val="single" w:sz="8" w:color="307CC0"/>
            </w:tcBorders>
            <w:shd w:val="clear" w:color="auto" w:fill="CCEEFF"/>
          </w:tcPr>
          <w:p>
            <w:pPr>
              <w:spacing w:after="0"/>
              <w:rPr>
                <w:sz w:val="14"/>
                <w:szCs w:val="14"/>
                <w:color w:val="auto"/>
              </w:rPr>
            </w:pPr>
          </w:p>
        </w:tc>
        <w:tc>
          <w:tcPr>
            <w:tcW w:w="1480" w:type="dxa"/>
            <w:vAlign w:val="bottom"/>
            <w:tcBorders>
              <w:bottom w:val="single" w:sz="8" w:color="307CC0"/>
            </w:tcBorders>
            <w:shd w:val="clear" w:color="auto" w:fill="CCEEFF"/>
          </w:tcPr>
          <w:p>
            <w:pPr>
              <w:spacing w:after="0"/>
              <w:rPr>
                <w:sz w:val="14"/>
                <w:szCs w:val="14"/>
                <w:color w:val="auto"/>
              </w:rPr>
            </w:pPr>
          </w:p>
        </w:tc>
        <w:tc>
          <w:tcPr>
            <w:tcW w:w="960" w:type="dxa"/>
            <w:vAlign w:val="bottom"/>
            <w:tcBorders>
              <w:bottom w:val="single" w:sz="8" w:color="307CC0"/>
            </w:tcBorders>
            <w:shd w:val="clear" w:color="auto" w:fill="CCEEFF"/>
          </w:tcPr>
          <w:p>
            <w:pPr>
              <w:spacing w:after="0"/>
              <w:rPr>
                <w:sz w:val="14"/>
                <w:szCs w:val="14"/>
                <w:color w:val="auto"/>
              </w:rPr>
            </w:pPr>
          </w:p>
        </w:tc>
        <w:tc>
          <w:tcPr>
            <w:tcW w:w="740" w:type="dxa"/>
            <w:vAlign w:val="bottom"/>
            <w:tcBorders>
              <w:bottom w:val="single" w:sz="8" w:color="307CC0"/>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D6E7FF"/>
          </w:tcPr>
          <w:p>
            <w:pPr>
              <w:ind w:left="20"/>
              <w:spacing w:after="0" w:line="151" w:lineRule="exact"/>
              <w:rPr>
                <w:sz w:val="20"/>
                <w:szCs w:val="20"/>
                <w:color w:val="auto"/>
              </w:rPr>
            </w:pPr>
            <w:r>
              <w:rPr>
                <w:rFonts w:ascii="Arial" w:cs="Arial" w:eastAsia="Arial" w:hAnsi="Arial"/>
                <w:sz w:val="14"/>
                <w:szCs w:val="14"/>
                <w:color w:val="auto"/>
              </w:rPr>
              <w:t>Mollie Hale Carter</w:t>
            </w:r>
          </w:p>
        </w:tc>
        <w:tc>
          <w:tcPr>
            <w:tcW w:w="1960" w:type="dxa"/>
            <w:vAlign w:val="bottom"/>
            <w:shd w:val="clear" w:color="auto" w:fill="D6E7FF"/>
          </w:tcPr>
          <w:p>
            <w:pPr>
              <w:ind w:left="40"/>
              <w:spacing w:after="0" w:line="151" w:lineRule="exact"/>
              <w:rPr>
                <w:sz w:val="20"/>
                <w:szCs w:val="20"/>
                <w:color w:val="auto"/>
              </w:rPr>
            </w:pPr>
            <w:r>
              <w:rPr>
                <w:rFonts w:ascii="Arial" w:cs="Arial" w:eastAsia="Arial" w:hAnsi="Arial"/>
                <w:sz w:val="14"/>
                <w:szCs w:val="14"/>
                <w:color w:val="auto"/>
              </w:rPr>
              <w:t>Chairman, Chief Executive</w:t>
            </w:r>
          </w:p>
        </w:tc>
        <w:tc>
          <w:tcPr>
            <w:tcW w:w="320" w:type="dxa"/>
            <w:vAlign w:val="bottom"/>
            <w:shd w:val="clear" w:color="auto" w:fill="D6E7FF"/>
          </w:tcPr>
          <w:p>
            <w:pPr>
              <w:spacing w:after="0"/>
              <w:rPr>
                <w:sz w:val="13"/>
                <w:szCs w:val="13"/>
                <w:color w:val="auto"/>
              </w:rPr>
            </w:pPr>
          </w:p>
        </w:tc>
        <w:tc>
          <w:tcPr>
            <w:tcW w:w="540" w:type="dxa"/>
            <w:vAlign w:val="bottom"/>
            <w:shd w:val="clear" w:color="auto" w:fill="D6E7FF"/>
          </w:tcPr>
          <w:p>
            <w:pPr>
              <w:spacing w:after="0"/>
              <w:rPr>
                <w:sz w:val="13"/>
                <w:szCs w:val="13"/>
                <w:color w:val="auto"/>
              </w:rPr>
            </w:pPr>
          </w:p>
        </w:tc>
        <w:tc>
          <w:tcPr>
            <w:tcW w:w="1340" w:type="dxa"/>
            <w:vAlign w:val="bottom"/>
            <w:shd w:val="clear" w:color="auto" w:fill="D6E7FF"/>
          </w:tcPr>
          <w:p>
            <w:pPr>
              <w:spacing w:after="0"/>
              <w:rPr>
                <w:sz w:val="13"/>
                <w:szCs w:val="13"/>
                <w:color w:val="auto"/>
              </w:rPr>
            </w:pPr>
          </w:p>
        </w:tc>
        <w:tc>
          <w:tcPr>
            <w:tcW w:w="1480" w:type="dxa"/>
            <w:vAlign w:val="bottom"/>
            <w:shd w:val="clear" w:color="auto" w:fill="D6E7FF"/>
          </w:tcPr>
          <w:p>
            <w:pPr>
              <w:spacing w:after="0"/>
              <w:rPr>
                <w:sz w:val="13"/>
                <w:szCs w:val="13"/>
                <w:color w:val="auto"/>
              </w:rPr>
            </w:pPr>
          </w:p>
        </w:tc>
        <w:tc>
          <w:tcPr>
            <w:tcW w:w="960" w:type="dxa"/>
            <w:vAlign w:val="bottom"/>
            <w:shd w:val="clear" w:color="auto" w:fill="D6E7FF"/>
          </w:tcPr>
          <w:p>
            <w:pPr>
              <w:spacing w:after="0"/>
              <w:rPr>
                <w:sz w:val="13"/>
                <w:szCs w:val="13"/>
                <w:color w:val="auto"/>
              </w:rPr>
            </w:pP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D6E7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D6E7FF"/>
          </w:tcPr>
          <w:p>
            <w:pPr>
              <w:ind w:left="40"/>
              <w:spacing w:after="0"/>
              <w:rPr>
                <w:sz w:val="20"/>
                <w:szCs w:val="20"/>
                <w:color w:val="auto"/>
              </w:rPr>
            </w:pPr>
            <w:r>
              <w:rPr>
                <w:rFonts w:ascii="Arial" w:cs="Arial" w:eastAsia="Arial" w:hAnsi="Arial"/>
                <w:sz w:val="14"/>
                <w:szCs w:val="14"/>
                <w:color w:val="auto"/>
                <w:w w:val="99"/>
              </w:rPr>
              <w:t>Officer and President, FirstSun</w:t>
            </w:r>
          </w:p>
        </w:tc>
        <w:tc>
          <w:tcPr>
            <w:tcW w:w="320" w:type="dxa"/>
            <w:vAlign w:val="bottom"/>
            <w:shd w:val="clear" w:color="auto" w:fill="D6E7FF"/>
          </w:tcPr>
          <w:p>
            <w:pPr>
              <w:jc w:val="center"/>
              <w:spacing w:after="0"/>
              <w:rPr>
                <w:sz w:val="20"/>
                <w:szCs w:val="20"/>
                <w:color w:val="auto"/>
              </w:rPr>
            </w:pPr>
            <w:r>
              <w:rPr>
                <w:rFonts w:ascii="Arial" w:cs="Arial" w:eastAsia="Arial" w:hAnsi="Arial"/>
                <w:sz w:val="14"/>
                <w:szCs w:val="14"/>
                <w:color w:val="auto"/>
                <w:w w:val="89"/>
              </w:rPr>
              <w:t>58</w:t>
            </w:r>
          </w:p>
        </w:tc>
        <w:tc>
          <w:tcPr>
            <w:tcW w:w="540" w:type="dxa"/>
            <w:vAlign w:val="bottom"/>
            <w:shd w:val="clear" w:color="auto" w:fill="D6E7FF"/>
          </w:tcPr>
          <w:p>
            <w:pPr>
              <w:jc w:val="center"/>
              <w:spacing w:after="0"/>
              <w:rPr>
                <w:sz w:val="20"/>
                <w:szCs w:val="20"/>
                <w:color w:val="auto"/>
              </w:rPr>
            </w:pPr>
            <w:r>
              <w:rPr>
                <w:rFonts w:ascii="Arial" w:cs="Arial" w:eastAsia="Arial" w:hAnsi="Arial"/>
                <w:sz w:val="14"/>
                <w:szCs w:val="14"/>
                <w:color w:val="auto"/>
                <w:w w:val="96"/>
              </w:rPr>
              <w:t>2003</w:t>
            </w:r>
          </w:p>
        </w:tc>
        <w:tc>
          <w:tcPr>
            <w:tcW w:w="1340" w:type="dxa"/>
            <w:vAlign w:val="bottom"/>
            <w:shd w:val="clear" w:color="auto" w:fill="D6E7FF"/>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shd w:val="clear" w:color="auto" w:fill="D6E7FF"/>
          </w:tcPr>
          <w:p>
            <w:pPr>
              <w:jc w:val="center"/>
              <w:ind w:right="452"/>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shd w:val="clear" w:color="auto" w:fill="D6E7FF"/>
          </w:tcPr>
          <w:p>
            <w:pPr>
              <w:spacing w:after="0"/>
              <w:rPr>
                <w:sz w:val="14"/>
                <w:szCs w:val="14"/>
                <w:color w:val="auto"/>
              </w:rPr>
            </w:pPr>
          </w:p>
        </w:tc>
        <w:tc>
          <w:tcPr>
            <w:tcW w:w="740" w:type="dxa"/>
            <w:vAlign w:val="bottom"/>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D6E7FF"/>
          </w:tcPr>
          <w:p>
            <w:pPr>
              <w:spacing w:after="0"/>
              <w:rPr>
                <w:sz w:val="13"/>
                <w:szCs w:val="13"/>
                <w:color w:val="auto"/>
              </w:rPr>
            </w:pPr>
          </w:p>
        </w:tc>
        <w:tc>
          <w:tcPr>
            <w:tcW w:w="1960" w:type="dxa"/>
            <w:vAlign w:val="bottom"/>
            <w:shd w:val="clear" w:color="auto" w:fill="D6E7FF"/>
          </w:tcPr>
          <w:p>
            <w:pPr>
              <w:ind w:left="40"/>
              <w:spacing w:after="0" w:line="155" w:lineRule="exact"/>
              <w:rPr>
                <w:sz w:val="20"/>
                <w:szCs w:val="20"/>
                <w:color w:val="auto"/>
              </w:rPr>
            </w:pPr>
            <w:r>
              <w:rPr>
                <w:rFonts w:ascii="Arial" w:cs="Arial" w:eastAsia="Arial" w:hAnsi="Arial"/>
                <w:sz w:val="14"/>
                <w:szCs w:val="14"/>
                <w:color w:val="auto"/>
              </w:rPr>
              <w:t>Capital Bancorp; Chairman,</w:t>
            </w:r>
          </w:p>
        </w:tc>
        <w:tc>
          <w:tcPr>
            <w:tcW w:w="320" w:type="dxa"/>
            <w:vAlign w:val="bottom"/>
            <w:shd w:val="clear" w:color="auto" w:fill="D6E7FF"/>
          </w:tcPr>
          <w:p>
            <w:pPr>
              <w:spacing w:after="0"/>
              <w:rPr>
                <w:sz w:val="13"/>
                <w:szCs w:val="13"/>
                <w:color w:val="auto"/>
              </w:rPr>
            </w:pPr>
          </w:p>
        </w:tc>
        <w:tc>
          <w:tcPr>
            <w:tcW w:w="540" w:type="dxa"/>
            <w:vAlign w:val="bottom"/>
            <w:shd w:val="clear" w:color="auto" w:fill="D6E7FF"/>
          </w:tcPr>
          <w:p>
            <w:pPr>
              <w:spacing w:after="0"/>
              <w:rPr>
                <w:sz w:val="13"/>
                <w:szCs w:val="13"/>
                <w:color w:val="auto"/>
              </w:rPr>
            </w:pPr>
          </w:p>
        </w:tc>
        <w:tc>
          <w:tcPr>
            <w:tcW w:w="1340" w:type="dxa"/>
            <w:vAlign w:val="bottom"/>
            <w:shd w:val="clear" w:color="auto" w:fill="D6E7FF"/>
          </w:tcPr>
          <w:p>
            <w:pPr>
              <w:spacing w:after="0"/>
              <w:rPr>
                <w:sz w:val="13"/>
                <w:szCs w:val="13"/>
                <w:color w:val="auto"/>
              </w:rPr>
            </w:pPr>
          </w:p>
        </w:tc>
        <w:tc>
          <w:tcPr>
            <w:tcW w:w="1480" w:type="dxa"/>
            <w:vAlign w:val="bottom"/>
            <w:shd w:val="clear" w:color="auto" w:fill="D6E7FF"/>
          </w:tcPr>
          <w:p>
            <w:pPr>
              <w:spacing w:after="0"/>
              <w:rPr>
                <w:sz w:val="13"/>
                <w:szCs w:val="13"/>
                <w:color w:val="auto"/>
              </w:rPr>
            </w:pPr>
          </w:p>
        </w:tc>
        <w:tc>
          <w:tcPr>
            <w:tcW w:w="960" w:type="dxa"/>
            <w:vAlign w:val="bottom"/>
            <w:shd w:val="clear" w:color="auto" w:fill="D6E7FF"/>
          </w:tcPr>
          <w:p>
            <w:pPr>
              <w:spacing w:after="0"/>
              <w:rPr>
                <w:sz w:val="13"/>
                <w:szCs w:val="13"/>
                <w:color w:val="auto"/>
              </w:rPr>
            </w:pP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D6E7FF"/>
          </w:tcPr>
          <w:p>
            <w:pPr>
              <w:spacing w:after="0"/>
              <w:rPr>
                <w:sz w:val="14"/>
                <w:szCs w:val="14"/>
                <w:color w:val="auto"/>
              </w:rPr>
            </w:pPr>
          </w:p>
        </w:tc>
        <w:tc>
          <w:tcPr>
            <w:tcW w:w="19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4"/>
                <w:szCs w:val="14"/>
                <w:color w:val="auto"/>
              </w:rPr>
              <w:t>Sunflower Bank</w:t>
            </w:r>
          </w:p>
        </w:tc>
        <w:tc>
          <w:tcPr>
            <w:tcW w:w="320" w:type="dxa"/>
            <w:vAlign w:val="bottom"/>
            <w:tcBorders>
              <w:bottom w:val="single" w:sz="8" w:color="307CC0"/>
            </w:tcBorders>
            <w:shd w:val="clear" w:color="auto" w:fill="D6E7FF"/>
          </w:tcPr>
          <w:p>
            <w:pPr>
              <w:spacing w:after="0"/>
              <w:rPr>
                <w:sz w:val="14"/>
                <w:szCs w:val="14"/>
                <w:color w:val="auto"/>
              </w:rPr>
            </w:pPr>
          </w:p>
        </w:tc>
        <w:tc>
          <w:tcPr>
            <w:tcW w:w="540" w:type="dxa"/>
            <w:vAlign w:val="bottom"/>
            <w:tcBorders>
              <w:bottom w:val="single" w:sz="8" w:color="307CC0"/>
            </w:tcBorders>
            <w:shd w:val="clear" w:color="auto" w:fill="D6E7FF"/>
          </w:tcPr>
          <w:p>
            <w:pPr>
              <w:spacing w:after="0"/>
              <w:rPr>
                <w:sz w:val="14"/>
                <w:szCs w:val="14"/>
                <w:color w:val="auto"/>
              </w:rPr>
            </w:pPr>
          </w:p>
        </w:tc>
        <w:tc>
          <w:tcPr>
            <w:tcW w:w="1340" w:type="dxa"/>
            <w:vAlign w:val="bottom"/>
            <w:tcBorders>
              <w:bottom w:val="single" w:sz="8" w:color="307CC0"/>
            </w:tcBorders>
            <w:shd w:val="clear" w:color="auto" w:fill="D6E7FF"/>
          </w:tcPr>
          <w:p>
            <w:pPr>
              <w:spacing w:after="0"/>
              <w:rPr>
                <w:sz w:val="14"/>
                <w:szCs w:val="14"/>
                <w:color w:val="auto"/>
              </w:rPr>
            </w:pPr>
          </w:p>
        </w:tc>
        <w:tc>
          <w:tcPr>
            <w:tcW w:w="1480" w:type="dxa"/>
            <w:vAlign w:val="bottom"/>
            <w:tcBorders>
              <w:bottom w:val="single" w:sz="8" w:color="307CC0"/>
            </w:tcBorders>
            <w:shd w:val="clear" w:color="auto" w:fill="D6E7FF"/>
          </w:tcPr>
          <w:p>
            <w:pPr>
              <w:spacing w:after="0"/>
              <w:rPr>
                <w:sz w:val="14"/>
                <w:szCs w:val="14"/>
                <w:color w:val="auto"/>
              </w:rPr>
            </w:pPr>
          </w:p>
        </w:tc>
        <w:tc>
          <w:tcPr>
            <w:tcW w:w="960" w:type="dxa"/>
            <w:vAlign w:val="bottom"/>
            <w:tcBorders>
              <w:bottom w:val="single" w:sz="8" w:color="307CC0"/>
            </w:tcBorders>
            <w:shd w:val="clear" w:color="auto" w:fill="D6E7FF"/>
          </w:tcPr>
          <w:p>
            <w:pPr>
              <w:spacing w:after="0"/>
              <w:rPr>
                <w:sz w:val="14"/>
                <w:szCs w:val="14"/>
                <w:color w:val="auto"/>
              </w:rPr>
            </w:pPr>
          </w:p>
        </w:tc>
        <w:tc>
          <w:tcPr>
            <w:tcW w:w="740" w:type="dxa"/>
            <w:vAlign w:val="bottom"/>
            <w:tcBorders>
              <w:bottom w:val="single" w:sz="8" w:color="307CC0"/>
            </w:tcBorders>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Richard L. Hawley</w:t>
            </w:r>
          </w:p>
        </w:tc>
        <w:tc>
          <w:tcPr>
            <w:tcW w:w="19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Former Executive Vice</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President and Chief Financial</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w:t>
            </w: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2011</w:t>
            </w:r>
          </w:p>
        </w:tc>
        <w:tc>
          <w:tcPr>
            <w:tcW w:w="1340" w:type="dxa"/>
            <w:vAlign w:val="bottom"/>
            <w:shd w:val="clear" w:color="auto" w:fill="CCEEFF"/>
          </w:tcPr>
          <w:p>
            <w:pPr>
              <w:jc w:val="center"/>
              <w:ind w:right="892"/>
              <w:spacing w:after="0" w:line="141" w:lineRule="exact"/>
              <w:rPr>
                <w:sz w:val="20"/>
                <w:szCs w:val="20"/>
                <w:color w:val="auto"/>
              </w:rPr>
            </w:pPr>
            <w:r>
              <w:rPr>
                <w:rFonts w:ascii="MS PGothic" w:cs="MS PGothic" w:eastAsia="MS PGothic" w:hAnsi="MS PGothic"/>
                <w:sz w:val="14"/>
                <w:szCs w:val="14"/>
                <w:color w:val="auto"/>
                <w:w w:val="71"/>
              </w:rPr>
              <w:t>✔</w:t>
            </w:r>
          </w:p>
        </w:tc>
        <w:tc>
          <w:tcPr>
            <w:tcW w:w="1480" w:type="dxa"/>
            <w:vAlign w:val="bottom"/>
            <w:shd w:val="clear" w:color="auto" w:fill="CCEEFF"/>
          </w:tcPr>
          <w:p>
            <w:pPr>
              <w:jc w:val="center"/>
              <w:ind w:left="872"/>
              <w:spacing w:after="0" w:line="141" w:lineRule="exact"/>
              <w:rPr>
                <w:sz w:val="20"/>
                <w:szCs w:val="20"/>
                <w:color w:val="auto"/>
              </w:rPr>
            </w:pPr>
            <w:r>
              <w:rPr>
                <w:rFonts w:ascii="MS PGothic" w:cs="MS PGothic" w:eastAsia="MS PGothic" w:hAnsi="MS PGothic"/>
                <w:sz w:val="14"/>
                <w:szCs w:val="14"/>
                <w:color w:val="auto"/>
                <w:w w:val="71"/>
              </w:rPr>
              <w:t>✔</w:t>
            </w:r>
          </w:p>
        </w:tc>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CCEEFF"/>
          </w:tcPr>
          <w:p>
            <w:pPr>
              <w:spacing w:after="0"/>
              <w:rPr>
                <w:sz w:val="13"/>
                <w:szCs w:val="13"/>
                <w:color w:val="auto"/>
              </w:rPr>
            </w:pPr>
          </w:p>
        </w:tc>
        <w:tc>
          <w:tcPr>
            <w:tcW w:w="1960" w:type="dxa"/>
            <w:vAlign w:val="bottom"/>
            <w:shd w:val="clear" w:color="auto" w:fill="CCEEFF"/>
          </w:tcPr>
          <w:p>
            <w:pPr>
              <w:ind w:left="40"/>
              <w:spacing w:after="0" w:line="155" w:lineRule="exact"/>
              <w:rPr>
                <w:sz w:val="20"/>
                <w:szCs w:val="20"/>
                <w:color w:val="auto"/>
              </w:rPr>
            </w:pPr>
            <w:r>
              <w:rPr>
                <w:rFonts w:ascii="Arial" w:cs="Arial" w:eastAsia="Arial" w:hAnsi="Arial"/>
                <w:sz w:val="14"/>
                <w:szCs w:val="14"/>
                <w:color w:val="auto"/>
              </w:rPr>
              <w:t>Officer, Nicor Inc. and Nicor</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CCEEFF"/>
          </w:tcPr>
          <w:p>
            <w:pPr>
              <w:spacing w:after="0"/>
              <w:rPr>
                <w:sz w:val="14"/>
                <w:szCs w:val="14"/>
                <w:color w:val="auto"/>
              </w:rPr>
            </w:pPr>
          </w:p>
        </w:tc>
        <w:tc>
          <w:tcPr>
            <w:tcW w:w="1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4"/>
                <w:szCs w:val="14"/>
                <w:color w:val="auto"/>
              </w:rPr>
              <w:t>Gas</w:t>
            </w:r>
          </w:p>
        </w:tc>
        <w:tc>
          <w:tcPr>
            <w:tcW w:w="320" w:type="dxa"/>
            <w:vAlign w:val="bottom"/>
            <w:tcBorders>
              <w:bottom w:val="single" w:sz="8" w:color="307CC0"/>
            </w:tcBorders>
            <w:shd w:val="clear" w:color="auto" w:fill="CCEEFF"/>
          </w:tcPr>
          <w:p>
            <w:pPr>
              <w:spacing w:after="0"/>
              <w:rPr>
                <w:sz w:val="14"/>
                <w:szCs w:val="14"/>
                <w:color w:val="auto"/>
              </w:rPr>
            </w:pPr>
          </w:p>
        </w:tc>
        <w:tc>
          <w:tcPr>
            <w:tcW w:w="540" w:type="dxa"/>
            <w:vAlign w:val="bottom"/>
            <w:tcBorders>
              <w:bottom w:val="single" w:sz="8" w:color="307CC0"/>
            </w:tcBorders>
            <w:shd w:val="clear" w:color="auto" w:fill="CCEEFF"/>
          </w:tcPr>
          <w:p>
            <w:pPr>
              <w:spacing w:after="0"/>
              <w:rPr>
                <w:sz w:val="14"/>
                <w:szCs w:val="14"/>
                <w:color w:val="auto"/>
              </w:rPr>
            </w:pPr>
          </w:p>
        </w:tc>
        <w:tc>
          <w:tcPr>
            <w:tcW w:w="1340" w:type="dxa"/>
            <w:vAlign w:val="bottom"/>
            <w:tcBorders>
              <w:bottom w:val="single" w:sz="8" w:color="307CC0"/>
            </w:tcBorders>
            <w:shd w:val="clear" w:color="auto" w:fill="CCEEFF"/>
          </w:tcPr>
          <w:p>
            <w:pPr>
              <w:spacing w:after="0"/>
              <w:rPr>
                <w:sz w:val="14"/>
                <w:szCs w:val="14"/>
                <w:color w:val="auto"/>
              </w:rPr>
            </w:pPr>
          </w:p>
        </w:tc>
        <w:tc>
          <w:tcPr>
            <w:tcW w:w="1480" w:type="dxa"/>
            <w:vAlign w:val="bottom"/>
            <w:tcBorders>
              <w:bottom w:val="single" w:sz="8" w:color="307CC0"/>
            </w:tcBorders>
            <w:shd w:val="clear" w:color="auto" w:fill="CCEEFF"/>
          </w:tcPr>
          <w:p>
            <w:pPr>
              <w:spacing w:after="0"/>
              <w:rPr>
                <w:sz w:val="14"/>
                <w:szCs w:val="14"/>
                <w:color w:val="auto"/>
              </w:rPr>
            </w:pPr>
          </w:p>
        </w:tc>
        <w:tc>
          <w:tcPr>
            <w:tcW w:w="960" w:type="dxa"/>
            <w:vAlign w:val="bottom"/>
            <w:tcBorders>
              <w:bottom w:val="single" w:sz="8" w:color="307CC0"/>
            </w:tcBorders>
            <w:shd w:val="clear" w:color="auto" w:fill="CCEEFF"/>
          </w:tcPr>
          <w:p>
            <w:pPr>
              <w:spacing w:after="0"/>
              <w:rPr>
                <w:sz w:val="14"/>
                <w:szCs w:val="14"/>
                <w:color w:val="auto"/>
              </w:rPr>
            </w:pPr>
          </w:p>
        </w:tc>
        <w:tc>
          <w:tcPr>
            <w:tcW w:w="740" w:type="dxa"/>
            <w:vAlign w:val="bottom"/>
            <w:tcBorders>
              <w:bottom w:val="single" w:sz="8" w:color="307CC0"/>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D6E7FF"/>
          </w:tcPr>
          <w:p>
            <w:pPr>
              <w:ind w:left="20"/>
              <w:spacing w:after="0" w:line="151" w:lineRule="exact"/>
              <w:rPr>
                <w:sz w:val="20"/>
                <w:szCs w:val="20"/>
                <w:color w:val="auto"/>
              </w:rPr>
            </w:pPr>
            <w:r>
              <w:rPr>
                <w:rFonts w:ascii="Arial" w:cs="Arial" w:eastAsia="Arial" w:hAnsi="Arial"/>
                <w:sz w:val="14"/>
                <w:szCs w:val="14"/>
                <w:color w:val="auto"/>
              </w:rPr>
              <w:t>Thomas D. Hyde</w:t>
            </w:r>
          </w:p>
        </w:tc>
        <w:tc>
          <w:tcPr>
            <w:tcW w:w="1960" w:type="dxa"/>
            <w:vAlign w:val="bottom"/>
            <w:shd w:val="clear" w:color="auto" w:fill="D6E7FF"/>
          </w:tcPr>
          <w:p>
            <w:pPr>
              <w:ind w:left="40"/>
              <w:spacing w:after="0" w:line="151" w:lineRule="exact"/>
              <w:rPr>
                <w:sz w:val="20"/>
                <w:szCs w:val="20"/>
                <w:color w:val="auto"/>
              </w:rPr>
            </w:pPr>
            <w:r>
              <w:rPr>
                <w:rFonts w:ascii="Arial" w:cs="Arial" w:eastAsia="Arial" w:hAnsi="Arial"/>
                <w:sz w:val="14"/>
                <w:szCs w:val="14"/>
                <w:color w:val="auto"/>
              </w:rPr>
              <w:t>Former Executive Vice</w:t>
            </w:r>
          </w:p>
        </w:tc>
        <w:tc>
          <w:tcPr>
            <w:tcW w:w="320" w:type="dxa"/>
            <w:vAlign w:val="bottom"/>
            <w:shd w:val="clear" w:color="auto" w:fill="D6E7FF"/>
          </w:tcPr>
          <w:p>
            <w:pPr>
              <w:spacing w:after="0"/>
              <w:rPr>
                <w:sz w:val="13"/>
                <w:szCs w:val="13"/>
                <w:color w:val="auto"/>
              </w:rPr>
            </w:pPr>
          </w:p>
        </w:tc>
        <w:tc>
          <w:tcPr>
            <w:tcW w:w="540" w:type="dxa"/>
            <w:vAlign w:val="bottom"/>
            <w:shd w:val="clear" w:color="auto" w:fill="D6E7FF"/>
          </w:tcPr>
          <w:p>
            <w:pPr>
              <w:spacing w:after="0"/>
              <w:rPr>
                <w:sz w:val="13"/>
                <w:szCs w:val="13"/>
                <w:color w:val="auto"/>
              </w:rPr>
            </w:pPr>
          </w:p>
        </w:tc>
        <w:tc>
          <w:tcPr>
            <w:tcW w:w="1340" w:type="dxa"/>
            <w:vAlign w:val="bottom"/>
            <w:shd w:val="clear" w:color="auto" w:fill="D6E7FF"/>
          </w:tcPr>
          <w:p>
            <w:pPr>
              <w:spacing w:after="0"/>
              <w:rPr>
                <w:sz w:val="13"/>
                <w:szCs w:val="13"/>
                <w:color w:val="auto"/>
              </w:rPr>
            </w:pPr>
          </w:p>
        </w:tc>
        <w:tc>
          <w:tcPr>
            <w:tcW w:w="1480" w:type="dxa"/>
            <w:vAlign w:val="bottom"/>
            <w:shd w:val="clear" w:color="auto" w:fill="D6E7FF"/>
          </w:tcPr>
          <w:p>
            <w:pPr>
              <w:spacing w:after="0"/>
              <w:rPr>
                <w:sz w:val="13"/>
                <w:szCs w:val="13"/>
                <w:color w:val="auto"/>
              </w:rPr>
            </w:pPr>
          </w:p>
        </w:tc>
        <w:tc>
          <w:tcPr>
            <w:tcW w:w="960" w:type="dxa"/>
            <w:vAlign w:val="bottom"/>
            <w:shd w:val="clear" w:color="auto" w:fill="D6E7FF"/>
          </w:tcPr>
          <w:p>
            <w:pPr>
              <w:spacing w:after="0"/>
              <w:rPr>
                <w:sz w:val="13"/>
                <w:szCs w:val="13"/>
                <w:color w:val="auto"/>
              </w:rPr>
            </w:pP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D6E7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D6E7FF"/>
          </w:tcPr>
          <w:p>
            <w:pPr>
              <w:ind w:left="40"/>
              <w:spacing w:after="0"/>
              <w:rPr>
                <w:sz w:val="20"/>
                <w:szCs w:val="20"/>
                <w:color w:val="auto"/>
              </w:rPr>
            </w:pPr>
            <w:r>
              <w:rPr>
                <w:rFonts w:ascii="Arial" w:cs="Arial" w:eastAsia="Arial" w:hAnsi="Arial"/>
                <w:sz w:val="14"/>
                <w:szCs w:val="14"/>
                <w:color w:val="auto"/>
              </w:rPr>
              <w:t>President, Legal, Compliance,</w:t>
            </w:r>
          </w:p>
        </w:tc>
        <w:tc>
          <w:tcPr>
            <w:tcW w:w="320" w:type="dxa"/>
            <w:vAlign w:val="bottom"/>
            <w:shd w:val="clear" w:color="auto" w:fill="D6E7FF"/>
          </w:tcPr>
          <w:p>
            <w:pPr>
              <w:spacing w:after="0"/>
              <w:rPr>
                <w:sz w:val="14"/>
                <w:szCs w:val="14"/>
                <w:color w:val="auto"/>
              </w:rPr>
            </w:pPr>
          </w:p>
        </w:tc>
        <w:tc>
          <w:tcPr>
            <w:tcW w:w="540" w:type="dxa"/>
            <w:vAlign w:val="bottom"/>
            <w:shd w:val="clear" w:color="auto" w:fill="D6E7FF"/>
          </w:tcPr>
          <w:p>
            <w:pPr>
              <w:spacing w:after="0"/>
              <w:rPr>
                <w:sz w:val="14"/>
                <w:szCs w:val="14"/>
                <w:color w:val="auto"/>
              </w:rPr>
            </w:pPr>
          </w:p>
        </w:tc>
        <w:tc>
          <w:tcPr>
            <w:tcW w:w="1340" w:type="dxa"/>
            <w:vAlign w:val="bottom"/>
            <w:vMerge w:val="restart"/>
            <w:shd w:val="clear" w:color="auto" w:fill="D6E7FF"/>
          </w:tcPr>
          <w:p>
            <w:pPr>
              <w:jc w:val="center"/>
              <w:ind w:right="892"/>
              <w:spacing w:after="0"/>
              <w:rPr>
                <w:sz w:val="20"/>
                <w:szCs w:val="20"/>
                <w:color w:val="auto"/>
              </w:rPr>
            </w:pPr>
            <w:r>
              <w:rPr>
                <w:rFonts w:ascii="Arial" w:cs="Arial" w:eastAsia="Arial" w:hAnsi="Arial"/>
                <w:sz w:val="14"/>
                <w:szCs w:val="14"/>
                <w:b w:val="1"/>
                <w:bCs w:val="1"/>
                <w:color w:val="auto"/>
                <w:w w:val="94"/>
              </w:rPr>
              <w:t>Chair</w:t>
            </w:r>
          </w:p>
        </w:tc>
        <w:tc>
          <w:tcPr>
            <w:tcW w:w="1480" w:type="dxa"/>
            <w:vAlign w:val="bottom"/>
            <w:vMerge w:val="restart"/>
            <w:shd w:val="clear" w:color="auto" w:fill="D6E7FF"/>
          </w:tcPr>
          <w:p>
            <w:pPr>
              <w:jc w:val="center"/>
              <w:ind w:right="452"/>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shd w:val="clear" w:color="auto" w:fill="D6E7FF"/>
          </w:tcPr>
          <w:p>
            <w:pPr>
              <w:spacing w:after="0"/>
              <w:rPr>
                <w:sz w:val="14"/>
                <w:szCs w:val="14"/>
                <w:color w:val="auto"/>
              </w:rPr>
            </w:pPr>
          </w:p>
        </w:tc>
        <w:tc>
          <w:tcPr>
            <w:tcW w:w="740" w:type="dxa"/>
            <w:vAlign w:val="bottom"/>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D6E7FF"/>
          </w:tcPr>
          <w:p>
            <w:pPr>
              <w:spacing w:after="0"/>
              <w:rPr>
                <w:sz w:val="13"/>
                <w:szCs w:val="13"/>
                <w:color w:val="auto"/>
              </w:rPr>
            </w:pPr>
          </w:p>
        </w:tc>
        <w:tc>
          <w:tcPr>
            <w:tcW w:w="1960" w:type="dxa"/>
            <w:vAlign w:val="bottom"/>
            <w:shd w:val="clear" w:color="auto" w:fill="D6E7FF"/>
          </w:tcPr>
          <w:p>
            <w:pPr>
              <w:ind w:left="40"/>
              <w:spacing w:after="0" w:line="155" w:lineRule="exact"/>
              <w:rPr>
                <w:sz w:val="20"/>
                <w:szCs w:val="20"/>
                <w:color w:val="auto"/>
              </w:rPr>
            </w:pPr>
            <w:r>
              <w:rPr>
                <w:rFonts w:ascii="Arial" w:cs="Arial" w:eastAsia="Arial" w:hAnsi="Arial"/>
                <w:sz w:val="14"/>
                <w:szCs w:val="14"/>
                <w:color w:val="auto"/>
              </w:rPr>
              <w:t>Ethics and Corporate</w:t>
            </w:r>
          </w:p>
        </w:tc>
        <w:tc>
          <w:tcPr>
            <w:tcW w:w="320" w:type="dxa"/>
            <w:vAlign w:val="bottom"/>
            <w:shd w:val="clear" w:color="auto" w:fill="D6E7FF"/>
          </w:tcPr>
          <w:p>
            <w:pPr>
              <w:jc w:val="center"/>
              <w:spacing w:after="0" w:line="155" w:lineRule="exact"/>
              <w:rPr>
                <w:sz w:val="20"/>
                <w:szCs w:val="20"/>
                <w:color w:val="auto"/>
              </w:rPr>
            </w:pPr>
            <w:r>
              <w:rPr>
                <w:rFonts w:ascii="Arial" w:cs="Arial" w:eastAsia="Arial" w:hAnsi="Arial"/>
                <w:sz w:val="14"/>
                <w:szCs w:val="14"/>
                <w:color w:val="auto"/>
                <w:w w:val="89"/>
              </w:rPr>
              <w:t>71</w:t>
            </w:r>
          </w:p>
        </w:tc>
        <w:tc>
          <w:tcPr>
            <w:tcW w:w="540" w:type="dxa"/>
            <w:vAlign w:val="bottom"/>
            <w:shd w:val="clear" w:color="auto" w:fill="D6E7FF"/>
          </w:tcPr>
          <w:p>
            <w:pPr>
              <w:jc w:val="center"/>
              <w:spacing w:after="0" w:line="155" w:lineRule="exact"/>
              <w:rPr>
                <w:sz w:val="20"/>
                <w:szCs w:val="20"/>
                <w:color w:val="auto"/>
              </w:rPr>
            </w:pPr>
            <w:r>
              <w:rPr>
                <w:rFonts w:ascii="Arial" w:cs="Arial" w:eastAsia="Arial" w:hAnsi="Arial"/>
                <w:sz w:val="14"/>
                <w:szCs w:val="14"/>
                <w:color w:val="auto"/>
                <w:w w:val="96"/>
              </w:rPr>
              <w:t>2011</w:t>
            </w:r>
          </w:p>
        </w:tc>
        <w:tc>
          <w:tcPr>
            <w:tcW w:w="1340" w:type="dxa"/>
            <w:vAlign w:val="bottom"/>
            <w:vMerge w:val="continue"/>
            <w:shd w:val="clear" w:color="auto" w:fill="D6E7FF"/>
          </w:tcPr>
          <w:p>
            <w:pPr>
              <w:spacing w:after="0"/>
              <w:rPr>
                <w:sz w:val="13"/>
                <w:szCs w:val="13"/>
                <w:color w:val="auto"/>
              </w:rPr>
            </w:pPr>
          </w:p>
        </w:tc>
        <w:tc>
          <w:tcPr>
            <w:tcW w:w="1480" w:type="dxa"/>
            <w:vAlign w:val="bottom"/>
            <w:vMerge w:val="continue"/>
            <w:shd w:val="clear" w:color="auto" w:fill="D6E7FF"/>
          </w:tcPr>
          <w:p>
            <w:pPr>
              <w:spacing w:after="0"/>
              <w:rPr>
                <w:sz w:val="13"/>
                <w:szCs w:val="13"/>
                <w:color w:val="auto"/>
              </w:rPr>
            </w:pPr>
          </w:p>
        </w:tc>
        <w:tc>
          <w:tcPr>
            <w:tcW w:w="960" w:type="dxa"/>
            <w:vAlign w:val="bottom"/>
            <w:shd w:val="clear" w:color="auto" w:fill="D6E7FF"/>
          </w:tcPr>
          <w:p>
            <w:pPr>
              <w:spacing w:after="0"/>
              <w:rPr>
                <w:sz w:val="13"/>
                <w:szCs w:val="13"/>
                <w:color w:val="auto"/>
              </w:rPr>
            </w:pP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D6E7FF"/>
          </w:tcPr>
          <w:p>
            <w:pPr>
              <w:spacing w:after="0"/>
              <w:rPr>
                <w:sz w:val="13"/>
                <w:szCs w:val="13"/>
                <w:color w:val="auto"/>
              </w:rPr>
            </w:pPr>
          </w:p>
        </w:tc>
        <w:tc>
          <w:tcPr>
            <w:tcW w:w="1960" w:type="dxa"/>
            <w:vAlign w:val="bottom"/>
            <w:shd w:val="clear" w:color="auto" w:fill="D6E7FF"/>
          </w:tcPr>
          <w:p>
            <w:pPr>
              <w:ind w:left="40"/>
              <w:spacing w:after="0" w:line="155" w:lineRule="exact"/>
              <w:rPr>
                <w:sz w:val="20"/>
                <w:szCs w:val="20"/>
                <w:color w:val="auto"/>
              </w:rPr>
            </w:pPr>
            <w:r>
              <w:rPr>
                <w:rFonts w:ascii="Arial" w:cs="Arial" w:eastAsia="Arial" w:hAnsi="Arial"/>
                <w:sz w:val="14"/>
                <w:szCs w:val="14"/>
                <w:color w:val="auto"/>
              </w:rPr>
              <w:t>Secretary,</w:t>
            </w:r>
          </w:p>
        </w:tc>
        <w:tc>
          <w:tcPr>
            <w:tcW w:w="320" w:type="dxa"/>
            <w:vAlign w:val="bottom"/>
            <w:shd w:val="clear" w:color="auto" w:fill="D6E7FF"/>
          </w:tcPr>
          <w:p>
            <w:pPr>
              <w:spacing w:after="0"/>
              <w:rPr>
                <w:sz w:val="13"/>
                <w:szCs w:val="13"/>
                <w:color w:val="auto"/>
              </w:rPr>
            </w:pPr>
          </w:p>
        </w:tc>
        <w:tc>
          <w:tcPr>
            <w:tcW w:w="540" w:type="dxa"/>
            <w:vAlign w:val="bottom"/>
            <w:shd w:val="clear" w:color="auto" w:fill="D6E7FF"/>
          </w:tcPr>
          <w:p>
            <w:pPr>
              <w:spacing w:after="0"/>
              <w:rPr>
                <w:sz w:val="13"/>
                <w:szCs w:val="13"/>
                <w:color w:val="auto"/>
              </w:rPr>
            </w:pPr>
          </w:p>
        </w:tc>
        <w:tc>
          <w:tcPr>
            <w:tcW w:w="1340" w:type="dxa"/>
            <w:vAlign w:val="bottom"/>
            <w:shd w:val="clear" w:color="auto" w:fill="D6E7FF"/>
          </w:tcPr>
          <w:p>
            <w:pPr>
              <w:spacing w:after="0"/>
              <w:rPr>
                <w:sz w:val="13"/>
                <w:szCs w:val="13"/>
                <w:color w:val="auto"/>
              </w:rPr>
            </w:pPr>
          </w:p>
        </w:tc>
        <w:tc>
          <w:tcPr>
            <w:tcW w:w="1480" w:type="dxa"/>
            <w:vAlign w:val="bottom"/>
            <w:shd w:val="clear" w:color="auto" w:fill="D6E7FF"/>
          </w:tcPr>
          <w:p>
            <w:pPr>
              <w:spacing w:after="0"/>
              <w:rPr>
                <w:sz w:val="13"/>
                <w:szCs w:val="13"/>
                <w:color w:val="auto"/>
              </w:rPr>
            </w:pPr>
          </w:p>
        </w:tc>
        <w:tc>
          <w:tcPr>
            <w:tcW w:w="960" w:type="dxa"/>
            <w:vAlign w:val="bottom"/>
            <w:shd w:val="clear" w:color="auto" w:fill="D6E7FF"/>
          </w:tcPr>
          <w:p>
            <w:pPr>
              <w:spacing w:after="0"/>
              <w:rPr>
                <w:sz w:val="13"/>
                <w:szCs w:val="13"/>
                <w:color w:val="auto"/>
              </w:rPr>
            </w:pP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D6E7FF"/>
          </w:tcPr>
          <w:p>
            <w:pPr>
              <w:spacing w:after="0"/>
              <w:rPr>
                <w:sz w:val="14"/>
                <w:szCs w:val="14"/>
                <w:color w:val="auto"/>
              </w:rPr>
            </w:pPr>
          </w:p>
        </w:tc>
        <w:tc>
          <w:tcPr>
            <w:tcW w:w="19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4"/>
                <w:szCs w:val="14"/>
                <w:color w:val="auto"/>
              </w:rPr>
              <w:t>Wal-Mart Stores, Inc.</w:t>
            </w:r>
          </w:p>
        </w:tc>
        <w:tc>
          <w:tcPr>
            <w:tcW w:w="320" w:type="dxa"/>
            <w:vAlign w:val="bottom"/>
            <w:tcBorders>
              <w:bottom w:val="single" w:sz="8" w:color="307CC0"/>
            </w:tcBorders>
            <w:shd w:val="clear" w:color="auto" w:fill="D6E7FF"/>
          </w:tcPr>
          <w:p>
            <w:pPr>
              <w:spacing w:after="0"/>
              <w:rPr>
                <w:sz w:val="14"/>
                <w:szCs w:val="14"/>
                <w:color w:val="auto"/>
              </w:rPr>
            </w:pPr>
          </w:p>
        </w:tc>
        <w:tc>
          <w:tcPr>
            <w:tcW w:w="540" w:type="dxa"/>
            <w:vAlign w:val="bottom"/>
            <w:tcBorders>
              <w:bottom w:val="single" w:sz="8" w:color="307CC0"/>
            </w:tcBorders>
            <w:shd w:val="clear" w:color="auto" w:fill="D6E7FF"/>
          </w:tcPr>
          <w:p>
            <w:pPr>
              <w:spacing w:after="0"/>
              <w:rPr>
                <w:sz w:val="14"/>
                <w:szCs w:val="14"/>
                <w:color w:val="auto"/>
              </w:rPr>
            </w:pPr>
          </w:p>
        </w:tc>
        <w:tc>
          <w:tcPr>
            <w:tcW w:w="1340" w:type="dxa"/>
            <w:vAlign w:val="bottom"/>
            <w:tcBorders>
              <w:bottom w:val="single" w:sz="8" w:color="307CC0"/>
            </w:tcBorders>
            <w:shd w:val="clear" w:color="auto" w:fill="D6E7FF"/>
          </w:tcPr>
          <w:p>
            <w:pPr>
              <w:spacing w:after="0"/>
              <w:rPr>
                <w:sz w:val="14"/>
                <w:szCs w:val="14"/>
                <w:color w:val="auto"/>
              </w:rPr>
            </w:pPr>
          </w:p>
        </w:tc>
        <w:tc>
          <w:tcPr>
            <w:tcW w:w="1480" w:type="dxa"/>
            <w:vAlign w:val="bottom"/>
            <w:tcBorders>
              <w:bottom w:val="single" w:sz="8" w:color="307CC0"/>
            </w:tcBorders>
            <w:shd w:val="clear" w:color="auto" w:fill="D6E7FF"/>
          </w:tcPr>
          <w:p>
            <w:pPr>
              <w:spacing w:after="0"/>
              <w:rPr>
                <w:sz w:val="14"/>
                <w:szCs w:val="14"/>
                <w:color w:val="auto"/>
              </w:rPr>
            </w:pPr>
          </w:p>
        </w:tc>
        <w:tc>
          <w:tcPr>
            <w:tcW w:w="960" w:type="dxa"/>
            <w:vAlign w:val="bottom"/>
            <w:tcBorders>
              <w:bottom w:val="single" w:sz="8" w:color="307CC0"/>
            </w:tcBorders>
            <w:shd w:val="clear" w:color="auto" w:fill="D6E7FF"/>
          </w:tcPr>
          <w:p>
            <w:pPr>
              <w:spacing w:after="0"/>
              <w:rPr>
                <w:sz w:val="14"/>
                <w:szCs w:val="14"/>
                <w:color w:val="auto"/>
              </w:rPr>
            </w:pPr>
          </w:p>
        </w:tc>
        <w:tc>
          <w:tcPr>
            <w:tcW w:w="740" w:type="dxa"/>
            <w:vAlign w:val="bottom"/>
            <w:tcBorders>
              <w:bottom w:val="single" w:sz="8" w:color="307CC0"/>
            </w:tcBorders>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B. Anthony Isaac</w:t>
            </w:r>
          </w:p>
        </w:tc>
        <w:tc>
          <w:tcPr>
            <w:tcW w:w="19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Former Senior Vice President</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Head of Select Service</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2003</w:t>
            </w:r>
          </w:p>
        </w:tc>
        <w:tc>
          <w:tcPr>
            <w:tcW w:w="1340" w:type="dxa"/>
            <w:vAlign w:val="bottom"/>
            <w:shd w:val="clear" w:color="auto" w:fill="CCEEFF"/>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shd w:val="clear" w:color="auto" w:fill="CCEEFF"/>
          </w:tcPr>
          <w:p>
            <w:pPr>
              <w:jc w:val="center"/>
              <w:ind w:left="872"/>
              <w:spacing w:after="0"/>
              <w:rPr>
                <w:sz w:val="20"/>
                <w:szCs w:val="20"/>
                <w:color w:val="auto"/>
              </w:rPr>
            </w:pPr>
            <w:r>
              <w:rPr>
                <w:rFonts w:ascii="Arial" w:cs="Arial" w:eastAsia="Arial" w:hAnsi="Arial"/>
                <w:sz w:val="14"/>
                <w:szCs w:val="14"/>
                <w:b w:val="1"/>
                <w:bCs w:val="1"/>
                <w:color w:val="auto"/>
                <w:w w:val="94"/>
              </w:rPr>
              <w:t>Chair</w:t>
            </w:r>
          </w:p>
        </w:tc>
        <w:tc>
          <w:tcPr>
            <w:tcW w:w="960" w:type="dxa"/>
            <w:vAlign w:val="bottom"/>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spacing w:after="0"/>
              <w:rPr>
                <w:sz w:val="9"/>
                <w:szCs w:val="9"/>
                <w:color w:val="auto"/>
              </w:rPr>
            </w:pPr>
          </w:p>
        </w:tc>
        <w:tc>
          <w:tcPr>
            <w:tcW w:w="1960" w:type="dxa"/>
            <w:vAlign w:val="bottom"/>
            <w:shd w:val="clear" w:color="auto" w:fill="CCEEFF"/>
          </w:tcPr>
          <w:p>
            <w:pPr>
              <w:ind w:left="40"/>
              <w:spacing w:after="0" w:line="108" w:lineRule="exact"/>
              <w:rPr>
                <w:sz w:val="20"/>
                <w:szCs w:val="20"/>
                <w:color w:val="auto"/>
              </w:rPr>
            </w:pPr>
            <w:r>
              <w:rPr>
                <w:rFonts w:ascii="Arial" w:cs="Arial" w:eastAsia="Arial" w:hAnsi="Arial"/>
                <w:sz w:val="11"/>
                <w:szCs w:val="11"/>
                <w:color w:val="auto"/>
              </w:rPr>
              <w:t>Strategy and Development,</w:t>
            </w:r>
          </w:p>
        </w:tc>
        <w:tc>
          <w:tcPr>
            <w:tcW w:w="3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CCEEFF"/>
          </w:tcPr>
          <w:p>
            <w:pPr>
              <w:spacing w:after="0"/>
              <w:rPr>
                <w:sz w:val="14"/>
                <w:szCs w:val="14"/>
                <w:color w:val="auto"/>
              </w:rPr>
            </w:pPr>
          </w:p>
        </w:tc>
        <w:tc>
          <w:tcPr>
            <w:tcW w:w="1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4"/>
                <w:szCs w:val="14"/>
                <w:color w:val="auto"/>
              </w:rPr>
              <w:t>Hyatt Hotels Corporation</w:t>
            </w:r>
          </w:p>
        </w:tc>
        <w:tc>
          <w:tcPr>
            <w:tcW w:w="320" w:type="dxa"/>
            <w:vAlign w:val="bottom"/>
            <w:tcBorders>
              <w:bottom w:val="single" w:sz="8" w:color="307CC0"/>
            </w:tcBorders>
            <w:shd w:val="clear" w:color="auto" w:fill="CCEEFF"/>
          </w:tcPr>
          <w:p>
            <w:pPr>
              <w:spacing w:after="0"/>
              <w:rPr>
                <w:sz w:val="14"/>
                <w:szCs w:val="14"/>
                <w:color w:val="auto"/>
              </w:rPr>
            </w:pPr>
          </w:p>
        </w:tc>
        <w:tc>
          <w:tcPr>
            <w:tcW w:w="540" w:type="dxa"/>
            <w:vAlign w:val="bottom"/>
            <w:tcBorders>
              <w:bottom w:val="single" w:sz="8" w:color="307CC0"/>
            </w:tcBorders>
            <w:shd w:val="clear" w:color="auto" w:fill="CCEEFF"/>
          </w:tcPr>
          <w:p>
            <w:pPr>
              <w:spacing w:after="0"/>
              <w:rPr>
                <w:sz w:val="14"/>
                <w:szCs w:val="14"/>
                <w:color w:val="auto"/>
              </w:rPr>
            </w:pPr>
          </w:p>
        </w:tc>
        <w:tc>
          <w:tcPr>
            <w:tcW w:w="1340" w:type="dxa"/>
            <w:vAlign w:val="bottom"/>
            <w:tcBorders>
              <w:bottom w:val="single" w:sz="8" w:color="307CC0"/>
            </w:tcBorders>
            <w:shd w:val="clear" w:color="auto" w:fill="CCEEFF"/>
          </w:tcPr>
          <w:p>
            <w:pPr>
              <w:spacing w:after="0"/>
              <w:rPr>
                <w:sz w:val="14"/>
                <w:szCs w:val="14"/>
                <w:color w:val="auto"/>
              </w:rPr>
            </w:pPr>
          </w:p>
        </w:tc>
        <w:tc>
          <w:tcPr>
            <w:tcW w:w="1480" w:type="dxa"/>
            <w:vAlign w:val="bottom"/>
            <w:tcBorders>
              <w:bottom w:val="single" w:sz="8" w:color="307CC0"/>
            </w:tcBorders>
            <w:shd w:val="clear" w:color="auto" w:fill="CCEEFF"/>
          </w:tcPr>
          <w:p>
            <w:pPr>
              <w:spacing w:after="0"/>
              <w:rPr>
                <w:sz w:val="14"/>
                <w:szCs w:val="14"/>
                <w:color w:val="auto"/>
              </w:rPr>
            </w:pPr>
          </w:p>
        </w:tc>
        <w:tc>
          <w:tcPr>
            <w:tcW w:w="960" w:type="dxa"/>
            <w:vAlign w:val="bottom"/>
            <w:tcBorders>
              <w:bottom w:val="single" w:sz="8" w:color="307CC0"/>
            </w:tcBorders>
            <w:shd w:val="clear" w:color="auto" w:fill="CCEEFF"/>
          </w:tcPr>
          <w:p>
            <w:pPr>
              <w:spacing w:after="0"/>
              <w:rPr>
                <w:sz w:val="14"/>
                <w:szCs w:val="14"/>
                <w:color w:val="auto"/>
              </w:rPr>
            </w:pPr>
          </w:p>
        </w:tc>
        <w:tc>
          <w:tcPr>
            <w:tcW w:w="740" w:type="dxa"/>
            <w:vAlign w:val="bottom"/>
            <w:tcBorders>
              <w:bottom w:val="single" w:sz="8" w:color="307CC0"/>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D6E7FF"/>
          </w:tcPr>
          <w:p>
            <w:pPr>
              <w:ind w:left="20"/>
              <w:spacing w:after="0" w:line="151" w:lineRule="exact"/>
              <w:rPr>
                <w:sz w:val="20"/>
                <w:szCs w:val="20"/>
                <w:color w:val="auto"/>
              </w:rPr>
            </w:pPr>
            <w:r>
              <w:rPr>
                <w:rFonts w:ascii="Arial" w:cs="Arial" w:eastAsia="Arial" w:hAnsi="Arial"/>
                <w:sz w:val="14"/>
                <w:szCs w:val="14"/>
                <w:color w:val="auto"/>
              </w:rPr>
              <w:t>Paul M. Keglevic</w:t>
            </w:r>
          </w:p>
        </w:tc>
        <w:tc>
          <w:tcPr>
            <w:tcW w:w="1960" w:type="dxa"/>
            <w:vAlign w:val="bottom"/>
            <w:shd w:val="clear" w:color="auto" w:fill="D6E7FF"/>
          </w:tcPr>
          <w:p>
            <w:pPr>
              <w:ind w:left="40"/>
              <w:spacing w:after="0" w:line="151" w:lineRule="exact"/>
              <w:rPr>
                <w:sz w:val="20"/>
                <w:szCs w:val="20"/>
                <w:color w:val="auto"/>
              </w:rPr>
            </w:pPr>
            <w:r>
              <w:rPr>
                <w:rFonts w:ascii="Arial" w:cs="Arial" w:eastAsia="Arial" w:hAnsi="Arial"/>
                <w:sz w:val="14"/>
                <w:szCs w:val="14"/>
                <w:color w:val="auto"/>
                <w:w w:val="99"/>
              </w:rPr>
              <w:t>Former Chief Executive Officer</w:t>
            </w:r>
          </w:p>
        </w:tc>
        <w:tc>
          <w:tcPr>
            <w:tcW w:w="320" w:type="dxa"/>
            <w:vAlign w:val="bottom"/>
            <w:shd w:val="clear" w:color="auto" w:fill="D6E7FF"/>
          </w:tcPr>
          <w:p>
            <w:pPr>
              <w:spacing w:after="0"/>
              <w:rPr>
                <w:sz w:val="13"/>
                <w:szCs w:val="13"/>
                <w:color w:val="auto"/>
              </w:rPr>
            </w:pPr>
          </w:p>
        </w:tc>
        <w:tc>
          <w:tcPr>
            <w:tcW w:w="540" w:type="dxa"/>
            <w:vAlign w:val="bottom"/>
            <w:shd w:val="clear" w:color="auto" w:fill="D6E7FF"/>
          </w:tcPr>
          <w:p>
            <w:pPr>
              <w:spacing w:after="0"/>
              <w:rPr>
                <w:sz w:val="13"/>
                <w:szCs w:val="13"/>
                <w:color w:val="auto"/>
              </w:rPr>
            </w:pPr>
          </w:p>
        </w:tc>
        <w:tc>
          <w:tcPr>
            <w:tcW w:w="1340" w:type="dxa"/>
            <w:vAlign w:val="bottom"/>
            <w:shd w:val="clear" w:color="auto" w:fill="D6E7FF"/>
          </w:tcPr>
          <w:p>
            <w:pPr>
              <w:spacing w:after="0"/>
              <w:rPr>
                <w:sz w:val="13"/>
                <w:szCs w:val="13"/>
                <w:color w:val="auto"/>
              </w:rPr>
            </w:pPr>
          </w:p>
        </w:tc>
        <w:tc>
          <w:tcPr>
            <w:tcW w:w="1480" w:type="dxa"/>
            <w:vAlign w:val="bottom"/>
            <w:shd w:val="clear" w:color="auto" w:fill="D6E7FF"/>
          </w:tcPr>
          <w:p>
            <w:pPr>
              <w:spacing w:after="0"/>
              <w:rPr>
                <w:sz w:val="13"/>
                <w:szCs w:val="13"/>
                <w:color w:val="auto"/>
              </w:rPr>
            </w:pPr>
          </w:p>
        </w:tc>
        <w:tc>
          <w:tcPr>
            <w:tcW w:w="960" w:type="dxa"/>
            <w:vAlign w:val="bottom"/>
            <w:shd w:val="clear" w:color="auto" w:fill="D6E7FF"/>
          </w:tcPr>
          <w:p>
            <w:pPr>
              <w:spacing w:after="0"/>
              <w:rPr>
                <w:sz w:val="13"/>
                <w:szCs w:val="13"/>
                <w:color w:val="auto"/>
              </w:rPr>
            </w:pP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D6E7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D6E7FF"/>
          </w:tcPr>
          <w:p>
            <w:pPr>
              <w:ind w:left="40"/>
              <w:spacing w:after="0"/>
              <w:rPr>
                <w:sz w:val="20"/>
                <w:szCs w:val="20"/>
                <w:color w:val="auto"/>
              </w:rPr>
            </w:pPr>
            <w:r>
              <w:rPr>
                <w:rFonts w:ascii="Arial" w:cs="Arial" w:eastAsia="Arial" w:hAnsi="Arial"/>
                <w:sz w:val="14"/>
                <w:szCs w:val="14"/>
                <w:color w:val="auto"/>
              </w:rPr>
              <w:t>and Executive Vice President,</w:t>
            </w:r>
          </w:p>
        </w:tc>
        <w:tc>
          <w:tcPr>
            <w:tcW w:w="320" w:type="dxa"/>
            <w:vAlign w:val="bottom"/>
            <w:shd w:val="clear" w:color="auto" w:fill="D6E7FF"/>
          </w:tcPr>
          <w:p>
            <w:pPr>
              <w:spacing w:after="0"/>
              <w:rPr>
                <w:sz w:val="14"/>
                <w:szCs w:val="14"/>
                <w:color w:val="auto"/>
              </w:rPr>
            </w:pPr>
          </w:p>
        </w:tc>
        <w:tc>
          <w:tcPr>
            <w:tcW w:w="540" w:type="dxa"/>
            <w:vAlign w:val="bottom"/>
            <w:shd w:val="clear" w:color="auto" w:fill="D6E7FF"/>
          </w:tcPr>
          <w:p>
            <w:pPr>
              <w:spacing w:after="0"/>
              <w:rPr>
                <w:sz w:val="14"/>
                <w:szCs w:val="14"/>
                <w:color w:val="auto"/>
              </w:rPr>
            </w:pPr>
          </w:p>
        </w:tc>
        <w:tc>
          <w:tcPr>
            <w:tcW w:w="1340" w:type="dxa"/>
            <w:vAlign w:val="bottom"/>
            <w:vMerge w:val="restart"/>
            <w:shd w:val="clear" w:color="auto" w:fill="D6E7FF"/>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shd w:val="clear" w:color="auto" w:fill="D6E7FF"/>
          </w:tcPr>
          <w:p>
            <w:pPr>
              <w:jc w:val="center"/>
              <w:ind w:left="872"/>
              <w:spacing w:after="0" w:line="141" w:lineRule="exact"/>
              <w:rPr>
                <w:sz w:val="20"/>
                <w:szCs w:val="20"/>
                <w:color w:val="auto"/>
              </w:rPr>
            </w:pPr>
            <w:r>
              <w:rPr>
                <w:rFonts w:ascii="MS PGothic" w:cs="MS PGothic" w:eastAsia="MS PGothic" w:hAnsi="MS PGothic"/>
                <w:sz w:val="14"/>
                <w:szCs w:val="14"/>
                <w:color w:val="auto"/>
                <w:w w:val="71"/>
              </w:rPr>
              <w:t>✔</w:t>
            </w:r>
          </w:p>
        </w:tc>
        <w:tc>
          <w:tcPr>
            <w:tcW w:w="960" w:type="dxa"/>
            <w:vAlign w:val="bottom"/>
            <w:shd w:val="clear" w:color="auto" w:fill="D6E7FF"/>
          </w:tcPr>
          <w:p>
            <w:pPr>
              <w:spacing w:after="0"/>
              <w:rPr>
                <w:sz w:val="14"/>
                <w:szCs w:val="14"/>
                <w:color w:val="auto"/>
              </w:rPr>
            </w:pPr>
          </w:p>
        </w:tc>
        <w:tc>
          <w:tcPr>
            <w:tcW w:w="740" w:type="dxa"/>
            <w:vAlign w:val="bottom"/>
            <w:vMerge w:val="restart"/>
            <w:shd w:val="clear" w:color="auto" w:fill="D6E7FF"/>
          </w:tcPr>
          <w:p>
            <w:pPr>
              <w:jc w:val="center"/>
              <w:spacing w:after="0"/>
              <w:rPr>
                <w:sz w:val="20"/>
                <w:szCs w:val="20"/>
                <w:color w:val="auto"/>
              </w:rPr>
            </w:pPr>
            <w:r>
              <w:rPr>
                <w:rFonts w:ascii="Arial" w:cs="Arial" w:eastAsia="Arial" w:hAnsi="Arial"/>
                <w:sz w:val="14"/>
                <w:szCs w:val="14"/>
                <w:b w:val="1"/>
                <w:bCs w:val="1"/>
                <w:color w:val="auto"/>
                <w:w w:val="98"/>
              </w:rPr>
              <w:t>Co-Chair</w:t>
            </w:r>
          </w:p>
        </w:tc>
        <w:tc>
          <w:tcPr>
            <w:tcW w:w="0" w:type="dxa"/>
            <w:vAlign w:val="bottom"/>
          </w:tcPr>
          <w:p>
            <w:pPr>
              <w:spacing w:after="0"/>
              <w:rPr>
                <w:sz w:val="1"/>
                <w:szCs w:val="1"/>
                <w:color w:val="auto"/>
              </w:rPr>
            </w:pPr>
          </w:p>
        </w:tc>
      </w:tr>
      <w:tr>
        <w:trPr>
          <w:trHeight w:val="155"/>
        </w:trPr>
        <w:tc>
          <w:tcPr>
            <w:tcW w:w="1600" w:type="dxa"/>
            <w:vAlign w:val="bottom"/>
            <w:shd w:val="clear" w:color="auto" w:fill="D6E7FF"/>
          </w:tcPr>
          <w:p>
            <w:pPr>
              <w:spacing w:after="0"/>
              <w:rPr>
                <w:sz w:val="13"/>
                <w:szCs w:val="13"/>
                <w:color w:val="auto"/>
              </w:rPr>
            </w:pPr>
          </w:p>
        </w:tc>
        <w:tc>
          <w:tcPr>
            <w:tcW w:w="1960" w:type="dxa"/>
            <w:vAlign w:val="bottom"/>
            <w:shd w:val="clear" w:color="auto" w:fill="D6E7FF"/>
          </w:tcPr>
          <w:p>
            <w:pPr>
              <w:ind w:left="40"/>
              <w:spacing w:after="0" w:line="155" w:lineRule="exact"/>
              <w:rPr>
                <w:sz w:val="20"/>
                <w:szCs w:val="20"/>
                <w:color w:val="auto"/>
              </w:rPr>
            </w:pPr>
            <w:r>
              <w:rPr>
                <w:rFonts w:ascii="Arial" w:cs="Arial" w:eastAsia="Arial" w:hAnsi="Arial"/>
                <w:sz w:val="14"/>
                <w:szCs w:val="14"/>
                <w:color w:val="auto"/>
              </w:rPr>
              <w:t>Chief Financial Officer and</w:t>
            </w:r>
          </w:p>
        </w:tc>
        <w:tc>
          <w:tcPr>
            <w:tcW w:w="320" w:type="dxa"/>
            <w:vAlign w:val="bottom"/>
            <w:shd w:val="clear" w:color="auto" w:fill="D6E7FF"/>
          </w:tcPr>
          <w:p>
            <w:pPr>
              <w:jc w:val="center"/>
              <w:spacing w:after="0" w:line="155" w:lineRule="exact"/>
              <w:rPr>
                <w:sz w:val="20"/>
                <w:szCs w:val="20"/>
                <w:color w:val="auto"/>
              </w:rPr>
            </w:pPr>
            <w:r>
              <w:rPr>
                <w:rFonts w:ascii="Arial" w:cs="Arial" w:eastAsia="Arial" w:hAnsi="Arial"/>
                <w:sz w:val="14"/>
                <w:szCs w:val="14"/>
                <w:color w:val="auto"/>
                <w:w w:val="89"/>
              </w:rPr>
              <w:t>66</w:t>
            </w:r>
          </w:p>
        </w:tc>
        <w:tc>
          <w:tcPr>
            <w:tcW w:w="540" w:type="dxa"/>
            <w:vAlign w:val="bottom"/>
            <w:shd w:val="clear" w:color="auto" w:fill="D6E7FF"/>
          </w:tcPr>
          <w:p>
            <w:pPr>
              <w:jc w:val="center"/>
              <w:spacing w:after="0" w:line="155" w:lineRule="exact"/>
              <w:rPr>
                <w:sz w:val="20"/>
                <w:szCs w:val="20"/>
                <w:color w:val="auto"/>
              </w:rPr>
            </w:pPr>
            <w:r>
              <w:rPr>
                <w:rFonts w:ascii="Arial" w:cs="Arial" w:eastAsia="Arial" w:hAnsi="Arial"/>
                <w:sz w:val="14"/>
                <w:szCs w:val="14"/>
                <w:color w:val="auto"/>
                <w:w w:val="96"/>
              </w:rPr>
              <w:t>2020</w:t>
            </w:r>
          </w:p>
        </w:tc>
        <w:tc>
          <w:tcPr>
            <w:tcW w:w="1340" w:type="dxa"/>
            <w:vAlign w:val="bottom"/>
            <w:vMerge w:val="continue"/>
            <w:shd w:val="clear" w:color="auto" w:fill="D6E7FF"/>
          </w:tcPr>
          <w:p>
            <w:pPr>
              <w:spacing w:after="0"/>
              <w:rPr>
                <w:sz w:val="13"/>
                <w:szCs w:val="13"/>
                <w:color w:val="auto"/>
              </w:rPr>
            </w:pPr>
          </w:p>
        </w:tc>
        <w:tc>
          <w:tcPr>
            <w:tcW w:w="1480" w:type="dxa"/>
            <w:vAlign w:val="bottom"/>
            <w:vMerge w:val="continue"/>
            <w:shd w:val="clear" w:color="auto" w:fill="D6E7FF"/>
          </w:tcPr>
          <w:p>
            <w:pPr>
              <w:spacing w:after="0"/>
              <w:rPr>
                <w:sz w:val="13"/>
                <w:szCs w:val="13"/>
                <w:color w:val="auto"/>
              </w:rPr>
            </w:pPr>
          </w:p>
        </w:tc>
        <w:tc>
          <w:tcPr>
            <w:tcW w:w="960" w:type="dxa"/>
            <w:vAlign w:val="bottom"/>
            <w:shd w:val="clear" w:color="auto" w:fill="D6E7FF"/>
          </w:tcPr>
          <w:p>
            <w:pPr>
              <w:spacing w:after="0"/>
              <w:rPr>
                <w:sz w:val="13"/>
                <w:szCs w:val="13"/>
                <w:color w:val="auto"/>
              </w:rPr>
            </w:pPr>
          </w:p>
        </w:tc>
        <w:tc>
          <w:tcPr>
            <w:tcW w:w="740" w:type="dxa"/>
            <w:vAlign w:val="bottom"/>
            <w:vMerge w:val="continue"/>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0" w:type="dxa"/>
            <w:vAlign w:val="bottom"/>
            <w:shd w:val="clear" w:color="auto" w:fill="D6E7FF"/>
          </w:tcPr>
          <w:p>
            <w:pPr>
              <w:spacing w:after="0"/>
              <w:rPr>
                <w:sz w:val="13"/>
                <w:szCs w:val="13"/>
                <w:color w:val="auto"/>
              </w:rPr>
            </w:pPr>
          </w:p>
        </w:tc>
        <w:tc>
          <w:tcPr>
            <w:tcW w:w="1960" w:type="dxa"/>
            <w:vAlign w:val="bottom"/>
            <w:shd w:val="clear" w:color="auto" w:fill="D6E7FF"/>
          </w:tcPr>
          <w:p>
            <w:pPr>
              <w:ind w:left="40"/>
              <w:spacing w:after="0" w:line="155" w:lineRule="exact"/>
              <w:rPr>
                <w:sz w:val="20"/>
                <w:szCs w:val="20"/>
                <w:color w:val="auto"/>
              </w:rPr>
            </w:pPr>
            <w:r>
              <w:rPr>
                <w:rFonts w:ascii="Arial" w:cs="Arial" w:eastAsia="Arial" w:hAnsi="Arial"/>
                <w:sz w:val="14"/>
                <w:szCs w:val="14"/>
                <w:color w:val="auto"/>
              </w:rPr>
              <w:t>Chief Risk Officer,</w:t>
            </w:r>
          </w:p>
        </w:tc>
        <w:tc>
          <w:tcPr>
            <w:tcW w:w="320" w:type="dxa"/>
            <w:vAlign w:val="bottom"/>
            <w:shd w:val="clear" w:color="auto" w:fill="D6E7FF"/>
          </w:tcPr>
          <w:p>
            <w:pPr>
              <w:spacing w:after="0"/>
              <w:rPr>
                <w:sz w:val="13"/>
                <w:szCs w:val="13"/>
                <w:color w:val="auto"/>
              </w:rPr>
            </w:pPr>
          </w:p>
        </w:tc>
        <w:tc>
          <w:tcPr>
            <w:tcW w:w="540" w:type="dxa"/>
            <w:vAlign w:val="bottom"/>
            <w:shd w:val="clear" w:color="auto" w:fill="D6E7FF"/>
          </w:tcPr>
          <w:p>
            <w:pPr>
              <w:spacing w:after="0"/>
              <w:rPr>
                <w:sz w:val="13"/>
                <w:szCs w:val="13"/>
                <w:color w:val="auto"/>
              </w:rPr>
            </w:pPr>
          </w:p>
        </w:tc>
        <w:tc>
          <w:tcPr>
            <w:tcW w:w="1340" w:type="dxa"/>
            <w:vAlign w:val="bottom"/>
            <w:shd w:val="clear" w:color="auto" w:fill="D6E7FF"/>
          </w:tcPr>
          <w:p>
            <w:pPr>
              <w:spacing w:after="0"/>
              <w:rPr>
                <w:sz w:val="13"/>
                <w:szCs w:val="13"/>
                <w:color w:val="auto"/>
              </w:rPr>
            </w:pPr>
          </w:p>
        </w:tc>
        <w:tc>
          <w:tcPr>
            <w:tcW w:w="1480" w:type="dxa"/>
            <w:vAlign w:val="bottom"/>
            <w:shd w:val="clear" w:color="auto" w:fill="D6E7FF"/>
          </w:tcPr>
          <w:p>
            <w:pPr>
              <w:spacing w:after="0"/>
              <w:rPr>
                <w:sz w:val="13"/>
                <w:szCs w:val="13"/>
                <w:color w:val="auto"/>
              </w:rPr>
            </w:pPr>
          </w:p>
        </w:tc>
        <w:tc>
          <w:tcPr>
            <w:tcW w:w="960" w:type="dxa"/>
            <w:vAlign w:val="bottom"/>
            <w:shd w:val="clear" w:color="auto" w:fill="D6E7FF"/>
          </w:tcPr>
          <w:p>
            <w:pPr>
              <w:spacing w:after="0"/>
              <w:rPr>
                <w:sz w:val="13"/>
                <w:szCs w:val="13"/>
                <w:color w:val="auto"/>
              </w:rPr>
            </w:pP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D6E7FF"/>
          </w:tcPr>
          <w:p>
            <w:pPr>
              <w:spacing w:after="0"/>
              <w:rPr>
                <w:sz w:val="14"/>
                <w:szCs w:val="14"/>
                <w:color w:val="auto"/>
              </w:rPr>
            </w:pPr>
          </w:p>
        </w:tc>
        <w:tc>
          <w:tcPr>
            <w:tcW w:w="19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4"/>
                <w:szCs w:val="14"/>
                <w:color w:val="auto"/>
              </w:rPr>
              <w:t>Energy Future Holdings, Inc.</w:t>
            </w:r>
          </w:p>
        </w:tc>
        <w:tc>
          <w:tcPr>
            <w:tcW w:w="320" w:type="dxa"/>
            <w:vAlign w:val="bottom"/>
            <w:tcBorders>
              <w:bottom w:val="single" w:sz="8" w:color="307CC0"/>
            </w:tcBorders>
            <w:shd w:val="clear" w:color="auto" w:fill="D6E7FF"/>
          </w:tcPr>
          <w:p>
            <w:pPr>
              <w:spacing w:after="0"/>
              <w:rPr>
                <w:sz w:val="14"/>
                <w:szCs w:val="14"/>
                <w:color w:val="auto"/>
              </w:rPr>
            </w:pPr>
          </w:p>
        </w:tc>
        <w:tc>
          <w:tcPr>
            <w:tcW w:w="540" w:type="dxa"/>
            <w:vAlign w:val="bottom"/>
            <w:tcBorders>
              <w:bottom w:val="single" w:sz="8" w:color="307CC0"/>
            </w:tcBorders>
            <w:shd w:val="clear" w:color="auto" w:fill="D6E7FF"/>
          </w:tcPr>
          <w:p>
            <w:pPr>
              <w:spacing w:after="0"/>
              <w:rPr>
                <w:sz w:val="14"/>
                <w:szCs w:val="14"/>
                <w:color w:val="auto"/>
              </w:rPr>
            </w:pPr>
          </w:p>
        </w:tc>
        <w:tc>
          <w:tcPr>
            <w:tcW w:w="1340" w:type="dxa"/>
            <w:vAlign w:val="bottom"/>
            <w:tcBorders>
              <w:bottom w:val="single" w:sz="8" w:color="307CC0"/>
            </w:tcBorders>
            <w:shd w:val="clear" w:color="auto" w:fill="D6E7FF"/>
          </w:tcPr>
          <w:p>
            <w:pPr>
              <w:spacing w:after="0"/>
              <w:rPr>
                <w:sz w:val="14"/>
                <w:szCs w:val="14"/>
                <w:color w:val="auto"/>
              </w:rPr>
            </w:pPr>
          </w:p>
        </w:tc>
        <w:tc>
          <w:tcPr>
            <w:tcW w:w="1480" w:type="dxa"/>
            <w:vAlign w:val="bottom"/>
            <w:tcBorders>
              <w:bottom w:val="single" w:sz="8" w:color="307CC0"/>
            </w:tcBorders>
            <w:shd w:val="clear" w:color="auto" w:fill="D6E7FF"/>
          </w:tcPr>
          <w:p>
            <w:pPr>
              <w:spacing w:after="0"/>
              <w:rPr>
                <w:sz w:val="14"/>
                <w:szCs w:val="14"/>
                <w:color w:val="auto"/>
              </w:rPr>
            </w:pPr>
          </w:p>
        </w:tc>
        <w:tc>
          <w:tcPr>
            <w:tcW w:w="960" w:type="dxa"/>
            <w:vAlign w:val="bottom"/>
            <w:tcBorders>
              <w:bottom w:val="single" w:sz="8" w:color="307CC0"/>
            </w:tcBorders>
            <w:shd w:val="clear" w:color="auto" w:fill="D6E7FF"/>
          </w:tcPr>
          <w:p>
            <w:pPr>
              <w:spacing w:after="0"/>
              <w:rPr>
                <w:sz w:val="14"/>
                <w:szCs w:val="14"/>
                <w:color w:val="auto"/>
              </w:rPr>
            </w:pPr>
          </w:p>
        </w:tc>
        <w:tc>
          <w:tcPr>
            <w:tcW w:w="740" w:type="dxa"/>
            <w:vAlign w:val="bottom"/>
            <w:tcBorders>
              <w:bottom w:val="single" w:sz="8" w:color="307CC0"/>
            </w:tcBorders>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Sandra A.J. Lawrence</w:t>
            </w:r>
          </w:p>
        </w:tc>
        <w:tc>
          <w:tcPr>
            <w:tcW w:w="19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Former Executive Vice</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President and Chief</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w:t>
            </w: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2004</w:t>
            </w:r>
          </w:p>
        </w:tc>
        <w:tc>
          <w:tcPr>
            <w:tcW w:w="1340" w:type="dxa"/>
            <w:vAlign w:val="bottom"/>
            <w:shd w:val="clear" w:color="auto" w:fill="CCEEFF"/>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shd w:val="clear" w:color="auto" w:fill="CCEEFF"/>
          </w:tcPr>
          <w:p>
            <w:pPr>
              <w:jc w:val="center"/>
              <w:ind w:right="472"/>
              <w:spacing w:after="0"/>
              <w:rPr>
                <w:sz w:val="20"/>
                <w:szCs w:val="20"/>
                <w:color w:val="auto"/>
              </w:rPr>
            </w:pPr>
            <w:r>
              <w:rPr>
                <w:rFonts w:ascii="Arial" w:cs="Arial" w:eastAsia="Arial" w:hAnsi="Arial"/>
                <w:sz w:val="14"/>
                <w:szCs w:val="14"/>
                <w:b w:val="1"/>
                <w:bCs w:val="1"/>
                <w:color w:val="auto"/>
                <w:w w:val="94"/>
              </w:rPr>
              <w:t>Chair</w:t>
            </w: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spacing w:after="0"/>
              <w:rPr>
                <w:sz w:val="9"/>
                <w:szCs w:val="9"/>
                <w:color w:val="auto"/>
              </w:rPr>
            </w:pPr>
          </w:p>
        </w:tc>
        <w:tc>
          <w:tcPr>
            <w:tcW w:w="1960" w:type="dxa"/>
            <w:vAlign w:val="bottom"/>
            <w:shd w:val="clear" w:color="auto" w:fill="CCEEFF"/>
          </w:tcPr>
          <w:p>
            <w:pPr>
              <w:ind w:left="40"/>
              <w:spacing w:after="0" w:line="108" w:lineRule="exact"/>
              <w:rPr>
                <w:sz w:val="20"/>
                <w:szCs w:val="20"/>
                <w:color w:val="auto"/>
              </w:rPr>
            </w:pPr>
            <w:r>
              <w:rPr>
                <w:rFonts w:ascii="Arial" w:cs="Arial" w:eastAsia="Arial" w:hAnsi="Arial"/>
                <w:sz w:val="11"/>
                <w:szCs w:val="11"/>
                <w:color w:val="auto"/>
              </w:rPr>
              <w:t>Administrative Officer,</w:t>
            </w:r>
          </w:p>
        </w:tc>
        <w:tc>
          <w:tcPr>
            <w:tcW w:w="3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CCEEFF"/>
          </w:tcPr>
          <w:p>
            <w:pPr>
              <w:spacing w:after="0"/>
              <w:rPr>
                <w:sz w:val="14"/>
                <w:szCs w:val="14"/>
                <w:color w:val="auto"/>
              </w:rPr>
            </w:pPr>
          </w:p>
        </w:tc>
        <w:tc>
          <w:tcPr>
            <w:tcW w:w="1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4"/>
                <w:szCs w:val="14"/>
                <w:color w:val="auto"/>
              </w:rPr>
              <w:t>Children’s Mercy Hospital</w:t>
            </w:r>
          </w:p>
        </w:tc>
        <w:tc>
          <w:tcPr>
            <w:tcW w:w="320" w:type="dxa"/>
            <w:vAlign w:val="bottom"/>
            <w:tcBorders>
              <w:bottom w:val="single" w:sz="8" w:color="307CC0"/>
            </w:tcBorders>
            <w:shd w:val="clear" w:color="auto" w:fill="CCEEFF"/>
          </w:tcPr>
          <w:p>
            <w:pPr>
              <w:spacing w:after="0"/>
              <w:rPr>
                <w:sz w:val="14"/>
                <w:szCs w:val="14"/>
                <w:color w:val="auto"/>
              </w:rPr>
            </w:pPr>
          </w:p>
        </w:tc>
        <w:tc>
          <w:tcPr>
            <w:tcW w:w="540" w:type="dxa"/>
            <w:vAlign w:val="bottom"/>
            <w:tcBorders>
              <w:bottom w:val="single" w:sz="8" w:color="307CC0"/>
            </w:tcBorders>
            <w:shd w:val="clear" w:color="auto" w:fill="CCEEFF"/>
          </w:tcPr>
          <w:p>
            <w:pPr>
              <w:spacing w:after="0"/>
              <w:rPr>
                <w:sz w:val="14"/>
                <w:szCs w:val="14"/>
                <w:color w:val="auto"/>
              </w:rPr>
            </w:pPr>
          </w:p>
        </w:tc>
        <w:tc>
          <w:tcPr>
            <w:tcW w:w="1340" w:type="dxa"/>
            <w:vAlign w:val="bottom"/>
            <w:tcBorders>
              <w:bottom w:val="single" w:sz="8" w:color="307CC0"/>
            </w:tcBorders>
            <w:shd w:val="clear" w:color="auto" w:fill="CCEEFF"/>
          </w:tcPr>
          <w:p>
            <w:pPr>
              <w:spacing w:after="0"/>
              <w:rPr>
                <w:sz w:val="14"/>
                <w:szCs w:val="14"/>
                <w:color w:val="auto"/>
              </w:rPr>
            </w:pPr>
          </w:p>
        </w:tc>
        <w:tc>
          <w:tcPr>
            <w:tcW w:w="1480" w:type="dxa"/>
            <w:vAlign w:val="bottom"/>
            <w:tcBorders>
              <w:bottom w:val="single" w:sz="8" w:color="307CC0"/>
            </w:tcBorders>
            <w:shd w:val="clear" w:color="auto" w:fill="CCEEFF"/>
          </w:tcPr>
          <w:p>
            <w:pPr>
              <w:spacing w:after="0"/>
              <w:rPr>
                <w:sz w:val="14"/>
                <w:szCs w:val="14"/>
                <w:color w:val="auto"/>
              </w:rPr>
            </w:pPr>
          </w:p>
        </w:tc>
        <w:tc>
          <w:tcPr>
            <w:tcW w:w="960" w:type="dxa"/>
            <w:vAlign w:val="bottom"/>
            <w:tcBorders>
              <w:bottom w:val="single" w:sz="8" w:color="307CC0"/>
            </w:tcBorders>
            <w:shd w:val="clear" w:color="auto" w:fill="CCEEFF"/>
          </w:tcPr>
          <w:p>
            <w:pPr>
              <w:spacing w:after="0"/>
              <w:rPr>
                <w:sz w:val="14"/>
                <w:szCs w:val="14"/>
                <w:color w:val="auto"/>
              </w:rPr>
            </w:pPr>
          </w:p>
        </w:tc>
        <w:tc>
          <w:tcPr>
            <w:tcW w:w="740" w:type="dxa"/>
            <w:vAlign w:val="bottom"/>
            <w:tcBorders>
              <w:bottom w:val="single" w:sz="8" w:color="307CC0"/>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D6E7FF"/>
          </w:tcPr>
          <w:p>
            <w:pPr>
              <w:ind w:left="20"/>
              <w:spacing w:after="0" w:line="151" w:lineRule="exact"/>
              <w:rPr>
                <w:sz w:val="20"/>
                <w:szCs w:val="20"/>
                <w:color w:val="auto"/>
              </w:rPr>
            </w:pPr>
            <w:r>
              <w:rPr>
                <w:rFonts w:ascii="Arial" w:cs="Arial" w:eastAsia="Arial" w:hAnsi="Arial"/>
                <w:sz w:val="14"/>
                <w:szCs w:val="14"/>
                <w:color w:val="auto"/>
              </w:rPr>
              <w:t>Ann D. Murtlow</w:t>
            </w:r>
          </w:p>
        </w:tc>
        <w:tc>
          <w:tcPr>
            <w:tcW w:w="1960" w:type="dxa"/>
            <w:vAlign w:val="bottom"/>
            <w:shd w:val="clear" w:color="auto" w:fill="D6E7FF"/>
          </w:tcPr>
          <w:p>
            <w:pPr>
              <w:ind w:left="40"/>
              <w:spacing w:after="0" w:line="151" w:lineRule="exact"/>
              <w:rPr>
                <w:sz w:val="20"/>
                <w:szCs w:val="20"/>
                <w:color w:val="auto"/>
              </w:rPr>
            </w:pPr>
            <w:r>
              <w:rPr>
                <w:rFonts w:ascii="Arial" w:cs="Arial" w:eastAsia="Arial" w:hAnsi="Arial"/>
                <w:sz w:val="14"/>
                <w:szCs w:val="14"/>
                <w:color w:val="auto"/>
              </w:rPr>
              <w:t>President and Chief Executive</w:t>
            </w:r>
          </w:p>
        </w:tc>
        <w:tc>
          <w:tcPr>
            <w:tcW w:w="320" w:type="dxa"/>
            <w:vAlign w:val="bottom"/>
            <w:shd w:val="clear" w:color="auto" w:fill="D6E7FF"/>
          </w:tcPr>
          <w:p>
            <w:pPr>
              <w:spacing w:after="0"/>
              <w:rPr>
                <w:sz w:val="13"/>
                <w:szCs w:val="13"/>
                <w:color w:val="auto"/>
              </w:rPr>
            </w:pPr>
          </w:p>
        </w:tc>
        <w:tc>
          <w:tcPr>
            <w:tcW w:w="540" w:type="dxa"/>
            <w:vAlign w:val="bottom"/>
            <w:shd w:val="clear" w:color="auto" w:fill="D6E7FF"/>
          </w:tcPr>
          <w:p>
            <w:pPr>
              <w:spacing w:after="0"/>
              <w:rPr>
                <w:sz w:val="13"/>
                <w:szCs w:val="13"/>
                <w:color w:val="auto"/>
              </w:rPr>
            </w:pPr>
          </w:p>
        </w:tc>
        <w:tc>
          <w:tcPr>
            <w:tcW w:w="1340" w:type="dxa"/>
            <w:vAlign w:val="bottom"/>
            <w:vMerge w:val="restart"/>
            <w:shd w:val="clear" w:color="auto" w:fill="D6E7FF"/>
          </w:tcPr>
          <w:p>
            <w:pPr>
              <w:jc w:val="center"/>
              <w:ind w:right="892"/>
              <w:spacing w:after="0" w:line="141" w:lineRule="exact"/>
              <w:rPr>
                <w:sz w:val="20"/>
                <w:szCs w:val="20"/>
                <w:color w:val="auto"/>
              </w:rPr>
            </w:pPr>
            <w:r>
              <w:rPr>
                <w:rFonts w:ascii="MS PGothic" w:cs="MS PGothic" w:eastAsia="MS PGothic" w:hAnsi="MS PGothic"/>
                <w:sz w:val="14"/>
                <w:szCs w:val="14"/>
                <w:color w:val="auto"/>
                <w:w w:val="71"/>
              </w:rPr>
              <w:t>✔</w:t>
            </w:r>
          </w:p>
        </w:tc>
        <w:tc>
          <w:tcPr>
            <w:tcW w:w="1480" w:type="dxa"/>
            <w:vAlign w:val="bottom"/>
            <w:vMerge w:val="restart"/>
            <w:shd w:val="clear" w:color="auto" w:fill="D6E7FF"/>
          </w:tcPr>
          <w:p>
            <w:pPr>
              <w:jc w:val="center"/>
              <w:ind w:left="872"/>
              <w:spacing w:after="0" w:line="141" w:lineRule="exact"/>
              <w:rPr>
                <w:sz w:val="20"/>
                <w:szCs w:val="20"/>
                <w:color w:val="auto"/>
              </w:rPr>
            </w:pPr>
            <w:r>
              <w:rPr>
                <w:rFonts w:ascii="MS PGothic" w:cs="MS PGothic" w:eastAsia="MS PGothic" w:hAnsi="MS PGothic"/>
                <w:sz w:val="14"/>
                <w:szCs w:val="14"/>
                <w:color w:val="auto"/>
                <w:w w:val="71"/>
              </w:rPr>
              <w:t>✔</w:t>
            </w:r>
          </w:p>
        </w:tc>
        <w:tc>
          <w:tcPr>
            <w:tcW w:w="960" w:type="dxa"/>
            <w:vAlign w:val="bottom"/>
            <w:vMerge w:val="restart"/>
            <w:shd w:val="clear" w:color="auto" w:fill="D6E7FF"/>
          </w:tcPr>
          <w:p>
            <w:pPr>
              <w:jc w:val="center"/>
              <w:spacing w:after="0"/>
              <w:rPr>
                <w:sz w:val="20"/>
                <w:szCs w:val="20"/>
                <w:color w:val="auto"/>
              </w:rPr>
            </w:pPr>
            <w:r>
              <w:rPr>
                <w:rFonts w:ascii="Arial" w:cs="Arial" w:eastAsia="Arial" w:hAnsi="Arial"/>
                <w:sz w:val="14"/>
                <w:szCs w:val="14"/>
                <w:b w:val="1"/>
                <w:bCs w:val="1"/>
                <w:color w:val="auto"/>
                <w:w w:val="94"/>
              </w:rPr>
              <w:t>Chair</w:t>
            </w: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D6E7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D6E7FF"/>
          </w:tcPr>
          <w:p>
            <w:pPr>
              <w:ind w:left="40"/>
              <w:spacing w:after="0"/>
              <w:rPr>
                <w:sz w:val="20"/>
                <w:szCs w:val="20"/>
                <w:color w:val="auto"/>
              </w:rPr>
            </w:pPr>
            <w:r>
              <w:rPr>
                <w:rFonts w:ascii="Arial" w:cs="Arial" w:eastAsia="Arial" w:hAnsi="Arial"/>
                <w:sz w:val="14"/>
                <w:szCs w:val="14"/>
                <w:color w:val="auto"/>
              </w:rPr>
              <w:t>Officer, United Way of Central</w:t>
            </w:r>
          </w:p>
        </w:tc>
        <w:tc>
          <w:tcPr>
            <w:tcW w:w="320" w:type="dxa"/>
            <w:vAlign w:val="bottom"/>
            <w:shd w:val="clear" w:color="auto" w:fill="D6E7FF"/>
          </w:tcPr>
          <w:p>
            <w:pPr>
              <w:jc w:val="center"/>
              <w:spacing w:after="0"/>
              <w:rPr>
                <w:sz w:val="20"/>
                <w:szCs w:val="20"/>
                <w:color w:val="auto"/>
              </w:rPr>
            </w:pPr>
            <w:r>
              <w:rPr>
                <w:rFonts w:ascii="Arial" w:cs="Arial" w:eastAsia="Arial" w:hAnsi="Arial"/>
                <w:sz w:val="14"/>
                <w:szCs w:val="14"/>
                <w:color w:val="auto"/>
                <w:w w:val="89"/>
              </w:rPr>
              <w:t>59</w:t>
            </w:r>
          </w:p>
        </w:tc>
        <w:tc>
          <w:tcPr>
            <w:tcW w:w="540" w:type="dxa"/>
            <w:vAlign w:val="bottom"/>
            <w:shd w:val="clear" w:color="auto" w:fill="D6E7FF"/>
          </w:tcPr>
          <w:p>
            <w:pPr>
              <w:jc w:val="center"/>
              <w:spacing w:after="0"/>
              <w:rPr>
                <w:sz w:val="20"/>
                <w:szCs w:val="20"/>
                <w:color w:val="auto"/>
              </w:rPr>
            </w:pPr>
            <w:r>
              <w:rPr>
                <w:rFonts w:ascii="Arial" w:cs="Arial" w:eastAsia="Arial" w:hAnsi="Arial"/>
                <w:sz w:val="14"/>
                <w:szCs w:val="14"/>
                <w:color w:val="auto"/>
                <w:w w:val="96"/>
              </w:rPr>
              <w:t>2013</w:t>
            </w:r>
          </w:p>
        </w:tc>
        <w:tc>
          <w:tcPr>
            <w:tcW w:w="1340" w:type="dxa"/>
            <w:vAlign w:val="bottom"/>
            <w:vMerge w:val="continue"/>
            <w:shd w:val="clear" w:color="auto" w:fill="D6E7FF"/>
          </w:tcPr>
          <w:p>
            <w:pPr>
              <w:spacing w:after="0"/>
              <w:rPr>
                <w:sz w:val="14"/>
                <w:szCs w:val="14"/>
                <w:color w:val="auto"/>
              </w:rPr>
            </w:pPr>
          </w:p>
        </w:tc>
        <w:tc>
          <w:tcPr>
            <w:tcW w:w="1480" w:type="dxa"/>
            <w:vAlign w:val="bottom"/>
            <w:vMerge w:val="continue"/>
            <w:shd w:val="clear" w:color="auto" w:fill="D6E7FF"/>
          </w:tcPr>
          <w:p>
            <w:pPr>
              <w:spacing w:after="0"/>
              <w:rPr>
                <w:sz w:val="14"/>
                <w:szCs w:val="14"/>
                <w:color w:val="auto"/>
              </w:rPr>
            </w:pPr>
          </w:p>
        </w:tc>
        <w:tc>
          <w:tcPr>
            <w:tcW w:w="960" w:type="dxa"/>
            <w:vAlign w:val="bottom"/>
            <w:vMerge w:val="continue"/>
            <w:shd w:val="clear" w:color="auto" w:fill="D6E7FF"/>
          </w:tcPr>
          <w:p>
            <w:pPr>
              <w:spacing w:after="0"/>
              <w:rPr>
                <w:sz w:val="14"/>
                <w:szCs w:val="14"/>
                <w:color w:val="auto"/>
              </w:rPr>
            </w:pPr>
          </w:p>
        </w:tc>
        <w:tc>
          <w:tcPr>
            <w:tcW w:w="740" w:type="dxa"/>
            <w:vAlign w:val="bottom"/>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D6E7FF"/>
          </w:tcPr>
          <w:p>
            <w:pPr>
              <w:spacing w:after="0"/>
              <w:rPr>
                <w:sz w:val="14"/>
                <w:szCs w:val="14"/>
                <w:color w:val="auto"/>
              </w:rPr>
            </w:pPr>
          </w:p>
        </w:tc>
        <w:tc>
          <w:tcPr>
            <w:tcW w:w="19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4"/>
                <w:szCs w:val="14"/>
                <w:color w:val="auto"/>
              </w:rPr>
              <w:t>Indiana</w:t>
            </w:r>
          </w:p>
        </w:tc>
        <w:tc>
          <w:tcPr>
            <w:tcW w:w="320" w:type="dxa"/>
            <w:vAlign w:val="bottom"/>
            <w:tcBorders>
              <w:bottom w:val="single" w:sz="8" w:color="307CC0"/>
            </w:tcBorders>
            <w:shd w:val="clear" w:color="auto" w:fill="D6E7FF"/>
          </w:tcPr>
          <w:p>
            <w:pPr>
              <w:spacing w:after="0"/>
              <w:rPr>
                <w:sz w:val="14"/>
                <w:szCs w:val="14"/>
                <w:color w:val="auto"/>
              </w:rPr>
            </w:pPr>
          </w:p>
        </w:tc>
        <w:tc>
          <w:tcPr>
            <w:tcW w:w="540" w:type="dxa"/>
            <w:vAlign w:val="bottom"/>
            <w:tcBorders>
              <w:bottom w:val="single" w:sz="8" w:color="307CC0"/>
            </w:tcBorders>
            <w:shd w:val="clear" w:color="auto" w:fill="D6E7FF"/>
          </w:tcPr>
          <w:p>
            <w:pPr>
              <w:spacing w:after="0"/>
              <w:rPr>
                <w:sz w:val="14"/>
                <w:szCs w:val="14"/>
                <w:color w:val="auto"/>
              </w:rPr>
            </w:pPr>
          </w:p>
        </w:tc>
        <w:tc>
          <w:tcPr>
            <w:tcW w:w="1340" w:type="dxa"/>
            <w:vAlign w:val="bottom"/>
            <w:tcBorders>
              <w:bottom w:val="single" w:sz="8" w:color="307CC0"/>
            </w:tcBorders>
            <w:shd w:val="clear" w:color="auto" w:fill="D6E7FF"/>
          </w:tcPr>
          <w:p>
            <w:pPr>
              <w:spacing w:after="0"/>
              <w:rPr>
                <w:sz w:val="14"/>
                <w:szCs w:val="14"/>
                <w:color w:val="auto"/>
              </w:rPr>
            </w:pPr>
          </w:p>
        </w:tc>
        <w:tc>
          <w:tcPr>
            <w:tcW w:w="1480" w:type="dxa"/>
            <w:vAlign w:val="bottom"/>
            <w:tcBorders>
              <w:bottom w:val="single" w:sz="8" w:color="307CC0"/>
            </w:tcBorders>
            <w:shd w:val="clear" w:color="auto" w:fill="D6E7FF"/>
          </w:tcPr>
          <w:p>
            <w:pPr>
              <w:spacing w:after="0"/>
              <w:rPr>
                <w:sz w:val="14"/>
                <w:szCs w:val="14"/>
                <w:color w:val="auto"/>
              </w:rPr>
            </w:pPr>
          </w:p>
        </w:tc>
        <w:tc>
          <w:tcPr>
            <w:tcW w:w="960" w:type="dxa"/>
            <w:vAlign w:val="bottom"/>
            <w:tcBorders>
              <w:bottom w:val="single" w:sz="8" w:color="307CC0"/>
            </w:tcBorders>
            <w:shd w:val="clear" w:color="auto" w:fill="D6E7FF"/>
          </w:tcPr>
          <w:p>
            <w:pPr>
              <w:spacing w:after="0"/>
              <w:rPr>
                <w:sz w:val="14"/>
                <w:szCs w:val="14"/>
                <w:color w:val="auto"/>
              </w:rPr>
            </w:pPr>
          </w:p>
        </w:tc>
        <w:tc>
          <w:tcPr>
            <w:tcW w:w="740" w:type="dxa"/>
            <w:vAlign w:val="bottom"/>
            <w:tcBorders>
              <w:bottom w:val="single" w:sz="8" w:color="307CC0"/>
            </w:tcBorders>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Sandra J. Price</w:t>
            </w:r>
          </w:p>
        </w:tc>
        <w:tc>
          <w:tcPr>
            <w:tcW w:w="196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Former Senior Vice President,</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center"/>
              <w:ind w:left="312"/>
              <w:spacing w:after="0" w:line="141" w:lineRule="exact"/>
              <w:rPr>
                <w:sz w:val="20"/>
                <w:szCs w:val="20"/>
                <w:color w:val="auto"/>
              </w:rPr>
            </w:pPr>
            <w:r>
              <w:rPr>
                <w:rFonts w:ascii="MS PGothic" w:cs="MS PGothic" w:eastAsia="MS PGothic" w:hAnsi="MS PGothic"/>
                <w:sz w:val="14"/>
                <w:szCs w:val="14"/>
                <w:color w:val="auto"/>
                <w:w w:val="85"/>
              </w:rPr>
              <w:t>✔</w:t>
            </w:r>
          </w:p>
        </w:tc>
        <w:tc>
          <w:tcPr>
            <w:tcW w:w="1480" w:type="dxa"/>
            <w:vAlign w:val="bottom"/>
            <w:vMerge w:val="restart"/>
            <w:shd w:val="clear" w:color="auto" w:fill="CCEEFF"/>
          </w:tcPr>
          <w:p>
            <w:pPr>
              <w:jc w:val="center"/>
              <w:ind w:right="452"/>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Human Resources, Sprint</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w:t>
            </w: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1340" w:type="dxa"/>
            <w:vAlign w:val="bottom"/>
            <w:vMerge w:val="continue"/>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CCEEFF"/>
          </w:tcPr>
          <w:p>
            <w:pPr>
              <w:spacing w:after="0"/>
              <w:rPr>
                <w:sz w:val="14"/>
                <w:szCs w:val="14"/>
                <w:color w:val="auto"/>
              </w:rPr>
            </w:pPr>
          </w:p>
        </w:tc>
        <w:tc>
          <w:tcPr>
            <w:tcW w:w="1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4"/>
                <w:szCs w:val="14"/>
                <w:color w:val="auto"/>
              </w:rPr>
              <w:t>Corporation</w:t>
            </w:r>
          </w:p>
        </w:tc>
        <w:tc>
          <w:tcPr>
            <w:tcW w:w="320" w:type="dxa"/>
            <w:vAlign w:val="bottom"/>
            <w:tcBorders>
              <w:bottom w:val="single" w:sz="8" w:color="307CC0"/>
            </w:tcBorders>
            <w:shd w:val="clear" w:color="auto" w:fill="CCEEFF"/>
          </w:tcPr>
          <w:p>
            <w:pPr>
              <w:spacing w:after="0"/>
              <w:rPr>
                <w:sz w:val="14"/>
                <w:szCs w:val="14"/>
                <w:color w:val="auto"/>
              </w:rPr>
            </w:pPr>
          </w:p>
        </w:tc>
        <w:tc>
          <w:tcPr>
            <w:tcW w:w="540" w:type="dxa"/>
            <w:vAlign w:val="bottom"/>
            <w:tcBorders>
              <w:bottom w:val="single" w:sz="8" w:color="307CC0"/>
            </w:tcBorders>
            <w:shd w:val="clear" w:color="auto" w:fill="CCEEFF"/>
          </w:tcPr>
          <w:p>
            <w:pPr>
              <w:spacing w:after="0"/>
              <w:rPr>
                <w:sz w:val="14"/>
                <w:szCs w:val="14"/>
                <w:color w:val="auto"/>
              </w:rPr>
            </w:pPr>
          </w:p>
        </w:tc>
        <w:tc>
          <w:tcPr>
            <w:tcW w:w="1340" w:type="dxa"/>
            <w:vAlign w:val="bottom"/>
            <w:tcBorders>
              <w:bottom w:val="single" w:sz="8" w:color="307CC0"/>
            </w:tcBorders>
            <w:shd w:val="clear" w:color="auto" w:fill="CCEEFF"/>
          </w:tcPr>
          <w:p>
            <w:pPr>
              <w:spacing w:after="0"/>
              <w:rPr>
                <w:sz w:val="14"/>
                <w:szCs w:val="14"/>
                <w:color w:val="auto"/>
              </w:rPr>
            </w:pPr>
          </w:p>
        </w:tc>
        <w:tc>
          <w:tcPr>
            <w:tcW w:w="1480" w:type="dxa"/>
            <w:vAlign w:val="bottom"/>
            <w:tcBorders>
              <w:bottom w:val="single" w:sz="8" w:color="307CC0"/>
            </w:tcBorders>
            <w:shd w:val="clear" w:color="auto" w:fill="CCEEFF"/>
          </w:tcPr>
          <w:p>
            <w:pPr>
              <w:spacing w:after="0"/>
              <w:rPr>
                <w:sz w:val="14"/>
                <w:szCs w:val="14"/>
                <w:color w:val="auto"/>
              </w:rPr>
            </w:pPr>
          </w:p>
        </w:tc>
        <w:tc>
          <w:tcPr>
            <w:tcW w:w="960" w:type="dxa"/>
            <w:vAlign w:val="bottom"/>
            <w:tcBorders>
              <w:bottom w:val="single" w:sz="8" w:color="307CC0"/>
            </w:tcBorders>
            <w:shd w:val="clear" w:color="auto" w:fill="CCEEFF"/>
          </w:tcPr>
          <w:p>
            <w:pPr>
              <w:spacing w:after="0"/>
              <w:rPr>
                <w:sz w:val="14"/>
                <w:szCs w:val="14"/>
                <w:color w:val="auto"/>
              </w:rPr>
            </w:pPr>
          </w:p>
        </w:tc>
        <w:tc>
          <w:tcPr>
            <w:tcW w:w="740" w:type="dxa"/>
            <w:vAlign w:val="bottom"/>
            <w:tcBorders>
              <w:bottom w:val="single" w:sz="8" w:color="307CC0"/>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00" w:type="dxa"/>
            <w:vAlign w:val="bottom"/>
            <w:shd w:val="clear" w:color="auto" w:fill="D6E7FF"/>
          </w:tcPr>
          <w:p>
            <w:pPr>
              <w:ind w:left="20"/>
              <w:spacing w:after="0" w:line="151" w:lineRule="exact"/>
              <w:rPr>
                <w:sz w:val="20"/>
                <w:szCs w:val="20"/>
                <w:color w:val="auto"/>
              </w:rPr>
            </w:pPr>
            <w:r>
              <w:rPr>
                <w:rFonts w:ascii="Arial" w:cs="Arial" w:eastAsia="Arial" w:hAnsi="Arial"/>
                <w:sz w:val="14"/>
                <w:szCs w:val="14"/>
                <w:color w:val="auto"/>
              </w:rPr>
              <w:t>S. Carl Soderstrom Jr.</w:t>
            </w:r>
          </w:p>
        </w:tc>
        <w:tc>
          <w:tcPr>
            <w:tcW w:w="1960" w:type="dxa"/>
            <w:vAlign w:val="bottom"/>
            <w:shd w:val="clear" w:color="auto" w:fill="D6E7FF"/>
          </w:tcPr>
          <w:p>
            <w:pPr>
              <w:ind w:left="40"/>
              <w:spacing w:after="0" w:line="151" w:lineRule="exact"/>
              <w:rPr>
                <w:sz w:val="20"/>
                <w:szCs w:val="20"/>
                <w:color w:val="auto"/>
              </w:rPr>
            </w:pPr>
            <w:r>
              <w:rPr>
                <w:rFonts w:ascii="Arial" w:cs="Arial" w:eastAsia="Arial" w:hAnsi="Arial"/>
                <w:sz w:val="14"/>
                <w:szCs w:val="14"/>
                <w:color w:val="auto"/>
              </w:rPr>
              <w:t>Former Senior Vice President</w:t>
            </w:r>
          </w:p>
        </w:tc>
        <w:tc>
          <w:tcPr>
            <w:tcW w:w="320" w:type="dxa"/>
            <w:vAlign w:val="bottom"/>
            <w:shd w:val="clear" w:color="auto" w:fill="D6E7FF"/>
          </w:tcPr>
          <w:p>
            <w:pPr>
              <w:spacing w:after="0"/>
              <w:rPr>
                <w:sz w:val="13"/>
                <w:szCs w:val="13"/>
                <w:color w:val="auto"/>
              </w:rPr>
            </w:pPr>
          </w:p>
        </w:tc>
        <w:tc>
          <w:tcPr>
            <w:tcW w:w="540" w:type="dxa"/>
            <w:vAlign w:val="bottom"/>
            <w:shd w:val="clear" w:color="auto" w:fill="D6E7FF"/>
          </w:tcPr>
          <w:p>
            <w:pPr>
              <w:spacing w:after="0"/>
              <w:rPr>
                <w:sz w:val="13"/>
                <w:szCs w:val="13"/>
                <w:color w:val="auto"/>
              </w:rPr>
            </w:pPr>
          </w:p>
        </w:tc>
        <w:tc>
          <w:tcPr>
            <w:tcW w:w="1340" w:type="dxa"/>
            <w:vAlign w:val="bottom"/>
            <w:vMerge w:val="restart"/>
            <w:shd w:val="clear" w:color="auto" w:fill="D6E7FF"/>
          </w:tcPr>
          <w:p>
            <w:pPr>
              <w:jc w:val="center"/>
              <w:ind w:right="892"/>
              <w:spacing w:after="0" w:line="141" w:lineRule="exact"/>
              <w:rPr>
                <w:sz w:val="20"/>
                <w:szCs w:val="20"/>
                <w:color w:val="auto"/>
              </w:rPr>
            </w:pPr>
            <w:r>
              <w:rPr>
                <w:rFonts w:ascii="MS PGothic" w:cs="MS PGothic" w:eastAsia="MS PGothic" w:hAnsi="MS PGothic"/>
                <w:sz w:val="14"/>
                <w:szCs w:val="14"/>
                <w:color w:val="auto"/>
                <w:w w:val="71"/>
              </w:rPr>
              <w:t>✔</w:t>
            </w:r>
          </w:p>
        </w:tc>
        <w:tc>
          <w:tcPr>
            <w:tcW w:w="1480" w:type="dxa"/>
            <w:vAlign w:val="bottom"/>
            <w:vMerge w:val="restart"/>
            <w:shd w:val="clear" w:color="auto" w:fill="D6E7FF"/>
          </w:tcPr>
          <w:p>
            <w:pPr>
              <w:jc w:val="center"/>
              <w:ind w:left="872"/>
              <w:spacing w:after="0" w:line="141" w:lineRule="exact"/>
              <w:rPr>
                <w:sz w:val="20"/>
                <w:szCs w:val="20"/>
                <w:color w:val="auto"/>
              </w:rPr>
            </w:pPr>
            <w:r>
              <w:rPr>
                <w:rFonts w:ascii="MS PGothic" w:cs="MS PGothic" w:eastAsia="MS PGothic" w:hAnsi="MS PGothic"/>
                <w:sz w:val="14"/>
                <w:szCs w:val="14"/>
                <w:color w:val="auto"/>
                <w:w w:val="71"/>
              </w:rPr>
              <w:t>✔</w:t>
            </w:r>
          </w:p>
        </w:tc>
        <w:tc>
          <w:tcPr>
            <w:tcW w:w="960" w:type="dxa"/>
            <w:vAlign w:val="bottom"/>
            <w:vMerge w:val="restart"/>
            <w:shd w:val="clear" w:color="auto" w:fill="D6E7FF"/>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40" w:type="dxa"/>
            <w:vAlign w:val="bottom"/>
            <w:shd w:val="clear" w:color="auto" w:fill="D6E7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D6E7FF"/>
          </w:tcPr>
          <w:p>
            <w:pPr>
              <w:ind w:left="20"/>
              <w:spacing w:after="0"/>
              <w:rPr>
                <w:sz w:val="20"/>
                <w:szCs w:val="20"/>
                <w:color w:val="auto"/>
              </w:rPr>
            </w:pPr>
            <w:r>
              <w:rPr>
                <w:rFonts w:ascii="Arial" w:cs="Arial" w:eastAsia="Arial" w:hAnsi="Arial"/>
                <w:sz w:val="14"/>
                <w:szCs w:val="14"/>
                <w:i w:val="1"/>
                <w:iCs w:val="1"/>
                <w:color w:val="auto"/>
              </w:rPr>
              <w:t>Independent</w:t>
            </w:r>
          </w:p>
        </w:tc>
        <w:tc>
          <w:tcPr>
            <w:tcW w:w="1960" w:type="dxa"/>
            <w:vAlign w:val="bottom"/>
            <w:shd w:val="clear" w:color="auto" w:fill="D6E7FF"/>
          </w:tcPr>
          <w:p>
            <w:pPr>
              <w:ind w:left="40"/>
              <w:spacing w:after="0"/>
              <w:rPr>
                <w:sz w:val="20"/>
                <w:szCs w:val="20"/>
                <w:color w:val="auto"/>
              </w:rPr>
            </w:pPr>
            <w:r>
              <w:rPr>
                <w:rFonts w:ascii="Arial" w:cs="Arial" w:eastAsia="Arial" w:hAnsi="Arial"/>
                <w:sz w:val="14"/>
                <w:szCs w:val="14"/>
                <w:color w:val="auto"/>
              </w:rPr>
              <w:t>and Chief Financial Officer,</w:t>
            </w:r>
          </w:p>
        </w:tc>
        <w:tc>
          <w:tcPr>
            <w:tcW w:w="320" w:type="dxa"/>
            <w:vAlign w:val="bottom"/>
            <w:shd w:val="clear" w:color="auto" w:fill="D6E7FF"/>
          </w:tcPr>
          <w:p>
            <w:pPr>
              <w:jc w:val="center"/>
              <w:spacing w:after="0"/>
              <w:rPr>
                <w:sz w:val="20"/>
                <w:szCs w:val="20"/>
                <w:color w:val="auto"/>
              </w:rPr>
            </w:pPr>
            <w:r>
              <w:rPr>
                <w:rFonts w:ascii="Arial" w:cs="Arial" w:eastAsia="Arial" w:hAnsi="Arial"/>
                <w:sz w:val="14"/>
                <w:szCs w:val="14"/>
                <w:color w:val="auto"/>
                <w:w w:val="89"/>
              </w:rPr>
              <w:t>66</w:t>
            </w:r>
          </w:p>
        </w:tc>
        <w:tc>
          <w:tcPr>
            <w:tcW w:w="540" w:type="dxa"/>
            <w:vAlign w:val="bottom"/>
            <w:shd w:val="clear" w:color="auto" w:fill="D6E7FF"/>
          </w:tcPr>
          <w:p>
            <w:pPr>
              <w:jc w:val="center"/>
              <w:spacing w:after="0"/>
              <w:rPr>
                <w:sz w:val="20"/>
                <w:szCs w:val="20"/>
                <w:color w:val="auto"/>
              </w:rPr>
            </w:pPr>
            <w:r>
              <w:rPr>
                <w:rFonts w:ascii="Arial" w:cs="Arial" w:eastAsia="Arial" w:hAnsi="Arial"/>
                <w:sz w:val="14"/>
                <w:szCs w:val="14"/>
                <w:color w:val="auto"/>
                <w:w w:val="96"/>
              </w:rPr>
              <w:t>2010</w:t>
            </w:r>
          </w:p>
        </w:tc>
        <w:tc>
          <w:tcPr>
            <w:tcW w:w="1340" w:type="dxa"/>
            <w:vAlign w:val="bottom"/>
            <w:vMerge w:val="continue"/>
            <w:shd w:val="clear" w:color="auto" w:fill="D6E7FF"/>
          </w:tcPr>
          <w:p>
            <w:pPr>
              <w:spacing w:after="0"/>
              <w:rPr>
                <w:sz w:val="14"/>
                <w:szCs w:val="14"/>
                <w:color w:val="auto"/>
              </w:rPr>
            </w:pPr>
          </w:p>
        </w:tc>
        <w:tc>
          <w:tcPr>
            <w:tcW w:w="1480" w:type="dxa"/>
            <w:vAlign w:val="bottom"/>
            <w:vMerge w:val="continue"/>
            <w:shd w:val="clear" w:color="auto" w:fill="D6E7FF"/>
          </w:tcPr>
          <w:p>
            <w:pPr>
              <w:spacing w:after="0"/>
              <w:rPr>
                <w:sz w:val="14"/>
                <w:szCs w:val="14"/>
                <w:color w:val="auto"/>
              </w:rPr>
            </w:pPr>
          </w:p>
        </w:tc>
        <w:tc>
          <w:tcPr>
            <w:tcW w:w="960" w:type="dxa"/>
            <w:vAlign w:val="bottom"/>
            <w:vMerge w:val="continue"/>
            <w:shd w:val="clear" w:color="auto" w:fill="D6E7FF"/>
          </w:tcPr>
          <w:p>
            <w:pPr>
              <w:spacing w:after="0"/>
              <w:rPr>
                <w:sz w:val="14"/>
                <w:szCs w:val="14"/>
                <w:color w:val="auto"/>
              </w:rPr>
            </w:pPr>
          </w:p>
        </w:tc>
        <w:tc>
          <w:tcPr>
            <w:tcW w:w="740" w:type="dxa"/>
            <w:vAlign w:val="bottom"/>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600" w:type="dxa"/>
            <w:vAlign w:val="bottom"/>
            <w:tcBorders>
              <w:bottom w:val="single" w:sz="8" w:color="307CC0"/>
            </w:tcBorders>
            <w:shd w:val="clear" w:color="auto" w:fill="D6E7FF"/>
          </w:tcPr>
          <w:p>
            <w:pPr>
              <w:spacing w:after="0"/>
              <w:rPr>
                <w:sz w:val="14"/>
                <w:szCs w:val="14"/>
                <w:color w:val="auto"/>
              </w:rPr>
            </w:pPr>
          </w:p>
        </w:tc>
        <w:tc>
          <w:tcPr>
            <w:tcW w:w="19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4"/>
                <w:szCs w:val="14"/>
                <w:color w:val="auto"/>
              </w:rPr>
              <w:t>ArvinMeritor</w:t>
            </w:r>
          </w:p>
        </w:tc>
        <w:tc>
          <w:tcPr>
            <w:tcW w:w="320" w:type="dxa"/>
            <w:vAlign w:val="bottom"/>
            <w:tcBorders>
              <w:bottom w:val="single" w:sz="8" w:color="307CC0"/>
            </w:tcBorders>
            <w:shd w:val="clear" w:color="auto" w:fill="D6E7FF"/>
          </w:tcPr>
          <w:p>
            <w:pPr>
              <w:spacing w:after="0"/>
              <w:rPr>
                <w:sz w:val="14"/>
                <w:szCs w:val="14"/>
                <w:color w:val="auto"/>
              </w:rPr>
            </w:pPr>
          </w:p>
        </w:tc>
        <w:tc>
          <w:tcPr>
            <w:tcW w:w="540" w:type="dxa"/>
            <w:vAlign w:val="bottom"/>
            <w:tcBorders>
              <w:bottom w:val="single" w:sz="8" w:color="307CC0"/>
            </w:tcBorders>
            <w:shd w:val="clear" w:color="auto" w:fill="D6E7FF"/>
          </w:tcPr>
          <w:p>
            <w:pPr>
              <w:spacing w:after="0"/>
              <w:rPr>
                <w:sz w:val="14"/>
                <w:szCs w:val="14"/>
                <w:color w:val="auto"/>
              </w:rPr>
            </w:pPr>
          </w:p>
        </w:tc>
        <w:tc>
          <w:tcPr>
            <w:tcW w:w="1340" w:type="dxa"/>
            <w:vAlign w:val="bottom"/>
            <w:tcBorders>
              <w:bottom w:val="single" w:sz="8" w:color="307CC0"/>
            </w:tcBorders>
            <w:shd w:val="clear" w:color="auto" w:fill="D6E7FF"/>
          </w:tcPr>
          <w:p>
            <w:pPr>
              <w:spacing w:after="0"/>
              <w:rPr>
                <w:sz w:val="14"/>
                <w:szCs w:val="14"/>
                <w:color w:val="auto"/>
              </w:rPr>
            </w:pPr>
          </w:p>
        </w:tc>
        <w:tc>
          <w:tcPr>
            <w:tcW w:w="1480" w:type="dxa"/>
            <w:vAlign w:val="bottom"/>
            <w:tcBorders>
              <w:bottom w:val="single" w:sz="8" w:color="307CC0"/>
            </w:tcBorders>
            <w:shd w:val="clear" w:color="auto" w:fill="D6E7FF"/>
          </w:tcPr>
          <w:p>
            <w:pPr>
              <w:spacing w:after="0"/>
              <w:rPr>
                <w:sz w:val="14"/>
                <w:szCs w:val="14"/>
                <w:color w:val="auto"/>
              </w:rPr>
            </w:pPr>
          </w:p>
        </w:tc>
        <w:tc>
          <w:tcPr>
            <w:tcW w:w="960" w:type="dxa"/>
            <w:vAlign w:val="bottom"/>
            <w:tcBorders>
              <w:bottom w:val="single" w:sz="8" w:color="307CC0"/>
            </w:tcBorders>
            <w:shd w:val="clear" w:color="auto" w:fill="D6E7FF"/>
          </w:tcPr>
          <w:p>
            <w:pPr>
              <w:spacing w:after="0"/>
              <w:rPr>
                <w:sz w:val="14"/>
                <w:szCs w:val="14"/>
                <w:color w:val="auto"/>
              </w:rPr>
            </w:pPr>
          </w:p>
        </w:tc>
        <w:tc>
          <w:tcPr>
            <w:tcW w:w="740" w:type="dxa"/>
            <w:vAlign w:val="bottom"/>
            <w:tcBorders>
              <w:bottom w:val="single" w:sz="8" w:color="307CC0"/>
            </w:tcBorders>
            <w:shd w:val="clear" w:color="auto" w:fill="D6E7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John Arthur Stall</w:t>
            </w:r>
          </w:p>
        </w:tc>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Former President, NextEra</w:t>
            </w: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65</w:t>
            </w: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13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left="872"/>
              <w:spacing w:after="0" w:line="141" w:lineRule="exact"/>
              <w:rPr>
                <w:sz w:val="20"/>
                <w:szCs w:val="20"/>
                <w:color w:val="auto"/>
              </w:rPr>
            </w:pPr>
            <w:r>
              <w:rPr>
                <w:rFonts w:ascii="MS PGothic" w:cs="MS PGothic" w:eastAsia="MS PGothic" w:hAnsi="MS PGothic"/>
                <w:sz w:val="14"/>
                <w:szCs w:val="14"/>
                <w:color w:val="auto"/>
                <w:w w:val="71"/>
              </w:rPr>
              <w:t>✔</w:t>
            </w:r>
          </w:p>
        </w:tc>
        <w:tc>
          <w:tcPr>
            <w:tcW w:w="960" w:type="dxa"/>
            <w:vAlign w:val="bottom"/>
            <w:shd w:val="clear" w:color="auto" w:fill="CCEEFF"/>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Co-Chair</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307CC0"/>
            </w:tcBorders>
            <w:shd w:val="clear" w:color="auto" w:fill="CCEEFF"/>
          </w:tcPr>
          <w:p>
            <w:pPr>
              <w:ind w:left="20"/>
              <w:spacing w:after="0" w:line="116" w:lineRule="exact"/>
              <w:rPr>
                <w:sz w:val="20"/>
                <w:szCs w:val="20"/>
                <w:color w:val="auto"/>
              </w:rPr>
            </w:pPr>
            <w:r>
              <w:rPr>
                <w:rFonts w:ascii="Arial" w:cs="Arial" w:eastAsia="Arial" w:hAnsi="Arial"/>
                <w:sz w:val="13"/>
                <w:szCs w:val="13"/>
                <w:i w:val="1"/>
                <w:iCs w:val="1"/>
                <w:color w:val="auto"/>
              </w:rPr>
              <w:t>Independent</w:t>
            </w:r>
          </w:p>
        </w:tc>
        <w:tc>
          <w:tcPr>
            <w:tcW w:w="1960" w:type="dxa"/>
            <w:vAlign w:val="bottom"/>
            <w:tcBorders>
              <w:bottom w:val="single" w:sz="8" w:color="307CC0"/>
            </w:tcBorders>
            <w:shd w:val="clear" w:color="auto" w:fill="CCEEFF"/>
          </w:tcPr>
          <w:p>
            <w:pPr>
              <w:ind w:left="40"/>
              <w:spacing w:after="0" w:line="116" w:lineRule="exact"/>
              <w:rPr>
                <w:sz w:val="20"/>
                <w:szCs w:val="20"/>
                <w:color w:val="auto"/>
              </w:rPr>
            </w:pPr>
            <w:r>
              <w:rPr>
                <w:rFonts w:ascii="Arial" w:cs="Arial" w:eastAsia="Arial" w:hAnsi="Arial"/>
                <w:sz w:val="13"/>
                <w:szCs w:val="13"/>
                <w:color w:val="auto"/>
              </w:rPr>
              <w:t>Energy, Inc. Nuclear Division</w:t>
            </w:r>
          </w:p>
        </w:tc>
        <w:tc>
          <w:tcPr>
            <w:tcW w:w="320" w:type="dxa"/>
            <w:vAlign w:val="bottom"/>
            <w:tcBorders>
              <w:bottom w:val="single" w:sz="8" w:color="307CC0"/>
            </w:tcBorders>
            <w:shd w:val="clear" w:color="auto" w:fill="CCEEFF"/>
          </w:tcPr>
          <w:p>
            <w:pPr>
              <w:spacing w:after="0"/>
              <w:rPr>
                <w:sz w:val="10"/>
                <w:szCs w:val="10"/>
                <w:color w:val="auto"/>
              </w:rPr>
            </w:pPr>
          </w:p>
        </w:tc>
        <w:tc>
          <w:tcPr>
            <w:tcW w:w="540" w:type="dxa"/>
            <w:vAlign w:val="bottom"/>
            <w:tcBorders>
              <w:bottom w:val="single" w:sz="8" w:color="307CC0"/>
            </w:tcBorders>
            <w:shd w:val="clear" w:color="auto" w:fill="CCEEFF"/>
          </w:tcPr>
          <w:p>
            <w:pPr>
              <w:spacing w:after="0"/>
              <w:rPr>
                <w:sz w:val="10"/>
                <w:szCs w:val="10"/>
                <w:color w:val="auto"/>
              </w:rPr>
            </w:pPr>
          </w:p>
        </w:tc>
        <w:tc>
          <w:tcPr>
            <w:tcW w:w="1340" w:type="dxa"/>
            <w:vAlign w:val="bottom"/>
            <w:tcBorders>
              <w:bottom w:val="single" w:sz="8" w:color="307CC0"/>
            </w:tcBorders>
            <w:shd w:val="clear" w:color="auto" w:fill="CCEEFF"/>
          </w:tcPr>
          <w:p>
            <w:pPr>
              <w:spacing w:after="0"/>
              <w:rPr>
                <w:sz w:val="10"/>
                <w:szCs w:val="10"/>
                <w:color w:val="auto"/>
              </w:rPr>
            </w:pPr>
          </w:p>
        </w:tc>
        <w:tc>
          <w:tcPr>
            <w:tcW w:w="1480" w:type="dxa"/>
            <w:vAlign w:val="bottom"/>
            <w:tcBorders>
              <w:bottom w:val="single" w:sz="8" w:color="307CC0"/>
            </w:tcBorders>
            <w:shd w:val="clear" w:color="auto" w:fill="CCEEFF"/>
          </w:tcPr>
          <w:p>
            <w:pPr>
              <w:spacing w:after="0"/>
              <w:rPr>
                <w:sz w:val="10"/>
                <w:szCs w:val="10"/>
                <w:color w:val="auto"/>
              </w:rPr>
            </w:pPr>
          </w:p>
        </w:tc>
        <w:tc>
          <w:tcPr>
            <w:tcW w:w="960" w:type="dxa"/>
            <w:vAlign w:val="bottom"/>
            <w:tcBorders>
              <w:bottom w:val="single" w:sz="8" w:color="307CC0"/>
            </w:tcBorders>
            <w:shd w:val="clear" w:color="auto" w:fill="CCEEFF"/>
          </w:tcPr>
          <w:p>
            <w:pPr>
              <w:spacing w:after="0"/>
              <w:rPr>
                <w:sz w:val="10"/>
                <w:szCs w:val="10"/>
                <w:color w:val="auto"/>
              </w:rPr>
            </w:pPr>
          </w:p>
        </w:tc>
        <w:tc>
          <w:tcPr>
            <w:tcW w:w="740" w:type="dxa"/>
            <w:vAlign w:val="bottom"/>
            <w:tcBorders>
              <w:bottom w:val="single" w:sz="8" w:color="307CC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100" w:right="80" w:firstLine="172"/>
        <w:spacing w:after="0" w:line="258" w:lineRule="auto"/>
        <w:rPr>
          <w:sz w:val="20"/>
          <w:szCs w:val="20"/>
          <w:color w:val="auto"/>
        </w:rPr>
      </w:pPr>
      <w:r>
        <w:rPr>
          <w:rFonts w:ascii="Arial" w:cs="Arial" w:eastAsia="Arial" w:hAnsi="Arial"/>
          <w:sz w:val="17"/>
          <w:szCs w:val="17"/>
          <w:color w:val="auto"/>
        </w:rPr>
        <w:t>We believe each of our director nominees exhibits practical wisdom and thoughtfulness in decision-making, mature and sound judgment and financial acumen and, based on their diverse experiences, are aligned with a set of competencies that our Board has determined is conducive to enhancing shareholder value. Additional information about our directors and their competencies can be found under “Proposal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295275</wp:posOffset>
            </wp:positionV>
            <wp:extent cx="58089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2100" w:val="left"/>
        </w:tabs>
        <w:rPr>
          <w:sz w:val="20"/>
          <w:szCs w:val="20"/>
          <w:color w:val="auto"/>
        </w:rPr>
      </w:pPr>
      <w:r>
        <w:rPr>
          <w:rFonts w:ascii="Arial" w:cs="Arial" w:eastAsia="Arial" w:hAnsi="Arial"/>
          <w:sz w:val="14"/>
          <w:szCs w:val="14"/>
          <w:b w:val="1"/>
          <w:bCs w:val="1"/>
          <w:color w:val="307CC0"/>
        </w:rPr>
        <w:t>Proxy Statement Summary</w:t>
      </w:r>
      <w:r>
        <w:rPr>
          <w:rFonts w:ascii="Arial" w:cs="Arial" w:eastAsia="Arial" w:hAnsi="Arial"/>
          <w:sz w:val="14"/>
          <w:szCs w:val="14"/>
          <w:b w:val="1"/>
          <w:bCs w:val="1"/>
          <w:color w:val="auto"/>
        </w:rPr>
        <w:tab/>
        <w:t>Evergy 2020 Proxy Statement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5838190" cy="6913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38190" cy="691324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Executive Compensation Highlights (p. 27)</w:t>
      </w:r>
    </w:p>
    <w:p>
      <w:pPr>
        <w:spacing w:after="0" w:line="171" w:lineRule="exact"/>
        <w:rPr>
          <w:sz w:val="20"/>
          <w:szCs w:val="20"/>
          <w:color w:val="auto"/>
        </w:rPr>
      </w:pPr>
    </w:p>
    <w:p>
      <w:pPr>
        <w:jc w:val="both"/>
        <w:ind w:left="100" w:right="80" w:firstLine="172"/>
        <w:spacing w:after="0" w:line="258" w:lineRule="auto"/>
        <w:rPr>
          <w:sz w:val="20"/>
          <w:szCs w:val="20"/>
          <w:color w:val="auto"/>
        </w:rPr>
      </w:pPr>
      <w:r>
        <w:rPr>
          <w:rFonts w:ascii="Arial" w:cs="Arial" w:eastAsia="Arial" w:hAnsi="Arial"/>
          <w:sz w:val="17"/>
          <w:szCs w:val="17"/>
          <w:color w:val="auto"/>
        </w:rPr>
        <w:t>Evergy’s compensation programs are designed to support achievement of our business strategy without encouraging excessive risk-taking, to attract and retain highly qualified executives, pay for performance, reward long-term growth and sustained profitability and encourage teamwork. Consistent with these objectives, as shown below, a high percentage of fiscal 2019 total target direct compensation is based on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Set forth below is a summary of key fiscal 2019 compensation decisions for our named executive officers:</w:t>
      </w:r>
    </w:p>
    <w:p>
      <w:pPr>
        <w:spacing w:after="0" w:line="51" w:lineRule="exact"/>
        <w:rPr>
          <w:sz w:val="20"/>
          <w:szCs w:val="20"/>
          <w:color w:val="auto"/>
        </w:rPr>
      </w:pPr>
    </w:p>
    <w:tbl>
      <w:tblPr>
        <w:tblLayout w:type="fixed"/>
        <w:tblInd w:w="100" w:type="dxa"/>
        <w:tblCellMar>
          <w:top w:w="0" w:type="dxa"/>
          <w:left w:w="0" w:type="dxa"/>
          <w:bottom w:w="0" w:type="dxa"/>
          <w:right w:w="0" w:type="dxa"/>
        </w:tblCellMar>
      </w:tblPr>
      <w:tr>
        <w:trPr>
          <w:trHeight w:val="151"/>
        </w:trPr>
        <w:tc>
          <w:tcPr>
            <w:tcW w:w="3640" w:type="dxa"/>
            <w:vAlign w:val="bottom"/>
            <w:shd w:val="clear" w:color="auto" w:fill="307CC0"/>
          </w:tcPr>
          <w:p>
            <w:pPr>
              <w:spacing w:after="0"/>
              <w:rPr>
                <w:sz w:val="13"/>
                <w:szCs w:val="13"/>
                <w:color w:val="auto"/>
              </w:rPr>
            </w:pPr>
          </w:p>
        </w:tc>
        <w:tc>
          <w:tcPr>
            <w:tcW w:w="1620" w:type="dxa"/>
            <w:vAlign w:val="bottom"/>
            <w:shd w:val="clear" w:color="auto" w:fill="307CC0"/>
          </w:tcPr>
          <w:p>
            <w:pPr>
              <w:spacing w:after="0"/>
              <w:rPr>
                <w:sz w:val="13"/>
                <w:szCs w:val="13"/>
                <w:color w:val="auto"/>
              </w:rPr>
            </w:pPr>
          </w:p>
        </w:tc>
        <w:tc>
          <w:tcPr>
            <w:tcW w:w="1840" w:type="dxa"/>
            <w:vAlign w:val="bottom"/>
            <w:shd w:val="clear" w:color="auto" w:fill="307CC0"/>
          </w:tcPr>
          <w:p>
            <w:pPr>
              <w:jc w:val="right"/>
              <w:ind w:right="488"/>
              <w:spacing w:after="0"/>
              <w:rPr>
                <w:sz w:val="20"/>
                <w:szCs w:val="20"/>
                <w:color w:val="auto"/>
              </w:rPr>
            </w:pPr>
            <w:r>
              <w:rPr>
                <w:rFonts w:ascii="Arial" w:cs="Arial" w:eastAsia="Arial" w:hAnsi="Arial"/>
                <w:sz w:val="13"/>
                <w:szCs w:val="13"/>
                <w:b w:val="1"/>
                <w:bCs w:val="1"/>
                <w:color w:val="FFFFFF"/>
              </w:rPr>
              <w:t>Annual Cash</w:t>
            </w:r>
          </w:p>
        </w:tc>
        <w:tc>
          <w:tcPr>
            <w:tcW w:w="1840" w:type="dxa"/>
            <w:vAlign w:val="bottom"/>
            <w:shd w:val="clear" w:color="auto" w:fill="307CC0"/>
          </w:tcPr>
          <w:p>
            <w:pPr>
              <w:jc w:val="right"/>
              <w:ind w:right="508"/>
              <w:spacing w:after="0"/>
              <w:rPr>
                <w:sz w:val="20"/>
                <w:szCs w:val="20"/>
                <w:color w:val="auto"/>
              </w:rPr>
            </w:pPr>
            <w:r>
              <w:rPr>
                <w:rFonts w:ascii="Arial" w:cs="Arial" w:eastAsia="Arial" w:hAnsi="Arial"/>
                <w:sz w:val="13"/>
                <w:szCs w:val="13"/>
                <w:b w:val="1"/>
                <w:bCs w:val="1"/>
                <w:color w:val="FFFFFF"/>
              </w:rPr>
              <w:t>Long-Term</w:t>
            </w:r>
          </w:p>
        </w:tc>
      </w:tr>
      <w:tr>
        <w:trPr>
          <w:trHeight w:val="172"/>
        </w:trPr>
        <w:tc>
          <w:tcPr>
            <w:tcW w:w="3640" w:type="dxa"/>
            <w:vAlign w:val="bottom"/>
            <w:shd w:val="clear" w:color="auto" w:fill="307CC0"/>
          </w:tcPr>
          <w:p>
            <w:pPr>
              <w:ind w:left="20"/>
              <w:spacing w:after="0"/>
              <w:rPr>
                <w:sz w:val="20"/>
                <w:szCs w:val="20"/>
                <w:color w:val="auto"/>
              </w:rPr>
            </w:pPr>
            <w:r>
              <w:rPr>
                <w:rFonts w:ascii="Arial" w:cs="Arial" w:eastAsia="Arial" w:hAnsi="Arial"/>
                <w:sz w:val="13"/>
                <w:szCs w:val="13"/>
                <w:b w:val="1"/>
                <w:bCs w:val="1"/>
                <w:color w:val="FFFFFF"/>
              </w:rPr>
              <w:t>Named Executive Officer</w:t>
            </w:r>
          </w:p>
        </w:tc>
        <w:tc>
          <w:tcPr>
            <w:tcW w:w="1620" w:type="dxa"/>
            <w:vAlign w:val="bottom"/>
            <w:shd w:val="clear" w:color="auto" w:fill="307CC0"/>
          </w:tcPr>
          <w:p>
            <w:pPr>
              <w:jc w:val="right"/>
              <w:ind w:right="388"/>
              <w:spacing w:after="0"/>
              <w:rPr>
                <w:sz w:val="20"/>
                <w:szCs w:val="20"/>
                <w:color w:val="auto"/>
              </w:rPr>
            </w:pPr>
            <w:r>
              <w:rPr>
                <w:rFonts w:ascii="Arial" w:cs="Arial" w:eastAsia="Arial" w:hAnsi="Arial"/>
                <w:sz w:val="13"/>
                <w:szCs w:val="13"/>
                <w:b w:val="1"/>
                <w:bCs w:val="1"/>
                <w:color w:val="FFFFFF"/>
              </w:rPr>
              <w:t>Base Salary</w:t>
            </w:r>
          </w:p>
        </w:tc>
        <w:tc>
          <w:tcPr>
            <w:tcW w:w="1840" w:type="dxa"/>
            <w:vAlign w:val="bottom"/>
            <w:shd w:val="clear" w:color="auto" w:fill="307CC0"/>
          </w:tcPr>
          <w:p>
            <w:pPr>
              <w:jc w:val="right"/>
              <w:ind w:right="368"/>
              <w:spacing w:after="0"/>
              <w:rPr>
                <w:sz w:val="20"/>
                <w:szCs w:val="20"/>
                <w:color w:val="auto"/>
              </w:rPr>
            </w:pPr>
            <w:r>
              <w:rPr>
                <w:rFonts w:ascii="Arial" w:cs="Arial" w:eastAsia="Arial" w:hAnsi="Arial"/>
                <w:sz w:val="13"/>
                <w:szCs w:val="13"/>
                <w:b w:val="1"/>
                <w:bCs w:val="1"/>
                <w:color w:val="FFFFFF"/>
              </w:rPr>
              <w:t>Incentive Payout</w:t>
            </w:r>
          </w:p>
        </w:tc>
        <w:tc>
          <w:tcPr>
            <w:tcW w:w="1840" w:type="dxa"/>
            <w:vAlign w:val="bottom"/>
            <w:shd w:val="clear" w:color="auto" w:fill="307CC0"/>
          </w:tcPr>
          <w:p>
            <w:pPr>
              <w:jc w:val="right"/>
              <w:ind w:right="348"/>
              <w:spacing w:after="0"/>
              <w:rPr>
                <w:sz w:val="20"/>
                <w:szCs w:val="20"/>
                <w:color w:val="auto"/>
              </w:rPr>
            </w:pPr>
            <w:r>
              <w:rPr>
                <w:rFonts w:ascii="Arial" w:cs="Arial" w:eastAsia="Arial" w:hAnsi="Arial"/>
                <w:sz w:val="13"/>
                <w:szCs w:val="13"/>
                <w:b w:val="1"/>
                <w:bCs w:val="1"/>
                <w:color w:val="FFFFFF"/>
              </w:rPr>
              <w:t>Incentive Grants</w:t>
            </w:r>
          </w:p>
        </w:tc>
      </w:tr>
      <w:tr>
        <w:trPr>
          <w:trHeight w:val="186"/>
        </w:trPr>
        <w:tc>
          <w:tcPr>
            <w:tcW w:w="3640" w:type="dxa"/>
            <w:vAlign w:val="bottom"/>
            <w:tcBorders>
              <w:bottom w:val="single" w:sz="8" w:color="CCEEFF"/>
            </w:tcBorders>
            <w:shd w:val="clear" w:color="auto" w:fill="CCEEFF"/>
          </w:tcPr>
          <w:p>
            <w:pPr>
              <w:ind w:left="20"/>
              <w:spacing w:after="0" w:line="151" w:lineRule="exact"/>
              <w:rPr>
                <w:sz w:val="20"/>
                <w:szCs w:val="20"/>
                <w:color w:val="auto"/>
              </w:rPr>
            </w:pPr>
            <w:r>
              <w:rPr>
                <w:rFonts w:ascii="Arial" w:cs="Arial" w:eastAsia="Arial" w:hAnsi="Arial"/>
                <w:sz w:val="15"/>
                <w:szCs w:val="15"/>
                <w:color w:val="auto"/>
              </w:rPr>
              <w:t>Mr. Terry Bassham</w:t>
            </w:r>
          </w:p>
        </w:tc>
        <w:tc>
          <w:tcPr>
            <w:tcW w:w="162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$950,000</w:t>
            </w:r>
          </w:p>
        </w:tc>
        <w:tc>
          <w:tcPr>
            <w:tcW w:w="184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$1,154,250</w:t>
            </w:r>
          </w:p>
        </w:tc>
        <w:tc>
          <w:tcPr>
            <w:tcW w:w="1840" w:type="dxa"/>
            <w:vAlign w:val="bottom"/>
            <w:tcBorders>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$3,800,000</w:t>
            </w:r>
          </w:p>
        </w:tc>
      </w:tr>
      <w:tr>
        <w:trPr>
          <w:trHeight w:val="144"/>
        </w:trPr>
        <w:tc>
          <w:tcPr>
            <w:tcW w:w="364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5"/>
                <w:szCs w:val="15"/>
                <w:i w:val="1"/>
                <w:iCs w:val="1"/>
                <w:color w:val="auto"/>
              </w:rPr>
              <w:t>President and Chief Executive Officer</w:t>
            </w:r>
          </w:p>
        </w:tc>
        <w:tc>
          <w:tcPr>
            <w:tcW w:w="3460" w:type="dxa"/>
            <w:vAlign w:val="bottom"/>
            <w:tcBorders>
              <w:top w:val="single" w:sz="8" w:color="307CC0"/>
            </w:tcBorders>
            <w:gridSpan w:val="2"/>
            <w:shd w:val="clear" w:color="auto" w:fill="D6E7FF"/>
          </w:tcPr>
          <w:p>
            <w:pPr>
              <w:jc w:val="right"/>
              <w:spacing w:after="0" w:line="144" w:lineRule="exact"/>
              <w:rPr>
                <w:sz w:val="20"/>
                <w:szCs w:val="20"/>
                <w:color w:val="auto"/>
              </w:rPr>
            </w:pPr>
            <w:r>
              <w:rPr>
                <w:rFonts w:ascii="Arial" w:cs="Arial" w:eastAsia="Arial" w:hAnsi="Arial"/>
                <w:sz w:val="15"/>
                <w:szCs w:val="15"/>
                <w:i w:val="1"/>
                <w:iCs w:val="1"/>
                <w:color w:val="auto"/>
              </w:rPr>
              <w:t>No change from 2018 Target = 100% Base Salary</w:t>
            </w:r>
          </w:p>
        </w:tc>
        <w:tc>
          <w:tcPr>
            <w:tcW w:w="1840" w:type="dxa"/>
            <w:vAlign w:val="bottom"/>
            <w:tcBorders>
              <w:top w:val="single" w:sz="8" w:color="307CC0"/>
            </w:tcBorders>
            <w:shd w:val="clear" w:color="auto" w:fill="D6E7FF"/>
          </w:tcPr>
          <w:p>
            <w:pPr>
              <w:jc w:val="right"/>
              <w:spacing w:after="0" w:line="144" w:lineRule="exact"/>
              <w:rPr>
                <w:sz w:val="20"/>
                <w:szCs w:val="20"/>
                <w:color w:val="auto"/>
              </w:rPr>
            </w:pPr>
            <w:r>
              <w:rPr>
                <w:rFonts w:ascii="Arial" w:cs="Arial" w:eastAsia="Arial" w:hAnsi="Arial"/>
                <w:sz w:val="15"/>
                <w:szCs w:val="15"/>
                <w:i w:val="1"/>
                <w:iCs w:val="1"/>
                <w:color w:val="auto"/>
                <w:w w:val="97"/>
              </w:rPr>
              <w:t>Target = 400% Base Salary</w:t>
            </w:r>
          </w:p>
        </w:tc>
      </w:tr>
      <w:tr>
        <w:trPr>
          <w:trHeight w:val="185"/>
        </w:trPr>
        <w:tc>
          <w:tcPr>
            <w:tcW w:w="3640" w:type="dxa"/>
            <w:vAlign w:val="bottom"/>
            <w:tcBorders>
              <w:bottom w:val="single" w:sz="8" w:color="307CC0"/>
            </w:tcBorders>
            <w:shd w:val="clear" w:color="auto" w:fill="CCEEFF"/>
          </w:tcPr>
          <w:p>
            <w:pPr>
              <w:spacing w:after="0"/>
              <w:rPr>
                <w:sz w:val="16"/>
                <w:szCs w:val="16"/>
                <w:color w:val="auto"/>
              </w:rPr>
            </w:pPr>
          </w:p>
        </w:tc>
        <w:tc>
          <w:tcPr>
            <w:tcW w:w="1620" w:type="dxa"/>
            <w:vAlign w:val="bottom"/>
            <w:tcBorders>
              <w:bottom w:val="single" w:sz="8" w:color="307CC0"/>
            </w:tcBorders>
            <w:shd w:val="clear" w:color="auto" w:fill="D6E7FF"/>
          </w:tcPr>
          <w:p>
            <w:pPr>
              <w:spacing w:after="0"/>
              <w:rPr>
                <w:sz w:val="16"/>
                <w:szCs w:val="16"/>
                <w:color w:val="auto"/>
              </w:rPr>
            </w:pP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w w:val="99"/>
              </w:rPr>
              <w:t>Payout = 121.5% of Target</w:t>
            </w: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rPr>
              <w:t>75% performance-based</w:t>
            </w:r>
          </w:p>
        </w:tc>
      </w:tr>
      <w:tr>
        <w:trPr>
          <w:trHeight w:val="179"/>
        </w:trPr>
        <w:tc>
          <w:tcPr>
            <w:tcW w:w="364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5"/>
                <w:szCs w:val="15"/>
                <w:color w:val="auto"/>
              </w:rPr>
              <w:t>Mr. Kevin E. Bryant</w:t>
            </w:r>
          </w:p>
        </w:tc>
        <w:tc>
          <w:tcPr>
            <w:tcW w:w="162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$520,000</w:t>
            </w:r>
          </w:p>
        </w:tc>
        <w:tc>
          <w:tcPr>
            <w:tcW w:w="184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$505,440</w:t>
            </w:r>
          </w:p>
        </w:tc>
        <w:tc>
          <w:tcPr>
            <w:tcW w:w="184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$780,000</w:t>
            </w:r>
          </w:p>
        </w:tc>
      </w:tr>
      <w:tr>
        <w:trPr>
          <w:trHeight w:val="144"/>
        </w:trPr>
        <w:tc>
          <w:tcPr>
            <w:tcW w:w="364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5"/>
                <w:szCs w:val="15"/>
                <w:i w:val="1"/>
                <w:iCs w:val="1"/>
                <w:color w:val="auto"/>
              </w:rPr>
              <w:t>Executive Vice President and Chief Operating Officer</w:t>
            </w:r>
          </w:p>
        </w:tc>
        <w:tc>
          <w:tcPr>
            <w:tcW w:w="3460" w:type="dxa"/>
            <w:vAlign w:val="bottom"/>
            <w:tcBorders>
              <w:top w:val="single" w:sz="8" w:color="307CC0"/>
            </w:tcBorders>
            <w:gridSpan w:val="2"/>
            <w:shd w:val="clear" w:color="auto" w:fill="D6E7FF"/>
          </w:tcPr>
          <w:p>
            <w:pPr>
              <w:jc w:val="right"/>
              <w:spacing w:after="0" w:line="144" w:lineRule="exact"/>
              <w:rPr>
                <w:sz w:val="20"/>
                <w:szCs w:val="20"/>
                <w:color w:val="auto"/>
              </w:rPr>
            </w:pPr>
            <w:r>
              <w:rPr>
                <w:rFonts w:ascii="Arial" w:cs="Arial" w:eastAsia="Arial" w:hAnsi="Arial"/>
                <w:sz w:val="15"/>
                <w:szCs w:val="15"/>
                <w:i w:val="1"/>
                <w:iCs w:val="1"/>
                <w:color w:val="auto"/>
              </w:rPr>
              <w:t>No change from 2018  Target = 80% Base Salary</w:t>
            </w:r>
          </w:p>
        </w:tc>
        <w:tc>
          <w:tcPr>
            <w:tcW w:w="1840" w:type="dxa"/>
            <w:vAlign w:val="bottom"/>
            <w:tcBorders>
              <w:top w:val="single" w:sz="8" w:color="307CC0"/>
            </w:tcBorders>
            <w:shd w:val="clear" w:color="auto" w:fill="D6E7FF"/>
          </w:tcPr>
          <w:p>
            <w:pPr>
              <w:jc w:val="right"/>
              <w:spacing w:after="0" w:line="144" w:lineRule="exact"/>
              <w:rPr>
                <w:sz w:val="20"/>
                <w:szCs w:val="20"/>
                <w:color w:val="auto"/>
              </w:rPr>
            </w:pPr>
            <w:r>
              <w:rPr>
                <w:rFonts w:ascii="Arial" w:cs="Arial" w:eastAsia="Arial" w:hAnsi="Arial"/>
                <w:sz w:val="15"/>
                <w:szCs w:val="15"/>
                <w:i w:val="1"/>
                <w:iCs w:val="1"/>
                <w:color w:val="auto"/>
                <w:w w:val="97"/>
              </w:rPr>
              <w:t>Target = 150% Base Salary</w:t>
            </w:r>
          </w:p>
        </w:tc>
      </w:tr>
      <w:tr>
        <w:trPr>
          <w:trHeight w:val="185"/>
        </w:trPr>
        <w:tc>
          <w:tcPr>
            <w:tcW w:w="3640" w:type="dxa"/>
            <w:vAlign w:val="bottom"/>
            <w:tcBorders>
              <w:bottom w:val="single" w:sz="8" w:color="307CC0"/>
            </w:tcBorders>
            <w:shd w:val="clear" w:color="auto" w:fill="CCEEFF"/>
          </w:tcPr>
          <w:p>
            <w:pPr>
              <w:spacing w:after="0"/>
              <w:rPr>
                <w:sz w:val="16"/>
                <w:szCs w:val="16"/>
                <w:color w:val="auto"/>
              </w:rPr>
            </w:pPr>
          </w:p>
        </w:tc>
        <w:tc>
          <w:tcPr>
            <w:tcW w:w="1620" w:type="dxa"/>
            <w:vAlign w:val="bottom"/>
            <w:tcBorders>
              <w:bottom w:val="single" w:sz="8" w:color="307CC0"/>
            </w:tcBorders>
            <w:shd w:val="clear" w:color="auto" w:fill="D6E7FF"/>
          </w:tcPr>
          <w:p>
            <w:pPr>
              <w:spacing w:after="0"/>
              <w:rPr>
                <w:sz w:val="16"/>
                <w:szCs w:val="16"/>
                <w:color w:val="auto"/>
              </w:rPr>
            </w:pP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w w:val="99"/>
              </w:rPr>
              <w:t>Payout = 121.5% of Target</w:t>
            </w: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rPr>
              <w:t>75% performance-based</w:t>
            </w:r>
          </w:p>
        </w:tc>
      </w:tr>
      <w:tr>
        <w:trPr>
          <w:trHeight w:val="179"/>
        </w:trPr>
        <w:tc>
          <w:tcPr>
            <w:tcW w:w="364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5"/>
                <w:szCs w:val="15"/>
                <w:color w:val="auto"/>
              </w:rPr>
              <w:t>Mr. Greg A. Greenwood</w:t>
            </w:r>
          </w:p>
        </w:tc>
        <w:tc>
          <w:tcPr>
            <w:tcW w:w="162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$520,000</w:t>
            </w:r>
          </w:p>
        </w:tc>
        <w:tc>
          <w:tcPr>
            <w:tcW w:w="184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$505,440</w:t>
            </w:r>
          </w:p>
        </w:tc>
        <w:tc>
          <w:tcPr>
            <w:tcW w:w="184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$780,000</w:t>
            </w:r>
          </w:p>
        </w:tc>
      </w:tr>
      <w:tr>
        <w:trPr>
          <w:trHeight w:val="135"/>
        </w:trPr>
        <w:tc>
          <w:tcPr>
            <w:tcW w:w="364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i w:val="1"/>
                <w:iCs w:val="1"/>
                <w:color w:val="auto"/>
              </w:rPr>
              <w:t>Executive Vice President, Strategy and Chief</w:t>
            </w:r>
          </w:p>
        </w:tc>
        <w:tc>
          <w:tcPr>
            <w:tcW w:w="3460" w:type="dxa"/>
            <w:vAlign w:val="bottom"/>
            <w:tcBorders>
              <w:top w:val="single" w:sz="8" w:color="307CC0"/>
            </w:tcBorders>
            <w:gridSpan w:val="2"/>
            <w:shd w:val="clear" w:color="auto" w:fill="D6E7FF"/>
          </w:tcPr>
          <w:p>
            <w:pPr>
              <w:jc w:val="right"/>
              <w:spacing w:after="0" w:line="135" w:lineRule="exact"/>
              <w:rPr>
                <w:sz w:val="20"/>
                <w:szCs w:val="20"/>
                <w:color w:val="auto"/>
              </w:rPr>
            </w:pPr>
            <w:r>
              <w:rPr>
                <w:rFonts w:ascii="Arial" w:cs="Arial" w:eastAsia="Arial" w:hAnsi="Arial"/>
                <w:sz w:val="15"/>
                <w:szCs w:val="15"/>
                <w:i w:val="1"/>
                <w:iCs w:val="1"/>
                <w:color w:val="auto"/>
              </w:rPr>
              <w:t>No change from 2018  Target = 80% Base Salary</w:t>
            </w:r>
          </w:p>
        </w:tc>
        <w:tc>
          <w:tcPr>
            <w:tcW w:w="1840" w:type="dxa"/>
            <w:vAlign w:val="bottom"/>
            <w:tcBorders>
              <w:top w:val="single" w:sz="8" w:color="307CC0"/>
            </w:tcBorders>
            <w:shd w:val="clear" w:color="auto" w:fill="D6E7FF"/>
          </w:tcPr>
          <w:p>
            <w:pPr>
              <w:jc w:val="right"/>
              <w:spacing w:after="0" w:line="135" w:lineRule="exact"/>
              <w:rPr>
                <w:sz w:val="20"/>
                <w:szCs w:val="20"/>
                <w:color w:val="auto"/>
              </w:rPr>
            </w:pPr>
            <w:r>
              <w:rPr>
                <w:rFonts w:ascii="Arial" w:cs="Arial" w:eastAsia="Arial" w:hAnsi="Arial"/>
                <w:sz w:val="15"/>
                <w:szCs w:val="15"/>
                <w:i w:val="1"/>
                <w:iCs w:val="1"/>
                <w:color w:val="auto"/>
                <w:w w:val="97"/>
              </w:rPr>
              <w:t>Target = 150% Base Salary</w:t>
            </w:r>
          </w:p>
        </w:tc>
      </w:tr>
      <w:tr>
        <w:trPr>
          <w:trHeight w:val="194"/>
        </w:trPr>
        <w:tc>
          <w:tcPr>
            <w:tcW w:w="364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Administrative Officer</w:t>
            </w:r>
          </w:p>
        </w:tc>
        <w:tc>
          <w:tcPr>
            <w:tcW w:w="1620" w:type="dxa"/>
            <w:vAlign w:val="bottom"/>
            <w:tcBorders>
              <w:bottom w:val="single" w:sz="8" w:color="307CC0"/>
            </w:tcBorders>
            <w:shd w:val="clear" w:color="auto" w:fill="D6E7FF"/>
          </w:tcPr>
          <w:p>
            <w:pPr>
              <w:spacing w:after="0"/>
              <w:rPr>
                <w:sz w:val="16"/>
                <w:szCs w:val="16"/>
                <w:color w:val="auto"/>
              </w:rPr>
            </w:pP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w w:val="99"/>
              </w:rPr>
              <w:t>Payout = 121.5% of Target</w:t>
            </w: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rPr>
              <w:t>75% performance-based</w:t>
            </w:r>
          </w:p>
        </w:tc>
      </w:tr>
      <w:tr>
        <w:trPr>
          <w:trHeight w:val="179"/>
        </w:trPr>
        <w:tc>
          <w:tcPr>
            <w:tcW w:w="364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5"/>
                <w:szCs w:val="15"/>
                <w:color w:val="auto"/>
              </w:rPr>
              <w:t>Mr. Anthony D. Somma</w:t>
            </w:r>
          </w:p>
        </w:tc>
        <w:tc>
          <w:tcPr>
            <w:tcW w:w="162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$495,000</w:t>
            </w:r>
          </w:p>
        </w:tc>
        <w:tc>
          <w:tcPr>
            <w:tcW w:w="184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$481,140</w:t>
            </w:r>
          </w:p>
        </w:tc>
        <w:tc>
          <w:tcPr>
            <w:tcW w:w="184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$742,500</w:t>
            </w:r>
          </w:p>
        </w:tc>
      </w:tr>
      <w:tr>
        <w:trPr>
          <w:trHeight w:val="144"/>
        </w:trPr>
        <w:tc>
          <w:tcPr>
            <w:tcW w:w="364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5"/>
                <w:szCs w:val="15"/>
                <w:i w:val="1"/>
                <w:iCs w:val="1"/>
                <w:color w:val="auto"/>
              </w:rPr>
              <w:t>Executive Vice President and Chief Financial Officer</w:t>
            </w:r>
          </w:p>
        </w:tc>
        <w:tc>
          <w:tcPr>
            <w:tcW w:w="3460" w:type="dxa"/>
            <w:vAlign w:val="bottom"/>
            <w:tcBorders>
              <w:top w:val="single" w:sz="8" w:color="307CC0"/>
            </w:tcBorders>
            <w:gridSpan w:val="2"/>
            <w:shd w:val="clear" w:color="auto" w:fill="D6E7FF"/>
          </w:tcPr>
          <w:p>
            <w:pPr>
              <w:jc w:val="right"/>
              <w:spacing w:after="0" w:line="144" w:lineRule="exact"/>
              <w:rPr>
                <w:sz w:val="20"/>
                <w:szCs w:val="20"/>
                <w:color w:val="auto"/>
              </w:rPr>
            </w:pPr>
            <w:r>
              <w:rPr>
                <w:rFonts w:ascii="Arial" w:cs="Arial" w:eastAsia="Arial" w:hAnsi="Arial"/>
                <w:sz w:val="15"/>
                <w:szCs w:val="15"/>
                <w:i w:val="1"/>
                <w:iCs w:val="1"/>
                <w:color w:val="auto"/>
              </w:rPr>
              <w:t>No change from 2018  Target = 80% Base Salary</w:t>
            </w:r>
          </w:p>
        </w:tc>
        <w:tc>
          <w:tcPr>
            <w:tcW w:w="1840" w:type="dxa"/>
            <w:vAlign w:val="bottom"/>
            <w:tcBorders>
              <w:top w:val="single" w:sz="8" w:color="307CC0"/>
            </w:tcBorders>
            <w:shd w:val="clear" w:color="auto" w:fill="D6E7FF"/>
          </w:tcPr>
          <w:p>
            <w:pPr>
              <w:jc w:val="right"/>
              <w:spacing w:after="0" w:line="144" w:lineRule="exact"/>
              <w:rPr>
                <w:sz w:val="20"/>
                <w:szCs w:val="20"/>
                <w:color w:val="auto"/>
              </w:rPr>
            </w:pPr>
            <w:r>
              <w:rPr>
                <w:rFonts w:ascii="Arial" w:cs="Arial" w:eastAsia="Arial" w:hAnsi="Arial"/>
                <w:sz w:val="15"/>
                <w:szCs w:val="15"/>
                <w:i w:val="1"/>
                <w:iCs w:val="1"/>
                <w:color w:val="auto"/>
                <w:w w:val="97"/>
              </w:rPr>
              <w:t>Target = 150% Base Salary</w:t>
            </w:r>
          </w:p>
        </w:tc>
      </w:tr>
      <w:tr>
        <w:trPr>
          <w:trHeight w:val="185"/>
        </w:trPr>
        <w:tc>
          <w:tcPr>
            <w:tcW w:w="3640" w:type="dxa"/>
            <w:vAlign w:val="bottom"/>
            <w:tcBorders>
              <w:bottom w:val="single" w:sz="8" w:color="307CC0"/>
            </w:tcBorders>
            <w:shd w:val="clear" w:color="auto" w:fill="CCEEFF"/>
          </w:tcPr>
          <w:p>
            <w:pPr>
              <w:spacing w:after="0"/>
              <w:rPr>
                <w:sz w:val="16"/>
                <w:szCs w:val="16"/>
                <w:color w:val="auto"/>
              </w:rPr>
            </w:pPr>
          </w:p>
        </w:tc>
        <w:tc>
          <w:tcPr>
            <w:tcW w:w="1620" w:type="dxa"/>
            <w:vAlign w:val="bottom"/>
            <w:tcBorders>
              <w:bottom w:val="single" w:sz="8" w:color="307CC0"/>
            </w:tcBorders>
            <w:shd w:val="clear" w:color="auto" w:fill="D6E7FF"/>
          </w:tcPr>
          <w:p>
            <w:pPr>
              <w:spacing w:after="0"/>
              <w:rPr>
                <w:sz w:val="16"/>
                <w:szCs w:val="16"/>
                <w:color w:val="auto"/>
              </w:rPr>
            </w:pP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w w:val="99"/>
              </w:rPr>
              <w:t>Payout = 121.5% of Target</w:t>
            </w: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rPr>
              <w:t>75% performance-based</w:t>
            </w:r>
          </w:p>
        </w:tc>
      </w:tr>
      <w:tr>
        <w:trPr>
          <w:trHeight w:val="179"/>
        </w:trPr>
        <w:tc>
          <w:tcPr>
            <w:tcW w:w="364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5"/>
                <w:szCs w:val="15"/>
                <w:color w:val="auto"/>
              </w:rPr>
              <w:t>Ms. Heather A. Humphrey</w:t>
            </w:r>
          </w:p>
        </w:tc>
        <w:tc>
          <w:tcPr>
            <w:tcW w:w="162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$484,000</w:t>
            </w:r>
          </w:p>
        </w:tc>
        <w:tc>
          <w:tcPr>
            <w:tcW w:w="184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$382,239</w:t>
            </w:r>
          </w:p>
        </w:tc>
        <w:tc>
          <w:tcPr>
            <w:tcW w:w="184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5"/>
                <w:szCs w:val="15"/>
                <w:color w:val="auto"/>
              </w:rPr>
              <w:t>$629,200</w:t>
            </w:r>
          </w:p>
        </w:tc>
      </w:tr>
      <w:tr>
        <w:trPr>
          <w:trHeight w:val="135"/>
        </w:trPr>
        <w:tc>
          <w:tcPr>
            <w:tcW w:w="364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5"/>
                <w:szCs w:val="15"/>
                <w:i w:val="1"/>
                <w:iCs w:val="1"/>
                <w:color w:val="auto"/>
                <w:w w:val="98"/>
              </w:rPr>
              <w:t>Senior Vice President, General Counsel and Corporate</w:t>
            </w:r>
          </w:p>
        </w:tc>
        <w:tc>
          <w:tcPr>
            <w:tcW w:w="3460" w:type="dxa"/>
            <w:vAlign w:val="bottom"/>
            <w:tcBorders>
              <w:top w:val="single" w:sz="8" w:color="307CC0"/>
            </w:tcBorders>
            <w:gridSpan w:val="2"/>
            <w:shd w:val="clear" w:color="auto" w:fill="D6E7FF"/>
          </w:tcPr>
          <w:p>
            <w:pPr>
              <w:jc w:val="right"/>
              <w:spacing w:after="0" w:line="135" w:lineRule="exact"/>
              <w:rPr>
                <w:sz w:val="20"/>
                <w:szCs w:val="20"/>
                <w:color w:val="auto"/>
              </w:rPr>
            </w:pPr>
            <w:r>
              <w:rPr>
                <w:rFonts w:ascii="Arial" w:cs="Arial" w:eastAsia="Arial" w:hAnsi="Arial"/>
                <w:sz w:val="15"/>
                <w:szCs w:val="15"/>
                <w:i w:val="1"/>
                <w:iCs w:val="1"/>
                <w:color w:val="auto"/>
              </w:rPr>
              <w:t>No change from 2018  Target = 65% Base Salary</w:t>
            </w:r>
          </w:p>
        </w:tc>
        <w:tc>
          <w:tcPr>
            <w:tcW w:w="1840" w:type="dxa"/>
            <w:vAlign w:val="bottom"/>
            <w:tcBorders>
              <w:top w:val="single" w:sz="8" w:color="307CC0"/>
            </w:tcBorders>
            <w:shd w:val="clear" w:color="auto" w:fill="D6E7FF"/>
          </w:tcPr>
          <w:p>
            <w:pPr>
              <w:jc w:val="right"/>
              <w:spacing w:after="0" w:line="135" w:lineRule="exact"/>
              <w:rPr>
                <w:sz w:val="20"/>
                <w:szCs w:val="20"/>
                <w:color w:val="auto"/>
              </w:rPr>
            </w:pPr>
            <w:r>
              <w:rPr>
                <w:rFonts w:ascii="Arial" w:cs="Arial" w:eastAsia="Arial" w:hAnsi="Arial"/>
                <w:sz w:val="15"/>
                <w:szCs w:val="15"/>
                <w:i w:val="1"/>
                <w:iCs w:val="1"/>
                <w:color w:val="auto"/>
                <w:w w:val="97"/>
              </w:rPr>
              <w:t>Target = 130% Base Salary</w:t>
            </w:r>
          </w:p>
        </w:tc>
      </w:tr>
      <w:tr>
        <w:trPr>
          <w:trHeight w:val="194"/>
        </w:trPr>
        <w:tc>
          <w:tcPr>
            <w:tcW w:w="364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Secretary</w:t>
            </w:r>
          </w:p>
        </w:tc>
        <w:tc>
          <w:tcPr>
            <w:tcW w:w="1620" w:type="dxa"/>
            <w:vAlign w:val="bottom"/>
            <w:tcBorders>
              <w:bottom w:val="single" w:sz="8" w:color="307CC0"/>
            </w:tcBorders>
            <w:shd w:val="clear" w:color="auto" w:fill="D6E7FF"/>
          </w:tcPr>
          <w:p>
            <w:pPr>
              <w:spacing w:after="0"/>
              <w:rPr>
                <w:sz w:val="16"/>
                <w:szCs w:val="16"/>
                <w:color w:val="auto"/>
              </w:rPr>
            </w:pP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w w:val="99"/>
              </w:rPr>
              <w:t>Payout = 121.5% of Target</w:t>
            </w:r>
          </w:p>
        </w:tc>
        <w:tc>
          <w:tcPr>
            <w:tcW w:w="18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5"/>
                <w:szCs w:val="15"/>
                <w:i w:val="1"/>
                <w:iCs w:val="1"/>
                <w:color w:val="auto"/>
              </w:rPr>
              <w:t>75% performance-based</w:t>
            </w:r>
          </w:p>
        </w:tc>
      </w:tr>
    </w:tbl>
    <w:p>
      <w:pPr>
        <w:spacing w:after="0" w:line="103" w:lineRule="exact"/>
        <w:rPr>
          <w:sz w:val="20"/>
          <w:szCs w:val="20"/>
          <w:color w:val="auto"/>
        </w:rPr>
      </w:pPr>
    </w:p>
    <w:p>
      <w:pPr>
        <w:jc w:val="both"/>
        <w:ind w:left="100" w:right="80" w:firstLine="172"/>
        <w:spacing w:after="0" w:line="261" w:lineRule="auto"/>
        <w:rPr>
          <w:sz w:val="20"/>
          <w:szCs w:val="20"/>
          <w:color w:val="auto"/>
        </w:rPr>
      </w:pPr>
      <w:r>
        <w:rPr>
          <w:rFonts w:ascii="Arial" w:cs="Arial" w:eastAsia="Arial" w:hAnsi="Arial"/>
          <w:sz w:val="17"/>
          <w:szCs w:val="17"/>
          <w:color w:val="auto"/>
        </w:rPr>
        <w:t>Our Compensation and Leadership Development Committee (which we refer to as the “Committee” when describing our executive compensation program) believes our executive compensation program also features best-in-class governance practices, such as:</w:t>
      </w:r>
    </w:p>
    <w:p>
      <w:pPr>
        <w:sectPr>
          <w:pgSz w:w="11900" w:h="16838" w:orient="portrait"/>
          <w:cols w:equalWidth="0" w:num="1">
            <w:col w:w="9140"/>
          </w:cols>
          <w:pgMar w:left="1380" w:top="272" w:right="1379" w:bottom="1440" w:gutter="0" w:footer="0" w:header="0"/>
        </w:sectPr>
      </w:pPr>
    </w:p>
    <w:p>
      <w:pPr>
        <w:spacing w:after="0" w:line="47" w:lineRule="exact"/>
        <w:rPr>
          <w:sz w:val="20"/>
          <w:szCs w:val="20"/>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Alignment between pay and performance</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Compensation incentivizes performance</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Independent Committee oversight</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Standing Committee executive sessions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Independent compensation consultant</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“Double trigger” change-in-control benefits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Robust stock ownership guidelines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Board oversight of succession plans</w:t>
      </w:r>
    </w:p>
    <w:p>
      <w:pPr>
        <w:spacing w:after="0" w:line="24" w:lineRule="exact"/>
        <w:rPr>
          <w:rFonts w:ascii="MS PGothic" w:cs="MS PGothic" w:eastAsia="MS PGothic" w:hAnsi="MS PGothic"/>
          <w:sz w:val="17"/>
          <w:szCs w:val="17"/>
          <w:color w:val="auto"/>
        </w:rPr>
      </w:pPr>
    </w:p>
    <w:p>
      <w:pPr>
        <w:ind w:left="520" w:hanging="318"/>
        <w:spacing w:after="0"/>
        <w:tabs>
          <w:tab w:leader="none" w:pos="520" w:val="left"/>
        </w:tabs>
        <w:numPr>
          <w:ilvl w:val="0"/>
          <w:numId w:val="8"/>
        </w:numPr>
        <w:rPr>
          <w:rFonts w:ascii="MS PGothic" w:cs="MS PGothic" w:eastAsia="MS PGothic" w:hAnsi="MS PGothic"/>
          <w:sz w:val="17"/>
          <w:szCs w:val="17"/>
          <w:color w:val="auto"/>
        </w:rPr>
      </w:pPr>
      <w:r>
        <w:rPr>
          <w:rFonts w:ascii="Arial" w:cs="Arial" w:eastAsia="Arial" w:hAnsi="Arial"/>
          <w:sz w:val="17"/>
          <w:szCs w:val="17"/>
          <w:color w:val="auto"/>
        </w:rPr>
        <w:t>Annual risk assessment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325" w:hanging="325"/>
        <w:spacing w:after="0"/>
        <w:tabs>
          <w:tab w:leader="none" w:pos="325"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Clawback provisions</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Standard annual equity grant cycle</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No employment contracts</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No stock options</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No repricing or backdating of stock options</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No dividends for unvested awards</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No short selling, hedging or pledging</w:t>
      </w:r>
    </w:p>
    <w:p>
      <w:pPr>
        <w:spacing w:after="0" w:line="24" w:lineRule="exact"/>
        <w:rPr>
          <w:rFonts w:ascii="MS PGothic" w:cs="MS PGothic" w:eastAsia="MS PGothic" w:hAnsi="MS PGothic"/>
          <w:sz w:val="17"/>
          <w:szCs w:val="17"/>
          <w:color w:val="auto"/>
        </w:rPr>
      </w:pPr>
    </w:p>
    <w:p>
      <w:pPr>
        <w:ind w:left="325" w:hanging="325"/>
        <w:spacing w:after="0"/>
        <w:tabs>
          <w:tab w:leader="none" w:pos="325" w:val="left"/>
        </w:tabs>
        <w:numPr>
          <w:ilvl w:val="0"/>
          <w:numId w:val="9"/>
        </w:numPr>
        <w:rPr>
          <w:rFonts w:ascii="MS PGothic" w:cs="MS PGothic" w:eastAsia="MS PGothic" w:hAnsi="MS PGothic"/>
          <w:sz w:val="17"/>
          <w:szCs w:val="17"/>
          <w:color w:val="auto"/>
        </w:rPr>
      </w:pPr>
      <w:r>
        <w:rPr>
          <w:rFonts w:ascii="Arial" w:cs="Arial" w:eastAsia="Arial" w:hAnsi="Arial"/>
          <w:sz w:val="17"/>
          <w:szCs w:val="17"/>
          <w:color w:val="auto"/>
        </w:rPr>
        <w:t>No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450850</wp:posOffset>
            </wp:positionV>
            <wp:extent cx="5808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3935" w:space="720"/>
            <w:col w:w="4485"/>
          </w:cols>
          <w:pgMar w:left="1380" w:top="272" w:right="1379" w:bottom="1440" w:gutter="0" w:footer="0" w:header="0"/>
          <w:type w:val="continuous"/>
        </w:sectPr>
      </w:pPr>
    </w:p>
    <w:p>
      <w:pPr>
        <w:spacing w:after="0" w:line="304" w:lineRule="exact"/>
        <w:rPr>
          <w:sz w:val="20"/>
          <w:szCs w:val="20"/>
          <w:color w:val="auto"/>
        </w:rPr>
      </w:pPr>
    </w:p>
    <w:p>
      <w:pPr>
        <w:ind w:left="5120"/>
        <w:spacing w:after="0"/>
        <w:tabs>
          <w:tab w:leader="none" w:pos="7000" w:val="left"/>
        </w:tabs>
        <w:rPr>
          <w:sz w:val="20"/>
          <w:szCs w:val="20"/>
          <w:color w:val="auto"/>
        </w:rPr>
      </w:pPr>
      <w:r>
        <w:rPr>
          <w:rFonts w:ascii="Arial" w:cs="Arial" w:eastAsia="Arial" w:hAnsi="Arial"/>
          <w:sz w:val="14"/>
          <w:szCs w:val="14"/>
          <w:b w:val="1"/>
          <w:bCs w:val="1"/>
          <w:color w:val="307CC0"/>
        </w:rPr>
        <w:t>Proxy Statement Summary</w:t>
      </w:r>
      <w:r>
        <w:rPr>
          <w:rFonts w:ascii="Arial" w:cs="Arial" w:eastAsia="Arial" w:hAnsi="Arial"/>
          <w:sz w:val="14"/>
          <w:szCs w:val="14"/>
          <w:b w:val="1"/>
          <w:bCs w:val="1"/>
          <w:color w:val="auto"/>
        </w:rPr>
        <w:tab/>
        <w:t>Evergy 2020 Proxy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66"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28"/>
          <w:szCs w:val="28"/>
          <w:b w:val="1"/>
          <w:bCs w:val="1"/>
          <w:color w:val="00215D"/>
        </w:rPr>
        <w:t>Proposal</w:t>
      </w:r>
      <w:r>
        <w:rPr>
          <w:sz w:val="20"/>
          <w:szCs w:val="20"/>
          <w:color w:val="auto"/>
        </w:rPr>
        <w:tab/>
      </w:r>
      <w:r>
        <w:rPr>
          <w:rFonts w:ascii="Arial" w:cs="Arial" w:eastAsia="Arial" w:hAnsi="Arial"/>
          <w:sz w:val="24"/>
          <w:szCs w:val="24"/>
          <w:b w:val="1"/>
          <w:bCs w:val="1"/>
          <w:color w:val="00215D"/>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-196215</wp:posOffset>
            </wp:positionV>
            <wp:extent cx="5808980" cy="443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08980" cy="443230"/>
                    </a:xfrm>
                    <a:prstGeom prst="rect">
                      <a:avLst/>
                    </a:prstGeom>
                    <a:noFill/>
                  </pic:spPr>
                </pic:pic>
              </a:graphicData>
            </a:graphic>
          </wp:anchor>
        </w:drawing>
      </w:r>
    </w:p>
    <w:p>
      <w:pPr>
        <w:spacing w:after="0" w:line="18" w:lineRule="exact"/>
        <w:rPr>
          <w:sz w:val="20"/>
          <w:szCs w:val="20"/>
          <w:color w:val="auto"/>
        </w:rPr>
      </w:pPr>
    </w:p>
    <w:p>
      <w:pPr>
        <w:ind w:left="1480" w:hanging="921"/>
        <w:spacing w:after="0" w:line="322" w:lineRule="exact"/>
        <w:tabs>
          <w:tab w:leader="none" w:pos="1480" w:val="left"/>
        </w:tabs>
        <w:numPr>
          <w:ilvl w:val="0"/>
          <w:numId w:val="10"/>
        </w:numPr>
        <w:rPr>
          <w:rFonts w:ascii="Arial" w:cs="Arial" w:eastAsia="Arial" w:hAnsi="Arial"/>
          <w:sz w:val="28"/>
          <w:szCs w:val="28"/>
          <w:b w:val="1"/>
          <w:bCs w:val="1"/>
          <w:color w:val="00215D"/>
        </w:rPr>
      </w:pPr>
      <w:r>
        <w:rPr>
          <w:rFonts w:ascii="MS PGothic" w:cs="MS PGothic" w:eastAsia="MS PGothic" w:hAnsi="MS PGothic"/>
          <w:sz w:val="22"/>
          <w:szCs w:val="22"/>
          <w:color w:val="00215D"/>
        </w:rPr>
        <w:t>☑</w:t>
      </w:r>
      <w:r>
        <w:rPr>
          <w:rFonts w:ascii="Arial" w:cs="Arial" w:eastAsia="Arial" w:hAnsi="Arial"/>
          <w:sz w:val="22"/>
          <w:szCs w:val="22"/>
          <w:b w:val="1"/>
          <w:bCs w:val="1"/>
          <w:color w:val="00215D"/>
        </w:rPr>
        <w:t xml:space="preserve">  The Board recommends a vote FOR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5808980" cy="205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Director Nominee Biographies</w:t>
      </w:r>
    </w:p>
    <w:p>
      <w:pPr>
        <w:spacing w:after="0" w:line="171"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The following summarizes the business experience of each nominee for at least the last five years, and the specific experience, qualifications, attributes and skills that led the Board to conclude that each nominee should serve as a director. The Board believes that the items noted for each nominee demonstrate his or her superior leadership, high performance standards, mature judgment, strategic planning capabilities and ability to understand and oversee the Company’s strategies, operations and management.</w:t>
      </w:r>
    </w:p>
    <w:p>
      <w:pPr>
        <w:sectPr>
          <w:pgSz w:w="11900" w:h="16838" w:orient="portrait"/>
          <w:cols w:equalWidth="0" w:num="1">
            <w:col w:w="9140"/>
          </w:cols>
          <w:pgMar w:left="1380" w:top="272" w:right="1379" w:bottom="1440" w:gutter="0" w:footer="0" w:header="0"/>
        </w:sectPr>
      </w:pPr>
    </w:p>
    <w:p>
      <w:pPr>
        <w:spacing w:after="0" w:line="33"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Terry Bassham</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Director Since</w:t>
      </w:r>
      <w:r>
        <w:rPr>
          <w:rFonts w:ascii="Arial" w:cs="Arial" w:eastAsia="Arial" w:hAnsi="Arial"/>
          <w:sz w:val="17"/>
          <w:szCs w:val="17"/>
          <w:color w:val="000000"/>
        </w:rPr>
        <w:t>: 2011</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59</w:t>
      </w:r>
    </w:p>
    <w:p>
      <w:pPr>
        <w:ind w:left="100"/>
        <w:spacing w:after="0" w:line="237" w:lineRule="auto"/>
        <w:rPr>
          <w:sz w:val="20"/>
          <w:szCs w:val="20"/>
          <w:color w:val="auto"/>
        </w:rPr>
      </w:pPr>
      <w:r>
        <w:rPr>
          <w:rFonts w:ascii="Arial" w:cs="Arial" w:eastAsia="Arial" w:hAnsi="Arial"/>
          <w:sz w:val="17"/>
          <w:szCs w:val="17"/>
          <w:b w:val="1"/>
          <w:bCs w:val="1"/>
          <w:color w:val="307CC0"/>
        </w:rPr>
        <w:t>Committee Membership:</w:t>
      </w:r>
    </w:p>
    <w:p>
      <w:pPr>
        <w:spacing w:after="0" w:line="1" w:lineRule="exact"/>
        <w:rPr>
          <w:sz w:val="20"/>
          <w:szCs w:val="20"/>
          <w:color w:val="auto"/>
        </w:rPr>
      </w:pPr>
    </w:p>
    <w:p>
      <w:pPr>
        <w:jc w:val="both"/>
        <w:ind w:left="280" w:hanging="187"/>
        <w:spacing w:after="0" w:line="237" w:lineRule="auto"/>
        <w:tabs>
          <w:tab w:leader="none" w:pos="293" w:val="left"/>
        </w:tabs>
        <w:numPr>
          <w:ilvl w:val="0"/>
          <w:numId w:val="11"/>
        </w:numPr>
        <w:rPr>
          <w:rFonts w:ascii="Arial" w:cs="Arial" w:eastAsia="Arial" w:hAnsi="Arial"/>
          <w:sz w:val="17"/>
          <w:szCs w:val="17"/>
          <w:color w:val="307CC0"/>
        </w:rPr>
      </w:pPr>
      <w:r>
        <w:rPr>
          <w:rFonts w:ascii="Arial" w:cs="Arial" w:eastAsia="Arial" w:hAnsi="Arial"/>
          <w:sz w:val="17"/>
          <w:szCs w:val="17"/>
          <w:color w:val="auto"/>
        </w:rPr>
        <w:t>Nuclear, Operations, and Environmental Oversight</w:t>
      </w:r>
    </w:p>
    <w:p>
      <w:pPr>
        <w:spacing w:after="0" w:line="1" w:lineRule="exact"/>
        <w:rPr>
          <w:rFonts w:ascii="Arial" w:cs="Arial" w:eastAsia="Arial" w:hAnsi="Arial"/>
          <w:sz w:val="17"/>
          <w:szCs w:val="17"/>
          <w:color w:val="307CC0"/>
        </w:rPr>
      </w:pPr>
    </w:p>
    <w:p>
      <w:pPr>
        <w:ind w:left="300" w:hanging="207"/>
        <w:spacing w:after="0" w:line="237" w:lineRule="auto"/>
        <w:tabs>
          <w:tab w:leader="none" w:pos="300" w:val="left"/>
        </w:tabs>
        <w:numPr>
          <w:ilvl w:val="0"/>
          <w:numId w:val="11"/>
        </w:numPr>
        <w:rPr>
          <w:rFonts w:ascii="Arial" w:cs="Arial" w:eastAsia="Arial" w:hAnsi="Arial"/>
          <w:sz w:val="17"/>
          <w:szCs w:val="17"/>
          <w:color w:val="307CC0"/>
        </w:rPr>
      </w:pPr>
      <w:r>
        <w:rPr>
          <w:rFonts w:ascii="Arial" w:cs="Arial" w:eastAsia="Arial" w:hAnsi="Arial"/>
          <w:sz w:val="17"/>
          <w:szCs w:val="17"/>
          <w:color w:val="auto"/>
        </w:rPr>
        <w:t>Strategic Review</w:t>
      </w:r>
    </w:p>
    <w:p>
      <w:pPr>
        <w:ind w:left="440" w:hanging="155"/>
        <w:spacing w:after="0"/>
        <w:tabs>
          <w:tab w:leader="none" w:pos="4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Operations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both"/>
        <w:ind w:right="100"/>
        <w:spacing w:after="0" w:line="239" w:lineRule="auto"/>
        <w:rPr>
          <w:sz w:val="20"/>
          <w:szCs w:val="20"/>
          <w:color w:val="auto"/>
        </w:rPr>
      </w:pPr>
      <w:r>
        <w:rPr>
          <w:rFonts w:ascii="Arial" w:cs="Arial" w:eastAsia="Arial" w:hAnsi="Arial"/>
          <w:sz w:val="17"/>
          <w:szCs w:val="17"/>
          <w:color w:val="auto"/>
        </w:rPr>
        <w:t>Mr. Bassham is President and Chief Executive Officer of Evergy. Mr. Bassham was Chairman of the Board of Directors (2013-2018), President (2011-2018) and Chief Executive Officer (2012-2018) of Great Plains Energy and Kansas City Power &amp; Light Company (“KCP&amp;L”) prior to the merger with Westar Energy that resulted in the formation of Evergy. Prior to that, Mr. Bassham served in various capacities at Great Plains Energy and KCP&amp;L, including as Chief Operating Officer (2011-2012), Executive Vice President of Finance and Strategic Development and Chief Financial Officer (2005-2010) and KCP&amp;L’s Executive Vice President of Utility Operations (2010 -2011). Before joining KCP&amp;L, Mr. Bassham was Executive Vice President, Chief Financial Officer and Chief Administrative Officer for El Paso Electric Company (2001-2005) in Texas, where he oversaw the financial, treasury, regulatory and administrative functions. He originally joined El Paso Electric Company as General Counsel (1996-2001) with responsibility for legislative affairs, regulatory affairs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-1745615</wp:posOffset>
            </wp:positionV>
            <wp:extent cx="58089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14" w:lineRule="exact"/>
        <w:rPr>
          <w:sz w:val="20"/>
          <w:szCs w:val="20"/>
          <w:color w:val="auto"/>
        </w:rPr>
      </w:pPr>
    </w:p>
    <w:p>
      <w:pPr>
        <w:jc w:val="both"/>
        <w:ind w:right="100"/>
        <w:spacing w:after="0" w:line="239" w:lineRule="auto"/>
        <w:rPr>
          <w:sz w:val="20"/>
          <w:szCs w:val="20"/>
          <w:color w:val="auto"/>
        </w:rPr>
      </w:pPr>
      <w:r>
        <w:rPr>
          <w:rFonts w:ascii="Arial" w:cs="Arial" w:eastAsia="Arial" w:hAnsi="Arial"/>
          <w:sz w:val="17"/>
          <w:szCs w:val="17"/>
          <w:color w:val="auto"/>
        </w:rPr>
        <w:t>Mr. Bassham serves on the Board of Directors of Commerce Bancshares Inc. (NASDAQ: CBSH) (since 2013), a bank holding company based in Kansas City, Missouri, where he serves on the audit and risk committee and compensation and human resources committee. Additionally, Mr. Bassham holds leadership positions at the Electric Power Research Institute and various charitable, non-profit and civic organizations. Mr. Bassham holds a Bachelor of Business Administration degree in accounting from the University of Texas-Arlington and a Juris Doctor degree from St. Mary’s University Law School in San Antonio, Texas, and has completed the Institute of Nuclear Power Operations Nuclear Reactor Technology Course for Executives at the Massachusetts Institute of Technology.</w:t>
      </w:r>
    </w:p>
    <w:p>
      <w:pPr>
        <w:spacing w:after="0" w:line="237"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Mr. Bassham’s qualifications to serve as our director include his significant knowledge and understanding of our business; his substantial leadership, financial, utility and nuclear experience; and his experience serving as a director of a public company. Mr. Bassham also has extensive knowledge of our Kansas and Missouri service territories and, in particular, the Kansas City metropolitan area, one of our significant markets. Mr. Bassham is also, among other things, “experienced” in the following core competencies: Strategy Development; Federal and State Regulation and Compliance; Alignment of Company Culture &amp; Compensation and Leadership Development; Accounting, Finance and Investment Management; Risk Management; Operational Oversight; Customer Experience; and Community and Public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252730</wp:posOffset>
            </wp:positionV>
            <wp:extent cx="58089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20"/>
            <w:col w:w="6520"/>
          </w:cols>
          <w:pgMar w:left="1380" w:top="272" w:right="1379" w:bottom="1440" w:gutter="0" w:footer="0" w:header="0"/>
          <w:type w:val="continuous"/>
        </w:sectPr>
      </w:pPr>
    </w:p>
    <w:p>
      <w:pPr>
        <w:spacing w:after="0" w:line="212" w:lineRule="exact"/>
        <w:rPr>
          <w:sz w:val="20"/>
          <w:szCs w:val="20"/>
          <w:color w:val="auto"/>
        </w:rPr>
      </w:pPr>
    </w:p>
    <w:p>
      <w:pPr>
        <w:ind w:left="2620"/>
        <w:spacing w:after="0"/>
        <w:tabs>
          <w:tab w:leader="none" w:pos="4920" w:val="left"/>
        </w:tabs>
        <w:rPr>
          <w:sz w:val="20"/>
          <w:szCs w:val="20"/>
          <w:color w:val="auto"/>
        </w:rPr>
      </w:pPr>
      <w:r>
        <w:rPr>
          <w:rFonts w:ascii="Arial" w:cs="Arial" w:eastAsia="Arial" w:hAnsi="Arial"/>
          <w:sz w:val="14"/>
          <w:szCs w:val="14"/>
          <w:b w:val="1"/>
          <w:bCs w:val="1"/>
          <w:color w:val="307CC0"/>
        </w:rPr>
        <w:t>Proposal 1 - Election of Directors</w:t>
      </w:r>
      <w:r>
        <w:rPr>
          <w:sz w:val="20"/>
          <w:szCs w:val="20"/>
          <w:color w:val="auto"/>
        </w:rPr>
        <w:tab/>
      </w:r>
      <w:r>
        <w:rPr>
          <w:rFonts w:ascii="Arial" w:cs="Arial" w:eastAsia="Arial" w:hAnsi="Arial"/>
          <w:sz w:val="13"/>
          <w:szCs w:val="13"/>
          <w:b w:val="1"/>
          <w:bCs w:val="1"/>
          <w:color w:val="7F7F7F"/>
        </w:rPr>
        <w:t xml:space="preserve">Director Nominee Biographies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580" w:type="dxa"/>
            <w:vAlign w:val="bottom"/>
            <w:tcBorders>
              <w:top w:val="single" w:sz="8" w:color="307CC0"/>
            </w:tcBorders>
            <w:gridSpan w:val="2"/>
          </w:tcPr>
          <w:p>
            <w:pPr>
              <w:ind w:left="120"/>
              <w:spacing w:after="0" w:line="219" w:lineRule="exact"/>
              <w:rPr>
                <w:sz w:val="20"/>
                <w:szCs w:val="20"/>
                <w:color w:val="auto"/>
              </w:rPr>
            </w:pPr>
            <w:r>
              <w:rPr>
                <w:rFonts w:ascii="Arial" w:cs="Arial" w:eastAsia="Arial" w:hAnsi="Arial"/>
                <w:sz w:val="21"/>
                <w:szCs w:val="21"/>
                <w:b w:val="1"/>
                <w:bCs w:val="1"/>
                <w:color w:val="auto"/>
              </w:rPr>
              <w:t>Kirkland B. Andrews</w:t>
            </w:r>
          </w:p>
        </w:tc>
        <w:tc>
          <w:tcPr>
            <w:tcW w:w="6580" w:type="dxa"/>
            <w:vAlign w:val="bottom"/>
            <w:tcBorders>
              <w:top w:val="single" w:sz="8" w:color="307CC0"/>
            </w:tcBorders>
            <w:gridSpan w:val="7"/>
          </w:tcPr>
          <w:p>
            <w:pPr>
              <w:ind w:left="60"/>
              <w:spacing w:after="0"/>
              <w:rPr>
                <w:sz w:val="20"/>
                <w:szCs w:val="20"/>
                <w:color w:val="auto"/>
              </w:rPr>
            </w:pPr>
            <w:r>
              <w:rPr>
                <w:rFonts w:ascii="Arial" w:cs="Arial" w:eastAsia="Arial" w:hAnsi="Arial"/>
                <w:sz w:val="17"/>
                <w:szCs w:val="17"/>
                <w:color w:val="auto"/>
              </w:rPr>
              <w:t>Mr. Andrews serves as Executive Vice President and Chief Financial Officer of NRG</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Energy, Inc. (NYSE: NRG) (since 2011). Mr. Andrews was a director of NRG Yield,</w:t>
            </w:r>
          </w:p>
        </w:tc>
        <w:tc>
          <w:tcPr>
            <w:tcW w:w="0" w:type="dxa"/>
            <w:vAlign w:val="bottom"/>
          </w:tcPr>
          <w:p>
            <w:pPr>
              <w:spacing w:after="0"/>
              <w:rPr>
                <w:sz w:val="1"/>
                <w:szCs w:val="1"/>
                <w:color w:val="auto"/>
              </w:rPr>
            </w:pPr>
          </w:p>
        </w:tc>
      </w:tr>
      <w:tr>
        <w:trPr>
          <w:trHeight w:val="194"/>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Director Since</w:t>
            </w:r>
            <w:r>
              <w:rPr>
                <w:rFonts w:ascii="Arial" w:cs="Arial" w:eastAsia="Arial" w:hAnsi="Arial"/>
                <w:sz w:val="17"/>
                <w:szCs w:val="17"/>
                <w:color w:val="000000"/>
              </w:rPr>
              <w:t>: 2020</w:t>
            </w: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Inc. (2012-2018) (when NRG Yield, Inc. became Clearway Energy, Inc.), and also</w:t>
            </w: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60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served</w:t>
            </w:r>
          </w:p>
        </w:tc>
        <w:tc>
          <w:tcPr>
            <w:tcW w:w="2940" w:type="dxa"/>
            <w:vAlign w:val="bottom"/>
            <w:gridSpan w:val="2"/>
            <w:vMerge w:val="restart"/>
          </w:tcPr>
          <w:p>
            <w:pPr>
              <w:ind w:left="80"/>
              <w:spacing w:after="0" w:line="194" w:lineRule="exact"/>
              <w:rPr>
                <w:sz w:val="20"/>
                <w:szCs w:val="20"/>
                <w:color w:val="auto"/>
              </w:rPr>
            </w:pPr>
            <w:r>
              <w:rPr>
                <w:rFonts w:ascii="Arial" w:cs="Arial" w:eastAsia="Arial" w:hAnsi="Arial"/>
                <w:sz w:val="17"/>
                <w:szCs w:val="17"/>
                <w:color w:val="auto"/>
              </w:rPr>
              <w:t>as Executive Vice President, Chief</w:t>
            </w:r>
          </w:p>
        </w:tc>
        <w:tc>
          <w:tcPr>
            <w:tcW w:w="1380" w:type="dxa"/>
            <w:vAlign w:val="bottom"/>
            <w:gridSpan w:val="2"/>
            <w:vMerge w:val="restart"/>
          </w:tcPr>
          <w:p>
            <w:pPr>
              <w:ind w:left="40"/>
              <w:spacing w:after="0" w:line="194" w:lineRule="exact"/>
              <w:rPr>
                <w:sz w:val="20"/>
                <w:szCs w:val="20"/>
                <w:color w:val="auto"/>
              </w:rPr>
            </w:pPr>
            <w:r>
              <w:rPr>
                <w:rFonts w:ascii="Arial" w:cs="Arial" w:eastAsia="Arial" w:hAnsi="Arial"/>
                <w:sz w:val="17"/>
                <w:szCs w:val="17"/>
                <w:color w:val="auto"/>
              </w:rPr>
              <w:t>Financial Officer</w:t>
            </w:r>
          </w:p>
        </w:tc>
        <w:tc>
          <w:tcPr>
            <w:tcW w:w="70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of NRG</w:t>
            </w:r>
          </w:p>
        </w:tc>
        <w:tc>
          <w:tcPr>
            <w:tcW w:w="960" w:type="dxa"/>
            <w:vAlign w:val="bottom"/>
            <w:vMerge w:val="restart"/>
          </w:tcPr>
          <w:p>
            <w:pPr>
              <w:jc w:val="center"/>
              <w:spacing w:after="0" w:line="194" w:lineRule="exact"/>
              <w:rPr>
                <w:sz w:val="20"/>
                <w:szCs w:val="20"/>
                <w:color w:val="auto"/>
              </w:rPr>
            </w:pPr>
            <w:r>
              <w:rPr>
                <w:rFonts w:ascii="Arial" w:cs="Arial" w:eastAsia="Arial" w:hAnsi="Arial"/>
                <w:sz w:val="17"/>
                <w:szCs w:val="17"/>
                <w:color w:val="auto"/>
              </w:rPr>
              <w:t>Yield, Inc.</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line="194" w:lineRule="exact"/>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52</w:t>
            </w:r>
          </w:p>
        </w:tc>
        <w:tc>
          <w:tcPr>
            <w:tcW w:w="600" w:type="dxa"/>
            <w:vAlign w:val="bottom"/>
            <w:vMerge w:val="continue"/>
          </w:tcPr>
          <w:p>
            <w:pPr>
              <w:spacing w:after="0"/>
              <w:rPr>
                <w:sz w:val="12"/>
                <w:szCs w:val="12"/>
                <w:color w:val="auto"/>
              </w:rPr>
            </w:pPr>
          </w:p>
        </w:tc>
        <w:tc>
          <w:tcPr>
            <w:tcW w:w="29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(2012-2016). Mr. Andrews has also served as Chief Financial Officer of GenOn</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Committee Membership:</w:t>
            </w:r>
          </w:p>
        </w:tc>
        <w:tc>
          <w:tcPr>
            <w:tcW w:w="65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580" w:type="dxa"/>
            <w:vAlign w:val="bottom"/>
            <w:gridSpan w:val="2"/>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Energy, Inc., a wholly-owned subsidiary of NRG, which filed a voluntary petition for</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Audit</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relief under Chapter 11 of the U.S. Bankruptcy Code in June 2017. Prior to joining</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Nuclear, Operations</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NRG, he served as Managing Director and Co-Head Investment Banking, Power</w:t>
            </w: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34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and Environmental</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and Utilities — Americas at Deutsche Bank Securities (2009-2011). Prior to this, he</w:t>
            </w: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34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Oversight</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served in several capacities at Citigroup Global Markets Inc., including Managing</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Strategic Review</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Director, Group Head, North American Power (2007-2009), and Head of Power</w:t>
            </w: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340" w:type="dxa"/>
            <w:vAlign w:val="bottom"/>
            <w:vMerge w:val="restart"/>
          </w:tcPr>
          <w:p>
            <w:pPr>
              <w:ind w:left="60"/>
              <w:spacing w:after="0"/>
              <w:rPr>
                <w:sz w:val="20"/>
                <w:szCs w:val="20"/>
                <w:color w:val="auto"/>
              </w:rPr>
            </w:pPr>
            <w:r>
              <w:rPr>
                <w:rFonts w:ascii="Arial" w:cs="Arial" w:eastAsia="Arial" w:hAnsi="Arial"/>
                <w:sz w:val="17"/>
                <w:szCs w:val="17"/>
                <w:color w:val="auto"/>
              </w:rPr>
              <w:t>&amp; Operations</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M&amp;A, Mergers and Acquisitions (2005-2007). Mr. Andrews also serves on the board</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5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of directors for RPM International Inc. (NYSE: RPM), a high-performance coating,</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sealants  and  specialty  chemicals  company,  where  he  serves  on  the  Audit</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Committee and co-chairs its Operating Improvement Committee. Mr. Andrews holds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a Bachelor of Arts in philosophy from Wake Forest University and a Master of</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Business  Administration  from  the  University  of  Virginia’s  Darden  School  of</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auto"/>
              </w:rPr>
              <w:t>Business.</w:t>
            </w: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80" w:type="dxa"/>
            <w:vAlign w:val="bottom"/>
            <w:gridSpan w:val="7"/>
          </w:tcPr>
          <w:p>
            <w:pPr>
              <w:ind w:left="60"/>
              <w:spacing w:after="0"/>
              <w:rPr>
                <w:sz w:val="20"/>
                <w:szCs w:val="20"/>
                <w:color w:val="auto"/>
              </w:rPr>
            </w:pPr>
            <w:r>
              <w:rPr>
                <w:rFonts w:ascii="Arial" w:cs="Arial" w:eastAsia="Arial" w:hAnsi="Arial"/>
                <w:sz w:val="17"/>
                <w:szCs w:val="17"/>
                <w:color w:val="auto"/>
              </w:rPr>
              <w:t>Mr. Andrews was initially appointed as a Director on March 3, 2020 pursuant to an</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Agreement, dated February 28, 2020, with affiliates of Elliott related to, among other</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things, appointment of additional Directors to our Board. Mr. Andrew's qualifications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to serve as our director include his extensive experience with electric utilities, large</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and innovative strategic and capital markets transactions, financial and accounting</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matters, regulatory issues and power generation. Mr. Andrews is, among other</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things, “experienced” in the following core competencies: Strategy Development;</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Accounting, Finance and Investment Management; Risk Management; Operational</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40" w:type="dxa"/>
            <w:vAlign w:val="bottom"/>
            <w:gridSpan w:val="3"/>
          </w:tcPr>
          <w:p>
            <w:pPr>
              <w:ind w:left="60"/>
              <w:spacing w:after="0"/>
              <w:rPr>
                <w:sz w:val="20"/>
                <w:szCs w:val="20"/>
                <w:color w:val="auto"/>
              </w:rPr>
            </w:pPr>
            <w:r>
              <w:rPr>
                <w:rFonts w:ascii="Arial" w:cs="Arial" w:eastAsia="Arial" w:hAnsi="Arial"/>
                <w:sz w:val="17"/>
                <w:szCs w:val="17"/>
                <w:color w:val="auto"/>
              </w:rPr>
              <w:t>Oversight; and Customer Experience.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580" w:type="dxa"/>
            <w:vAlign w:val="bottom"/>
            <w:tcBorders>
              <w:bottom w:val="single" w:sz="8" w:color="307CC0"/>
            </w:tcBorders>
            <w:gridSpan w:val="2"/>
          </w:tcPr>
          <w:p>
            <w:pPr>
              <w:spacing w:after="0"/>
              <w:rPr>
                <w:sz w:val="4"/>
                <w:szCs w:val="4"/>
                <w:color w:val="auto"/>
              </w:rPr>
            </w:pPr>
          </w:p>
        </w:tc>
        <w:tc>
          <w:tcPr>
            <w:tcW w:w="6580" w:type="dxa"/>
            <w:vAlign w:val="bottom"/>
            <w:tcBorders>
              <w:bottom w:val="single" w:sz="8" w:color="307CC0"/>
            </w:tcBorders>
            <w:gridSpan w:val="7"/>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80" w:type="dxa"/>
            <w:vAlign w:val="bottom"/>
            <w:gridSpan w:val="2"/>
          </w:tcPr>
          <w:p>
            <w:pPr>
              <w:ind w:left="120"/>
              <w:spacing w:after="0" w:line="199" w:lineRule="exact"/>
              <w:rPr>
                <w:sz w:val="20"/>
                <w:szCs w:val="20"/>
                <w:color w:val="auto"/>
              </w:rPr>
            </w:pPr>
            <w:r>
              <w:rPr>
                <w:rFonts w:ascii="Arial" w:cs="Arial" w:eastAsia="Arial" w:hAnsi="Arial"/>
                <w:sz w:val="21"/>
                <w:szCs w:val="21"/>
                <w:b w:val="1"/>
                <w:bCs w:val="1"/>
                <w:color w:val="auto"/>
              </w:rPr>
              <w:t>Mollie Hale Carter</w:t>
            </w:r>
          </w:p>
        </w:tc>
        <w:tc>
          <w:tcPr>
            <w:tcW w:w="6580" w:type="dxa"/>
            <w:vAlign w:val="bottom"/>
            <w:gridSpan w:val="7"/>
          </w:tcPr>
          <w:p>
            <w:pPr>
              <w:ind w:left="60"/>
              <w:spacing w:after="0"/>
              <w:rPr>
                <w:sz w:val="20"/>
                <w:szCs w:val="20"/>
                <w:color w:val="auto"/>
              </w:rPr>
            </w:pPr>
            <w:r>
              <w:rPr>
                <w:rFonts w:ascii="Arial" w:cs="Arial" w:eastAsia="Arial" w:hAnsi="Arial"/>
                <w:sz w:val="17"/>
                <w:szCs w:val="17"/>
                <w:color w:val="auto"/>
              </w:rPr>
              <w:t>Ms. Carter is Chairman of the Board of Directors, Chief Executive Officer and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President of FirstSun Capital Bancorp (formerly Sunflower Financial) (since 1996)</w:t>
            </w:r>
          </w:p>
        </w:tc>
        <w:tc>
          <w:tcPr>
            <w:tcW w:w="0" w:type="dxa"/>
            <w:vAlign w:val="bottom"/>
          </w:tcPr>
          <w:p>
            <w:pPr>
              <w:spacing w:after="0"/>
              <w:rPr>
                <w:sz w:val="1"/>
                <w:szCs w:val="1"/>
                <w:color w:val="auto"/>
              </w:rPr>
            </w:pPr>
          </w:p>
        </w:tc>
      </w:tr>
      <w:tr>
        <w:trPr>
          <w:trHeight w:val="194"/>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Director Since</w:t>
            </w:r>
            <w:r>
              <w:rPr>
                <w:rFonts w:ascii="Arial" w:cs="Arial" w:eastAsia="Arial" w:hAnsi="Arial"/>
                <w:sz w:val="17"/>
                <w:szCs w:val="17"/>
                <w:color w:val="000000"/>
              </w:rPr>
              <w:t>: 2003</w:t>
            </w:r>
          </w:p>
        </w:tc>
        <w:tc>
          <w:tcPr>
            <w:tcW w:w="6580" w:type="dxa"/>
            <w:vAlign w:val="bottom"/>
            <w:gridSpan w:val="7"/>
          </w:tcPr>
          <w:p>
            <w:pPr>
              <w:ind w:left="60"/>
              <w:spacing w:after="0" w:line="194" w:lineRule="exact"/>
              <w:rPr>
                <w:sz w:val="20"/>
                <w:szCs w:val="20"/>
                <w:color w:val="auto"/>
              </w:rPr>
            </w:pPr>
            <w:r>
              <w:rPr>
                <w:rFonts w:ascii="Arial" w:cs="Arial" w:eastAsia="Arial" w:hAnsi="Arial"/>
                <w:sz w:val="17"/>
                <w:szCs w:val="17"/>
                <w:color w:val="auto"/>
              </w:rPr>
              <w:t>and Chairman of the Board of Directors of Sunflower Bank (since 2005), a regional</w:t>
            </w: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1460" w:type="dxa"/>
            <w:vAlign w:val="bottom"/>
            <w:gridSpan w:val="2"/>
            <w:vMerge w:val="restart"/>
          </w:tcPr>
          <w:p>
            <w:pPr>
              <w:ind w:left="60"/>
              <w:spacing w:after="0" w:line="194" w:lineRule="exact"/>
              <w:rPr>
                <w:sz w:val="20"/>
                <w:szCs w:val="20"/>
                <w:color w:val="auto"/>
              </w:rPr>
            </w:pPr>
            <w:r>
              <w:rPr>
                <w:rFonts w:ascii="Arial" w:cs="Arial" w:eastAsia="Arial" w:hAnsi="Arial"/>
                <w:sz w:val="17"/>
                <w:szCs w:val="17"/>
                <w:color w:val="auto"/>
              </w:rPr>
              <w:t>community bank</w:t>
            </w:r>
          </w:p>
        </w:tc>
        <w:tc>
          <w:tcPr>
            <w:tcW w:w="2500" w:type="dxa"/>
            <w:vAlign w:val="bottom"/>
            <w:gridSpan w:val="2"/>
            <w:vMerge w:val="restart"/>
          </w:tcPr>
          <w:p>
            <w:pPr>
              <w:jc w:val="right"/>
              <w:spacing w:after="0" w:line="194" w:lineRule="exact"/>
              <w:rPr>
                <w:sz w:val="20"/>
                <w:szCs w:val="20"/>
                <w:color w:val="auto"/>
              </w:rPr>
            </w:pPr>
            <w:r>
              <w:rPr>
                <w:rFonts w:ascii="Arial" w:cs="Arial" w:eastAsia="Arial" w:hAnsi="Arial"/>
                <w:sz w:val="17"/>
                <w:szCs w:val="17"/>
                <w:color w:val="auto"/>
              </w:rPr>
              <w:t>now headquartered in Denver,</w:t>
            </w:r>
          </w:p>
        </w:tc>
        <w:tc>
          <w:tcPr>
            <w:tcW w:w="1660" w:type="dxa"/>
            <w:vAlign w:val="bottom"/>
            <w:gridSpan w:val="2"/>
            <w:vMerge w:val="restart"/>
          </w:tcPr>
          <w:p>
            <w:pPr>
              <w:jc w:val="right"/>
              <w:spacing w:after="0" w:line="194" w:lineRule="exact"/>
              <w:rPr>
                <w:sz w:val="20"/>
                <w:szCs w:val="20"/>
                <w:color w:val="auto"/>
              </w:rPr>
            </w:pPr>
            <w:r>
              <w:rPr>
                <w:rFonts w:ascii="Arial" w:cs="Arial" w:eastAsia="Arial" w:hAnsi="Arial"/>
                <w:sz w:val="17"/>
                <w:szCs w:val="17"/>
                <w:color w:val="auto"/>
              </w:rPr>
              <w:t>Colorado. She also</w:t>
            </w:r>
          </w:p>
        </w:tc>
        <w:tc>
          <w:tcPr>
            <w:tcW w:w="960" w:type="dxa"/>
            <w:vAlign w:val="bottom"/>
            <w:vMerge w:val="restart"/>
          </w:tcPr>
          <w:p>
            <w:pPr>
              <w:jc w:val="center"/>
              <w:spacing w:after="0" w:line="194" w:lineRule="exact"/>
              <w:rPr>
                <w:sz w:val="20"/>
                <w:szCs w:val="20"/>
                <w:color w:val="auto"/>
              </w:rPr>
            </w:pPr>
            <w:r>
              <w:rPr>
                <w:rFonts w:ascii="Arial" w:cs="Arial" w:eastAsia="Arial" w:hAnsi="Arial"/>
                <w:sz w:val="17"/>
                <w:szCs w:val="17"/>
                <w:color w:val="auto"/>
              </w:rPr>
              <w:t>serves as</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line="194" w:lineRule="exact"/>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58</w:t>
            </w:r>
          </w:p>
        </w:tc>
        <w:tc>
          <w:tcPr>
            <w:tcW w:w="1460" w:type="dxa"/>
            <w:vAlign w:val="bottom"/>
            <w:gridSpan w:val="2"/>
            <w:vMerge w:val="continue"/>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President of Star A, Inc., a privately-held business with Kansas agricultural and</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Committee Membership:</w:t>
            </w:r>
          </w:p>
        </w:tc>
        <w:tc>
          <w:tcPr>
            <w:tcW w:w="65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580" w:type="dxa"/>
            <w:vAlign w:val="bottom"/>
            <w:gridSpan w:val="2"/>
            <w:vMerge w:val="continue"/>
          </w:tcPr>
          <w:p>
            <w:pPr>
              <w:spacing w:after="0"/>
              <w:rPr>
                <w:sz w:val="6"/>
                <w:szCs w:val="6"/>
                <w:color w:val="auto"/>
              </w:rPr>
            </w:pPr>
          </w:p>
        </w:tc>
        <w:tc>
          <w:tcPr>
            <w:tcW w:w="60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other</w:t>
            </w:r>
          </w:p>
        </w:tc>
        <w:tc>
          <w:tcPr>
            <w:tcW w:w="860" w:type="dxa"/>
            <w:vAlign w:val="bottom"/>
            <w:vMerge w:val="restart"/>
          </w:tcPr>
          <w:p>
            <w:pPr>
              <w:spacing w:after="0" w:line="194" w:lineRule="exact"/>
              <w:rPr>
                <w:sz w:val="20"/>
                <w:szCs w:val="20"/>
                <w:color w:val="auto"/>
              </w:rPr>
            </w:pPr>
            <w:r>
              <w:rPr>
                <w:rFonts w:ascii="Arial" w:cs="Arial" w:eastAsia="Arial" w:hAnsi="Arial"/>
                <w:sz w:val="17"/>
                <w:szCs w:val="17"/>
                <w:color w:val="auto"/>
              </w:rPr>
              <w:t>investment</w:t>
            </w:r>
          </w:p>
        </w:tc>
        <w:tc>
          <w:tcPr>
            <w:tcW w:w="2080" w:type="dxa"/>
            <w:vAlign w:val="bottom"/>
            <w:vMerge w:val="restart"/>
          </w:tcPr>
          <w:p>
            <w:pPr>
              <w:ind w:left="120"/>
              <w:spacing w:after="0" w:line="194" w:lineRule="exact"/>
              <w:rPr>
                <w:sz w:val="20"/>
                <w:szCs w:val="20"/>
                <w:color w:val="auto"/>
              </w:rPr>
            </w:pPr>
            <w:r>
              <w:rPr>
                <w:rFonts w:ascii="Arial" w:cs="Arial" w:eastAsia="Arial" w:hAnsi="Arial"/>
                <w:sz w:val="17"/>
                <w:szCs w:val="17"/>
                <w:color w:val="auto"/>
              </w:rPr>
              <w:t>interests  (since  1996).</w:t>
            </w:r>
          </w:p>
        </w:tc>
        <w:tc>
          <w:tcPr>
            <w:tcW w:w="4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She</w:t>
            </w:r>
          </w:p>
        </w:tc>
        <w:tc>
          <w:tcPr>
            <w:tcW w:w="960" w:type="dxa"/>
            <w:vAlign w:val="bottom"/>
            <w:vMerge w:val="restart"/>
          </w:tcPr>
          <w:p>
            <w:pPr>
              <w:ind w:left="100"/>
              <w:spacing w:after="0" w:line="194" w:lineRule="exact"/>
              <w:rPr>
                <w:sz w:val="20"/>
                <w:szCs w:val="20"/>
                <w:color w:val="auto"/>
              </w:rPr>
            </w:pPr>
            <w:r>
              <w:rPr>
                <w:rFonts w:ascii="Arial" w:cs="Arial" w:eastAsia="Arial" w:hAnsi="Arial"/>
                <w:sz w:val="17"/>
                <w:szCs w:val="17"/>
                <w:color w:val="auto"/>
              </w:rPr>
              <w:t>previously</w:t>
            </w:r>
          </w:p>
        </w:tc>
        <w:tc>
          <w:tcPr>
            <w:tcW w:w="700" w:type="dxa"/>
            <w:vAlign w:val="bottom"/>
            <w:vMerge w:val="restart"/>
          </w:tcPr>
          <w:p>
            <w:pPr>
              <w:jc w:val="right"/>
              <w:ind w:right="34"/>
              <w:spacing w:after="0" w:line="194" w:lineRule="exact"/>
              <w:rPr>
                <w:sz w:val="20"/>
                <w:szCs w:val="20"/>
                <w:color w:val="auto"/>
              </w:rPr>
            </w:pPr>
            <w:r>
              <w:rPr>
                <w:rFonts w:ascii="Arial" w:cs="Arial" w:eastAsia="Arial" w:hAnsi="Arial"/>
                <w:sz w:val="17"/>
                <w:szCs w:val="17"/>
                <w:color w:val="auto"/>
              </w:rPr>
              <w:t>served</w:t>
            </w:r>
          </w:p>
        </w:tc>
        <w:tc>
          <w:tcPr>
            <w:tcW w:w="960" w:type="dxa"/>
            <w:vAlign w:val="bottom"/>
            <w:vMerge w:val="restart"/>
          </w:tcPr>
          <w:p>
            <w:pPr>
              <w:jc w:val="center"/>
              <w:ind w:right="14"/>
              <w:spacing w:after="0" w:line="194" w:lineRule="exact"/>
              <w:rPr>
                <w:sz w:val="20"/>
                <w:szCs w:val="20"/>
                <w:color w:val="auto"/>
              </w:rPr>
            </w:pPr>
            <w:r>
              <w:rPr>
                <w:rFonts w:ascii="Arial" w:cs="Arial" w:eastAsia="Arial" w:hAnsi="Arial"/>
                <w:sz w:val="17"/>
                <w:szCs w:val="17"/>
                <w:color w:val="auto"/>
              </w:rPr>
              <w:t>as  Senior</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Compensation and</w:t>
            </w: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Investment Officer at John Hancock Mutual Life Insurance Company (1986-1996).</w:t>
            </w: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34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Leadership Development</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She also previously served on the Board of Directors of Archer-Daniels-Midland</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Nominating, Governance,</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7"/>
            <w:vMerge w:val="restart"/>
          </w:tcPr>
          <w:p>
            <w:pPr>
              <w:ind w:left="60"/>
              <w:spacing w:after="0" w:line="194" w:lineRule="exact"/>
              <w:rPr>
                <w:sz w:val="20"/>
                <w:szCs w:val="20"/>
                <w:color w:val="auto"/>
              </w:rPr>
            </w:pPr>
            <w:r>
              <w:rPr>
                <w:rFonts w:ascii="Arial" w:cs="Arial" w:eastAsia="Arial" w:hAnsi="Arial"/>
                <w:sz w:val="17"/>
                <w:szCs w:val="17"/>
                <w:color w:val="auto"/>
              </w:rPr>
              <w:t>Company, a global food processing and commodities trading corporation located in</w:t>
            </w: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340" w:type="dxa"/>
            <w:vAlign w:val="bottom"/>
          </w:tcPr>
          <w:p>
            <w:pPr>
              <w:ind w:left="60"/>
              <w:spacing w:after="0" w:line="116" w:lineRule="exact"/>
              <w:rPr>
                <w:sz w:val="20"/>
                <w:szCs w:val="20"/>
                <w:color w:val="auto"/>
              </w:rPr>
            </w:pPr>
            <w:r>
              <w:rPr>
                <w:rFonts w:ascii="Arial" w:cs="Arial" w:eastAsia="Arial" w:hAnsi="Arial"/>
                <w:sz w:val="13"/>
                <w:szCs w:val="13"/>
                <w:color w:val="auto"/>
              </w:rPr>
              <w:t>and Corporate Responsibility</w:t>
            </w:r>
          </w:p>
        </w:tc>
        <w:tc>
          <w:tcPr>
            <w:tcW w:w="65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bl>
    <w:p>
      <w:pPr>
        <w:jc w:val="both"/>
        <w:ind w:left="2640" w:right="100"/>
        <w:spacing w:after="0" w:line="241" w:lineRule="auto"/>
        <w:rPr>
          <w:sz w:val="20"/>
          <w:szCs w:val="20"/>
          <w:color w:val="auto"/>
        </w:rPr>
      </w:pPr>
      <w:r>
        <w:rPr>
          <w:rFonts w:ascii="Arial" w:cs="Arial" w:eastAsia="Arial" w:hAnsi="Arial"/>
          <w:sz w:val="17"/>
          <w:szCs w:val="17"/>
          <w:color w:val="auto"/>
        </w:rPr>
        <w:t>Chicago, Illinois (1996-2017). She is on the Board of Directors of the Kansas Health Foundation and a recent past director of the Heartland Chapter of the National Association of Corporate Directors. Ms. Carter is a graduate of Dartmouth College, receiving her Bachelor of Arts degree in economics. She obtained her Master of Business Administration from Harvard Business School.</w:t>
      </w:r>
    </w:p>
    <w:p>
      <w:pPr>
        <w:spacing w:after="0" w:line="233" w:lineRule="exact"/>
        <w:rPr>
          <w:sz w:val="20"/>
          <w:szCs w:val="20"/>
          <w:color w:val="auto"/>
        </w:rPr>
      </w:pPr>
    </w:p>
    <w:p>
      <w:pPr>
        <w:jc w:val="both"/>
        <w:ind w:left="2640" w:right="100"/>
        <w:spacing w:after="0"/>
        <w:rPr>
          <w:sz w:val="20"/>
          <w:szCs w:val="20"/>
          <w:color w:val="auto"/>
        </w:rPr>
      </w:pPr>
      <w:r>
        <w:rPr>
          <w:rFonts w:ascii="Arial" w:cs="Arial" w:eastAsia="Arial" w:hAnsi="Arial"/>
          <w:sz w:val="17"/>
          <w:szCs w:val="17"/>
          <w:color w:val="auto"/>
        </w:rPr>
        <w:t>Ms. Carter’s qualifications to serve as our director include her substantial leadership experience as a chief executive officer, her financial expertise and her significant experience serving as a director of a large public company. Ms. Carter also has extensive experience with corporate governance and with complicated regulatory and compliance environments. Ms. Carter is, among other things, “experienced” in the following core competencies: Strategy Development; Alignment of Company Culture and Compensation and Leadership Development; and Accounting, Finance and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58089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1" w:lineRule="exact"/>
        <w:rPr>
          <w:sz w:val="20"/>
          <w:szCs w:val="20"/>
          <w:color w:val="auto"/>
        </w:rPr>
      </w:pPr>
    </w:p>
    <w:p>
      <w:pPr>
        <w:jc w:val="right"/>
        <w:spacing w:after="0"/>
        <w:tabs>
          <w:tab w:leader="none" w:pos="4180" w:val="left"/>
        </w:tabs>
        <w:rPr>
          <w:sz w:val="20"/>
          <w:szCs w:val="20"/>
          <w:color w:val="auto"/>
        </w:rPr>
      </w:pPr>
      <w:r>
        <w:rPr>
          <w:rFonts w:ascii="Arial" w:cs="Arial" w:eastAsia="Arial" w:hAnsi="Arial"/>
          <w:sz w:val="14"/>
          <w:szCs w:val="14"/>
          <w:b w:val="1"/>
          <w:bCs w:val="1"/>
          <w:color w:val="307CC0"/>
        </w:rPr>
        <w:t>Proposal 1 - Election of Directors</w:t>
      </w:r>
      <w:r>
        <w:rPr>
          <w:sz w:val="20"/>
          <w:szCs w:val="20"/>
          <w:color w:val="auto"/>
        </w:rPr>
        <w:tab/>
      </w:r>
      <w:r>
        <w:rPr>
          <w:rFonts w:ascii="Arial" w:cs="Arial" w:eastAsia="Arial" w:hAnsi="Arial"/>
          <w:sz w:val="13"/>
          <w:szCs w:val="13"/>
          <w:b w:val="1"/>
          <w:bCs w:val="1"/>
          <w:color w:val="7F7F7F"/>
        </w:rPr>
        <w:t xml:space="preserve">Director Nominee Biographies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580" w:type="dxa"/>
            <w:vAlign w:val="bottom"/>
            <w:tcBorders>
              <w:top w:val="single" w:sz="8" w:color="307CC0"/>
            </w:tcBorders>
            <w:gridSpan w:val="2"/>
          </w:tcPr>
          <w:p>
            <w:pPr>
              <w:ind w:left="120"/>
              <w:spacing w:after="0" w:line="219" w:lineRule="exact"/>
              <w:rPr>
                <w:sz w:val="20"/>
                <w:szCs w:val="20"/>
                <w:color w:val="auto"/>
              </w:rPr>
            </w:pPr>
            <w:r>
              <w:rPr>
                <w:rFonts w:ascii="Arial" w:cs="Arial" w:eastAsia="Arial" w:hAnsi="Arial"/>
                <w:sz w:val="21"/>
                <w:szCs w:val="21"/>
                <w:b w:val="1"/>
                <w:bCs w:val="1"/>
                <w:color w:val="auto"/>
              </w:rPr>
              <w:t>Richard L. Hawley</w:t>
            </w:r>
          </w:p>
        </w:tc>
        <w:tc>
          <w:tcPr>
            <w:tcW w:w="6580" w:type="dxa"/>
            <w:vAlign w:val="bottom"/>
            <w:tcBorders>
              <w:top w:val="single" w:sz="8" w:color="307CC0"/>
            </w:tcBorders>
            <w:gridSpan w:val="8"/>
          </w:tcPr>
          <w:p>
            <w:pPr>
              <w:ind w:left="60"/>
              <w:spacing w:after="0"/>
              <w:rPr>
                <w:sz w:val="20"/>
                <w:szCs w:val="20"/>
                <w:color w:val="auto"/>
              </w:rPr>
            </w:pPr>
            <w:r>
              <w:rPr>
                <w:rFonts w:ascii="Arial" w:cs="Arial" w:eastAsia="Arial" w:hAnsi="Arial"/>
                <w:sz w:val="17"/>
                <w:szCs w:val="17"/>
                <w:color w:val="auto"/>
              </w:rPr>
              <w:t>Mr. Hawley served as Executive Vice President and Chief Financial Officer of Nicor</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Inc. and Nicor Gas, a northern Illinois natural gas company (2003-2011). He was</w:t>
            </w:r>
          </w:p>
        </w:tc>
        <w:tc>
          <w:tcPr>
            <w:tcW w:w="0" w:type="dxa"/>
            <w:vAlign w:val="bottom"/>
          </w:tcPr>
          <w:p>
            <w:pPr>
              <w:spacing w:after="0"/>
              <w:rPr>
                <w:sz w:val="1"/>
                <w:szCs w:val="1"/>
                <w:color w:val="auto"/>
              </w:rPr>
            </w:pPr>
          </w:p>
        </w:tc>
      </w:tr>
      <w:tr>
        <w:trPr>
          <w:trHeight w:val="194"/>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2011</w:t>
            </w: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Chief Financial Officer of Puget Energy, Inc., a regulated electric and natural gas</w:t>
            </w: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6580" w:type="dxa"/>
            <w:vAlign w:val="bottom"/>
            <w:gridSpan w:val="8"/>
            <w:vMerge w:val="restart"/>
          </w:tcPr>
          <w:p>
            <w:pPr>
              <w:ind w:left="60"/>
              <w:spacing w:after="0" w:line="194" w:lineRule="exact"/>
              <w:rPr>
                <w:sz w:val="20"/>
                <w:szCs w:val="20"/>
                <w:color w:val="auto"/>
              </w:rPr>
            </w:pPr>
            <w:r>
              <w:rPr>
                <w:rFonts w:ascii="Arial" w:cs="Arial" w:eastAsia="Arial" w:hAnsi="Arial"/>
                <w:sz w:val="17"/>
                <w:szCs w:val="17"/>
                <w:color w:val="auto"/>
              </w:rPr>
              <w:t>distribution utility located in Bellevue, Washington (1998-2002) and was a partner</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line="194" w:lineRule="exact"/>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71</w:t>
            </w:r>
          </w:p>
        </w:tc>
        <w:tc>
          <w:tcPr>
            <w:tcW w:w="65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46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with</w:t>
            </w:r>
          </w:p>
        </w:tc>
        <w:tc>
          <w:tcPr>
            <w:tcW w:w="82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Coopers</w:t>
            </w:r>
          </w:p>
        </w:tc>
        <w:tc>
          <w:tcPr>
            <w:tcW w:w="26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&amp;</w:t>
            </w:r>
          </w:p>
        </w:tc>
        <w:tc>
          <w:tcPr>
            <w:tcW w:w="840" w:type="dxa"/>
            <w:vAlign w:val="bottom"/>
            <w:vMerge w:val="restart"/>
          </w:tcPr>
          <w:p>
            <w:pPr>
              <w:ind w:left="100"/>
              <w:spacing w:after="0" w:line="194" w:lineRule="exact"/>
              <w:rPr>
                <w:sz w:val="20"/>
                <w:szCs w:val="20"/>
                <w:color w:val="auto"/>
              </w:rPr>
            </w:pPr>
            <w:r>
              <w:rPr>
                <w:rFonts w:ascii="Arial" w:cs="Arial" w:eastAsia="Arial" w:hAnsi="Arial"/>
                <w:sz w:val="17"/>
                <w:szCs w:val="17"/>
                <w:color w:val="auto"/>
              </w:rPr>
              <w:t>Lybrand</w:t>
            </w:r>
          </w:p>
        </w:tc>
        <w:tc>
          <w:tcPr>
            <w:tcW w:w="440" w:type="dxa"/>
            <w:vAlign w:val="bottom"/>
            <w:vMerge w:val="restart"/>
          </w:tcPr>
          <w:p>
            <w:pPr>
              <w:ind w:left="40"/>
              <w:spacing w:after="0" w:line="194" w:lineRule="exact"/>
              <w:rPr>
                <w:sz w:val="20"/>
                <w:szCs w:val="20"/>
                <w:color w:val="auto"/>
              </w:rPr>
            </w:pPr>
            <w:r>
              <w:rPr>
                <w:rFonts w:ascii="Arial" w:cs="Arial" w:eastAsia="Arial" w:hAnsi="Arial"/>
                <w:sz w:val="17"/>
                <w:szCs w:val="17"/>
                <w:color w:val="auto"/>
              </w:rPr>
              <w:t>(now</w:t>
            </w:r>
          </w:p>
        </w:tc>
        <w:tc>
          <w:tcPr>
            <w:tcW w:w="2340" w:type="dxa"/>
            <w:vAlign w:val="bottom"/>
            <w:vMerge w:val="restart"/>
          </w:tcPr>
          <w:p>
            <w:pPr>
              <w:jc w:val="center"/>
              <w:spacing w:after="0" w:line="194" w:lineRule="exact"/>
              <w:rPr>
                <w:sz w:val="20"/>
                <w:szCs w:val="20"/>
                <w:color w:val="auto"/>
              </w:rPr>
            </w:pPr>
            <w:r>
              <w:rPr>
                <w:rFonts w:ascii="Arial" w:cs="Arial" w:eastAsia="Arial" w:hAnsi="Arial"/>
                <w:sz w:val="17"/>
                <w:szCs w:val="17"/>
                <w:color w:val="auto"/>
              </w:rPr>
              <w:t>PricewaterhouseCoopers),</w:t>
            </w:r>
          </w:p>
        </w:tc>
        <w:tc>
          <w:tcPr>
            <w:tcW w:w="360" w:type="dxa"/>
            <w:vAlign w:val="bottom"/>
            <w:vMerge w:val="restart"/>
          </w:tcPr>
          <w:p>
            <w:pPr>
              <w:ind w:left="20"/>
              <w:spacing w:after="0" w:line="194" w:lineRule="exact"/>
              <w:rPr>
                <w:sz w:val="20"/>
                <w:szCs w:val="20"/>
                <w:color w:val="auto"/>
              </w:rPr>
            </w:pPr>
            <w:r>
              <w:rPr>
                <w:rFonts w:ascii="Arial" w:cs="Arial" w:eastAsia="Arial" w:hAnsi="Arial"/>
                <w:sz w:val="17"/>
                <w:szCs w:val="17"/>
                <w:color w:val="auto"/>
              </w:rPr>
              <w:t>an</w:t>
            </w:r>
          </w:p>
        </w:tc>
        <w:tc>
          <w:tcPr>
            <w:tcW w:w="1060" w:type="dxa"/>
            <w:vAlign w:val="bottom"/>
            <w:vMerge w:val="restart"/>
          </w:tcPr>
          <w:p>
            <w:pPr>
              <w:jc w:val="right"/>
              <w:ind w:right="14"/>
              <w:spacing w:after="0" w:line="194" w:lineRule="exact"/>
              <w:rPr>
                <w:sz w:val="20"/>
                <w:szCs w:val="20"/>
                <w:color w:val="auto"/>
              </w:rPr>
            </w:pPr>
            <w:r>
              <w:rPr>
                <w:rFonts w:ascii="Arial" w:cs="Arial" w:eastAsia="Arial" w:hAnsi="Arial"/>
                <w:sz w:val="17"/>
                <w:szCs w:val="17"/>
                <w:color w:val="auto"/>
              </w:rPr>
              <w:t>international</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Committee Membership:</w:t>
            </w:r>
          </w:p>
        </w:tc>
        <w:tc>
          <w:tcPr>
            <w:tcW w:w="46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580" w:type="dxa"/>
            <w:vAlign w:val="bottom"/>
            <w:gridSpan w:val="2"/>
            <w:vMerge w:val="continue"/>
          </w:tcPr>
          <w:p>
            <w:pPr>
              <w:spacing w:after="0"/>
              <w:rPr>
                <w:sz w:val="6"/>
                <w:szCs w:val="6"/>
                <w:color w:val="auto"/>
              </w:rPr>
            </w:pPr>
          </w:p>
        </w:tc>
        <w:tc>
          <w:tcPr>
            <w:tcW w:w="6580" w:type="dxa"/>
            <w:vAlign w:val="bottom"/>
            <w:gridSpan w:val="8"/>
            <w:vMerge w:val="restart"/>
          </w:tcPr>
          <w:p>
            <w:pPr>
              <w:ind w:left="60"/>
              <w:spacing w:after="0" w:line="194" w:lineRule="exact"/>
              <w:rPr>
                <w:sz w:val="20"/>
                <w:szCs w:val="20"/>
                <w:color w:val="auto"/>
              </w:rPr>
            </w:pPr>
            <w:r>
              <w:rPr>
                <w:rFonts w:ascii="Arial" w:cs="Arial" w:eastAsia="Arial" w:hAnsi="Arial"/>
                <w:sz w:val="17"/>
                <w:szCs w:val="17"/>
                <w:color w:val="auto"/>
              </w:rPr>
              <w:t>accounting and consulting firm (1984-1998), after holding several other positions</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Audit</w:t>
            </w:r>
          </w:p>
        </w:tc>
        <w:tc>
          <w:tcPr>
            <w:tcW w:w="65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46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with</w:t>
            </w:r>
          </w:p>
        </w:tc>
        <w:tc>
          <w:tcPr>
            <w:tcW w:w="6120" w:type="dxa"/>
            <w:vAlign w:val="bottom"/>
            <w:gridSpan w:val="7"/>
            <w:vMerge w:val="restart"/>
          </w:tcPr>
          <w:p>
            <w:pPr>
              <w:jc w:val="right"/>
              <w:ind w:right="14"/>
              <w:spacing w:after="0" w:line="194" w:lineRule="exact"/>
              <w:rPr>
                <w:sz w:val="20"/>
                <w:szCs w:val="20"/>
                <w:color w:val="auto"/>
              </w:rPr>
            </w:pPr>
            <w:r>
              <w:rPr>
                <w:rFonts w:ascii="Arial" w:cs="Arial" w:eastAsia="Arial" w:hAnsi="Arial"/>
                <w:sz w:val="17"/>
                <w:szCs w:val="17"/>
                <w:color w:val="auto"/>
              </w:rPr>
              <w:t>the firm (1973-1984). He also served on the Board of Directors of Fisher</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rPr>
                <w:sz w:val="20"/>
                <w:szCs w:val="20"/>
                <w:color w:val="auto"/>
              </w:rPr>
            </w:pPr>
            <w:r>
              <w:rPr>
                <w:rFonts w:ascii="Arial" w:cs="Arial" w:eastAsia="Arial" w:hAnsi="Arial"/>
                <w:sz w:val="17"/>
                <w:szCs w:val="17"/>
                <w:color w:val="307CC0"/>
              </w:rPr>
              <w:t>▪</w:t>
            </w:r>
          </w:p>
        </w:tc>
        <w:tc>
          <w:tcPr>
            <w:tcW w:w="2340" w:type="dxa"/>
            <w:vAlign w:val="bottom"/>
            <w:vMerge w:val="restart"/>
          </w:tcPr>
          <w:p>
            <w:pPr>
              <w:ind w:left="80"/>
              <w:spacing w:after="0"/>
              <w:rPr>
                <w:sz w:val="20"/>
                <w:szCs w:val="20"/>
                <w:color w:val="auto"/>
              </w:rPr>
            </w:pPr>
            <w:r>
              <w:rPr>
                <w:rFonts w:ascii="Arial" w:cs="Arial" w:eastAsia="Arial" w:hAnsi="Arial"/>
                <w:sz w:val="17"/>
                <w:szCs w:val="17"/>
                <w:color w:val="auto"/>
              </w:rPr>
              <w:t>Finance</w:t>
            </w:r>
          </w:p>
        </w:tc>
        <w:tc>
          <w:tcPr>
            <w:tcW w:w="460" w:type="dxa"/>
            <w:vAlign w:val="bottom"/>
            <w:vMerge w:val="continue"/>
          </w:tcPr>
          <w:p>
            <w:pPr>
              <w:spacing w:after="0"/>
              <w:rPr>
                <w:sz w:val="10"/>
                <w:szCs w:val="10"/>
                <w:color w:val="auto"/>
              </w:rPr>
            </w:pPr>
          </w:p>
        </w:tc>
        <w:tc>
          <w:tcPr>
            <w:tcW w:w="61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6580" w:type="dxa"/>
            <w:vAlign w:val="bottom"/>
            <w:gridSpan w:val="8"/>
            <w:vMerge w:val="restart"/>
          </w:tcPr>
          <w:p>
            <w:pPr>
              <w:ind w:left="60"/>
              <w:spacing w:after="0" w:line="194" w:lineRule="exact"/>
              <w:rPr>
                <w:sz w:val="20"/>
                <w:szCs w:val="20"/>
                <w:color w:val="auto"/>
              </w:rPr>
            </w:pPr>
            <w:r>
              <w:rPr>
                <w:rFonts w:ascii="Arial" w:cs="Arial" w:eastAsia="Arial" w:hAnsi="Arial"/>
                <w:sz w:val="17"/>
                <w:szCs w:val="17"/>
                <w:color w:val="auto"/>
              </w:rPr>
              <w:t>Communications, Inc., a media company located in Seattle, Washington that was</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5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publicly-traded until being acquired (2003-2013). Mr. Hawley received his Bachelor</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520" w:type="dxa"/>
            <w:vAlign w:val="bottom"/>
            <w:gridSpan w:val="7"/>
          </w:tcPr>
          <w:p>
            <w:pPr>
              <w:ind w:left="60"/>
              <w:spacing w:after="0"/>
              <w:rPr>
                <w:sz w:val="20"/>
                <w:szCs w:val="20"/>
                <w:color w:val="auto"/>
              </w:rPr>
            </w:pPr>
            <w:r>
              <w:rPr>
                <w:rFonts w:ascii="Arial" w:cs="Arial" w:eastAsia="Arial" w:hAnsi="Arial"/>
                <w:sz w:val="17"/>
                <w:szCs w:val="17"/>
                <w:color w:val="auto"/>
              </w:rPr>
              <w:t>of Arts in business administration from the University of Washington.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80" w:type="dxa"/>
            <w:vAlign w:val="bottom"/>
            <w:gridSpan w:val="8"/>
          </w:tcPr>
          <w:p>
            <w:pPr>
              <w:ind w:left="60"/>
              <w:spacing w:after="0"/>
              <w:rPr>
                <w:sz w:val="20"/>
                <w:szCs w:val="20"/>
                <w:color w:val="auto"/>
              </w:rPr>
            </w:pPr>
            <w:r>
              <w:rPr>
                <w:rFonts w:ascii="Arial" w:cs="Arial" w:eastAsia="Arial" w:hAnsi="Arial"/>
                <w:sz w:val="17"/>
                <w:szCs w:val="17"/>
                <w:color w:val="auto"/>
              </w:rPr>
              <w:t>Mr. Hawley’s qualifications to serve as our director include his deep knowledge of</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accounting and financial matters from his work as a chief financial officer and audit</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partner, his years of experience within the electric and gas utility industries and his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experience as a director of a public company. Mr. Hawley is, among other things,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“experienced” in the following core competencies: Strategy Development; Federal</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and  State  Regulation  and  Compliance;  Alignment  of  Company  Culture  and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Compensation and Leadership Development; Accounting, Finance and Investment</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60" w:type="dxa"/>
            <w:vAlign w:val="bottom"/>
            <w:gridSpan w:val="6"/>
          </w:tcPr>
          <w:p>
            <w:pPr>
              <w:ind w:left="60"/>
              <w:spacing w:after="0"/>
              <w:rPr>
                <w:sz w:val="20"/>
                <w:szCs w:val="20"/>
                <w:color w:val="auto"/>
              </w:rPr>
            </w:pPr>
            <w:r>
              <w:rPr>
                <w:rFonts w:ascii="Arial" w:cs="Arial" w:eastAsia="Arial" w:hAnsi="Arial"/>
                <w:sz w:val="17"/>
                <w:szCs w:val="17"/>
                <w:color w:val="auto"/>
              </w:rPr>
              <w:t>Management; Risk Management; and Operational Oversight.</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580" w:type="dxa"/>
            <w:vAlign w:val="bottom"/>
            <w:tcBorders>
              <w:bottom w:val="single" w:sz="8" w:color="307CC0"/>
            </w:tcBorders>
            <w:gridSpan w:val="2"/>
          </w:tcPr>
          <w:p>
            <w:pPr>
              <w:spacing w:after="0"/>
              <w:rPr>
                <w:sz w:val="4"/>
                <w:szCs w:val="4"/>
                <w:color w:val="auto"/>
              </w:rPr>
            </w:pPr>
          </w:p>
        </w:tc>
        <w:tc>
          <w:tcPr>
            <w:tcW w:w="6580" w:type="dxa"/>
            <w:vAlign w:val="bottom"/>
            <w:tcBorders>
              <w:bottom w:val="single" w:sz="8" w:color="307CC0"/>
            </w:tcBorders>
            <w:gridSpan w:val="8"/>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580" w:type="dxa"/>
            <w:vAlign w:val="bottom"/>
            <w:gridSpan w:val="2"/>
          </w:tcPr>
          <w:p>
            <w:pPr>
              <w:ind w:left="120"/>
              <w:spacing w:after="0" w:line="199" w:lineRule="exact"/>
              <w:rPr>
                <w:sz w:val="20"/>
                <w:szCs w:val="20"/>
                <w:color w:val="auto"/>
              </w:rPr>
            </w:pPr>
            <w:r>
              <w:rPr>
                <w:rFonts w:ascii="Arial" w:cs="Arial" w:eastAsia="Arial" w:hAnsi="Arial"/>
                <w:sz w:val="21"/>
                <w:szCs w:val="21"/>
                <w:b w:val="1"/>
                <w:bCs w:val="1"/>
                <w:color w:val="auto"/>
              </w:rPr>
              <w:t>Thomas D. Hyde</w:t>
            </w:r>
          </w:p>
        </w:tc>
        <w:tc>
          <w:tcPr>
            <w:tcW w:w="6580" w:type="dxa"/>
            <w:vAlign w:val="bottom"/>
            <w:gridSpan w:val="8"/>
          </w:tcPr>
          <w:p>
            <w:pPr>
              <w:ind w:left="60"/>
              <w:spacing w:after="0"/>
              <w:rPr>
                <w:sz w:val="20"/>
                <w:szCs w:val="20"/>
                <w:color w:val="auto"/>
              </w:rPr>
            </w:pPr>
            <w:r>
              <w:rPr>
                <w:rFonts w:ascii="Arial" w:cs="Arial" w:eastAsia="Arial" w:hAnsi="Arial"/>
                <w:sz w:val="17"/>
                <w:szCs w:val="17"/>
                <w:color w:val="auto"/>
              </w:rPr>
              <w:t>Mr. Hyde served as Executive Vice President, Legal, Compliance, Ethics and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Corporate Secretary of Wal-Mart Stores, Inc. (“Wal-Mart”), an international retail</w:t>
            </w:r>
          </w:p>
        </w:tc>
        <w:tc>
          <w:tcPr>
            <w:tcW w:w="0" w:type="dxa"/>
            <w:vAlign w:val="bottom"/>
          </w:tcPr>
          <w:p>
            <w:pPr>
              <w:spacing w:after="0"/>
              <w:rPr>
                <w:sz w:val="1"/>
                <w:szCs w:val="1"/>
                <w:color w:val="auto"/>
              </w:rPr>
            </w:pPr>
          </w:p>
        </w:tc>
      </w:tr>
      <w:tr>
        <w:trPr>
          <w:trHeight w:val="194"/>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2011</w:t>
            </w:r>
          </w:p>
        </w:tc>
        <w:tc>
          <w:tcPr>
            <w:tcW w:w="460" w:type="dxa"/>
            <w:vAlign w:val="bottom"/>
          </w:tcPr>
          <w:p>
            <w:pPr>
              <w:ind w:left="60"/>
              <w:spacing w:after="0" w:line="194" w:lineRule="exact"/>
              <w:rPr>
                <w:sz w:val="20"/>
                <w:szCs w:val="20"/>
                <w:color w:val="auto"/>
              </w:rPr>
            </w:pPr>
            <w:r>
              <w:rPr>
                <w:rFonts w:ascii="Arial" w:cs="Arial" w:eastAsia="Arial" w:hAnsi="Arial"/>
                <w:sz w:val="17"/>
                <w:szCs w:val="17"/>
                <w:color w:val="auto"/>
              </w:rPr>
              <w:t>store</w:t>
            </w:r>
          </w:p>
        </w:tc>
        <w:tc>
          <w:tcPr>
            <w:tcW w:w="820" w:type="dxa"/>
            <w:vAlign w:val="bottom"/>
          </w:tcPr>
          <w:p>
            <w:pPr>
              <w:ind w:left="120"/>
              <w:spacing w:after="0" w:line="194" w:lineRule="exact"/>
              <w:rPr>
                <w:sz w:val="20"/>
                <w:szCs w:val="20"/>
                <w:color w:val="auto"/>
              </w:rPr>
            </w:pPr>
            <w:r>
              <w:rPr>
                <w:rFonts w:ascii="Arial" w:cs="Arial" w:eastAsia="Arial" w:hAnsi="Arial"/>
                <w:sz w:val="17"/>
                <w:szCs w:val="17"/>
                <w:color w:val="auto"/>
              </w:rPr>
              <w:t>operator</w:t>
            </w:r>
          </w:p>
        </w:tc>
        <w:tc>
          <w:tcPr>
            <w:tcW w:w="110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(2005-2010).</w:t>
            </w:r>
          </w:p>
        </w:tc>
        <w:tc>
          <w:tcPr>
            <w:tcW w:w="440" w:type="dxa"/>
            <w:vAlign w:val="bottom"/>
          </w:tcPr>
          <w:p>
            <w:pPr>
              <w:ind w:left="100"/>
              <w:spacing w:after="0" w:line="194" w:lineRule="exact"/>
              <w:rPr>
                <w:sz w:val="20"/>
                <w:szCs w:val="20"/>
                <w:color w:val="auto"/>
              </w:rPr>
            </w:pPr>
            <w:r>
              <w:rPr>
                <w:rFonts w:ascii="Arial" w:cs="Arial" w:eastAsia="Arial" w:hAnsi="Arial"/>
                <w:sz w:val="17"/>
                <w:szCs w:val="17"/>
                <w:color w:val="auto"/>
              </w:rPr>
              <w:t>Mr.</w:t>
            </w:r>
          </w:p>
        </w:tc>
        <w:tc>
          <w:tcPr>
            <w:tcW w:w="2340" w:type="dxa"/>
            <w:vAlign w:val="bottom"/>
          </w:tcPr>
          <w:p>
            <w:pPr>
              <w:jc w:val="center"/>
              <w:spacing w:after="0" w:line="194" w:lineRule="exact"/>
              <w:rPr>
                <w:sz w:val="20"/>
                <w:szCs w:val="20"/>
                <w:color w:val="auto"/>
              </w:rPr>
            </w:pPr>
            <w:r>
              <w:rPr>
                <w:rFonts w:ascii="Arial" w:cs="Arial" w:eastAsia="Arial" w:hAnsi="Arial"/>
                <w:sz w:val="17"/>
                <w:szCs w:val="17"/>
                <w:color w:val="auto"/>
              </w:rPr>
              <w:t>Hyde  previously  served  as</w:t>
            </w:r>
          </w:p>
        </w:tc>
        <w:tc>
          <w:tcPr>
            <w:tcW w:w="1420" w:type="dxa"/>
            <w:vAlign w:val="bottom"/>
            <w:gridSpan w:val="2"/>
          </w:tcPr>
          <w:p>
            <w:pPr>
              <w:jc w:val="right"/>
              <w:ind w:right="34"/>
              <w:spacing w:after="0" w:line="194" w:lineRule="exact"/>
              <w:rPr>
                <w:sz w:val="20"/>
                <w:szCs w:val="20"/>
                <w:color w:val="auto"/>
              </w:rPr>
            </w:pPr>
            <w:r>
              <w:rPr>
                <w:rFonts w:ascii="Arial" w:cs="Arial" w:eastAsia="Arial" w:hAnsi="Arial"/>
                <w:sz w:val="17"/>
                <w:szCs w:val="17"/>
                <w:color w:val="auto"/>
              </w:rPr>
              <w:t>Executive  Vice</w:t>
            </w: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6580" w:type="dxa"/>
            <w:vAlign w:val="bottom"/>
            <w:gridSpan w:val="8"/>
            <w:vMerge w:val="restart"/>
          </w:tcPr>
          <w:p>
            <w:pPr>
              <w:ind w:left="60"/>
              <w:spacing w:after="0" w:line="194" w:lineRule="exact"/>
              <w:rPr>
                <w:sz w:val="20"/>
                <w:szCs w:val="20"/>
                <w:color w:val="auto"/>
              </w:rPr>
            </w:pPr>
            <w:r>
              <w:rPr>
                <w:rFonts w:ascii="Arial" w:cs="Arial" w:eastAsia="Arial" w:hAnsi="Arial"/>
                <w:sz w:val="17"/>
                <w:szCs w:val="17"/>
                <w:color w:val="auto"/>
              </w:rPr>
              <w:t>President, Legal and Corporate Affairs and Corporate Secretary of Wal-Mart (2003-</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line="194" w:lineRule="exact"/>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71</w:t>
            </w:r>
          </w:p>
        </w:tc>
        <w:tc>
          <w:tcPr>
            <w:tcW w:w="65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1280" w:type="dxa"/>
            <w:vAlign w:val="bottom"/>
            <w:gridSpan w:val="2"/>
            <w:vMerge w:val="restart"/>
          </w:tcPr>
          <w:p>
            <w:pPr>
              <w:ind w:left="60"/>
              <w:spacing w:after="0" w:line="194" w:lineRule="exact"/>
              <w:rPr>
                <w:sz w:val="20"/>
                <w:szCs w:val="20"/>
                <w:color w:val="auto"/>
              </w:rPr>
            </w:pPr>
            <w:r>
              <w:rPr>
                <w:rFonts w:ascii="Arial" w:cs="Arial" w:eastAsia="Arial" w:hAnsi="Arial"/>
                <w:sz w:val="17"/>
                <w:szCs w:val="17"/>
                <w:color w:val="auto"/>
              </w:rPr>
              <w:t>2005), and as</w:t>
            </w:r>
          </w:p>
        </w:tc>
        <w:tc>
          <w:tcPr>
            <w:tcW w:w="4240" w:type="dxa"/>
            <w:vAlign w:val="bottom"/>
            <w:gridSpan w:val="5"/>
            <w:vMerge w:val="restart"/>
          </w:tcPr>
          <w:p>
            <w:pPr>
              <w:ind w:left="40"/>
              <w:spacing w:after="0" w:line="194" w:lineRule="exact"/>
              <w:rPr>
                <w:sz w:val="20"/>
                <w:szCs w:val="20"/>
                <w:color w:val="auto"/>
              </w:rPr>
            </w:pPr>
            <w:r>
              <w:rPr>
                <w:rFonts w:ascii="Arial" w:cs="Arial" w:eastAsia="Arial" w:hAnsi="Arial"/>
                <w:sz w:val="17"/>
                <w:szCs w:val="17"/>
                <w:color w:val="auto"/>
              </w:rPr>
              <w:t>Executive Vice President, Senior General Counsel</w:t>
            </w:r>
          </w:p>
        </w:tc>
        <w:tc>
          <w:tcPr>
            <w:tcW w:w="1060" w:type="dxa"/>
            <w:vAlign w:val="bottom"/>
            <w:vMerge w:val="restart"/>
          </w:tcPr>
          <w:p>
            <w:pPr>
              <w:jc w:val="right"/>
              <w:ind w:right="34"/>
              <w:spacing w:after="0" w:line="194" w:lineRule="exact"/>
              <w:rPr>
                <w:sz w:val="20"/>
                <w:szCs w:val="20"/>
                <w:color w:val="auto"/>
              </w:rPr>
            </w:pPr>
            <w:r>
              <w:rPr>
                <w:rFonts w:ascii="Arial" w:cs="Arial" w:eastAsia="Arial" w:hAnsi="Arial"/>
                <w:sz w:val="17"/>
                <w:szCs w:val="17"/>
                <w:color w:val="auto"/>
              </w:rPr>
              <w:t>of Wal-Mart</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Committee Membership:</w:t>
            </w:r>
          </w:p>
        </w:tc>
        <w:tc>
          <w:tcPr>
            <w:tcW w:w="1280" w:type="dxa"/>
            <w:vAlign w:val="bottom"/>
            <w:gridSpan w:val="2"/>
            <w:vMerge w:val="continue"/>
          </w:tcPr>
          <w:p>
            <w:pPr>
              <w:spacing w:after="0"/>
              <w:rPr>
                <w:sz w:val="12"/>
                <w:szCs w:val="12"/>
                <w:color w:val="auto"/>
              </w:rPr>
            </w:pPr>
          </w:p>
        </w:tc>
        <w:tc>
          <w:tcPr>
            <w:tcW w:w="4240" w:type="dxa"/>
            <w:vAlign w:val="bottom"/>
            <w:gridSpan w:val="5"/>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580" w:type="dxa"/>
            <w:vAlign w:val="bottom"/>
            <w:gridSpan w:val="2"/>
            <w:vMerge w:val="continue"/>
          </w:tcPr>
          <w:p>
            <w:pPr>
              <w:spacing w:after="0"/>
              <w:rPr>
                <w:sz w:val="6"/>
                <w:szCs w:val="6"/>
                <w:color w:val="auto"/>
              </w:rPr>
            </w:pPr>
          </w:p>
        </w:tc>
        <w:tc>
          <w:tcPr>
            <w:tcW w:w="6580" w:type="dxa"/>
            <w:vAlign w:val="bottom"/>
            <w:gridSpan w:val="8"/>
            <w:vMerge w:val="restart"/>
          </w:tcPr>
          <w:p>
            <w:pPr>
              <w:ind w:left="60"/>
              <w:spacing w:after="0" w:line="194" w:lineRule="exact"/>
              <w:rPr>
                <w:sz w:val="20"/>
                <w:szCs w:val="20"/>
                <w:color w:val="auto"/>
              </w:rPr>
            </w:pPr>
            <w:r>
              <w:rPr>
                <w:rFonts w:ascii="Arial" w:cs="Arial" w:eastAsia="Arial" w:hAnsi="Arial"/>
                <w:sz w:val="17"/>
                <w:szCs w:val="17"/>
                <w:color w:val="auto"/>
              </w:rPr>
              <w:t>(2001-2003). Mr. Hyde also previously served on the Board of Directors and as</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Audit (Chair)</w:t>
            </w:r>
          </w:p>
        </w:tc>
        <w:tc>
          <w:tcPr>
            <w:tcW w:w="65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46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chair</w:t>
            </w:r>
          </w:p>
        </w:tc>
        <w:tc>
          <w:tcPr>
            <w:tcW w:w="1080" w:type="dxa"/>
            <w:vAlign w:val="bottom"/>
            <w:gridSpan w:val="2"/>
            <w:vMerge w:val="restart"/>
          </w:tcPr>
          <w:p>
            <w:pPr>
              <w:ind w:left="80"/>
              <w:spacing w:after="0" w:line="194" w:lineRule="exact"/>
              <w:rPr>
                <w:sz w:val="20"/>
                <w:szCs w:val="20"/>
                <w:color w:val="auto"/>
              </w:rPr>
            </w:pPr>
            <w:r>
              <w:rPr>
                <w:rFonts w:ascii="Arial" w:cs="Arial" w:eastAsia="Arial" w:hAnsi="Arial"/>
                <w:sz w:val="17"/>
                <w:szCs w:val="17"/>
                <w:color w:val="auto"/>
              </w:rPr>
              <w:t>of the audit</w:t>
            </w:r>
          </w:p>
        </w:tc>
        <w:tc>
          <w:tcPr>
            <w:tcW w:w="840" w:type="dxa"/>
            <w:vAlign w:val="bottom"/>
            <w:vMerge w:val="restart"/>
          </w:tcPr>
          <w:p>
            <w:pPr>
              <w:ind w:left="40"/>
              <w:spacing w:after="0" w:line="194" w:lineRule="exact"/>
              <w:rPr>
                <w:sz w:val="20"/>
                <w:szCs w:val="20"/>
                <w:color w:val="auto"/>
              </w:rPr>
            </w:pPr>
            <w:r>
              <w:rPr>
                <w:rFonts w:ascii="Arial" w:cs="Arial" w:eastAsia="Arial" w:hAnsi="Arial"/>
                <w:sz w:val="17"/>
                <w:szCs w:val="17"/>
                <w:color w:val="auto"/>
                <w:w w:val="99"/>
              </w:rPr>
              <w:t>committee</w:t>
            </w:r>
          </w:p>
        </w:tc>
        <w:tc>
          <w:tcPr>
            <w:tcW w:w="2780" w:type="dxa"/>
            <w:vAlign w:val="bottom"/>
            <w:gridSpan w:val="2"/>
            <w:vMerge w:val="restart"/>
          </w:tcPr>
          <w:p>
            <w:pPr>
              <w:ind w:left="100"/>
              <w:spacing w:after="0" w:line="194" w:lineRule="exact"/>
              <w:rPr>
                <w:sz w:val="20"/>
                <w:szCs w:val="20"/>
                <w:color w:val="auto"/>
              </w:rPr>
            </w:pPr>
            <w:r>
              <w:rPr>
                <w:rFonts w:ascii="Arial" w:cs="Arial" w:eastAsia="Arial" w:hAnsi="Arial"/>
                <w:sz w:val="17"/>
                <w:szCs w:val="17"/>
                <w:color w:val="auto"/>
              </w:rPr>
              <w:t>of Vail Resorts, Inc., a mountain</w:t>
            </w:r>
          </w:p>
        </w:tc>
        <w:tc>
          <w:tcPr>
            <w:tcW w:w="1420" w:type="dxa"/>
            <w:vAlign w:val="bottom"/>
            <w:gridSpan w:val="2"/>
            <w:vMerge w:val="restart"/>
          </w:tcPr>
          <w:p>
            <w:pPr>
              <w:jc w:val="right"/>
              <w:ind w:right="14"/>
              <w:spacing w:after="0" w:line="194" w:lineRule="exact"/>
              <w:rPr>
                <w:sz w:val="20"/>
                <w:szCs w:val="20"/>
                <w:color w:val="auto"/>
              </w:rPr>
            </w:pPr>
            <w:r>
              <w:rPr>
                <w:rFonts w:ascii="Arial" w:cs="Arial" w:eastAsia="Arial" w:hAnsi="Arial"/>
                <w:sz w:val="17"/>
                <w:szCs w:val="17"/>
                <w:color w:val="auto"/>
              </w:rPr>
              <w:t>resort company</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Nominating, Governance,</w:t>
            </w:r>
          </w:p>
        </w:tc>
        <w:tc>
          <w:tcPr>
            <w:tcW w:w="46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278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gridSpan w:val="8"/>
            <w:vMerge w:val="restart"/>
          </w:tcPr>
          <w:p>
            <w:pPr>
              <w:ind w:left="60"/>
              <w:spacing w:after="0"/>
              <w:rPr>
                <w:sz w:val="20"/>
                <w:szCs w:val="20"/>
                <w:color w:val="auto"/>
              </w:rPr>
            </w:pPr>
            <w:r>
              <w:rPr>
                <w:rFonts w:ascii="Arial" w:cs="Arial" w:eastAsia="Arial" w:hAnsi="Arial"/>
                <w:sz w:val="17"/>
                <w:szCs w:val="17"/>
                <w:color w:val="auto"/>
              </w:rPr>
              <w:t>located in Broomfield, Colorado (2006-2012). Mr. Hyde received his Bachelor of</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2340" w:type="dxa"/>
            <w:vAlign w:val="bottom"/>
          </w:tcPr>
          <w:p>
            <w:pPr>
              <w:ind w:left="60"/>
              <w:spacing w:after="0" w:line="156" w:lineRule="exact"/>
              <w:rPr>
                <w:sz w:val="20"/>
                <w:szCs w:val="20"/>
                <w:color w:val="auto"/>
              </w:rPr>
            </w:pPr>
            <w:r>
              <w:rPr>
                <w:rFonts w:ascii="Arial" w:cs="Arial" w:eastAsia="Arial" w:hAnsi="Arial"/>
                <w:sz w:val="17"/>
                <w:szCs w:val="17"/>
                <w:color w:val="auto"/>
              </w:rPr>
              <w:t>and Corporate Responsibility</w:t>
            </w:r>
          </w:p>
        </w:tc>
        <w:tc>
          <w:tcPr>
            <w:tcW w:w="658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580" w:type="dxa"/>
            <w:vAlign w:val="bottom"/>
            <w:gridSpan w:val="8"/>
          </w:tcPr>
          <w:p>
            <w:pPr>
              <w:ind w:left="60"/>
              <w:spacing w:after="0" w:line="154" w:lineRule="exact"/>
              <w:rPr>
                <w:sz w:val="20"/>
                <w:szCs w:val="20"/>
                <w:color w:val="auto"/>
              </w:rPr>
            </w:pPr>
            <w:r>
              <w:rPr>
                <w:rFonts w:ascii="Arial" w:cs="Arial" w:eastAsia="Arial" w:hAnsi="Arial"/>
                <w:sz w:val="17"/>
                <w:szCs w:val="17"/>
                <w:color w:val="auto"/>
              </w:rPr>
              <w:t>Arts in English from the University of Kansas, his Juris Doctor from the University of</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Missouri-Kansas City and holds a Master of Business Administration in finance from</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80" w:type="dxa"/>
            <w:vAlign w:val="bottom"/>
            <w:gridSpan w:val="4"/>
          </w:tcPr>
          <w:p>
            <w:pPr>
              <w:ind w:left="60"/>
              <w:spacing w:after="0"/>
              <w:rPr>
                <w:sz w:val="20"/>
                <w:szCs w:val="20"/>
                <w:color w:val="auto"/>
              </w:rPr>
            </w:pPr>
            <w:r>
              <w:rPr>
                <w:rFonts w:ascii="Arial" w:cs="Arial" w:eastAsia="Arial" w:hAnsi="Arial"/>
                <w:sz w:val="17"/>
                <w:szCs w:val="17"/>
                <w:color w:val="auto"/>
              </w:rPr>
              <w:t>the University of Kansas.</w:t>
            </w:r>
          </w:p>
        </w:tc>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580" w:type="dxa"/>
            <w:vAlign w:val="bottom"/>
            <w:gridSpan w:val="8"/>
          </w:tcPr>
          <w:p>
            <w:pPr>
              <w:ind w:left="60"/>
              <w:spacing w:after="0"/>
              <w:rPr>
                <w:sz w:val="20"/>
                <w:szCs w:val="20"/>
                <w:color w:val="auto"/>
              </w:rPr>
            </w:pPr>
            <w:r>
              <w:rPr>
                <w:rFonts w:ascii="Arial" w:cs="Arial" w:eastAsia="Arial" w:hAnsi="Arial"/>
                <w:sz w:val="17"/>
                <w:szCs w:val="17"/>
                <w:color w:val="auto"/>
              </w:rPr>
              <w:t>Mr. Hyde’s qualifications to serve as our director include his experience in legal and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leadership roles for the largest publicly-traded retailer in the world, and he provides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deep insight and understanding on corporate governance matters. He also has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experience as a director of a public company. Mr. Hyde is, among other things,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“experienced” in the following core competencies: Strategy Development; Federal</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and  State  Regulation  and  Compliance;  Alignment  of  Company  Culture  &amp;</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gridSpan w:val="8"/>
          </w:tcPr>
          <w:p>
            <w:pPr>
              <w:ind w:left="60"/>
              <w:spacing w:after="0" w:line="194" w:lineRule="exact"/>
              <w:rPr>
                <w:sz w:val="20"/>
                <w:szCs w:val="20"/>
                <w:color w:val="auto"/>
              </w:rPr>
            </w:pPr>
            <w:r>
              <w:rPr>
                <w:rFonts w:ascii="Arial" w:cs="Arial" w:eastAsia="Arial" w:hAnsi="Arial"/>
                <w:sz w:val="17"/>
                <w:szCs w:val="17"/>
                <w:color w:val="auto"/>
              </w:rPr>
              <w:t>Compensation and Leadership Development; Accounting, Finance and Investment</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520" w:type="dxa"/>
            <w:vAlign w:val="bottom"/>
            <w:gridSpan w:val="7"/>
          </w:tcPr>
          <w:p>
            <w:pPr>
              <w:ind w:left="60"/>
              <w:spacing w:after="0"/>
              <w:rPr>
                <w:sz w:val="20"/>
                <w:szCs w:val="20"/>
                <w:color w:val="auto"/>
              </w:rPr>
            </w:pPr>
            <w:r>
              <w:rPr>
                <w:rFonts w:ascii="Arial" w:cs="Arial" w:eastAsia="Arial" w:hAnsi="Arial"/>
                <w:sz w:val="17"/>
                <w:szCs w:val="17"/>
                <w:color w:val="auto"/>
              </w:rPr>
              <w:t>Management; Risk Management; and Community and Public Relations.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spacing w:after="0"/>
              <w:rPr>
                <w:sz w:val="17"/>
                <w:szCs w:val="17"/>
                <w:color w:val="auto"/>
              </w:rPr>
            </w:pPr>
          </w:p>
        </w:tc>
        <w:tc>
          <w:tcPr>
            <w:tcW w:w="4200" w:type="dxa"/>
            <w:vAlign w:val="bottom"/>
            <w:tcBorders>
              <w:bottom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380" w:type="dxa"/>
            <w:vAlign w:val="bottom"/>
            <w:gridSpan w:val="4"/>
          </w:tcPr>
          <w:p>
            <w:pPr>
              <w:ind w:left="60"/>
              <w:spacing w:after="0"/>
              <w:rPr>
                <w:sz w:val="20"/>
                <w:szCs w:val="20"/>
                <w:color w:val="auto"/>
              </w:rPr>
            </w:pPr>
            <w:r>
              <w:rPr>
                <w:rFonts w:ascii="Arial" w:cs="Arial" w:eastAsia="Arial" w:hAnsi="Arial"/>
                <w:sz w:val="14"/>
                <w:szCs w:val="14"/>
                <w:b w:val="1"/>
                <w:bCs w:val="1"/>
                <w:color w:val="307CC0"/>
              </w:rPr>
              <w:t>Proposal 1 - Election of Directors</w:t>
            </w:r>
          </w:p>
        </w:tc>
        <w:tc>
          <w:tcPr>
            <w:tcW w:w="4200" w:type="dxa"/>
            <w:vAlign w:val="bottom"/>
            <w:gridSpan w:val="4"/>
          </w:tcPr>
          <w:p>
            <w:pPr>
              <w:jc w:val="right"/>
              <w:spacing w:after="0"/>
              <w:rPr>
                <w:sz w:val="20"/>
                <w:szCs w:val="20"/>
                <w:color w:val="auto"/>
              </w:rPr>
            </w:pPr>
            <w:r>
              <w:rPr>
                <w:rFonts w:ascii="Arial" w:cs="Arial" w:eastAsia="Arial" w:hAnsi="Arial"/>
                <w:sz w:val="14"/>
                <w:szCs w:val="14"/>
                <w:b w:val="1"/>
                <w:bCs w:val="1"/>
                <w:color w:val="7F7F7F"/>
                <w:w w:val="98"/>
              </w:rPr>
              <w:t xml:space="preserve">Director Nominee Biographies </w:t>
            </w:r>
            <w:r>
              <w:rPr>
                <w:rFonts w:ascii="Arial" w:cs="Arial" w:eastAsia="Arial" w:hAnsi="Arial"/>
                <w:sz w:val="14"/>
                <w:szCs w:val="14"/>
                <w:color w:val="000000"/>
                <w:w w:val="98"/>
              </w:rPr>
              <w:t>|</w:t>
            </w:r>
            <w:r>
              <w:rPr>
                <w:rFonts w:ascii="Arial" w:cs="Arial" w:eastAsia="Arial" w:hAnsi="Arial"/>
                <w:sz w:val="14"/>
                <w:szCs w:val="14"/>
                <w:b w:val="1"/>
                <w:bCs w:val="1"/>
                <w:color w:val="7F7F7F"/>
                <w:w w:val="98"/>
              </w:rPr>
              <w:t xml:space="preserve"> </w:t>
            </w:r>
            <w:r>
              <w:rPr>
                <w:rFonts w:ascii="Arial" w:cs="Arial" w:eastAsia="Arial" w:hAnsi="Arial"/>
                <w:sz w:val="14"/>
                <w:szCs w:val="14"/>
                <w:b w:val="1"/>
                <w:bCs w:val="1"/>
                <w:color w:val="000000"/>
                <w:w w:val="98"/>
              </w:rPr>
              <w:t>Evergy 2020 Proxy Statement  8</w:t>
            </w:r>
          </w:p>
        </w:tc>
        <w:tc>
          <w:tcPr>
            <w:tcW w:w="0" w:type="dxa"/>
            <w:vAlign w:val="bottom"/>
          </w:tcPr>
          <w:p>
            <w:pPr>
              <w:spacing w:after="0"/>
              <w:rPr>
                <w:sz w:val="1"/>
                <w:szCs w:val="1"/>
                <w:color w:val="auto"/>
              </w:rPr>
            </w:pPr>
          </w:p>
        </w:tc>
      </w:tr>
      <w:tr>
        <w:trPr>
          <w:trHeight w:val="438"/>
        </w:trPr>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60"/>
          </w:cols>
          <w:pgMar w:left="1360" w:top="272" w:right="137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9140"/>
          </w:cols>
          <w:pgMar w:left="1380" w:top="272" w:right="1379" w:bottom="1440" w:gutter="0" w:footer="0" w:header="0"/>
        </w:sectPr>
      </w:pPr>
    </w:p>
    <w:p>
      <w:pPr>
        <w:spacing w:after="0" w:line="138"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B. Anthony Isaac</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2003</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67</w:t>
      </w:r>
    </w:p>
    <w:p>
      <w:pPr>
        <w:ind w:left="100"/>
        <w:spacing w:after="0" w:line="237" w:lineRule="auto"/>
        <w:rPr>
          <w:sz w:val="20"/>
          <w:szCs w:val="20"/>
          <w:color w:val="auto"/>
        </w:rPr>
      </w:pPr>
      <w:r>
        <w:rPr>
          <w:rFonts w:ascii="Arial" w:cs="Arial" w:eastAsia="Arial" w:hAnsi="Arial"/>
          <w:sz w:val="17"/>
          <w:szCs w:val="17"/>
          <w:b w:val="1"/>
          <w:bCs w:val="1"/>
          <w:color w:val="307CC0"/>
        </w:rPr>
        <w:t>Committee Membership:</w:t>
      </w:r>
    </w:p>
    <w:p>
      <w:pPr>
        <w:spacing w:after="0" w:line="1" w:lineRule="exact"/>
        <w:rPr>
          <w:sz w:val="20"/>
          <w:szCs w:val="20"/>
          <w:color w:val="auto"/>
        </w:rPr>
      </w:pPr>
    </w:p>
    <w:p>
      <w:pPr>
        <w:ind w:left="280" w:hanging="187"/>
        <w:spacing w:after="0" w:line="237" w:lineRule="auto"/>
        <w:tabs>
          <w:tab w:leader="none" w:pos="293" w:val="left"/>
        </w:tabs>
        <w:numPr>
          <w:ilvl w:val="0"/>
          <w:numId w:val="12"/>
        </w:numPr>
        <w:rPr>
          <w:rFonts w:ascii="Arial" w:cs="Arial" w:eastAsia="Arial" w:hAnsi="Arial"/>
          <w:sz w:val="17"/>
          <w:szCs w:val="17"/>
          <w:color w:val="307CC0"/>
        </w:rPr>
      </w:pPr>
      <w:r>
        <w:rPr>
          <w:rFonts w:ascii="Arial" w:cs="Arial" w:eastAsia="Arial" w:hAnsi="Arial"/>
          <w:sz w:val="17"/>
          <w:szCs w:val="17"/>
          <w:color w:val="auto"/>
        </w:rPr>
        <w:t>Compensation and Leadership Development</w:t>
      </w:r>
    </w:p>
    <w:p>
      <w:pPr>
        <w:spacing w:after="0" w:line="1" w:lineRule="exact"/>
        <w:rPr>
          <w:rFonts w:ascii="Arial" w:cs="Arial" w:eastAsia="Arial" w:hAnsi="Arial"/>
          <w:sz w:val="17"/>
          <w:szCs w:val="17"/>
          <w:color w:val="307CC0"/>
        </w:rPr>
      </w:pPr>
    </w:p>
    <w:p>
      <w:pPr>
        <w:ind w:left="300" w:hanging="207"/>
        <w:spacing w:after="0" w:line="237" w:lineRule="auto"/>
        <w:tabs>
          <w:tab w:leader="none" w:pos="300" w:val="left"/>
        </w:tabs>
        <w:numPr>
          <w:ilvl w:val="0"/>
          <w:numId w:val="12"/>
        </w:numPr>
        <w:rPr>
          <w:rFonts w:ascii="Arial" w:cs="Arial" w:eastAsia="Arial" w:hAnsi="Arial"/>
          <w:sz w:val="17"/>
          <w:szCs w:val="17"/>
          <w:color w:val="307CC0"/>
        </w:rPr>
      </w:pPr>
      <w:r>
        <w:rPr>
          <w:rFonts w:ascii="Arial" w:cs="Arial" w:eastAsia="Arial" w:hAnsi="Arial"/>
          <w:sz w:val="17"/>
          <w:szCs w:val="17"/>
          <w:color w:val="auto"/>
        </w:rPr>
        <w:t>Finance (Chair)</w:t>
      </w:r>
    </w:p>
    <w:p>
      <w:pPr>
        <w:jc w:val="both"/>
        <w:ind w:left="280" w:hanging="187"/>
        <w:spacing w:after="0" w:line="253" w:lineRule="auto"/>
        <w:tabs>
          <w:tab w:leader="none" w:pos="293" w:val="left"/>
        </w:tabs>
        <w:numPr>
          <w:ilvl w:val="0"/>
          <w:numId w:val="12"/>
        </w:numPr>
        <w:rPr>
          <w:rFonts w:ascii="Arial" w:cs="Arial" w:eastAsia="Arial" w:hAnsi="Arial"/>
          <w:sz w:val="17"/>
          <w:szCs w:val="17"/>
          <w:color w:val="307CC0"/>
        </w:rPr>
      </w:pPr>
      <w:r>
        <w:rPr>
          <w:rFonts w:ascii="Arial" w:cs="Arial" w:eastAsia="Arial" w:hAnsi="Arial"/>
          <w:sz w:val="17"/>
          <w:szCs w:val="17"/>
          <w:color w:val="auto"/>
        </w:rPr>
        <w:t>Nuclear, Operations, and Environmental Oversight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Mr. Isaac was Senior Vice President and Head of Select Service Strategy and Development at Hyatt Hotels Corporation, a global hotel management, franchising, ownership and development company based in Chicago, Illinois with properties worldwide (2011-2015). He served as President of LodgeWorks, a Wichita, Kansas-based hotel management and development company (2000-2011). Before helping found LodgeWorks, Mr. Isaac served as President of the All-Suites Division of Wyndham Hotels and Resorts, an international hotel and resort chain based in Parsippany, New Jersey. He held the position of President of Summerfield Hotel Corp. prior to Summerfield’s merger with Patriot American Hospitality/Wyndham International. He sits on the Board of Directors of CorePoint Lodging (NYSE: CPLG), a real estate investment trust focused on the hotel industry that is located in Irving, Texas (since 2018), where he serves as chair of the nominating and corporate governance committee and a member of the capital committee. Mr. Isaac holds a Bachelor of Science degree in civil engineering from the Massachusetts Institute of Technology and a Master of Business Administration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-1877060</wp:posOffset>
            </wp:positionV>
            <wp:extent cx="58089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394"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Mr. Isaac’s qualifications to serve as our director include his extensive leadership experience both as the chief executive officer of a privately-held company and as an executive with other large companies in the hotel industry, and his substantial experience with strategic planning and financial matters. He also has experience as a director of a public company and with corporate governance matters. Mr. Isaac is, among other things, “experienced” in the following core competencies: Alignment of Company Culture and Compensation and Leadership Development; Accounting, Finance and Investment Management; and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131445</wp:posOffset>
            </wp:positionV>
            <wp:extent cx="58089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20"/>
            <w:col w:w="6520"/>
          </w:cols>
          <w:pgMar w:left="1380" w:top="272" w:right="1379" w:bottom="1440" w:gutter="0" w:footer="0" w:header="0"/>
          <w:type w:val="continuous"/>
        </w:sectPr>
      </w:pPr>
    </w:p>
    <w:p>
      <w:pPr>
        <w:spacing w:after="0" w:line="21" w:lineRule="exact"/>
        <w:rPr>
          <w:sz w:val="20"/>
          <w:szCs w:val="20"/>
          <w:color w:val="auto"/>
        </w:rPr>
      </w:pPr>
    </w:p>
    <w:p>
      <w:pPr>
        <w:ind w:left="2620"/>
        <w:spacing w:after="0"/>
        <w:tabs>
          <w:tab w:leader="none" w:pos="4920" w:val="left"/>
        </w:tabs>
        <w:rPr>
          <w:sz w:val="20"/>
          <w:szCs w:val="20"/>
          <w:color w:val="auto"/>
        </w:rPr>
      </w:pPr>
      <w:r>
        <w:rPr>
          <w:rFonts w:ascii="Arial" w:cs="Arial" w:eastAsia="Arial" w:hAnsi="Arial"/>
          <w:sz w:val="14"/>
          <w:szCs w:val="14"/>
          <w:b w:val="1"/>
          <w:bCs w:val="1"/>
          <w:color w:val="307CC0"/>
        </w:rPr>
        <w:t>Proposal 1 - Election of Directors</w:t>
      </w:r>
      <w:r>
        <w:rPr>
          <w:sz w:val="20"/>
          <w:szCs w:val="20"/>
          <w:color w:val="auto"/>
        </w:rPr>
        <w:tab/>
      </w:r>
      <w:r>
        <w:rPr>
          <w:rFonts w:ascii="Arial" w:cs="Arial" w:eastAsia="Arial" w:hAnsi="Arial"/>
          <w:sz w:val="13"/>
          <w:szCs w:val="13"/>
          <w:b w:val="1"/>
          <w:bCs w:val="1"/>
          <w:color w:val="7F7F7F"/>
        </w:rPr>
        <w:t xml:space="preserve">Director Nominee Biographies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9140"/>
          </w:cols>
          <w:pgMar w:left="1380" w:top="272" w:right="1379" w:bottom="1440" w:gutter="0" w:footer="0" w:header="0"/>
        </w:sectPr>
      </w:pPr>
    </w:p>
    <w:p>
      <w:pPr>
        <w:spacing w:after="0" w:line="138"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Paul M. Keglevic</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2020</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66</w:t>
      </w:r>
    </w:p>
    <w:p>
      <w:pPr>
        <w:ind w:left="100"/>
        <w:spacing w:after="0" w:line="237" w:lineRule="auto"/>
        <w:rPr>
          <w:sz w:val="20"/>
          <w:szCs w:val="20"/>
          <w:color w:val="auto"/>
        </w:rPr>
      </w:pPr>
      <w:r>
        <w:rPr>
          <w:rFonts w:ascii="Arial" w:cs="Arial" w:eastAsia="Arial" w:hAnsi="Arial"/>
          <w:sz w:val="17"/>
          <w:szCs w:val="17"/>
          <w:b w:val="1"/>
          <w:bCs w:val="1"/>
          <w:color w:val="307CC0"/>
        </w:rPr>
        <w:t>Committee Membership:</w:t>
      </w:r>
    </w:p>
    <w:p>
      <w:pPr>
        <w:spacing w:after="0" w:line="1" w:lineRule="exact"/>
        <w:rPr>
          <w:sz w:val="20"/>
          <w:szCs w:val="20"/>
          <w:color w:val="auto"/>
        </w:rPr>
      </w:pPr>
    </w:p>
    <w:p>
      <w:pPr>
        <w:ind w:left="280" w:hanging="187"/>
        <w:spacing w:after="0" w:line="237" w:lineRule="auto"/>
        <w:tabs>
          <w:tab w:leader="none" w:pos="293" w:val="left"/>
        </w:tabs>
        <w:numPr>
          <w:ilvl w:val="0"/>
          <w:numId w:val="13"/>
        </w:numPr>
        <w:rPr>
          <w:rFonts w:ascii="Arial" w:cs="Arial" w:eastAsia="Arial" w:hAnsi="Arial"/>
          <w:sz w:val="17"/>
          <w:szCs w:val="17"/>
          <w:color w:val="307CC0"/>
        </w:rPr>
      </w:pPr>
      <w:r>
        <w:rPr>
          <w:rFonts w:ascii="Arial" w:cs="Arial" w:eastAsia="Arial" w:hAnsi="Arial"/>
          <w:sz w:val="17"/>
          <w:szCs w:val="17"/>
          <w:color w:val="auto"/>
        </w:rPr>
        <w:t>Compensation and Leadership Development</w:t>
      </w:r>
    </w:p>
    <w:p>
      <w:pPr>
        <w:spacing w:after="0" w:line="1" w:lineRule="exact"/>
        <w:rPr>
          <w:rFonts w:ascii="Arial" w:cs="Arial" w:eastAsia="Arial" w:hAnsi="Arial"/>
          <w:sz w:val="17"/>
          <w:szCs w:val="17"/>
          <w:color w:val="307CC0"/>
        </w:rPr>
      </w:pPr>
    </w:p>
    <w:p>
      <w:pPr>
        <w:ind w:left="300" w:hanging="207"/>
        <w:spacing w:after="0" w:line="237" w:lineRule="auto"/>
        <w:tabs>
          <w:tab w:leader="none" w:pos="300" w:val="left"/>
        </w:tabs>
        <w:numPr>
          <w:ilvl w:val="0"/>
          <w:numId w:val="13"/>
        </w:numPr>
        <w:rPr>
          <w:rFonts w:ascii="Arial" w:cs="Arial" w:eastAsia="Arial" w:hAnsi="Arial"/>
          <w:sz w:val="17"/>
          <w:szCs w:val="17"/>
          <w:color w:val="307CC0"/>
        </w:rPr>
      </w:pPr>
      <w:r>
        <w:rPr>
          <w:rFonts w:ascii="Arial" w:cs="Arial" w:eastAsia="Arial" w:hAnsi="Arial"/>
          <w:sz w:val="17"/>
          <w:szCs w:val="17"/>
          <w:color w:val="auto"/>
        </w:rPr>
        <w:t>Finance</w:t>
      </w:r>
    </w:p>
    <w:p>
      <w:pPr>
        <w:ind w:left="280" w:right="220" w:hanging="187"/>
        <w:spacing w:after="0" w:line="253" w:lineRule="auto"/>
        <w:tabs>
          <w:tab w:leader="none" w:pos="293" w:val="left"/>
        </w:tabs>
        <w:numPr>
          <w:ilvl w:val="0"/>
          <w:numId w:val="13"/>
        </w:numPr>
        <w:rPr>
          <w:rFonts w:ascii="Arial" w:cs="Arial" w:eastAsia="Arial" w:hAnsi="Arial"/>
          <w:sz w:val="17"/>
          <w:szCs w:val="17"/>
          <w:color w:val="307CC0"/>
        </w:rPr>
      </w:pPr>
      <w:r>
        <w:rPr>
          <w:rFonts w:ascii="Arial" w:cs="Arial" w:eastAsia="Arial" w:hAnsi="Arial"/>
          <w:sz w:val="17"/>
          <w:szCs w:val="17"/>
          <w:color w:val="auto"/>
        </w:rPr>
        <w:t>Strategic Review &amp; Operations (Co-Chair)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Mr. Keglevic has over 40 years of experience with public companies across several industry sectors, including utilities, telecom, transportation and real estate. Mr. Keglevic served as Chief Executive Officer (2016-2018) and Executive Vice President, Chief Financial Officer and Chief Risk Officer (2008-2016) of Energy Future Holdings, the majority owner of a regulated transmission and distribution business. Prior to that, Mr. Keglevic served as an audit partner at PricewaterhouseCoopers LLP (PwC) (2002-2008), where he was the U.S. utility sector leader for six years. Prior to PwC, Mr. Keglevic led the utilities practice for Arthur Andersen, where he was a partner for 15 years. Mr. Keglevic serves on the Board of Directors of Ascena Retail Group, Inc. (Nasdaq: ASNA) (since 2019), a national specialty retailer located in Mahwah, New Jersey. He also serves on the Board of Directors of Frontier Communications Corporation (Nasdaq: FTR) (since 2019), a national telecommunications company located in Norwalk, Connecticut, where he serves on the finance committee and audit committee. He further serves on the Board of Directors of Bonanza Creek Energy, Inc. (NYSE: BCEI), an oil and gas company located in Denver, Colorado, where he serves as chair of the audit committee and also serves on the nominating and corporate governance committee. Mr. Keglevic also serves on the Board of Directors of Stellus Capital Management (NYSE: SCM) (since 2014), where he serves as chair of the audit committee and also serves on the nominating and corporate governance committee. He previously served on the Boards of Directors of Clear Channel Outdoor Holdings, Inc., PetSmart, Inc., Cobalt International Energy, Inc., Philadelphia Energy Services and Energy Future Holdings and several of its subsidiaries. Mr. Keglevic has served as a member of the board of directors of the Dallas and State of California Chambers of Commerce and several other charitable and advisory boards. Mr. Keglevic received his Bachelor of Science in accounting from Northern Illinois University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-3338830</wp:posOffset>
            </wp:positionV>
            <wp:extent cx="58089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25"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Mr. Keglevic was initially appointed as a Director on March 3, 2020 pursuant to an Agreement, dated February 28, 2020, with affiliates of Elliott related to, among other things, appointment of additional Directors to our Board. Mr. Keglevic's qualifications to serve as our director include his extensive experience with public companies, finance, accounting, regulatory issues, transactional and merger and acquisition activities and governance matters. Mr. Keglevic is, among other things, “experienced” in the following core competencies: Strategy Development; Federal and State Regulation and Compliance; Alignment of Company Culture &amp; Compensation and Leadership Development; Accounting, Finance and Investment Management; Risk Management; Operational Oversight; and Community and Public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252730</wp:posOffset>
            </wp:positionV>
            <wp:extent cx="58089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20"/>
            <w:col w:w="6520"/>
          </w:cols>
          <w:pgMar w:left="1380" w:top="272" w:right="1379" w:bottom="1440" w:gutter="0" w:footer="0" w:header="0"/>
          <w:type w:val="continuous"/>
        </w:sectPr>
      </w:pPr>
    </w:p>
    <w:p>
      <w:pPr>
        <w:spacing w:after="0" w:line="212" w:lineRule="exact"/>
        <w:rPr>
          <w:sz w:val="20"/>
          <w:szCs w:val="20"/>
          <w:color w:val="auto"/>
        </w:rPr>
      </w:pPr>
    </w:p>
    <w:p>
      <w:pPr>
        <w:ind w:left="2540"/>
        <w:spacing w:after="0"/>
        <w:tabs>
          <w:tab w:leader="none" w:pos="4840" w:val="left"/>
        </w:tabs>
        <w:rPr>
          <w:sz w:val="20"/>
          <w:szCs w:val="20"/>
          <w:color w:val="auto"/>
        </w:rPr>
      </w:pPr>
      <w:r>
        <w:rPr>
          <w:rFonts w:ascii="Arial" w:cs="Arial" w:eastAsia="Arial" w:hAnsi="Arial"/>
          <w:sz w:val="14"/>
          <w:szCs w:val="14"/>
          <w:b w:val="1"/>
          <w:bCs w:val="1"/>
          <w:color w:val="307CC0"/>
        </w:rPr>
        <w:t>Proposal 1 - Election of Directors</w:t>
      </w:r>
      <w:r>
        <w:rPr>
          <w:sz w:val="20"/>
          <w:szCs w:val="20"/>
          <w:color w:val="auto"/>
        </w:rPr>
        <w:tab/>
      </w:r>
      <w:r>
        <w:rPr>
          <w:rFonts w:ascii="Arial" w:cs="Arial" w:eastAsia="Arial" w:hAnsi="Arial"/>
          <w:sz w:val="13"/>
          <w:szCs w:val="13"/>
          <w:b w:val="1"/>
          <w:bCs w:val="1"/>
          <w:color w:val="7F7F7F"/>
        </w:rPr>
        <w:t xml:space="preserve">Director Nominee Biographies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9140"/>
          </w:cols>
          <w:pgMar w:left="1380" w:top="272" w:right="1379" w:bottom="1440" w:gutter="0" w:footer="0" w:header="0"/>
        </w:sectPr>
      </w:pPr>
    </w:p>
    <w:p>
      <w:pPr>
        <w:spacing w:after="0" w:line="138"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Sandra A.J. Lawrence</w:t>
      </w:r>
    </w:p>
    <w:p>
      <w:pPr>
        <w:spacing w:after="0" w:line="24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2004</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62</w:t>
      </w:r>
    </w:p>
    <w:p>
      <w:pPr>
        <w:ind w:left="100"/>
        <w:spacing w:after="0" w:line="237" w:lineRule="auto"/>
        <w:rPr>
          <w:sz w:val="20"/>
          <w:szCs w:val="20"/>
          <w:color w:val="auto"/>
        </w:rPr>
      </w:pPr>
      <w:r>
        <w:rPr>
          <w:rFonts w:ascii="Arial" w:cs="Arial" w:eastAsia="Arial" w:hAnsi="Arial"/>
          <w:sz w:val="17"/>
          <w:szCs w:val="17"/>
          <w:b w:val="1"/>
          <w:bCs w:val="1"/>
          <w:color w:val="307CC0"/>
        </w:rPr>
        <w:t>Committee Membership:</w:t>
      </w:r>
    </w:p>
    <w:p>
      <w:pPr>
        <w:spacing w:after="0" w:line="1" w:lineRule="exact"/>
        <w:rPr>
          <w:sz w:val="20"/>
          <w:szCs w:val="20"/>
          <w:color w:val="auto"/>
        </w:rPr>
      </w:pPr>
    </w:p>
    <w:p>
      <w:pPr>
        <w:ind w:left="280" w:right="60" w:hanging="187"/>
        <w:spacing w:after="0" w:line="237" w:lineRule="auto"/>
        <w:tabs>
          <w:tab w:leader="none" w:pos="293" w:val="left"/>
        </w:tabs>
        <w:numPr>
          <w:ilvl w:val="0"/>
          <w:numId w:val="14"/>
        </w:numPr>
        <w:rPr>
          <w:rFonts w:ascii="Arial" w:cs="Arial" w:eastAsia="Arial" w:hAnsi="Arial"/>
          <w:sz w:val="17"/>
          <w:szCs w:val="17"/>
          <w:color w:val="307CC0"/>
        </w:rPr>
      </w:pPr>
      <w:r>
        <w:rPr>
          <w:rFonts w:ascii="Arial" w:cs="Arial" w:eastAsia="Arial" w:hAnsi="Arial"/>
          <w:sz w:val="17"/>
          <w:szCs w:val="17"/>
          <w:color w:val="auto"/>
        </w:rPr>
        <w:t>Compensation and Leadership Development</w:t>
      </w:r>
    </w:p>
    <w:p>
      <w:pPr>
        <w:spacing w:after="0" w:line="1" w:lineRule="exact"/>
        <w:rPr>
          <w:rFonts w:ascii="Arial" w:cs="Arial" w:eastAsia="Arial" w:hAnsi="Arial"/>
          <w:sz w:val="17"/>
          <w:szCs w:val="17"/>
          <w:color w:val="307CC0"/>
        </w:rPr>
      </w:pPr>
    </w:p>
    <w:p>
      <w:pPr>
        <w:ind w:left="280" w:hanging="187"/>
        <w:spacing w:after="0" w:line="245" w:lineRule="auto"/>
        <w:tabs>
          <w:tab w:leader="none" w:pos="293" w:val="left"/>
        </w:tabs>
        <w:numPr>
          <w:ilvl w:val="0"/>
          <w:numId w:val="14"/>
        </w:numPr>
        <w:rPr>
          <w:rFonts w:ascii="Arial" w:cs="Arial" w:eastAsia="Arial" w:hAnsi="Arial"/>
          <w:sz w:val="17"/>
          <w:szCs w:val="17"/>
          <w:color w:val="307CC0"/>
        </w:rPr>
      </w:pPr>
      <w:r>
        <w:rPr>
          <w:rFonts w:ascii="Arial" w:cs="Arial" w:eastAsia="Arial" w:hAnsi="Arial"/>
          <w:sz w:val="17"/>
          <w:szCs w:val="17"/>
          <w:color w:val="auto"/>
        </w:rPr>
        <w:t>Nominating, Governance, and Corporate Responsibility (Chair)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Ms. Lawrence was the Executive Vice President and Chief Administrative Officer (2016-2019) and Executive Vice President and Chief Financial Officer (2005-2016) of Children’s Mercy Hospital, a comprehensive pediatric medical center in Kansas City, Missouri. Previously, she was the Chief Financial Officer (2005) and Senior Vice President and Treasurer (2004-2005) of Midwest Research Institute, an independent, non-profit, contract research organization located in Kansas City, Missouri. Prior to that Ms. Lawrence spent twenty-six years in professional or management positions in the architecture, real estate, financial services, packaging and medical research industries. She is on the Board of Directors of American Shared Hospital Services (NYSE American: AMS), a provider of radiosurgical and radiation therapy equipment based in San Francisco, California, where she serves as chair of the audit committee and as a member of the nominating and corporate governance committee. She is also chair of the Board of Directors of the Heartland Chapter of the National Association of Corporate Directors and serves on the boards of directors of various charitable, non-profit and civic organizations, including the Hall Family Foundation, the Nelson-Atkins Museum of Art and Women Corporate Directors. Ms. Lawrence serves as a trustee of the Ivy and Waddell and Reed Mutual Funds Complex Trust. Ms. Lawrence is a graduate of Vassar College, receiving her Bachelor of Arts in psychology. She also received a Master of Architecture from the Massachusetts Institute of Technology and a Master in Business Administration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-2600325</wp:posOffset>
            </wp:positionV>
            <wp:extent cx="5808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25" w:lineRule="exact"/>
        <w:rPr>
          <w:sz w:val="20"/>
          <w:szCs w:val="20"/>
          <w:color w:val="auto"/>
        </w:rPr>
      </w:pPr>
    </w:p>
    <w:p>
      <w:pPr>
        <w:jc w:val="both"/>
        <w:ind w:right="100"/>
        <w:spacing w:after="0" w:line="239" w:lineRule="auto"/>
        <w:rPr>
          <w:sz w:val="20"/>
          <w:szCs w:val="20"/>
          <w:color w:val="auto"/>
        </w:rPr>
      </w:pPr>
      <w:r>
        <w:rPr>
          <w:rFonts w:ascii="Arial" w:cs="Arial" w:eastAsia="Arial" w:hAnsi="Arial"/>
          <w:sz w:val="17"/>
          <w:szCs w:val="17"/>
          <w:color w:val="auto"/>
        </w:rPr>
        <w:t>Ms. Lawrence’s qualifications to serve as our director include her substantial financial expertise, her extensive service as a director in a diverse range of organizations, her experience as a public company director and her knowledge of corporate governance. Ms. Lawrence also has extensive knowledge of the Kansas City metropolitan area and Topeka, Kansas, two of our largest service territories. Ms. Lawrence is, among other things, “experienced” in the following core competencies: Alignment of Company Culture and Compensation and Leadership Development; Accounting, Finance and Investment Management; Risk Management; and Operational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135255</wp:posOffset>
            </wp:positionV>
            <wp:extent cx="58089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360"/>
            <w:col w:w="6520"/>
          </w:cols>
          <w:pgMar w:left="1380" w:top="272" w:right="1379" w:bottom="1440" w:gutter="0" w:footer="0" w:header="0"/>
          <w:type w:val="continuous"/>
        </w:sectPr>
      </w:pPr>
    </w:p>
    <w:p>
      <w:pPr>
        <w:spacing w:after="0" w:line="27" w:lineRule="exact"/>
        <w:rPr>
          <w:sz w:val="20"/>
          <w:szCs w:val="20"/>
          <w:color w:val="auto"/>
        </w:rPr>
      </w:pPr>
    </w:p>
    <w:p>
      <w:pPr>
        <w:ind w:left="2540"/>
        <w:spacing w:after="0"/>
        <w:tabs>
          <w:tab w:leader="none" w:pos="4840" w:val="left"/>
        </w:tabs>
        <w:rPr>
          <w:sz w:val="20"/>
          <w:szCs w:val="20"/>
          <w:color w:val="auto"/>
        </w:rPr>
      </w:pPr>
      <w:r>
        <w:rPr>
          <w:rFonts w:ascii="Arial" w:cs="Arial" w:eastAsia="Arial" w:hAnsi="Arial"/>
          <w:sz w:val="14"/>
          <w:szCs w:val="14"/>
          <w:b w:val="1"/>
          <w:bCs w:val="1"/>
          <w:color w:val="307CC0"/>
        </w:rPr>
        <w:t>Proposal 1 - Election of Directors</w:t>
      </w:r>
      <w:r>
        <w:rPr>
          <w:sz w:val="20"/>
          <w:szCs w:val="20"/>
          <w:color w:val="auto"/>
        </w:rPr>
        <w:tab/>
      </w:r>
      <w:r>
        <w:rPr>
          <w:rFonts w:ascii="Arial" w:cs="Arial" w:eastAsia="Arial" w:hAnsi="Arial"/>
          <w:sz w:val="13"/>
          <w:szCs w:val="13"/>
          <w:b w:val="1"/>
          <w:bCs w:val="1"/>
          <w:color w:val="7F7F7F"/>
        </w:rPr>
        <w:t xml:space="preserve">Director Nominee Biographies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15" w:name="page16"/>
    <w:bookmarkEnd w:id="15"/>
    <w:p>
      <w:pPr>
        <w:ind w:left="20"/>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9160"/>
          </w:cols>
          <w:pgMar w:left="1360" w:top="272" w:right="1379" w:bottom="1440" w:gutter="0" w:footer="0" w:header="0"/>
        </w:sectPr>
      </w:pPr>
    </w:p>
    <w:p>
      <w:pPr>
        <w:spacing w:after="0" w:line="138"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Ann D. Murtlow</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2013</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59</w:t>
      </w:r>
    </w:p>
    <w:p>
      <w:pPr>
        <w:ind w:left="120"/>
        <w:spacing w:after="0" w:line="237" w:lineRule="auto"/>
        <w:rPr>
          <w:sz w:val="20"/>
          <w:szCs w:val="20"/>
          <w:color w:val="auto"/>
        </w:rPr>
      </w:pPr>
      <w:r>
        <w:rPr>
          <w:rFonts w:ascii="Arial" w:cs="Arial" w:eastAsia="Arial" w:hAnsi="Arial"/>
          <w:sz w:val="17"/>
          <w:szCs w:val="17"/>
          <w:b w:val="1"/>
          <w:bCs w:val="1"/>
          <w:color w:val="307CC0"/>
        </w:rPr>
        <w:t>Committee Membership:</w:t>
      </w:r>
    </w:p>
    <w:p>
      <w:pPr>
        <w:ind w:left="300" w:hanging="187"/>
        <w:spacing w:after="0"/>
        <w:tabs>
          <w:tab w:leader="none" w:pos="300" w:val="left"/>
        </w:tabs>
        <w:numPr>
          <w:ilvl w:val="0"/>
          <w:numId w:val="15"/>
        </w:numPr>
        <w:rPr>
          <w:rFonts w:ascii="Arial" w:cs="Arial" w:eastAsia="Arial" w:hAnsi="Arial"/>
          <w:sz w:val="17"/>
          <w:szCs w:val="17"/>
          <w:color w:val="307CC0"/>
        </w:rPr>
      </w:pPr>
      <w:r>
        <w:rPr>
          <w:rFonts w:ascii="Arial" w:cs="Arial" w:eastAsia="Arial" w:hAnsi="Arial"/>
          <w:sz w:val="17"/>
          <w:szCs w:val="17"/>
          <w:color w:val="auto"/>
        </w:rPr>
        <w:t>Audit</w:t>
      </w:r>
    </w:p>
    <w:p>
      <w:pPr>
        <w:ind w:left="320" w:hanging="207"/>
        <w:spacing w:after="0" w:line="237" w:lineRule="auto"/>
        <w:tabs>
          <w:tab w:leader="none" w:pos="320" w:val="left"/>
        </w:tabs>
        <w:numPr>
          <w:ilvl w:val="0"/>
          <w:numId w:val="15"/>
        </w:numPr>
        <w:rPr>
          <w:rFonts w:ascii="Arial" w:cs="Arial" w:eastAsia="Arial" w:hAnsi="Arial"/>
          <w:sz w:val="17"/>
          <w:szCs w:val="17"/>
          <w:color w:val="307CC0"/>
        </w:rPr>
      </w:pPr>
      <w:r>
        <w:rPr>
          <w:rFonts w:ascii="Arial" w:cs="Arial" w:eastAsia="Arial" w:hAnsi="Arial"/>
          <w:sz w:val="17"/>
          <w:szCs w:val="17"/>
          <w:color w:val="auto"/>
        </w:rPr>
        <w:t>Finance</w:t>
      </w:r>
    </w:p>
    <w:p>
      <w:pPr>
        <w:jc w:val="both"/>
        <w:ind w:left="300" w:hanging="187"/>
        <w:spacing w:after="0" w:line="245" w:lineRule="auto"/>
        <w:tabs>
          <w:tab w:leader="none" w:pos="313" w:val="left"/>
        </w:tabs>
        <w:numPr>
          <w:ilvl w:val="0"/>
          <w:numId w:val="15"/>
        </w:numPr>
        <w:rPr>
          <w:rFonts w:ascii="Arial" w:cs="Arial" w:eastAsia="Arial" w:hAnsi="Arial"/>
          <w:sz w:val="17"/>
          <w:szCs w:val="17"/>
          <w:color w:val="307CC0"/>
        </w:rPr>
      </w:pPr>
      <w:r>
        <w:rPr>
          <w:rFonts w:ascii="Arial" w:cs="Arial" w:eastAsia="Arial" w:hAnsi="Arial"/>
          <w:sz w:val="17"/>
          <w:szCs w:val="17"/>
          <w:color w:val="auto"/>
        </w:rPr>
        <w:t>Nuclear, Operations, and Environmental Oversight (Chair)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Ms. Murtlow is a member of the Board of Directors, President and Chief Executive Officer of the United Way of Central Indiana, a non-profit community impact organization (since 2013). Previously, she spent twenty-four years with AES Corporation, a holding company for electric utilities located in Arlington, Virginia, and served for over twelve years in various senior leadership and officer roles including as Vice President and Group Manager of AES and President, Chief Executive Officer and Director of Indianapolis Power &amp; Light Company, an integrated electric utility, and its parent company, IPALCO Enterprises, both located in Indianapolis, Indiana. Ms. Murtlow currently serves on the Board of Directors of Wabash National Corporation (NYSE: WNC), a diversified industrial manufacturing company in Lafayette, Indiana (since 2013), where she chairs the nominating and corporate governance committee and serves on the compensation committee. She previously served on the Board of Directors of First Internet Bancorp and its subsidiary, First Internet Bank, a financial institution in Fishers, Indiana (2013−2020), and on the Boards of Directors of the Federal Reserve Bank of Chicago, Herff Jones, a manufacturer of educational recognition and achievement products and motivational materials located in Indianapolis, Indiana, and AEGIS Insurance Services, Inc., a mutual insurance company in East Rutherford, New Jersey. Ms. Murtlow received her Bachelor of Science in chemical engineering from Lehigh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-2373630</wp:posOffset>
            </wp:positionV>
            <wp:extent cx="58089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388" w:lineRule="exact"/>
        <w:rPr>
          <w:sz w:val="20"/>
          <w:szCs w:val="20"/>
          <w:color w:val="auto"/>
        </w:rPr>
      </w:pPr>
    </w:p>
    <w:p>
      <w:pPr>
        <w:jc w:val="both"/>
        <w:ind w:right="100"/>
        <w:spacing w:after="0" w:line="239" w:lineRule="auto"/>
        <w:rPr>
          <w:sz w:val="20"/>
          <w:szCs w:val="20"/>
          <w:color w:val="auto"/>
        </w:rPr>
      </w:pPr>
      <w:r>
        <w:rPr>
          <w:rFonts w:ascii="Arial" w:cs="Arial" w:eastAsia="Arial" w:hAnsi="Arial"/>
          <w:sz w:val="17"/>
          <w:szCs w:val="17"/>
          <w:color w:val="auto"/>
        </w:rPr>
        <w:t>Ms. Murtlow’s qualifications to serve as our director include her extensive and varied senior management leadership experience and accomplishments and deep insight and knowledge about the operations and challenges of a vertically integrated, regulated electric utility with nuclear generation. Ms. Murtlow has also been named a Board Leadership Fellow by the National Association of Corporate Directors. Ms. Murtlow is, among other things, “experienced” in the following core competencies: Strategy Development; Federal and State Regulation and Compliance; Alignment of Company Culture and Compensation and Leadership Development; Risk Management; Operational Oversight; Customer Experience; and Community and Political Relations.</w:t>
      </w:r>
    </w:p>
    <w:p>
      <w:pPr>
        <w:spacing w:after="0" w:line="37" w:lineRule="exact"/>
        <w:rPr>
          <w:sz w:val="20"/>
          <w:szCs w:val="20"/>
          <w:color w:val="auto"/>
        </w:rPr>
      </w:pPr>
    </w:p>
    <w:p>
      <w:pPr>
        <w:sectPr>
          <w:pgSz w:w="11900" w:h="16838" w:orient="portrait"/>
          <w:cols w:equalWidth="0" w:num="2">
            <w:col w:w="2220" w:space="420"/>
            <w:col w:w="6520"/>
          </w:cols>
          <w:pgMar w:left="1360" w:top="272" w:right="137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580" w:type="dxa"/>
            <w:vAlign w:val="bottom"/>
            <w:tcBorders>
              <w:top w:val="single" w:sz="8" w:color="307CC0"/>
            </w:tcBorders>
            <w:gridSpan w:val="2"/>
          </w:tcPr>
          <w:p>
            <w:pPr>
              <w:ind w:left="120"/>
              <w:spacing w:after="0" w:line="219" w:lineRule="exact"/>
              <w:rPr>
                <w:sz w:val="20"/>
                <w:szCs w:val="20"/>
                <w:color w:val="auto"/>
              </w:rPr>
            </w:pPr>
            <w:r>
              <w:rPr>
                <w:rFonts w:ascii="Arial" w:cs="Arial" w:eastAsia="Arial" w:hAnsi="Arial"/>
                <w:sz w:val="21"/>
                <w:szCs w:val="21"/>
                <w:b w:val="1"/>
                <w:bCs w:val="1"/>
                <w:color w:val="auto"/>
              </w:rPr>
              <w:t>Sandra J. Price</w:t>
            </w:r>
          </w:p>
        </w:tc>
        <w:tc>
          <w:tcPr>
            <w:tcW w:w="6580" w:type="dxa"/>
            <w:vAlign w:val="bottom"/>
            <w:tcBorders>
              <w:top w:val="single" w:sz="8" w:color="307CC0"/>
            </w:tcBorders>
          </w:tcPr>
          <w:p>
            <w:pPr>
              <w:ind w:left="60"/>
              <w:spacing w:after="0"/>
              <w:rPr>
                <w:sz w:val="20"/>
                <w:szCs w:val="20"/>
                <w:color w:val="auto"/>
              </w:rPr>
            </w:pPr>
            <w:r>
              <w:rPr>
                <w:rFonts w:ascii="Arial" w:cs="Arial" w:eastAsia="Arial" w:hAnsi="Arial"/>
                <w:sz w:val="17"/>
                <w:szCs w:val="17"/>
                <w:color w:val="auto"/>
              </w:rPr>
              <w:t>Ms. Price is the former Senior Vice President, Human Resources of Sprint</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580" w:type="dxa"/>
            <w:vAlign w:val="bottom"/>
          </w:tcPr>
          <w:p>
            <w:pPr>
              <w:ind w:left="60"/>
              <w:spacing w:after="0" w:line="194" w:lineRule="exact"/>
              <w:rPr>
                <w:sz w:val="20"/>
                <w:szCs w:val="20"/>
                <w:color w:val="auto"/>
              </w:rPr>
            </w:pPr>
            <w:r>
              <w:rPr>
                <w:rFonts w:ascii="Arial" w:cs="Arial" w:eastAsia="Arial" w:hAnsi="Arial"/>
                <w:sz w:val="17"/>
                <w:szCs w:val="17"/>
                <w:color w:val="auto"/>
              </w:rPr>
              <w:t>Corporation, a global telecommunications company located in Kansas City, Missouri</w:t>
            </w:r>
          </w:p>
        </w:tc>
        <w:tc>
          <w:tcPr>
            <w:tcW w:w="0" w:type="dxa"/>
            <w:vAlign w:val="bottom"/>
          </w:tcPr>
          <w:p>
            <w:pPr>
              <w:spacing w:after="0"/>
              <w:rPr>
                <w:sz w:val="1"/>
                <w:szCs w:val="1"/>
                <w:color w:val="auto"/>
              </w:rPr>
            </w:pPr>
          </w:p>
        </w:tc>
      </w:tr>
      <w:tr>
        <w:trPr>
          <w:trHeight w:val="194"/>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2016</w:t>
            </w:r>
          </w:p>
        </w:tc>
        <w:tc>
          <w:tcPr>
            <w:tcW w:w="6580" w:type="dxa"/>
            <w:vAlign w:val="bottom"/>
          </w:tcPr>
          <w:p>
            <w:pPr>
              <w:ind w:left="60"/>
              <w:spacing w:after="0" w:line="194" w:lineRule="exact"/>
              <w:rPr>
                <w:sz w:val="20"/>
                <w:szCs w:val="20"/>
                <w:color w:val="auto"/>
              </w:rPr>
            </w:pPr>
            <w:r>
              <w:rPr>
                <w:rFonts w:ascii="Arial" w:cs="Arial" w:eastAsia="Arial" w:hAnsi="Arial"/>
                <w:sz w:val="17"/>
                <w:szCs w:val="17"/>
                <w:color w:val="auto"/>
              </w:rPr>
              <w:t>(2006-2016). Previously, she served as Senior Vice President Designee for the</w:t>
            </w: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658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Human Resources, Communications and Brand Management functions of the</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line="194" w:lineRule="exact"/>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61</w:t>
            </w:r>
          </w:p>
        </w:tc>
        <w:tc>
          <w:tcPr>
            <w:tcW w:w="6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580" w:type="dxa"/>
            <w:vAlign w:val="bottom"/>
            <w:gridSpan w:val="2"/>
            <w:vMerge w:val="continue"/>
          </w:tcPr>
          <w:p>
            <w:pPr>
              <w:spacing w:after="0"/>
              <w:rPr>
                <w:sz w:val="4"/>
                <w:szCs w:val="4"/>
                <w:color w:val="auto"/>
              </w:rPr>
            </w:pPr>
          </w:p>
        </w:tc>
        <w:tc>
          <w:tcPr>
            <w:tcW w:w="658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Sprint Local Telephone Division and a variety of other human resource roles (1993-</w:t>
            </w:r>
          </w:p>
        </w:tc>
        <w:tc>
          <w:tcPr>
            <w:tcW w:w="0" w:type="dxa"/>
            <w:vAlign w:val="bottom"/>
          </w:tcPr>
          <w:p>
            <w:pPr>
              <w:spacing w:after="0"/>
              <w:rPr>
                <w:sz w:val="1"/>
                <w:szCs w:val="1"/>
                <w:color w:val="auto"/>
              </w:rPr>
            </w:pPr>
          </w:p>
        </w:tc>
      </w:tr>
      <w:tr>
        <w:trPr>
          <w:trHeight w:val="138"/>
        </w:trPr>
        <w:tc>
          <w:tcPr>
            <w:tcW w:w="258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Committee Membership:</w:t>
            </w:r>
          </w:p>
        </w:tc>
        <w:tc>
          <w:tcPr>
            <w:tcW w:w="6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580" w:type="dxa"/>
            <w:vAlign w:val="bottom"/>
            <w:gridSpan w:val="2"/>
            <w:vMerge w:val="continue"/>
          </w:tcPr>
          <w:p>
            <w:pPr>
              <w:spacing w:after="0"/>
              <w:rPr>
                <w:sz w:val="6"/>
                <w:szCs w:val="6"/>
                <w:color w:val="auto"/>
              </w:rPr>
            </w:pPr>
          </w:p>
        </w:tc>
        <w:tc>
          <w:tcPr>
            <w:tcW w:w="658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2006). Prior to Sprint, she was a principal in the Blue Valley School District,</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Compensation and</w:t>
            </w: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Overland Park, Kansas, and in the Jenks Public School District, Tulsa, Oklahoma.</w:t>
            </w: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34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Leadership Development</w:t>
            </w: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She served as co-chair of KC Rising (2017-2018), a non-profit organization focused</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34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Nominating, Governance,</w:t>
            </w:r>
          </w:p>
        </w:tc>
        <w:tc>
          <w:tcPr>
            <w:tcW w:w="6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340" w:type="dxa"/>
            <w:vAlign w:val="bottom"/>
            <w:vMerge w:val="continue"/>
          </w:tcPr>
          <w:p>
            <w:pPr>
              <w:spacing w:after="0"/>
              <w:rPr>
                <w:sz w:val="6"/>
                <w:szCs w:val="6"/>
                <w:color w:val="auto"/>
              </w:rPr>
            </w:pPr>
          </w:p>
        </w:tc>
        <w:tc>
          <w:tcPr>
            <w:tcW w:w="6580" w:type="dxa"/>
            <w:vAlign w:val="bottom"/>
            <w:vMerge w:val="restart"/>
          </w:tcPr>
          <w:p>
            <w:pPr>
              <w:ind w:left="60"/>
              <w:spacing w:after="0"/>
              <w:rPr>
                <w:sz w:val="20"/>
                <w:szCs w:val="20"/>
                <w:color w:val="auto"/>
              </w:rPr>
            </w:pPr>
            <w:r>
              <w:rPr>
                <w:rFonts w:ascii="Arial" w:cs="Arial" w:eastAsia="Arial" w:hAnsi="Arial"/>
                <w:sz w:val="17"/>
                <w:szCs w:val="17"/>
                <w:color w:val="auto"/>
              </w:rPr>
              <w:t>on economic development in the Kansas City metropolitan area. Ms. Price is a</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2340" w:type="dxa"/>
            <w:vAlign w:val="bottom"/>
          </w:tcPr>
          <w:p>
            <w:pPr>
              <w:ind w:left="60"/>
              <w:spacing w:after="0" w:line="156" w:lineRule="exact"/>
              <w:rPr>
                <w:sz w:val="20"/>
                <w:szCs w:val="20"/>
                <w:color w:val="auto"/>
              </w:rPr>
            </w:pPr>
            <w:r>
              <w:rPr>
                <w:rFonts w:ascii="Arial" w:cs="Arial" w:eastAsia="Arial" w:hAnsi="Arial"/>
                <w:sz w:val="17"/>
                <w:szCs w:val="17"/>
                <w:color w:val="auto"/>
              </w:rPr>
              <w:t>and Corporate Responsibility</w:t>
            </w:r>
          </w:p>
        </w:tc>
        <w:tc>
          <w:tcPr>
            <w:tcW w:w="6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580" w:type="dxa"/>
            <w:vAlign w:val="bottom"/>
          </w:tcPr>
          <w:p>
            <w:pPr>
              <w:ind w:left="60"/>
              <w:spacing w:after="0" w:line="154" w:lineRule="exact"/>
              <w:rPr>
                <w:sz w:val="20"/>
                <w:szCs w:val="20"/>
                <w:color w:val="auto"/>
              </w:rPr>
            </w:pPr>
            <w:r>
              <w:rPr>
                <w:rFonts w:ascii="Arial" w:cs="Arial" w:eastAsia="Arial" w:hAnsi="Arial"/>
                <w:sz w:val="17"/>
                <w:szCs w:val="17"/>
                <w:color w:val="auto"/>
              </w:rPr>
              <w:t>member of the Boards of Directors of the Heartland Chapter of the National</w:t>
            </w:r>
          </w:p>
        </w:tc>
        <w:tc>
          <w:tcPr>
            <w:tcW w:w="0" w:type="dxa"/>
            <w:vAlign w:val="bottom"/>
          </w:tcPr>
          <w:p>
            <w:pPr>
              <w:spacing w:after="0"/>
              <w:rPr>
                <w:sz w:val="1"/>
                <w:szCs w:val="1"/>
                <w:color w:val="auto"/>
              </w:rPr>
            </w:pPr>
          </w:p>
        </w:tc>
      </w:tr>
    </w:tbl>
    <w:p>
      <w:pPr>
        <w:jc w:val="both"/>
        <w:ind w:left="2640" w:right="100"/>
        <w:spacing w:after="0" w:line="243" w:lineRule="auto"/>
        <w:rPr>
          <w:sz w:val="20"/>
          <w:szCs w:val="20"/>
          <w:color w:val="auto"/>
        </w:rPr>
      </w:pPr>
      <w:r>
        <w:rPr>
          <w:rFonts w:ascii="Arial" w:cs="Arial" w:eastAsia="Arial" w:hAnsi="Arial"/>
          <w:sz w:val="17"/>
          <w:szCs w:val="17"/>
          <w:color w:val="auto"/>
        </w:rPr>
        <w:t>Association of Corporate Directors and of the Kansas City Metropolitan Community College Foundation. Ms. Price received her Bachelor of Arts in special education from Oral Roberts University and a Master of Arts in education and administration from the University of Tulsa.</w:t>
      </w:r>
    </w:p>
    <w:p>
      <w:pPr>
        <w:spacing w:after="0" w:line="229" w:lineRule="exact"/>
        <w:rPr>
          <w:sz w:val="20"/>
          <w:szCs w:val="20"/>
          <w:color w:val="auto"/>
        </w:rPr>
      </w:pPr>
    </w:p>
    <w:p>
      <w:pPr>
        <w:jc w:val="both"/>
        <w:ind w:left="2640" w:right="100"/>
        <w:spacing w:after="0" w:line="239" w:lineRule="auto"/>
        <w:rPr>
          <w:sz w:val="20"/>
          <w:szCs w:val="20"/>
          <w:color w:val="auto"/>
        </w:rPr>
      </w:pPr>
      <w:r>
        <w:rPr>
          <w:rFonts w:ascii="Arial" w:cs="Arial" w:eastAsia="Arial" w:hAnsi="Arial"/>
          <w:sz w:val="17"/>
          <w:szCs w:val="17"/>
          <w:color w:val="auto"/>
        </w:rPr>
        <w:t>Ms. Price’s qualifications to serve as our director include her diverse senior management and leadership experience, her deep understanding of human resources and talent development and her knowledge of our Kansas City service territory. Ms. Price was named to the Kansas City Business Journal’s “Women Who Mean Business” list and to the Profiles in Diversity Journal’s “Women Worth Watching.” Ms. Price is, among other things, “experienced” in the following core competencies: Strategy Development; Alignment of Company Culture and Compensation and Leadership Development; Operational Oversight; and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135255</wp:posOffset>
            </wp:positionV>
            <wp:extent cx="58089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7" w:lineRule="exact"/>
        <w:rPr>
          <w:sz w:val="20"/>
          <w:szCs w:val="20"/>
          <w:color w:val="auto"/>
        </w:rPr>
      </w:pPr>
    </w:p>
    <w:p>
      <w:pPr>
        <w:jc w:val="right"/>
        <w:spacing w:after="0"/>
        <w:tabs>
          <w:tab w:leader="none" w:pos="4260" w:val="left"/>
        </w:tabs>
        <w:rPr>
          <w:sz w:val="20"/>
          <w:szCs w:val="20"/>
          <w:color w:val="auto"/>
        </w:rPr>
      </w:pPr>
      <w:r>
        <w:rPr>
          <w:rFonts w:ascii="Arial" w:cs="Arial" w:eastAsia="Arial" w:hAnsi="Arial"/>
          <w:sz w:val="14"/>
          <w:szCs w:val="14"/>
          <w:b w:val="1"/>
          <w:bCs w:val="1"/>
          <w:color w:val="307CC0"/>
        </w:rPr>
        <w:t>Proposal 1 - Election of Directors</w:t>
      </w:r>
      <w:r>
        <w:rPr>
          <w:sz w:val="20"/>
          <w:szCs w:val="20"/>
          <w:color w:val="auto"/>
        </w:rPr>
        <w:tab/>
      </w:r>
      <w:r>
        <w:rPr>
          <w:rFonts w:ascii="Arial" w:cs="Arial" w:eastAsia="Arial" w:hAnsi="Arial"/>
          <w:sz w:val="13"/>
          <w:szCs w:val="13"/>
          <w:b w:val="1"/>
          <w:bCs w:val="1"/>
          <w:color w:val="7F7F7F"/>
        </w:rPr>
        <w:t xml:space="preserve">Director Nominee Biographies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type w:val="continuous"/>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420" w:type="dxa"/>
            <w:vAlign w:val="bottom"/>
            <w:tcBorders>
              <w:top w:val="single" w:sz="8" w:color="307CC0"/>
            </w:tcBorders>
            <w:gridSpan w:val="2"/>
          </w:tcPr>
          <w:p>
            <w:pPr>
              <w:ind w:left="120"/>
              <w:spacing w:after="0" w:line="219" w:lineRule="exact"/>
              <w:rPr>
                <w:sz w:val="20"/>
                <w:szCs w:val="20"/>
                <w:color w:val="auto"/>
              </w:rPr>
            </w:pPr>
            <w:r>
              <w:rPr>
                <w:rFonts w:ascii="Arial" w:cs="Arial" w:eastAsia="Arial" w:hAnsi="Arial"/>
                <w:sz w:val="21"/>
                <w:szCs w:val="21"/>
                <w:b w:val="1"/>
                <w:bCs w:val="1"/>
                <w:color w:val="auto"/>
              </w:rPr>
              <w:t>Mark A. Ruelle</w:t>
            </w:r>
          </w:p>
        </w:tc>
        <w:tc>
          <w:tcPr>
            <w:tcW w:w="6740" w:type="dxa"/>
            <w:vAlign w:val="bottom"/>
            <w:tcBorders>
              <w:top w:val="single" w:sz="8" w:color="307CC0"/>
            </w:tcBorders>
            <w:gridSpan w:val="2"/>
          </w:tcPr>
          <w:p>
            <w:pPr>
              <w:ind w:left="220"/>
              <w:spacing w:after="0"/>
              <w:rPr>
                <w:sz w:val="20"/>
                <w:szCs w:val="20"/>
                <w:color w:val="auto"/>
              </w:rPr>
            </w:pPr>
            <w:r>
              <w:rPr>
                <w:rFonts w:ascii="Arial" w:cs="Arial" w:eastAsia="Arial" w:hAnsi="Arial"/>
                <w:sz w:val="17"/>
                <w:szCs w:val="17"/>
                <w:color w:val="auto"/>
              </w:rPr>
              <w:t>Mr. Ruelle is Chairman of the Board. Mr. Ruelle served as a member of the Board of</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Directors, President and Chief Executive Officer of Westar Energy prior to the</w:t>
            </w:r>
          </w:p>
        </w:tc>
        <w:tc>
          <w:tcPr>
            <w:tcW w:w="0" w:type="dxa"/>
            <w:vAlign w:val="bottom"/>
          </w:tcPr>
          <w:p>
            <w:pPr>
              <w:spacing w:after="0"/>
              <w:rPr>
                <w:sz w:val="1"/>
                <w:szCs w:val="1"/>
                <w:color w:val="auto"/>
              </w:rPr>
            </w:pPr>
          </w:p>
        </w:tc>
      </w:tr>
      <w:tr>
        <w:trPr>
          <w:trHeight w:val="194"/>
        </w:trPr>
        <w:tc>
          <w:tcPr>
            <w:tcW w:w="24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2011</w:t>
            </w: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merger with Great Plains Energy that resulted in the formation of Evergy (2011-</w:t>
            </w:r>
          </w:p>
        </w:tc>
        <w:tc>
          <w:tcPr>
            <w:tcW w:w="0" w:type="dxa"/>
            <w:vAlign w:val="bottom"/>
          </w:tcPr>
          <w:p>
            <w:pPr>
              <w:spacing w:after="0"/>
              <w:rPr>
                <w:sz w:val="1"/>
                <w:szCs w:val="1"/>
                <w:color w:val="auto"/>
              </w:rPr>
            </w:pPr>
          </w:p>
        </w:tc>
      </w:tr>
      <w:tr>
        <w:trPr>
          <w:trHeight w:val="56"/>
        </w:trPr>
        <w:tc>
          <w:tcPr>
            <w:tcW w:w="2420" w:type="dxa"/>
            <w:vAlign w:val="bottom"/>
            <w:gridSpan w:val="2"/>
            <w:vMerge w:val="continue"/>
          </w:tcPr>
          <w:p>
            <w:pPr>
              <w:spacing w:after="0"/>
              <w:rPr>
                <w:sz w:val="4"/>
                <w:szCs w:val="4"/>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2018). Mr. Ruelle was also previously Executive Vice President and Chief Financial</w:t>
            </w:r>
          </w:p>
        </w:tc>
        <w:tc>
          <w:tcPr>
            <w:tcW w:w="0" w:type="dxa"/>
            <w:vAlign w:val="bottom"/>
          </w:tcPr>
          <w:p>
            <w:pPr>
              <w:spacing w:after="0"/>
              <w:rPr>
                <w:sz w:val="1"/>
                <w:szCs w:val="1"/>
                <w:color w:val="auto"/>
              </w:rPr>
            </w:pPr>
          </w:p>
        </w:tc>
      </w:tr>
      <w:tr>
        <w:trPr>
          <w:trHeight w:val="138"/>
        </w:trPr>
        <w:tc>
          <w:tcPr>
            <w:tcW w:w="2420" w:type="dxa"/>
            <w:vAlign w:val="bottom"/>
            <w:gridSpan w:val="2"/>
            <w:vMerge w:val="restart"/>
          </w:tcPr>
          <w:p>
            <w:pPr>
              <w:ind w:left="120"/>
              <w:spacing w:after="0" w:line="194" w:lineRule="exact"/>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58</w:t>
            </w:r>
          </w:p>
        </w:tc>
        <w:tc>
          <w:tcPr>
            <w:tcW w:w="6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420" w:type="dxa"/>
            <w:vAlign w:val="bottom"/>
            <w:gridSpan w:val="2"/>
            <w:vMerge w:val="continue"/>
          </w:tcPr>
          <w:p>
            <w:pPr>
              <w:spacing w:after="0"/>
              <w:rPr>
                <w:sz w:val="4"/>
                <w:szCs w:val="4"/>
                <w:color w:val="auto"/>
              </w:rPr>
            </w:pPr>
          </w:p>
        </w:tc>
        <w:tc>
          <w:tcPr>
            <w:tcW w:w="2340" w:type="dxa"/>
            <w:vAlign w:val="bottom"/>
            <w:vMerge w:val="restart"/>
          </w:tcPr>
          <w:p>
            <w:pPr>
              <w:ind w:left="220"/>
              <w:spacing w:after="0" w:line="194" w:lineRule="exact"/>
              <w:rPr>
                <w:sz w:val="20"/>
                <w:szCs w:val="20"/>
                <w:color w:val="auto"/>
              </w:rPr>
            </w:pPr>
            <w:r>
              <w:rPr>
                <w:rFonts w:ascii="Arial" w:cs="Arial" w:eastAsia="Arial" w:hAnsi="Arial"/>
                <w:sz w:val="17"/>
                <w:szCs w:val="17"/>
                <w:color w:val="auto"/>
              </w:rPr>
              <w:t>Officer of Westar Energy</w:t>
            </w:r>
          </w:p>
        </w:tc>
        <w:tc>
          <w:tcPr>
            <w:tcW w:w="4400" w:type="dxa"/>
            <w:vAlign w:val="bottom"/>
            <w:vMerge w:val="restart"/>
          </w:tcPr>
          <w:p>
            <w:pPr>
              <w:jc w:val="right"/>
              <w:ind w:right="20"/>
              <w:spacing w:after="0" w:line="194" w:lineRule="exact"/>
              <w:rPr>
                <w:sz w:val="20"/>
                <w:szCs w:val="20"/>
                <w:color w:val="auto"/>
              </w:rPr>
            </w:pPr>
            <w:r>
              <w:rPr>
                <w:rFonts w:ascii="Arial" w:cs="Arial" w:eastAsia="Arial" w:hAnsi="Arial"/>
                <w:sz w:val="17"/>
                <w:szCs w:val="17"/>
                <w:color w:val="auto"/>
              </w:rPr>
              <w:t>(2003-2011), and had held other financial, strategic</w:t>
            </w:r>
          </w:p>
        </w:tc>
        <w:tc>
          <w:tcPr>
            <w:tcW w:w="0" w:type="dxa"/>
            <w:vAlign w:val="bottom"/>
          </w:tcPr>
          <w:p>
            <w:pPr>
              <w:spacing w:after="0"/>
              <w:rPr>
                <w:sz w:val="1"/>
                <w:szCs w:val="1"/>
                <w:color w:val="auto"/>
              </w:rPr>
            </w:pPr>
          </w:p>
        </w:tc>
      </w:tr>
      <w:tr>
        <w:trPr>
          <w:trHeight w:val="138"/>
        </w:trPr>
        <w:tc>
          <w:tcPr>
            <w:tcW w:w="24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Committee Membership:</w:t>
            </w:r>
          </w:p>
        </w:tc>
        <w:tc>
          <w:tcPr>
            <w:tcW w:w="2340" w:type="dxa"/>
            <w:vAlign w:val="bottom"/>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420" w:type="dxa"/>
            <w:vAlign w:val="bottom"/>
            <w:gridSpan w:val="2"/>
            <w:vMerge w:val="continue"/>
          </w:tcPr>
          <w:p>
            <w:pPr>
              <w:spacing w:after="0"/>
              <w:rPr>
                <w:sz w:val="6"/>
                <w:szCs w:val="6"/>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planning and corporate development positions with Westar Energy. Mr. Ruelle also</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18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Nuclear, Operations, and</w:t>
            </w:r>
          </w:p>
        </w:tc>
        <w:tc>
          <w:tcPr>
            <w:tcW w:w="6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180" w:type="dxa"/>
            <w:vAlign w:val="bottom"/>
            <w:vMerge w:val="continue"/>
          </w:tcPr>
          <w:p>
            <w:pPr>
              <w:spacing w:after="0"/>
              <w:rPr>
                <w:sz w:val="6"/>
                <w:szCs w:val="6"/>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served as Senior Vice President, Chief Financial Officer and Treasurer of Sierra</w:t>
            </w: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180" w:type="dxa"/>
            <w:vAlign w:val="bottom"/>
            <w:vMerge w:val="restart"/>
          </w:tcPr>
          <w:p>
            <w:pPr>
              <w:ind w:left="60"/>
              <w:spacing w:after="0"/>
              <w:rPr>
                <w:sz w:val="20"/>
                <w:szCs w:val="20"/>
                <w:color w:val="auto"/>
              </w:rPr>
            </w:pPr>
            <w:r>
              <w:rPr>
                <w:rFonts w:ascii="Arial" w:cs="Arial" w:eastAsia="Arial" w:hAnsi="Arial"/>
                <w:sz w:val="17"/>
                <w:szCs w:val="17"/>
                <w:color w:val="auto"/>
              </w:rPr>
              <w:t>Environmental Oversight</w:t>
            </w:r>
          </w:p>
        </w:tc>
        <w:tc>
          <w:tcPr>
            <w:tcW w:w="6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Pacific Resources and its integrated electric utility subsidiary, Sierra Pacific Power</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Company (1997-2001), and, following its acquisition by Sierra Pacific Resources,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President of Nevada Power Company (2001-2002), in Las Vegas, Nevada. He is on</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the Board of Directors of Stormont-Vail Health Care and various charitable and civic</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organizations. Mr. Ruelle previously served on the Board of Directors of Houston</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Wire &amp; Cable Company, a provider of industrial electrical and mechanical wire and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cable products (2014-2018). Mr. Ruelle received both a Bachelor of Arts degree and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a Master of Arts degree in economics from the University of North Dakota and has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completed the Institute of Nuclear Power Operations Nuclear Reactor Technology</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740" w:type="dxa"/>
            <w:vAlign w:val="bottom"/>
            <w:gridSpan w:val="2"/>
          </w:tcPr>
          <w:p>
            <w:pPr>
              <w:ind w:left="220"/>
              <w:spacing w:after="0"/>
              <w:rPr>
                <w:sz w:val="20"/>
                <w:szCs w:val="20"/>
                <w:color w:val="auto"/>
              </w:rPr>
            </w:pPr>
            <w:r>
              <w:rPr>
                <w:rFonts w:ascii="Arial" w:cs="Arial" w:eastAsia="Arial" w:hAnsi="Arial"/>
                <w:sz w:val="17"/>
                <w:szCs w:val="17"/>
                <w:color w:val="auto"/>
              </w:rPr>
              <w:t>Course for Executives at the Massachusetts Institute of Technology.</w:t>
            </w:r>
          </w:p>
        </w:tc>
        <w:tc>
          <w:tcPr>
            <w:tcW w:w="0" w:type="dxa"/>
            <w:vAlign w:val="bottom"/>
          </w:tcPr>
          <w:p>
            <w:pPr>
              <w:spacing w:after="0"/>
              <w:rPr>
                <w:sz w:val="1"/>
                <w:szCs w:val="1"/>
                <w:color w:val="auto"/>
              </w:rPr>
            </w:pPr>
          </w:p>
        </w:tc>
      </w:tr>
      <w:tr>
        <w:trPr>
          <w:trHeight w:val="425"/>
        </w:trPr>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740" w:type="dxa"/>
            <w:vAlign w:val="bottom"/>
            <w:gridSpan w:val="2"/>
          </w:tcPr>
          <w:p>
            <w:pPr>
              <w:ind w:left="220"/>
              <w:spacing w:after="0"/>
              <w:rPr>
                <w:sz w:val="20"/>
                <w:szCs w:val="20"/>
                <w:color w:val="auto"/>
              </w:rPr>
            </w:pPr>
            <w:r>
              <w:rPr>
                <w:rFonts w:ascii="Arial" w:cs="Arial" w:eastAsia="Arial" w:hAnsi="Arial"/>
                <w:sz w:val="17"/>
                <w:szCs w:val="17"/>
                <w:color w:val="auto"/>
              </w:rPr>
              <w:t>Mr. Ruelle’s qualifications to serve as our director and Chairman of the Board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include his leadership experience, his financial expertise and his extensive utility</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industry experience, including with nuclear generation. He also has experience as a</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public company director and with corporate governance. Mr. Ruelle has deep</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connections  in  our  Kansas  service  territory  and,  in  particular,  the  business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community in Topeka, Kansas, one of our significant markets and our Kansas</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operational headquarters. Mr. Ruelle is, among other things, “experienced” in the</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following core competencies: Strategy Development; Federal and State Regulation</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and  Compliance;  Alignment  of  Company  Culture  and  Compensation  and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Leadership Development; Accounting, Finance and Investment Management; Risk</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Management; Operational Oversight; Customer Experience; and Community and</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7"/>
                <w:szCs w:val="17"/>
                <w:color w:val="auto"/>
              </w:rPr>
              <w:t>Public Relations.</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2420" w:type="dxa"/>
            <w:vAlign w:val="bottom"/>
            <w:tcBorders>
              <w:bottom w:val="single" w:sz="8" w:color="307CC0"/>
            </w:tcBorders>
            <w:gridSpan w:val="2"/>
          </w:tcPr>
          <w:p>
            <w:pPr>
              <w:spacing w:after="0"/>
              <w:rPr>
                <w:sz w:val="4"/>
                <w:szCs w:val="4"/>
                <w:color w:val="auto"/>
              </w:rPr>
            </w:pPr>
          </w:p>
        </w:tc>
        <w:tc>
          <w:tcPr>
            <w:tcW w:w="6740" w:type="dxa"/>
            <w:vAlign w:val="bottom"/>
            <w:tcBorders>
              <w:bottom w:val="single" w:sz="8" w:color="307CC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420" w:type="dxa"/>
            <w:vAlign w:val="bottom"/>
            <w:gridSpan w:val="2"/>
          </w:tcPr>
          <w:p>
            <w:pPr>
              <w:ind w:left="120"/>
              <w:spacing w:after="0" w:line="199" w:lineRule="exact"/>
              <w:rPr>
                <w:sz w:val="20"/>
                <w:szCs w:val="20"/>
                <w:color w:val="auto"/>
              </w:rPr>
            </w:pPr>
            <w:r>
              <w:rPr>
                <w:rFonts w:ascii="Arial" w:cs="Arial" w:eastAsia="Arial" w:hAnsi="Arial"/>
                <w:sz w:val="21"/>
                <w:szCs w:val="21"/>
                <w:b w:val="1"/>
                <w:bCs w:val="1"/>
                <w:color w:val="auto"/>
              </w:rPr>
              <w:t>S. Carl Soderstrom Jr.</w:t>
            </w:r>
          </w:p>
        </w:tc>
        <w:tc>
          <w:tcPr>
            <w:tcW w:w="6740" w:type="dxa"/>
            <w:vAlign w:val="bottom"/>
            <w:gridSpan w:val="2"/>
          </w:tcPr>
          <w:p>
            <w:pPr>
              <w:ind w:left="220"/>
              <w:spacing w:after="0"/>
              <w:rPr>
                <w:sz w:val="20"/>
                <w:szCs w:val="20"/>
                <w:color w:val="auto"/>
              </w:rPr>
            </w:pPr>
            <w:r>
              <w:rPr>
                <w:rFonts w:ascii="Arial" w:cs="Arial" w:eastAsia="Arial" w:hAnsi="Arial"/>
                <w:sz w:val="17"/>
                <w:szCs w:val="17"/>
                <w:color w:val="auto"/>
              </w:rPr>
              <w:t>Mr. Soderstrom is the former Senior Vice President and Chief Financial Officer of</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ArvinMeritor, an automotive and commercial vehicle components manufacturer</w:t>
            </w:r>
          </w:p>
        </w:tc>
        <w:tc>
          <w:tcPr>
            <w:tcW w:w="0" w:type="dxa"/>
            <w:vAlign w:val="bottom"/>
          </w:tcPr>
          <w:p>
            <w:pPr>
              <w:spacing w:after="0"/>
              <w:rPr>
                <w:sz w:val="1"/>
                <w:szCs w:val="1"/>
                <w:color w:val="auto"/>
              </w:rPr>
            </w:pPr>
          </w:p>
        </w:tc>
      </w:tr>
      <w:tr>
        <w:trPr>
          <w:trHeight w:val="194"/>
        </w:trPr>
        <w:tc>
          <w:tcPr>
            <w:tcW w:w="24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2010</w:t>
            </w:r>
          </w:p>
        </w:tc>
        <w:tc>
          <w:tcPr>
            <w:tcW w:w="2340" w:type="dxa"/>
            <w:vAlign w:val="bottom"/>
          </w:tcPr>
          <w:p>
            <w:pPr>
              <w:ind w:left="220"/>
              <w:spacing w:after="0" w:line="194" w:lineRule="exact"/>
              <w:rPr>
                <w:sz w:val="20"/>
                <w:szCs w:val="20"/>
                <w:color w:val="auto"/>
              </w:rPr>
            </w:pPr>
            <w:r>
              <w:rPr>
                <w:rFonts w:ascii="Arial" w:cs="Arial" w:eastAsia="Arial" w:hAnsi="Arial"/>
                <w:sz w:val="17"/>
                <w:szCs w:val="17"/>
                <w:color w:val="auto"/>
              </w:rPr>
              <w:t>based  in  Troy,  Michigan</w:t>
            </w:r>
          </w:p>
        </w:tc>
        <w:tc>
          <w:tcPr>
            <w:tcW w:w="4400" w:type="dxa"/>
            <w:vAlign w:val="bottom"/>
          </w:tcPr>
          <w:p>
            <w:pPr>
              <w:jc w:val="right"/>
              <w:ind w:right="40"/>
              <w:spacing w:after="0" w:line="194" w:lineRule="exact"/>
              <w:rPr>
                <w:sz w:val="20"/>
                <w:szCs w:val="20"/>
                <w:color w:val="auto"/>
              </w:rPr>
            </w:pPr>
            <w:r>
              <w:rPr>
                <w:rFonts w:ascii="Arial" w:cs="Arial" w:eastAsia="Arial" w:hAnsi="Arial"/>
                <w:sz w:val="17"/>
                <w:szCs w:val="17"/>
                <w:color w:val="auto"/>
              </w:rPr>
              <w:t>(2001-2004).  Previously,  he  served  as  Senior  Vice</w:t>
            </w:r>
          </w:p>
        </w:tc>
        <w:tc>
          <w:tcPr>
            <w:tcW w:w="0" w:type="dxa"/>
            <w:vAlign w:val="bottom"/>
          </w:tcPr>
          <w:p>
            <w:pPr>
              <w:spacing w:after="0"/>
              <w:rPr>
                <w:sz w:val="1"/>
                <w:szCs w:val="1"/>
                <w:color w:val="auto"/>
              </w:rPr>
            </w:pPr>
          </w:p>
        </w:tc>
      </w:tr>
      <w:tr>
        <w:trPr>
          <w:trHeight w:val="56"/>
        </w:trPr>
        <w:tc>
          <w:tcPr>
            <w:tcW w:w="2420" w:type="dxa"/>
            <w:vAlign w:val="bottom"/>
            <w:gridSpan w:val="2"/>
            <w:vMerge w:val="continue"/>
          </w:tcPr>
          <w:p>
            <w:pPr>
              <w:spacing w:after="0"/>
              <w:rPr>
                <w:sz w:val="4"/>
                <w:szCs w:val="4"/>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President, Engineering, Quality and Procurement for the company (1997-2001). Mr.</w:t>
            </w:r>
          </w:p>
        </w:tc>
        <w:tc>
          <w:tcPr>
            <w:tcW w:w="0" w:type="dxa"/>
            <w:vAlign w:val="bottom"/>
          </w:tcPr>
          <w:p>
            <w:pPr>
              <w:spacing w:after="0"/>
              <w:rPr>
                <w:sz w:val="1"/>
                <w:szCs w:val="1"/>
                <w:color w:val="auto"/>
              </w:rPr>
            </w:pPr>
          </w:p>
        </w:tc>
      </w:tr>
      <w:tr>
        <w:trPr>
          <w:trHeight w:val="138"/>
        </w:trPr>
        <w:tc>
          <w:tcPr>
            <w:tcW w:w="2420" w:type="dxa"/>
            <w:vAlign w:val="bottom"/>
            <w:gridSpan w:val="2"/>
            <w:vMerge w:val="restart"/>
          </w:tcPr>
          <w:p>
            <w:pPr>
              <w:ind w:left="120"/>
              <w:spacing w:after="0" w:line="194" w:lineRule="exact"/>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66</w:t>
            </w:r>
          </w:p>
        </w:tc>
        <w:tc>
          <w:tcPr>
            <w:tcW w:w="6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420" w:type="dxa"/>
            <w:vAlign w:val="bottom"/>
            <w:gridSpan w:val="2"/>
            <w:vMerge w:val="continue"/>
          </w:tcPr>
          <w:p>
            <w:pPr>
              <w:spacing w:after="0"/>
              <w:rPr>
                <w:sz w:val="4"/>
                <w:szCs w:val="4"/>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Soderstrom held executive/management positions at Rockwell International (1986-</w:t>
            </w:r>
          </w:p>
        </w:tc>
        <w:tc>
          <w:tcPr>
            <w:tcW w:w="0" w:type="dxa"/>
            <w:vAlign w:val="bottom"/>
          </w:tcPr>
          <w:p>
            <w:pPr>
              <w:spacing w:after="0"/>
              <w:rPr>
                <w:sz w:val="1"/>
                <w:szCs w:val="1"/>
                <w:color w:val="auto"/>
              </w:rPr>
            </w:pPr>
          </w:p>
        </w:tc>
      </w:tr>
      <w:tr>
        <w:trPr>
          <w:trHeight w:val="138"/>
        </w:trPr>
        <w:tc>
          <w:tcPr>
            <w:tcW w:w="24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307CC0"/>
              </w:rPr>
              <w:t>Committee Membership:</w:t>
            </w:r>
          </w:p>
        </w:tc>
        <w:tc>
          <w:tcPr>
            <w:tcW w:w="6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420" w:type="dxa"/>
            <w:vAlign w:val="bottom"/>
            <w:gridSpan w:val="2"/>
            <w:vMerge w:val="continue"/>
          </w:tcPr>
          <w:p>
            <w:pPr>
              <w:spacing w:after="0"/>
              <w:rPr>
                <w:sz w:val="6"/>
                <w:szCs w:val="6"/>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1998), General Electric Company (1980-1986) and Emerson Electric (1977-1980).</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180" w:type="dxa"/>
            <w:vAlign w:val="bottom"/>
            <w:vMerge w:val="restart"/>
          </w:tcPr>
          <w:p>
            <w:pPr>
              <w:ind w:left="60"/>
              <w:spacing w:after="0" w:line="194" w:lineRule="exact"/>
              <w:rPr>
                <w:sz w:val="20"/>
                <w:szCs w:val="20"/>
                <w:color w:val="auto"/>
              </w:rPr>
            </w:pPr>
            <w:r>
              <w:rPr>
                <w:rFonts w:ascii="Arial" w:cs="Arial" w:eastAsia="Arial" w:hAnsi="Arial"/>
                <w:sz w:val="17"/>
                <w:szCs w:val="17"/>
                <w:color w:val="auto"/>
              </w:rPr>
              <w:t>Audit</w:t>
            </w:r>
          </w:p>
        </w:tc>
        <w:tc>
          <w:tcPr>
            <w:tcW w:w="6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180" w:type="dxa"/>
            <w:vAlign w:val="bottom"/>
            <w:vMerge w:val="continue"/>
          </w:tcPr>
          <w:p>
            <w:pPr>
              <w:spacing w:after="0"/>
              <w:rPr>
                <w:sz w:val="6"/>
                <w:szCs w:val="6"/>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He is a member of the Board of Directors of Lydall Inc. (NYSE: LDL), a technology</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18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Finance</w:t>
            </w:r>
          </w:p>
        </w:tc>
        <w:tc>
          <w:tcPr>
            <w:tcW w:w="6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180" w:type="dxa"/>
            <w:vAlign w:val="bottom"/>
            <w:vMerge w:val="continue"/>
          </w:tcPr>
          <w:p>
            <w:pPr>
              <w:spacing w:after="0"/>
              <w:rPr>
                <w:sz w:val="6"/>
                <w:szCs w:val="6"/>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and manufacturing company headquartered in Manchester, Connecticut (since</w:t>
            </w:r>
          </w:p>
        </w:tc>
        <w:tc>
          <w:tcPr>
            <w:tcW w:w="0" w:type="dxa"/>
            <w:vAlign w:val="bottom"/>
          </w:tcPr>
          <w:p>
            <w:pPr>
              <w:spacing w:after="0"/>
              <w:rPr>
                <w:sz w:val="1"/>
                <w:szCs w:val="1"/>
                <w:color w:val="auto"/>
              </w:rPr>
            </w:pPr>
          </w:p>
        </w:tc>
      </w:tr>
      <w:tr>
        <w:trPr>
          <w:trHeight w:val="116"/>
        </w:trPr>
        <w:tc>
          <w:tcPr>
            <w:tcW w:w="240" w:type="dxa"/>
            <w:vAlign w:val="bottom"/>
            <w:vMerge w:val="restart"/>
          </w:tcPr>
          <w:p>
            <w:pPr>
              <w:ind w:left="120"/>
              <w:spacing w:after="0" w:line="194" w:lineRule="exact"/>
              <w:rPr>
                <w:sz w:val="20"/>
                <w:szCs w:val="20"/>
                <w:color w:val="auto"/>
              </w:rPr>
            </w:pPr>
            <w:r>
              <w:rPr>
                <w:rFonts w:ascii="Arial" w:cs="Arial" w:eastAsia="Arial" w:hAnsi="Arial"/>
                <w:sz w:val="17"/>
                <w:szCs w:val="17"/>
                <w:color w:val="307CC0"/>
              </w:rPr>
              <w:t>▪</w:t>
            </w:r>
          </w:p>
        </w:tc>
        <w:tc>
          <w:tcPr>
            <w:tcW w:w="2180" w:type="dxa"/>
            <w:vAlign w:val="bottom"/>
            <w:vMerge w:val="restart"/>
          </w:tcPr>
          <w:p>
            <w:pPr>
              <w:ind w:left="80"/>
              <w:spacing w:after="0" w:line="194" w:lineRule="exact"/>
              <w:rPr>
                <w:sz w:val="20"/>
                <w:szCs w:val="20"/>
                <w:color w:val="auto"/>
              </w:rPr>
            </w:pPr>
            <w:r>
              <w:rPr>
                <w:rFonts w:ascii="Arial" w:cs="Arial" w:eastAsia="Arial" w:hAnsi="Arial"/>
                <w:sz w:val="17"/>
                <w:szCs w:val="17"/>
                <w:color w:val="auto"/>
              </w:rPr>
              <w:t>Nuclear, Operations, and</w:t>
            </w:r>
          </w:p>
        </w:tc>
        <w:tc>
          <w:tcPr>
            <w:tcW w:w="6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0" w:type="dxa"/>
            <w:vAlign w:val="bottom"/>
            <w:vMerge w:val="continue"/>
          </w:tcPr>
          <w:p>
            <w:pPr>
              <w:spacing w:after="0"/>
              <w:rPr>
                <w:sz w:val="6"/>
                <w:szCs w:val="6"/>
                <w:color w:val="auto"/>
              </w:rPr>
            </w:pPr>
          </w:p>
        </w:tc>
        <w:tc>
          <w:tcPr>
            <w:tcW w:w="2180" w:type="dxa"/>
            <w:vAlign w:val="bottom"/>
            <w:vMerge w:val="continue"/>
          </w:tcPr>
          <w:p>
            <w:pPr>
              <w:spacing w:after="0"/>
              <w:rPr>
                <w:sz w:val="6"/>
                <w:szCs w:val="6"/>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2003), where he serves as chair of the governance committee and a member of the</w:t>
            </w: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180" w:type="dxa"/>
            <w:vAlign w:val="bottom"/>
            <w:vMerge w:val="restart"/>
          </w:tcPr>
          <w:p>
            <w:pPr>
              <w:ind w:left="60"/>
              <w:spacing w:after="0"/>
              <w:rPr>
                <w:sz w:val="20"/>
                <w:szCs w:val="20"/>
                <w:color w:val="auto"/>
              </w:rPr>
            </w:pPr>
            <w:r>
              <w:rPr>
                <w:rFonts w:ascii="Arial" w:cs="Arial" w:eastAsia="Arial" w:hAnsi="Arial"/>
                <w:sz w:val="17"/>
                <w:szCs w:val="17"/>
                <w:color w:val="auto"/>
              </w:rPr>
              <w:t>Environmental Oversight</w:t>
            </w:r>
          </w:p>
        </w:tc>
        <w:tc>
          <w:tcPr>
            <w:tcW w:w="6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6740" w:type="dxa"/>
            <w:vAlign w:val="bottom"/>
            <w:gridSpan w:val="2"/>
            <w:vMerge w:val="restart"/>
          </w:tcPr>
          <w:p>
            <w:pPr>
              <w:ind w:left="220"/>
              <w:spacing w:after="0" w:line="194" w:lineRule="exact"/>
              <w:rPr>
                <w:sz w:val="20"/>
                <w:szCs w:val="20"/>
                <w:color w:val="auto"/>
              </w:rPr>
            </w:pPr>
            <w:r>
              <w:rPr>
                <w:rFonts w:ascii="Arial" w:cs="Arial" w:eastAsia="Arial" w:hAnsi="Arial"/>
                <w:sz w:val="17"/>
                <w:szCs w:val="17"/>
                <w:color w:val="auto"/>
              </w:rPr>
              <w:t>audit review committee. Mr. Soderstrom was previously a member of the Board of</w:t>
            </w:r>
          </w:p>
        </w:tc>
        <w:tc>
          <w:tcPr>
            <w:tcW w:w="0" w:type="dxa"/>
            <w:vAlign w:val="bottom"/>
          </w:tcPr>
          <w:p>
            <w:pPr>
              <w:spacing w:after="0"/>
              <w:rPr>
                <w:sz w:val="1"/>
                <w:szCs w:val="1"/>
                <w:color w:val="auto"/>
              </w:rPr>
            </w:pPr>
          </w:p>
        </w:tc>
      </w:tr>
      <w:tr>
        <w:trPr>
          <w:trHeight w:val="102"/>
        </w:trPr>
        <w:tc>
          <w:tcPr>
            <w:tcW w:w="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Directors of FreightCar America Inc., a railcar manufacturing company located in</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Chicago, Illinois (2005-2018). Mr. Soderstrom graduated from Duke University and</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holds a Bachelor of Science in engineering with majors in mechanical engineering</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and economics. He received his Master of Business Administration from the</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7"/>
                <w:szCs w:val="17"/>
                <w:color w:val="auto"/>
              </w:rPr>
              <w:t>University of Michigan.</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740" w:type="dxa"/>
            <w:vAlign w:val="bottom"/>
            <w:gridSpan w:val="2"/>
          </w:tcPr>
          <w:p>
            <w:pPr>
              <w:ind w:left="220"/>
              <w:spacing w:after="0"/>
              <w:rPr>
                <w:sz w:val="20"/>
                <w:szCs w:val="20"/>
                <w:color w:val="auto"/>
              </w:rPr>
            </w:pPr>
            <w:r>
              <w:rPr>
                <w:rFonts w:ascii="Arial" w:cs="Arial" w:eastAsia="Arial" w:hAnsi="Arial"/>
                <w:sz w:val="17"/>
                <w:szCs w:val="17"/>
                <w:color w:val="auto"/>
              </w:rPr>
              <w:t>Mr. Soderstrom’s qualifications to serve as our director include his substantial</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financial expertise, his operations and engineering knowledge from his experience</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at other large public companies and his substantial experience serving as a director</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of other public companies. Mr. Soderstrom is, among other things, “experienced” in</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740" w:type="dxa"/>
            <w:vAlign w:val="bottom"/>
            <w:gridSpan w:val="2"/>
          </w:tcPr>
          <w:p>
            <w:pPr>
              <w:ind w:left="220"/>
              <w:spacing w:after="0" w:line="194" w:lineRule="exact"/>
              <w:rPr>
                <w:sz w:val="20"/>
                <w:szCs w:val="20"/>
                <w:color w:val="auto"/>
              </w:rPr>
            </w:pPr>
            <w:r>
              <w:rPr>
                <w:rFonts w:ascii="Arial" w:cs="Arial" w:eastAsia="Arial" w:hAnsi="Arial"/>
                <w:sz w:val="17"/>
                <w:szCs w:val="17"/>
                <w:color w:val="auto"/>
              </w:rPr>
              <w:t>the  following  core  competencies:  Accounting,  Finance  and  Investment</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740" w:type="dxa"/>
            <w:vAlign w:val="bottom"/>
            <w:gridSpan w:val="2"/>
          </w:tcPr>
          <w:p>
            <w:pPr>
              <w:ind w:left="220"/>
              <w:spacing w:after="0"/>
              <w:rPr>
                <w:sz w:val="20"/>
                <w:szCs w:val="20"/>
                <w:color w:val="auto"/>
              </w:rPr>
            </w:pPr>
            <w:r>
              <w:rPr>
                <w:rFonts w:ascii="Arial" w:cs="Arial" w:eastAsia="Arial" w:hAnsi="Arial"/>
                <w:sz w:val="17"/>
                <w:szCs w:val="17"/>
                <w:color w:val="auto"/>
              </w:rPr>
              <w:t>Management; Risk Management; Operational Oversight; and Customer Experience.</w:t>
            </w:r>
          </w:p>
        </w:tc>
        <w:tc>
          <w:tcPr>
            <w:tcW w:w="0" w:type="dxa"/>
            <w:vAlign w:val="bottom"/>
          </w:tcPr>
          <w:p>
            <w:pPr>
              <w:spacing w:after="0"/>
              <w:rPr>
                <w:sz w:val="1"/>
                <w:szCs w:val="1"/>
                <w:color w:val="auto"/>
              </w:rPr>
            </w:pPr>
          </w:p>
        </w:tc>
      </w:tr>
      <w:tr>
        <w:trPr>
          <w:trHeight w:val="206"/>
        </w:trPr>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340" w:type="dxa"/>
            <w:vAlign w:val="bottom"/>
          </w:tcPr>
          <w:p>
            <w:pPr>
              <w:ind w:left="140"/>
              <w:spacing w:after="0"/>
              <w:rPr>
                <w:sz w:val="20"/>
                <w:szCs w:val="20"/>
                <w:color w:val="auto"/>
              </w:rPr>
            </w:pPr>
            <w:r>
              <w:rPr>
                <w:rFonts w:ascii="Arial" w:cs="Arial" w:eastAsia="Arial" w:hAnsi="Arial"/>
                <w:sz w:val="14"/>
                <w:szCs w:val="14"/>
                <w:b w:val="1"/>
                <w:bCs w:val="1"/>
                <w:color w:val="307CC0"/>
                <w:w w:val="98"/>
              </w:rPr>
              <w:t>Proposal 1 - Election of Directors</w:t>
            </w:r>
          </w:p>
        </w:tc>
        <w:tc>
          <w:tcPr>
            <w:tcW w:w="4400" w:type="dxa"/>
            <w:vAlign w:val="bottom"/>
          </w:tcPr>
          <w:p>
            <w:pPr>
              <w:jc w:val="right"/>
              <w:spacing w:after="0"/>
              <w:rPr>
                <w:sz w:val="20"/>
                <w:szCs w:val="20"/>
                <w:color w:val="auto"/>
              </w:rPr>
            </w:pPr>
            <w:r>
              <w:rPr>
                <w:rFonts w:ascii="Arial" w:cs="Arial" w:eastAsia="Arial" w:hAnsi="Arial"/>
                <w:sz w:val="14"/>
                <w:szCs w:val="14"/>
                <w:b w:val="1"/>
                <w:bCs w:val="1"/>
                <w:color w:val="7F7F7F"/>
              </w:rPr>
              <w:t xml:space="preserve">Director Nominee Biographies </w:t>
            </w:r>
            <w:r>
              <w:rPr>
                <w:rFonts w:ascii="Arial" w:cs="Arial" w:eastAsia="Arial" w:hAnsi="Arial"/>
                <w:sz w:val="14"/>
                <w:szCs w:val="14"/>
                <w:color w:val="000000"/>
              </w:rPr>
              <w:t>|</w:t>
            </w:r>
            <w:r>
              <w:rPr>
                <w:rFonts w:ascii="Arial" w:cs="Arial" w:eastAsia="Arial" w:hAnsi="Arial"/>
                <w:sz w:val="14"/>
                <w:szCs w:val="14"/>
                <w:b w:val="1"/>
                <w:bCs w:val="1"/>
                <w:color w:val="7F7F7F"/>
              </w:rPr>
              <w:t xml:space="preserve"> </w:t>
            </w:r>
            <w:r>
              <w:rPr>
                <w:rFonts w:ascii="Arial" w:cs="Arial" w:eastAsia="Arial" w:hAnsi="Arial"/>
                <w:sz w:val="14"/>
                <w:szCs w:val="14"/>
                <w:b w:val="1"/>
                <w:bCs w:val="1"/>
                <w:color w:val="000000"/>
              </w:rPr>
              <w:t>Evergy 2020 Proxy Statement  13</w:t>
            </w:r>
          </w:p>
        </w:tc>
        <w:tc>
          <w:tcPr>
            <w:tcW w:w="0" w:type="dxa"/>
            <w:vAlign w:val="bottom"/>
          </w:tcPr>
          <w:p>
            <w:pPr>
              <w:spacing w:after="0"/>
              <w:rPr>
                <w:sz w:val="1"/>
                <w:szCs w:val="1"/>
                <w:color w:val="auto"/>
              </w:rPr>
            </w:pPr>
          </w:p>
        </w:tc>
      </w:tr>
      <w:tr>
        <w:trPr>
          <w:trHeight w:val="438"/>
        </w:trPr>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4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44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60"/>
          </w:cols>
          <w:pgMar w:left="1360" w:top="272" w:right="137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9140"/>
          </w:cols>
          <w:pgMar w:left="1380" w:top="272" w:right="1379" w:bottom="1440" w:gutter="0" w:footer="0" w:header="0"/>
        </w:sectPr>
      </w:pPr>
    </w:p>
    <w:p>
      <w:pPr>
        <w:spacing w:after="0" w:line="138"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John Arthur Stall</w:t>
      </w:r>
    </w:p>
    <w:p>
      <w:pPr>
        <w:spacing w:after="0" w:line="23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Director Since: </w:t>
      </w:r>
      <w:r>
        <w:rPr>
          <w:rFonts w:ascii="Arial" w:cs="Arial" w:eastAsia="Arial" w:hAnsi="Arial"/>
          <w:sz w:val="17"/>
          <w:szCs w:val="17"/>
          <w:color w:val="000000"/>
        </w:rPr>
        <w:t>2019</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307CC0"/>
        </w:rPr>
        <w:t xml:space="preserve">Age: </w:t>
      </w:r>
      <w:r>
        <w:rPr>
          <w:rFonts w:ascii="Arial" w:cs="Arial" w:eastAsia="Arial" w:hAnsi="Arial"/>
          <w:sz w:val="17"/>
          <w:szCs w:val="17"/>
          <w:color w:val="000000"/>
        </w:rPr>
        <w:t>65</w:t>
      </w:r>
    </w:p>
    <w:p>
      <w:pPr>
        <w:ind w:left="100"/>
        <w:spacing w:after="0" w:line="237" w:lineRule="auto"/>
        <w:rPr>
          <w:sz w:val="20"/>
          <w:szCs w:val="20"/>
          <w:color w:val="auto"/>
        </w:rPr>
      </w:pPr>
      <w:r>
        <w:rPr>
          <w:rFonts w:ascii="Arial" w:cs="Arial" w:eastAsia="Arial" w:hAnsi="Arial"/>
          <w:sz w:val="17"/>
          <w:szCs w:val="17"/>
          <w:b w:val="1"/>
          <w:bCs w:val="1"/>
          <w:color w:val="307CC0"/>
        </w:rPr>
        <w:t>Committee Membership:</w:t>
      </w:r>
    </w:p>
    <w:p>
      <w:pPr>
        <w:ind w:left="300" w:hanging="207"/>
        <w:spacing w:after="0"/>
        <w:tabs>
          <w:tab w:leader="none" w:pos="300" w:val="left"/>
        </w:tabs>
        <w:numPr>
          <w:ilvl w:val="0"/>
          <w:numId w:val="16"/>
        </w:numPr>
        <w:rPr>
          <w:rFonts w:ascii="Arial" w:cs="Arial" w:eastAsia="Arial" w:hAnsi="Arial"/>
          <w:sz w:val="17"/>
          <w:szCs w:val="17"/>
          <w:color w:val="307CC0"/>
        </w:rPr>
      </w:pPr>
      <w:r>
        <w:rPr>
          <w:rFonts w:ascii="Arial" w:cs="Arial" w:eastAsia="Arial" w:hAnsi="Arial"/>
          <w:sz w:val="17"/>
          <w:szCs w:val="17"/>
          <w:color w:val="auto"/>
        </w:rPr>
        <w:t>Finance</w:t>
      </w:r>
    </w:p>
    <w:p>
      <w:pPr>
        <w:jc w:val="both"/>
        <w:ind w:left="280" w:hanging="187"/>
        <w:spacing w:after="0" w:line="237" w:lineRule="auto"/>
        <w:tabs>
          <w:tab w:leader="none" w:pos="293" w:val="left"/>
        </w:tabs>
        <w:numPr>
          <w:ilvl w:val="0"/>
          <w:numId w:val="16"/>
        </w:numPr>
        <w:rPr>
          <w:rFonts w:ascii="Arial" w:cs="Arial" w:eastAsia="Arial" w:hAnsi="Arial"/>
          <w:sz w:val="17"/>
          <w:szCs w:val="17"/>
          <w:color w:val="307CC0"/>
        </w:rPr>
      </w:pPr>
      <w:r>
        <w:rPr>
          <w:rFonts w:ascii="Arial" w:cs="Arial" w:eastAsia="Arial" w:hAnsi="Arial"/>
          <w:sz w:val="17"/>
          <w:szCs w:val="17"/>
          <w:color w:val="auto"/>
        </w:rPr>
        <w:t>Nuclear, Operations, and Environmental Oversight</w:t>
      </w:r>
    </w:p>
    <w:p>
      <w:pPr>
        <w:spacing w:after="0" w:line="1" w:lineRule="exact"/>
        <w:rPr>
          <w:rFonts w:ascii="Arial" w:cs="Arial" w:eastAsia="Arial" w:hAnsi="Arial"/>
          <w:sz w:val="17"/>
          <w:szCs w:val="17"/>
          <w:color w:val="307CC0"/>
        </w:rPr>
      </w:pPr>
    </w:p>
    <w:p>
      <w:pPr>
        <w:ind w:left="300" w:hanging="207"/>
        <w:spacing w:after="0" w:line="237" w:lineRule="auto"/>
        <w:tabs>
          <w:tab w:leader="none" w:pos="300" w:val="left"/>
        </w:tabs>
        <w:numPr>
          <w:ilvl w:val="0"/>
          <w:numId w:val="16"/>
        </w:numPr>
        <w:rPr>
          <w:rFonts w:ascii="Arial" w:cs="Arial" w:eastAsia="Arial" w:hAnsi="Arial"/>
          <w:sz w:val="17"/>
          <w:szCs w:val="17"/>
          <w:color w:val="307CC0"/>
        </w:rPr>
      </w:pPr>
      <w:r>
        <w:rPr>
          <w:rFonts w:ascii="Arial" w:cs="Arial" w:eastAsia="Arial" w:hAnsi="Arial"/>
          <w:sz w:val="17"/>
          <w:szCs w:val="17"/>
          <w:color w:val="auto"/>
        </w:rPr>
        <w:t>Strategic Review</w:t>
      </w:r>
    </w:p>
    <w:p>
      <w:pPr>
        <w:ind w:left="440" w:hanging="156"/>
        <w:spacing w:after="0"/>
        <w:tabs>
          <w:tab w:leader="none" w:pos="4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Operations (Co-Chair)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100"/>
        <w:spacing w:after="0" w:line="237" w:lineRule="auto"/>
        <w:rPr>
          <w:sz w:val="20"/>
          <w:szCs w:val="20"/>
          <w:color w:val="auto"/>
        </w:rPr>
      </w:pPr>
      <w:r>
        <w:rPr>
          <w:rFonts w:ascii="Arial" w:cs="Arial" w:eastAsia="Arial" w:hAnsi="Arial"/>
          <w:sz w:val="17"/>
          <w:szCs w:val="17"/>
          <w:color w:val="auto"/>
        </w:rPr>
        <w:t>Mr. Stall is an independent member of the board of directors of Wolf Creek Nuclear Operating Corporation, which operates Evergy’s Wolf Creek nuclear generating station (since 2011). Mr. Stall retired from NextEra Energy, Inc., the largest electric utility holding company in the United States located in Juno Beach, Florida, in 2010, where he served in numerous nuclear leadership roles. He served as President of NextEra’s nuclear division (2009-2010), as Senior Vice President and Chief Nuclear Officer of NextEra (2001-2009), as Vice President, Nuclear Engineering of NextEra (2000-2001) and Vice President of NextEra’s St. Lucie nuclear generating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-995680</wp:posOffset>
            </wp:positionV>
            <wp:extent cx="5808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jc w:val="both"/>
        <w:ind w:right="100"/>
        <w:spacing w:after="0"/>
        <w:rPr>
          <w:sz w:val="20"/>
          <w:szCs w:val="20"/>
          <w:color w:val="auto"/>
        </w:rPr>
      </w:pPr>
      <w:r>
        <w:rPr>
          <w:rFonts w:ascii="Arial" w:cs="Arial" w:eastAsia="Arial" w:hAnsi="Arial"/>
          <w:sz w:val="17"/>
          <w:szCs w:val="17"/>
          <w:color w:val="auto"/>
        </w:rPr>
        <w:t>(1996 -2000). He also served in leadership roles at Dominion Energy, Inc.’s North Anna nuclear generating station (1977-1996). Mr. Stall provides consulting services related to the nuclear industry, including serving as an arbitrator in complicated nuclear disputes, providing expert witness testimony to regulatory bodies and serving as the chair of an independent nuclear safety advisory committee for a publicly-traded electric utility that operates multiple nuclear generating units. He served as a member of the Institute of Nuclear Power Operations National Academy of Nuclear Training Accrediting Board (2008-2019). Mr. Stall graduated from the University of Florida and holds a Bachelor of Science in nuclear engineering. He received his Master of Business Administration from Virginia Commonwealth University.</w:t>
      </w:r>
    </w:p>
    <w:p>
      <w:pPr>
        <w:spacing w:after="0" w:line="200" w:lineRule="exact"/>
        <w:rPr>
          <w:sz w:val="20"/>
          <w:szCs w:val="20"/>
          <w:color w:val="auto"/>
        </w:rPr>
      </w:pPr>
    </w:p>
    <w:p>
      <w:pPr>
        <w:spacing w:after="0" w:line="223"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Mr. Stall’s qualifications to serve as our director include his substantial nuclear expertise, his operations and engineering knowledge from his experience at other large electric utilities and his leadership experience. Mr. Stall is, among other things, “experienced” in the following core competencies: Strategy Development; Federal and State Regulation and Compliance; Alignment of Company Culture &amp; Compensation and Leadership Development; Accounting, Finance and Investment Management; Risk Management; and Operational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132715</wp:posOffset>
            </wp:positionV>
            <wp:extent cx="5808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20"/>
            <w:col w:w="6520"/>
          </w:cols>
          <w:pgMar w:left="1380" w:top="272" w:right="1379" w:bottom="1440" w:gutter="0" w:footer="0" w:header="0"/>
          <w:type w:val="continuous"/>
        </w:sectPr>
      </w:pPr>
    </w:p>
    <w:p>
      <w:pPr>
        <w:spacing w:after="0" w:line="23" w:lineRule="exact"/>
        <w:rPr>
          <w:sz w:val="20"/>
          <w:szCs w:val="20"/>
          <w:color w:val="auto"/>
        </w:rPr>
      </w:pPr>
    </w:p>
    <w:p>
      <w:pPr>
        <w:ind w:left="2540"/>
        <w:spacing w:after="0"/>
        <w:tabs>
          <w:tab w:leader="none" w:pos="4840" w:val="left"/>
        </w:tabs>
        <w:rPr>
          <w:sz w:val="20"/>
          <w:szCs w:val="20"/>
          <w:color w:val="auto"/>
        </w:rPr>
      </w:pPr>
      <w:r>
        <w:rPr>
          <w:rFonts w:ascii="Arial" w:cs="Arial" w:eastAsia="Arial" w:hAnsi="Arial"/>
          <w:sz w:val="14"/>
          <w:szCs w:val="14"/>
          <w:b w:val="1"/>
          <w:bCs w:val="1"/>
          <w:color w:val="307CC0"/>
        </w:rPr>
        <w:t>Proposal 1 - Election of Directors</w:t>
      </w:r>
      <w:r>
        <w:rPr>
          <w:sz w:val="20"/>
          <w:szCs w:val="20"/>
          <w:color w:val="auto"/>
        </w:rPr>
        <w:tab/>
      </w:r>
      <w:r>
        <w:rPr>
          <w:rFonts w:ascii="Arial" w:cs="Arial" w:eastAsia="Arial" w:hAnsi="Arial"/>
          <w:sz w:val="13"/>
          <w:szCs w:val="13"/>
          <w:b w:val="1"/>
          <w:bCs w:val="1"/>
          <w:color w:val="7F7F7F"/>
        </w:rPr>
        <w:t xml:space="preserve">Director Nominee Biographies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The 13 nominees for director have been recommended to the Board by the Nominating, Governance, and Corporate Responsibility Committee and nominated by the Board to serve as directors until the next annual meeting of shareholders and until their successors are duly elected and qualified. Each nominee has consented to stand for election, and the Board does not anticipate that any nominee will be unavailable to serve. In the event that one or more of the director nominees should become unavailable to serve at the time of the annual meeting, shares represented by proxy may be voted for the election of a nominee to be designated by the Board. Alternatively, in lieu of designating a substitute, the Board may reduce the number of directors. Proxies cannot be voted for more than 13 nominees.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Nominating Process</w:t>
      </w:r>
    </w:p>
    <w:p>
      <w:pPr>
        <w:spacing w:after="0" w:line="124"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The Nominating, Governance, and Corporate Responsibility Committee administers the process of identifying potential director nominees and evaluates and recommends director nominees to the Board. The Committee takes into account a number of factors when considering director nominees, as described in our Corporate Governance Guidelines and as discussed in greater detail below. Director nominees identified by shareholders for our consideration will be evaluated in the same way as nominees identified by the Nominating, Governance, and Corporate Responsibility Committee.</w:t>
      </w:r>
    </w:p>
    <w:p>
      <w:pPr>
        <w:spacing w:after="0" w:line="297" w:lineRule="exact"/>
        <w:rPr>
          <w:sz w:val="20"/>
          <w:szCs w:val="20"/>
          <w:color w:val="auto"/>
        </w:rPr>
      </w:pPr>
    </w:p>
    <w:p>
      <w:pPr>
        <w:jc w:val="both"/>
        <w:ind w:firstLine="172"/>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Shareholders who wish to identify director nominees for consideration by the Nominating, Governance, and Corporate Responsibility Committee, or who wish to have director nominees included in a future proxy statement pursuant to our proxy access by-law provision, should write to our Nominating, Governance, and Corporate Responsibility Committee at the address provided in “Communicating with the Board” on page </w:t>
      </w:r>
      <w:hyperlink w:anchor="page27">
        <w:r>
          <w:rPr>
            <w:rFonts w:ascii="Arial" w:cs="Arial" w:eastAsia="Arial" w:hAnsi="Arial"/>
            <w:sz w:val="17"/>
            <w:szCs w:val="17"/>
            <w:u w:val="single" w:color="auto"/>
            <w:color w:val="0000EE"/>
          </w:rPr>
          <w:t>23</w:t>
        </w:r>
      </w:hyperlink>
      <w:r>
        <w:rPr>
          <w:rFonts w:ascii="Arial" w:cs="Arial" w:eastAsia="Arial" w:hAnsi="Arial"/>
          <w:sz w:val="17"/>
          <w:szCs w:val="17"/>
          <w:color w:val="auto"/>
        </w:rPr>
        <w:t>. All submissions must comply with the information requirements set forth in our By-laws.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Nominee Qualifications</w:t>
      </w:r>
    </w:p>
    <w:p>
      <w:pPr>
        <w:spacing w:after="0" w:line="124"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The Board oversees the shareholders’ interests in the long-term health and success of the Company’s business, and directs, oversees and monitors the performance of management. The Board believes that its effectiveness in carrying out its responsibilities depends not only upon the particular experience, qualifications, attributes and skills that each director possesses, but also upon their ability to function well as a collegial body and to work collaboratively.</w:t>
      </w:r>
    </w:p>
    <w:p>
      <w:pPr>
        <w:spacing w:after="0" w:line="90"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The Board’s objective is to have a well-rounded and diverse membership possessing, in the aggregate, skill sets and core competencies that are conducive to long-term success. The Board considers diversity in the broadest sense, reflecting geography, age, gender and ethnicity, as well as other factors. The Board believes that a diverse group of directors is desirable to expand the Board’s collective knowledge and expertise, as well as to evaluate management and positively influence the Company’s performance.</w:t>
      </w:r>
    </w:p>
    <w:p>
      <w:pPr>
        <w:spacing w:after="0" w:line="90"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7"/>
          <w:szCs w:val="17"/>
          <w:color w:val="auto"/>
        </w:rPr>
        <w:t>The success of the Company depends not only on expertise-based competencies, but equally on the personal qualities and attributes of the directors, both individually and as a group. Attributes that directors should possess include, among others, practical wisdom and thoughtfulness in decision-making; mature and sound judgment; financial acumen and business experience; the highest level of personal and professional ethics, integrity and values; sufficient time and availability; commitment to representing the interests of shareholders, customers and their communities; critical analysis skills; collegiality, a collaborative and cooperative spirit and the ability to both lead and work within a team environment; and the courage to act constructively and independently. Non-management directors should also be able to meet the independence requirements of the New York Stock Exchange (“NYSE”) listing standards and our Corporate Governance Guidelines.</w:t>
      </w:r>
    </w:p>
    <w:p>
      <w:pPr>
        <w:spacing w:after="0" w:line="95"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7"/>
          <w:szCs w:val="17"/>
          <w:color w:val="auto"/>
        </w:rPr>
        <w:t>The Board concluded that the following competencies are conducive to sustainable long-term shareholder and customer value: strategy development; federal and state regulation and compliance; alignment of company culture and compensation and leadership development; accounting, finance and investment management; risk management; operational oversight; customer experience; and community and politcal relations. Each director nominee provided a self-evaluation against these core competencies, and the Board evaluated the contribution level of each director, using the categories of “experienced,” “moderate experience,” “minimal experience” and “no experience.” Thirteen of the director nominees rated himself or herself as being “experienced” or “moderately experienced” in each of the core competencies, with ten of the director nominees identifying himself or herself as “experienced” in each of the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258445</wp:posOffset>
            </wp:positionV>
            <wp:extent cx="5808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4260" w:val="left"/>
        </w:tabs>
        <w:rPr>
          <w:sz w:val="20"/>
          <w:szCs w:val="20"/>
          <w:color w:val="auto"/>
        </w:rPr>
      </w:pPr>
      <w:r>
        <w:rPr>
          <w:rFonts w:ascii="Arial" w:cs="Arial" w:eastAsia="Arial" w:hAnsi="Arial"/>
          <w:sz w:val="14"/>
          <w:szCs w:val="14"/>
          <w:b w:val="1"/>
          <w:bCs w:val="1"/>
          <w:color w:val="307CC0"/>
        </w:rPr>
        <w:t>Proposal 1 - Election of Directors</w:t>
      </w:r>
      <w:r>
        <w:rPr>
          <w:sz w:val="20"/>
          <w:szCs w:val="20"/>
          <w:color w:val="auto"/>
        </w:rPr>
        <w:tab/>
      </w:r>
      <w:r>
        <w:rPr>
          <w:rFonts w:ascii="Arial" w:cs="Arial" w:eastAsia="Arial" w:hAnsi="Arial"/>
          <w:sz w:val="13"/>
          <w:szCs w:val="13"/>
          <w:b w:val="1"/>
          <w:bCs w:val="1"/>
          <w:color w:val="7F7F7F"/>
        </w:rPr>
        <w:t xml:space="preserve">Director Nominee Biographies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240030</wp:posOffset>
            </wp:positionV>
            <wp:extent cx="5808980" cy="2051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5808980" cy="2051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Board Structure</w:t>
      </w:r>
    </w:p>
    <w:p>
      <w:pPr>
        <w:spacing w:after="0" w:line="149"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b w:val="1"/>
          <w:bCs w:val="1"/>
          <w:color w:val="auto"/>
        </w:rPr>
        <w:t xml:space="preserve">Board Leadership Structure. </w:t>
      </w:r>
      <w:r>
        <w:rPr>
          <w:rFonts w:ascii="Arial" w:cs="Arial" w:eastAsia="Arial" w:hAnsi="Arial"/>
          <w:sz w:val="17"/>
          <w:szCs w:val="17"/>
          <w:color w:val="auto"/>
        </w:rPr>
        <w:t>We have separated the roles of Chairman of the Board and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with Mr. Mark A. Ruelle serving as our Chair and Mr. Terry Bassham serving as our Chief Executive Officer. The Board believes that this structure is an appropriate corporate governance structure for the Company. Although NYSE requirements prohibit the Board from determining that Mr. Ruelle is independent, Mr. Ruelle owns a significant amount of Evergy stock and, as a result, his financial interests are aligned with those of Evergy’s shareholders. Moreover, the boards of directors of Great Plains Energy and Westar Energy approved the “merger of equals” transaction based on a belief that the transaction would provide, among other things, an opportunity to operate the combined company more efficiently than either company could have been operated alone, which benefits customers and shareholders alike. Successfully integrating the two companies requires dedication and deep operational knowledge, which are attributes that chief executive officers inherently possess due to their roles. By retaining Mr. Ruelle as non-executive Chair, and Mr. Bassham as Chief Executive Officer, the Board believes that Evergy has retained deep institutional knowledge of both Great Plans Energy and Westar Energy that continues to be valuable to Evergy and during the ongoing integration. In addition, retention of both individuals ensures a continuity of service and representation in our local communities. However, the Board believes it is important to maintain flexibility to combine the roles in the future if it determines at a later date that a different Board structure would be in the long-term interests of our shareholders.</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Chairman of the Board</w:t>
      </w:r>
    </w:p>
    <w:p>
      <w:pPr>
        <w:spacing w:after="0" w:line="120"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The Chair is responsible for presiding over all Board meetings and all executive sessions of the Board that include only non-management directors. The Chair may also call special meetings of the Board or shareholders, and also presides over Evergy’s shareholder meetings.</w:t>
      </w:r>
    </w:p>
    <w:p>
      <w:pPr>
        <w:spacing w:after="0" w:line="86"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The Chair approves Board meeting agendas, which are prepared by the Chief Executive Officer reflecting input, if any, of the Chair and Lead Independent Director. The Chief Executive Officer and Chair also discuss the quality, quantity and timeliness of the flow of information from management.</w:t>
      </w:r>
    </w:p>
    <w:p>
      <w:pPr>
        <w:spacing w:after="0" w:line="86" w:lineRule="exact"/>
        <w:rPr>
          <w:sz w:val="20"/>
          <w:szCs w:val="20"/>
          <w:color w:val="auto"/>
        </w:rPr>
      </w:pPr>
    </w:p>
    <w:p>
      <w:pPr>
        <w:jc w:val="both"/>
        <w:ind w:right="20" w:firstLine="172"/>
        <w:spacing w:after="0" w:line="261" w:lineRule="auto"/>
        <w:rPr>
          <w:sz w:val="20"/>
          <w:szCs w:val="20"/>
          <w:color w:val="auto"/>
        </w:rPr>
      </w:pPr>
      <w:r>
        <w:rPr>
          <w:rFonts w:ascii="Arial" w:cs="Arial" w:eastAsia="Arial" w:hAnsi="Arial"/>
          <w:sz w:val="17"/>
          <w:szCs w:val="17"/>
          <w:color w:val="auto"/>
        </w:rPr>
        <w:t>The Chair also serves as the principal liaison between management, acting through or in consultation with the Chief Executive Officer, and the Board. He is also responsible for soliciting information from the non-management members of the Board regarding the performance of the Chief Executive Officer.</w:t>
      </w:r>
    </w:p>
    <w:p>
      <w:pPr>
        <w:spacing w:after="0" w:line="86"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The Chair is also available for discussion with individual directors regarding key issues, individual director performance or any other matters relating to effectiveness of the Board. He may also interface from time to time with the public, including shareholders.</w:t>
      </w:r>
    </w:p>
    <w:p>
      <w:pPr>
        <w:spacing w:after="0" w:line="86"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Working with the Nominating, Governance, and Corporate Responsibility Committee, the Lead Independent Director and the Chief Executive Officer, the Chair is also responsible for interviewing, and recommending to the Board, all candidates for the Board. Among other duties, the Chair is also responsible for helping to set the tone for ethics and integrity at Evergy.</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Lead Independent Director</w:t>
      </w:r>
    </w:p>
    <w:p>
      <w:pPr>
        <w:spacing w:after="0" w:line="120"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The Lead Independent Director is responsible for developing agendas for executive sessions of independent directors and calling and presiding over the same. He also serves as a liaison between the Chair and the independent directors, reviews meeting agendas and reviews meeting schedules.</w:t>
      </w:r>
    </w:p>
    <w:p>
      <w:pPr>
        <w:spacing w:after="0" w:line="86"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The Board appointed Mr. Chandler to serve as Lead Independent Director to ensure that Evergy’s independent directors are represented and have formal mechanisms in place to exercise their governance role. Mr. Chandler was previously independent chairman of the board of directors of Westar Energy. Since Mr. Chandler is not standing for re-election, the Board will designate a new Lead Independent Director following the 2020 Annual Meeting.</w:t>
      </w:r>
    </w:p>
    <w:p>
      <w:pPr>
        <w:spacing w:after="0" w:line="68" w:lineRule="exact"/>
        <w:rPr>
          <w:sz w:val="20"/>
          <w:szCs w:val="20"/>
          <w:color w:val="auto"/>
        </w:rPr>
      </w:pPr>
    </w:p>
    <w:p>
      <w:pPr>
        <w:jc w:val="both"/>
        <w:ind w:firstLine="172"/>
        <w:spacing w:after="0" w:line="296" w:lineRule="auto"/>
        <w:rPr>
          <w:sz w:val="20"/>
          <w:szCs w:val="20"/>
          <w:color w:val="auto"/>
        </w:rPr>
      </w:pPr>
      <w:r>
        <w:rPr>
          <w:rFonts w:ascii="Arial" w:cs="Arial" w:eastAsia="Arial" w:hAnsi="Arial"/>
          <w:sz w:val="17"/>
          <w:szCs w:val="17"/>
          <w:b w:val="1"/>
          <w:bCs w:val="1"/>
          <w:color w:val="auto"/>
        </w:rPr>
        <w:t xml:space="preserve">Independent Board. </w:t>
      </w:r>
      <w:r>
        <w:rPr>
          <w:rFonts w:ascii="Arial" w:cs="Arial" w:eastAsia="Arial" w:hAnsi="Arial"/>
          <w:sz w:val="17"/>
          <w:szCs w:val="17"/>
          <w:color w:val="auto"/>
        </w:rPr>
        <w:t>The Board has determined that 15 of the 17 directors are independent and that 11 of the 13</w:t>
      </w:r>
      <w:r>
        <w:rPr>
          <w:rFonts w:ascii="Arial" w:cs="Arial" w:eastAsia="Arial" w:hAnsi="Arial"/>
          <w:sz w:val="17"/>
          <w:szCs w:val="17"/>
          <w:b w:val="1"/>
          <w:bCs w:val="1"/>
          <w:color w:val="auto"/>
        </w:rPr>
        <w:t xml:space="preserve"> </w:t>
      </w:r>
      <w:r>
        <w:rPr>
          <w:rFonts w:ascii="Arial" w:cs="Arial" w:eastAsia="Arial" w:hAnsi="Arial"/>
          <w:sz w:val="17"/>
          <w:szCs w:val="17"/>
          <w:color w:val="auto"/>
        </w:rPr>
        <w:t>nominees are independent, with Messrs. Ruelle and Bassham not independent as noted above.</w:t>
      </w:r>
    </w:p>
    <w:p>
      <w:pPr>
        <w:spacing w:after="0" w:line="35" w:lineRule="exact"/>
        <w:rPr>
          <w:sz w:val="20"/>
          <w:szCs w:val="20"/>
          <w:color w:val="auto"/>
        </w:rPr>
      </w:pPr>
    </w:p>
    <w:p>
      <w:pPr>
        <w:jc w:val="both"/>
        <w:ind w:firstLine="172"/>
        <w:spacing w:after="0" w:line="274" w:lineRule="auto"/>
        <w:rPr>
          <w:sz w:val="20"/>
          <w:szCs w:val="20"/>
          <w:color w:val="auto"/>
        </w:rPr>
      </w:pPr>
      <w:r>
        <w:rPr>
          <w:rFonts w:ascii="Arial" w:cs="Arial" w:eastAsia="Arial" w:hAnsi="Arial"/>
          <w:sz w:val="17"/>
          <w:szCs w:val="17"/>
          <w:b w:val="1"/>
          <w:bCs w:val="1"/>
          <w:color w:val="auto"/>
        </w:rPr>
        <w:t xml:space="preserve">Executive Sessions. </w:t>
      </w:r>
      <w:r>
        <w:rPr>
          <w:rFonts w:ascii="Arial" w:cs="Arial" w:eastAsia="Arial" w:hAnsi="Arial"/>
          <w:sz w:val="17"/>
          <w:szCs w:val="17"/>
          <w:color w:val="auto"/>
        </w:rPr>
        <w:t>Time is reserved on each Board meeting agenda for all directors to meet in executive session,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no members of management (other than the Chief Executive Officer) present. Time is also reserved on each Board meeting agenda for the non-management directors to meet in executive session, presided over by our Chair, and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8089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75" w:lineRule="exact"/>
        <w:rPr>
          <w:sz w:val="20"/>
          <w:szCs w:val="20"/>
          <w:color w:val="auto"/>
        </w:rPr>
      </w:pPr>
    </w:p>
    <w:p>
      <w:pPr>
        <w:jc w:val="right"/>
        <w:spacing w:after="0"/>
        <w:tabs>
          <w:tab w:leader="none" w:pos="3360" w:val="left"/>
        </w:tabs>
        <w:rPr>
          <w:sz w:val="20"/>
          <w:szCs w:val="20"/>
          <w:color w:val="auto"/>
        </w:rPr>
      </w:pPr>
      <w:r>
        <w:rPr>
          <w:rFonts w:ascii="Arial" w:cs="Arial" w:eastAsia="Arial" w:hAnsi="Arial"/>
          <w:sz w:val="14"/>
          <w:szCs w:val="14"/>
          <w:b w:val="1"/>
          <w:bCs w:val="1"/>
          <w:color w:val="307CC0"/>
        </w:rPr>
        <w:t>Corporate Governance</w:t>
      </w:r>
      <w:r>
        <w:rPr>
          <w:rFonts w:ascii="Arial" w:cs="Arial" w:eastAsia="Arial" w:hAnsi="Arial"/>
          <w:sz w:val="14"/>
          <w:szCs w:val="14"/>
          <w:b w:val="1"/>
          <w:bCs w:val="1"/>
          <w:color w:val="7F7F7F"/>
        </w:rPr>
        <w:tab/>
        <w:t xml:space="preserve">Board Structure </w:t>
      </w:r>
      <w:r>
        <w:rPr>
          <w:rFonts w:ascii="Arial" w:cs="Arial" w:eastAsia="Arial" w:hAnsi="Arial"/>
          <w:sz w:val="14"/>
          <w:szCs w:val="14"/>
          <w:color w:val="000000"/>
        </w:rPr>
        <w:t>|</w:t>
      </w:r>
      <w:r>
        <w:rPr>
          <w:rFonts w:ascii="Arial" w:cs="Arial" w:eastAsia="Arial" w:hAnsi="Arial"/>
          <w:sz w:val="14"/>
          <w:szCs w:val="14"/>
          <w:b w:val="1"/>
          <w:bCs w:val="1"/>
          <w:color w:val="7F7F7F"/>
        </w:rPr>
        <w:t xml:space="preserve"> </w:t>
      </w:r>
      <w:r>
        <w:rPr>
          <w:rFonts w:ascii="Arial" w:cs="Arial" w:eastAsia="Arial" w:hAnsi="Arial"/>
          <w:sz w:val="14"/>
          <w:szCs w:val="14"/>
          <w:b w:val="1"/>
          <w:bCs w:val="1"/>
          <w:color w:val="000000"/>
        </w:rPr>
        <w:t>Evergy 2020 Proxy Statement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independent directors to meet in executive session, presided over by the Lead Independent Director, in each case with no members of management present. Time is also reserved at each regular committee meeting for committee members to meet in executive session with no members of management present (except in the case of the Nuclear, Operations, and Environmental Oversight Committee and the Strategic Review &amp; Oversight Committee, each of which Mr. Bassham is a member).</w:t>
      </w:r>
    </w:p>
    <w:p>
      <w:pPr>
        <w:spacing w:after="0" w:line="68" w:lineRule="exact"/>
        <w:rPr>
          <w:sz w:val="20"/>
          <w:szCs w:val="20"/>
          <w:color w:val="auto"/>
        </w:rPr>
      </w:pPr>
    </w:p>
    <w:p>
      <w:pPr>
        <w:jc w:val="both"/>
        <w:ind w:right="20" w:firstLine="172"/>
        <w:spacing w:after="0" w:line="296" w:lineRule="auto"/>
        <w:rPr>
          <w:sz w:val="20"/>
          <w:szCs w:val="20"/>
          <w:color w:val="auto"/>
        </w:rPr>
      </w:pPr>
      <w:r>
        <w:rPr>
          <w:rFonts w:ascii="Arial" w:cs="Arial" w:eastAsia="Arial" w:hAnsi="Arial"/>
          <w:sz w:val="17"/>
          <w:szCs w:val="17"/>
          <w:b w:val="1"/>
          <w:bCs w:val="1"/>
          <w:color w:val="auto"/>
        </w:rPr>
        <w:t xml:space="preserve">Board Meetings. </w:t>
      </w:r>
      <w:r>
        <w:rPr>
          <w:rFonts w:ascii="Arial" w:cs="Arial" w:eastAsia="Arial" w:hAnsi="Arial"/>
          <w:sz w:val="17"/>
          <w:szCs w:val="17"/>
          <w:color w:val="auto"/>
        </w:rPr>
        <w:t>The Board held six meetings in 2019. Each of our directors who was on the Board in 2019 attended</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75 percent of the aggregate number of meetings of the Board and committees on which he or she served.</w:t>
      </w:r>
    </w:p>
    <w:p>
      <w:pPr>
        <w:spacing w:after="0" w:line="35" w:lineRule="exact"/>
        <w:rPr>
          <w:sz w:val="20"/>
          <w:szCs w:val="20"/>
          <w:color w:val="auto"/>
        </w:rPr>
      </w:pPr>
    </w:p>
    <w:p>
      <w:pPr>
        <w:jc w:val="both"/>
        <w:ind w:firstLine="172"/>
        <w:spacing w:after="0" w:line="262" w:lineRule="auto"/>
        <w:rPr>
          <w:sz w:val="20"/>
          <w:szCs w:val="20"/>
          <w:color w:val="auto"/>
        </w:rPr>
      </w:pPr>
      <w:r>
        <w:rPr>
          <w:rFonts w:ascii="Arial" w:cs="Arial" w:eastAsia="Arial" w:hAnsi="Arial"/>
          <w:sz w:val="17"/>
          <w:szCs w:val="17"/>
          <w:b w:val="1"/>
          <w:bCs w:val="1"/>
          <w:color w:val="auto"/>
        </w:rPr>
        <w:t xml:space="preserve">Committees of the Board. </w:t>
      </w:r>
      <w:r>
        <w:rPr>
          <w:rFonts w:ascii="Arial" w:cs="Arial" w:eastAsia="Arial" w:hAnsi="Arial"/>
          <w:sz w:val="17"/>
          <w:szCs w:val="17"/>
          <w:color w:val="auto"/>
        </w:rPr>
        <w:t>We have a robust committee structure, with six standing committees. Each committee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led by an independent director. Additionally, four of these committees, including the committees required by NYSE standards, consist solely of independent directors. Additional information regarding each of these committees is summarized below. Each committee has a committee charter, which is available on the Company’s website at </w:t>
      </w:r>
      <w:r>
        <w:rPr>
          <w:rFonts w:ascii="Arial" w:cs="Arial" w:eastAsia="Arial" w:hAnsi="Arial"/>
          <w:sz w:val="17"/>
          <w:szCs w:val="17"/>
          <w:i w:val="1"/>
          <w:iCs w:val="1"/>
          <w:color w:val="auto"/>
        </w:rPr>
        <w:t>www.evergyinc.com</w:t>
      </w:r>
      <w:r>
        <w:rPr>
          <w:rFonts w:ascii="Arial" w:cs="Arial" w:eastAsia="Arial" w:hAnsi="Arial"/>
          <w:sz w:val="17"/>
          <w:szCs w:val="17"/>
          <w:color w:val="auto"/>
        </w:rPr>
        <w:t>. Information on or that can be accessed through our website is not a part of this proxy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is not incorporated into any other SEC filings we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4" w:lineRule="exact"/>
        <w:rPr>
          <w:sz w:val="20"/>
          <w:szCs w:val="20"/>
          <w:color w:val="auto"/>
        </w:rPr>
      </w:pPr>
    </w:p>
    <w:p>
      <w:pPr>
        <w:jc w:val="right"/>
        <w:spacing w:after="0"/>
        <w:tabs>
          <w:tab w:leader="none" w:pos="3360" w:val="left"/>
        </w:tabs>
        <w:rPr>
          <w:sz w:val="20"/>
          <w:szCs w:val="20"/>
          <w:color w:val="auto"/>
        </w:rPr>
      </w:pPr>
      <w:r>
        <w:rPr>
          <w:rFonts w:ascii="Arial" w:cs="Arial" w:eastAsia="Arial" w:hAnsi="Arial"/>
          <w:sz w:val="14"/>
          <w:szCs w:val="14"/>
          <w:b w:val="1"/>
          <w:bCs w:val="1"/>
          <w:color w:val="307CC0"/>
        </w:rPr>
        <w:t>Corporate Governance</w:t>
      </w:r>
      <w:r>
        <w:rPr>
          <w:rFonts w:ascii="Arial" w:cs="Arial" w:eastAsia="Arial" w:hAnsi="Arial"/>
          <w:sz w:val="14"/>
          <w:szCs w:val="14"/>
          <w:b w:val="1"/>
          <w:bCs w:val="1"/>
          <w:color w:val="7F7F7F"/>
        </w:rPr>
        <w:tab/>
        <w:t xml:space="preserve">Board Structure </w:t>
      </w:r>
      <w:r>
        <w:rPr>
          <w:rFonts w:ascii="Arial" w:cs="Arial" w:eastAsia="Arial" w:hAnsi="Arial"/>
          <w:sz w:val="14"/>
          <w:szCs w:val="14"/>
          <w:color w:val="000000"/>
        </w:rPr>
        <w:t>|</w:t>
      </w:r>
      <w:r>
        <w:rPr>
          <w:rFonts w:ascii="Arial" w:cs="Arial" w:eastAsia="Arial" w:hAnsi="Arial"/>
          <w:sz w:val="14"/>
          <w:szCs w:val="14"/>
          <w:b w:val="1"/>
          <w:bCs w:val="1"/>
          <w:color w:val="7F7F7F"/>
        </w:rPr>
        <w:t xml:space="preserve"> </w:t>
      </w:r>
      <w:r>
        <w:rPr>
          <w:rFonts w:ascii="Arial" w:cs="Arial" w:eastAsia="Arial" w:hAnsi="Arial"/>
          <w:sz w:val="14"/>
          <w:szCs w:val="14"/>
          <w:b w:val="1"/>
          <w:bCs w:val="1"/>
          <w:color w:val="000000"/>
        </w:rPr>
        <w:t>Evergy 2020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160" w:type="dxa"/>
            <w:vAlign w:val="bottom"/>
            <w:tcBorders>
              <w:top w:val="single" w:sz="8" w:color="auto"/>
              <w:left w:val="single" w:sz="8" w:color="auto"/>
              <w:bottom w:val="single" w:sz="8" w:color="auto"/>
            </w:tcBorders>
            <w:shd w:val="clear" w:color="auto" w:fill="95C93D"/>
          </w:tcPr>
          <w:p>
            <w:pPr>
              <w:spacing w:after="0"/>
              <w:rPr>
                <w:sz w:val="24"/>
                <w:szCs w:val="24"/>
                <w:color w:val="auto"/>
              </w:rPr>
            </w:pPr>
          </w:p>
        </w:tc>
        <w:tc>
          <w:tcPr>
            <w:tcW w:w="7000" w:type="dxa"/>
            <w:vAlign w:val="bottom"/>
            <w:tcBorders>
              <w:top w:val="single" w:sz="8" w:color="auto"/>
              <w:bottom w:val="single" w:sz="8" w:color="auto"/>
              <w:right w:val="single" w:sz="8" w:color="auto"/>
            </w:tcBorders>
            <w:shd w:val="clear" w:color="auto" w:fill="95C93D"/>
          </w:tcPr>
          <w:p>
            <w:pPr>
              <w:ind w:left="1520"/>
              <w:spacing w:after="0"/>
              <w:rPr>
                <w:sz w:val="20"/>
                <w:szCs w:val="20"/>
                <w:color w:val="auto"/>
              </w:rPr>
            </w:pPr>
            <w:r>
              <w:rPr>
                <w:rFonts w:ascii="Arial" w:cs="Arial" w:eastAsia="Arial" w:hAnsi="Arial"/>
                <w:sz w:val="22"/>
                <w:szCs w:val="22"/>
                <w:b w:val="1"/>
                <w:bCs w:val="1"/>
                <w:color w:val="FFFFFF"/>
              </w:rPr>
              <w:t>Audit Committee</w:t>
            </w:r>
          </w:p>
        </w:tc>
        <w:tc>
          <w:tcPr>
            <w:tcW w:w="0" w:type="dxa"/>
            <w:vAlign w:val="bottom"/>
          </w:tcPr>
          <w:p>
            <w:pPr>
              <w:spacing w:after="0"/>
              <w:rPr>
                <w:sz w:val="1"/>
                <w:szCs w:val="1"/>
                <w:color w:val="auto"/>
              </w:rPr>
            </w:pPr>
          </w:p>
        </w:tc>
      </w:tr>
      <w:tr>
        <w:trPr>
          <w:trHeight w:val="251"/>
        </w:trPr>
        <w:tc>
          <w:tcPr>
            <w:tcW w:w="2160" w:type="dxa"/>
            <w:vAlign w:val="bottom"/>
          </w:tcPr>
          <w:p>
            <w:pPr>
              <w:ind w:left="120"/>
              <w:spacing w:after="0"/>
              <w:rPr>
                <w:sz w:val="20"/>
                <w:szCs w:val="20"/>
                <w:color w:val="auto"/>
              </w:rPr>
            </w:pPr>
            <w:r>
              <w:rPr>
                <w:rFonts w:ascii="Arial" w:cs="Arial" w:eastAsia="Arial" w:hAnsi="Arial"/>
                <w:sz w:val="17"/>
                <w:szCs w:val="17"/>
                <w:color w:val="auto"/>
              </w:rPr>
              <w:t>Committee Members</w:t>
            </w:r>
          </w:p>
        </w:tc>
        <w:tc>
          <w:tcPr>
            <w:tcW w:w="7000" w:type="dxa"/>
            <w:vAlign w:val="bottom"/>
          </w:tcPr>
          <w:p>
            <w:pPr>
              <w:ind w:left="4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Oversee processes related to the integrity of Evergy’s financial statements,</w:t>
            </w:r>
          </w:p>
        </w:tc>
        <w:tc>
          <w:tcPr>
            <w:tcW w:w="0" w:type="dxa"/>
            <w:vAlign w:val="bottom"/>
          </w:tcPr>
          <w:p>
            <w:pPr>
              <w:spacing w:after="0"/>
              <w:rPr>
                <w:sz w:val="1"/>
                <w:szCs w:val="1"/>
                <w:color w:val="auto"/>
              </w:rPr>
            </w:pPr>
          </w:p>
        </w:tc>
      </w:tr>
      <w:tr>
        <w:trPr>
          <w:trHeight w:val="194"/>
        </w:trPr>
        <w:tc>
          <w:tcPr>
            <w:tcW w:w="2160" w:type="dxa"/>
            <w:vAlign w:val="bottom"/>
          </w:tcPr>
          <w:p>
            <w:pPr>
              <w:ind w:left="260"/>
              <w:spacing w:after="0" w:line="194" w:lineRule="exact"/>
              <w:rPr>
                <w:sz w:val="20"/>
                <w:szCs w:val="20"/>
                <w:color w:val="auto"/>
              </w:rPr>
            </w:pPr>
            <w:r>
              <w:rPr>
                <w:rFonts w:ascii="Arial" w:cs="Arial" w:eastAsia="Arial" w:hAnsi="Arial"/>
                <w:sz w:val="17"/>
                <w:szCs w:val="17"/>
                <w:color w:val="auto"/>
              </w:rPr>
              <w:t>Mr. Hyde (Chair)</w:t>
            </w:r>
          </w:p>
        </w:tc>
        <w:tc>
          <w:tcPr>
            <w:tcW w:w="7000" w:type="dxa"/>
            <w:vAlign w:val="bottom"/>
          </w:tcPr>
          <w:p>
            <w:pPr>
              <w:ind w:left="720"/>
              <w:spacing w:after="0" w:line="194" w:lineRule="exact"/>
              <w:rPr>
                <w:sz w:val="20"/>
                <w:szCs w:val="20"/>
                <w:color w:val="auto"/>
              </w:rPr>
            </w:pPr>
            <w:r>
              <w:rPr>
                <w:rFonts w:ascii="Arial" w:cs="Arial" w:eastAsia="Arial" w:hAnsi="Arial"/>
                <w:sz w:val="17"/>
                <w:szCs w:val="17"/>
                <w:color w:val="auto"/>
              </w:rPr>
              <w:t>including internal control over financial reporting;</w:t>
            </w:r>
          </w:p>
        </w:tc>
        <w:tc>
          <w:tcPr>
            <w:tcW w:w="0" w:type="dxa"/>
            <w:vAlign w:val="bottom"/>
          </w:tcPr>
          <w:p>
            <w:pPr>
              <w:spacing w:after="0"/>
              <w:rPr>
                <w:sz w:val="1"/>
                <w:szCs w:val="1"/>
                <w:color w:val="auto"/>
              </w:rPr>
            </w:pPr>
          </w:p>
        </w:tc>
      </w:tr>
      <w:tr>
        <w:trPr>
          <w:trHeight w:val="208"/>
        </w:trPr>
        <w:tc>
          <w:tcPr>
            <w:tcW w:w="2160" w:type="dxa"/>
            <w:vAlign w:val="bottom"/>
          </w:tcPr>
          <w:p>
            <w:pPr>
              <w:ind w:left="260"/>
              <w:spacing w:after="0"/>
              <w:rPr>
                <w:sz w:val="20"/>
                <w:szCs w:val="20"/>
                <w:color w:val="auto"/>
              </w:rPr>
            </w:pPr>
            <w:r>
              <w:rPr>
                <w:rFonts w:ascii="Arial" w:cs="Arial" w:eastAsia="Arial" w:hAnsi="Arial"/>
                <w:sz w:val="17"/>
                <w:szCs w:val="17"/>
                <w:color w:val="auto"/>
              </w:rPr>
              <w:t>Mr. Andrews*</w:t>
            </w:r>
          </w:p>
        </w:tc>
        <w:tc>
          <w:tcPr>
            <w:tcW w:w="7000" w:type="dxa"/>
            <w:vAlign w:val="bottom"/>
          </w:tcPr>
          <w:p>
            <w:pPr>
              <w:ind w:left="4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Oversee the independent auditor and the internal audit services department;</w:t>
            </w:r>
          </w:p>
        </w:tc>
        <w:tc>
          <w:tcPr>
            <w:tcW w:w="0" w:type="dxa"/>
            <w:vAlign w:val="bottom"/>
          </w:tcPr>
          <w:p>
            <w:pPr>
              <w:spacing w:after="0"/>
              <w:rPr>
                <w:sz w:val="1"/>
                <w:szCs w:val="1"/>
                <w:color w:val="auto"/>
              </w:rPr>
            </w:pPr>
          </w:p>
        </w:tc>
      </w:tr>
      <w:tr>
        <w:trPr>
          <w:trHeight w:val="180"/>
        </w:trPr>
        <w:tc>
          <w:tcPr>
            <w:tcW w:w="2160" w:type="dxa"/>
            <w:vAlign w:val="bottom"/>
          </w:tcPr>
          <w:p>
            <w:pPr>
              <w:ind w:left="260"/>
              <w:spacing w:after="0" w:line="180" w:lineRule="exact"/>
              <w:rPr>
                <w:sz w:val="20"/>
                <w:szCs w:val="20"/>
                <w:color w:val="auto"/>
              </w:rPr>
            </w:pPr>
            <w:r>
              <w:rPr>
                <w:rFonts w:ascii="Arial" w:cs="Arial" w:eastAsia="Arial" w:hAnsi="Arial"/>
                <w:sz w:val="17"/>
                <w:szCs w:val="17"/>
                <w:color w:val="auto"/>
              </w:rPr>
              <w:t>Mr. Chandler*</w:t>
            </w:r>
          </w:p>
        </w:tc>
        <w:tc>
          <w:tcPr>
            <w:tcW w:w="7000" w:type="dxa"/>
            <w:vAlign w:val="bottom"/>
            <w:vMerge w:val="restart"/>
          </w:tcPr>
          <w:p>
            <w:pPr>
              <w:ind w:left="4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Oversee the preparation of all reports and other disclosures required of the Audit</w:t>
            </w:r>
          </w:p>
        </w:tc>
        <w:tc>
          <w:tcPr>
            <w:tcW w:w="0" w:type="dxa"/>
            <w:vAlign w:val="bottom"/>
          </w:tcPr>
          <w:p>
            <w:pPr>
              <w:spacing w:after="0"/>
              <w:rPr>
                <w:sz w:val="1"/>
                <w:szCs w:val="1"/>
                <w:color w:val="auto"/>
              </w:rPr>
            </w:pPr>
          </w:p>
        </w:tc>
      </w:tr>
      <w:tr>
        <w:trPr>
          <w:trHeight w:val="90"/>
        </w:trPr>
        <w:tc>
          <w:tcPr>
            <w:tcW w:w="2160" w:type="dxa"/>
            <w:vAlign w:val="bottom"/>
            <w:vMerge w:val="restart"/>
          </w:tcPr>
          <w:p>
            <w:pPr>
              <w:ind w:left="260"/>
              <w:spacing w:after="0" w:line="194" w:lineRule="exact"/>
              <w:rPr>
                <w:sz w:val="20"/>
                <w:szCs w:val="20"/>
                <w:color w:val="auto"/>
              </w:rPr>
            </w:pPr>
            <w:r>
              <w:rPr>
                <w:rFonts w:ascii="Arial" w:cs="Arial" w:eastAsia="Arial" w:hAnsi="Arial"/>
                <w:sz w:val="17"/>
                <w:szCs w:val="17"/>
                <w:color w:val="auto"/>
              </w:rPr>
              <w:t>Mr. Grimes*</w:t>
            </w:r>
          </w:p>
        </w:tc>
        <w:tc>
          <w:tcPr>
            <w:tcW w:w="7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160" w:type="dxa"/>
            <w:vAlign w:val="bottom"/>
            <w:vMerge w:val="continue"/>
          </w:tcPr>
          <w:p>
            <w:pPr>
              <w:spacing w:after="0"/>
              <w:rPr>
                <w:sz w:val="8"/>
                <w:szCs w:val="8"/>
                <w:color w:val="auto"/>
              </w:rPr>
            </w:pPr>
          </w:p>
        </w:tc>
        <w:tc>
          <w:tcPr>
            <w:tcW w:w="7000" w:type="dxa"/>
            <w:vAlign w:val="bottom"/>
            <w:vMerge w:val="restart"/>
          </w:tcPr>
          <w:p>
            <w:pPr>
              <w:ind w:left="720"/>
              <w:spacing w:after="0"/>
              <w:rPr>
                <w:sz w:val="20"/>
                <w:szCs w:val="20"/>
                <w:color w:val="auto"/>
              </w:rPr>
            </w:pPr>
            <w:r>
              <w:rPr>
                <w:rFonts w:ascii="Arial" w:cs="Arial" w:eastAsia="Arial" w:hAnsi="Arial"/>
                <w:sz w:val="17"/>
                <w:szCs w:val="17"/>
                <w:color w:val="auto"/>
              </w:rPr>
              <w:t>Committee by the SEC; and</w:t>
            </w:r>
          </w:p>
        </w:tc>
        <w:tc>
          <w:tcPr>
            <w:tcW w:w="0" w:type="dxa"/>
            <w:vAlign w:val="bottom"/>
          </w:tcPr>
          <w:p>
            <w:pPr>
              <w:spacing w:after="0"/>
              <w:rPr>
                <w:sz w:val="1"/>
                <w:szCs w:val="1"/>
                <w:color w:val="auto"/>
              </w:rPr>
            </w:pPr>
          </w:p>
        </w:tc>
      </w:tr>
      <w:tr>
        <w:trPr>
          <w:trHeight w:val="105"/>
        </w:trPr>
        <w:tc>
          <w:tcPr>
            <w:tcW w:w="2160" w:type="dxa"/>
            <w:vAlign w:val="bottom"/>
            <w:vMerge w:val="restart"/>
          </w:tcPr>
          <w:p>
            <w:pPr>
              <w:ind w:left="260"/>
              <w:spacing w:after="0" w:line="194" w:lineRule="exact"/>
              <w:rPr>
                <w:sz w:val="20"/>
                <w:szCs w:val="20"/>
                <w:color w:val="auto"/>
              </w:rPr>
            </w:pPr>
            <w:r>
              <w:rPr>
                <w:rFonts w:ascii="Arial" w:cs="Arial" w:eastAsia="Arial" w:hAnsi="Arial"/>
                <w:sz w:val="17"/>
                <w:szCs w:val="17"/>
                <w:color w:val="auto"/>
              </w:rPr>
              <w:t>Mr. Hawley</w:t>
            </w:r>
          </w:p>
        </w:tc>
        <w:tc>
          <w:tcPr>
            <w:tcW w:w="7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160" w:type="dxa"/>
            <w:vAlign w:val="bottom"/>
            <w:vMerge w:val="continue"/>
          </w:tcPr>
          <w:p>
            <w:pPr>
              <w:spacing w:after="0"/>
              <w:rPr>
                <w:sz w:val="7"/>
                <w:szCs w:val="7"/>
                <w:color w:val="auto"/>
              </w:rPr>
            </w:pPr>
          </w:p>
        </w:tc>
        <w:tc>
          <w:tcPr>
            <w:tcW w:w="7000" w:type="dxa"/>
            <w:vAlign w:val="bottom"/>
            <w:vMerge w:val="restart"/>
          </w:tcPr>
          <w:p>
            <w:pPr>
              <w:ind w:left="4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Review Evergy’s compliance with legal and regulatory requirements and its</w:t>
            </w:r>
          </w:p>
        </w:tc>
        <w:tc>
          <w:tcPr>
            <w:tcW w:w="0" w:type="dxa"/>
            <w:vAlign w:val="bottom"/>
          </w:tcPr>
          <w:p>
            <w:pPr>
              <w:spacing w:after="0"/>
              <w:rPr>
                <w:sz w:val="1"/>
                <w:szCs w:val="1"/>
                <w:color w:val="auto"/>
              </w:rPr>
            </w:pPr>
          </w:p>
        </w:tc>
      </w:tr>
      <w:tr>
        <w:trPr>
          <w:trHeight w:val="156"/>
        </w:trPr>
        <w:tc>
          <w:tcPr>
            <w:tcW w:w="2160" w:type="dxa"/>
            <w:vAlign w:val="bottom"/>
          </w:tcPr>
          <w:p>
            <w:pPr>
              <w:ind w:left="260"/>
              <w:spacing w:after="0" w:line="156" w:lineRule="exact"/>
              <w:rPr>
                <w:sz w:val="20"/>
                <w:szCs w:val="20"/>
                <w:color w:val="auto"/>
              </w:rPr>
            </w:pPr>
            <w:r>
              <w:rPr>
                <w:rFonts w:ascii="Arial" w:cs="Arial" w:eastAsia="Arial" w:hAnsi="Arial"/>
                <w:sz w:val="17"/>
                <w:szCs w:val="17"/>
                <w:color w:val="auto"/>
              </w:rPr>
              <w:t>Ms. Murtlow</w:t>
            </w:r>
          </w:p>
        </w:tc>
        <w:tc>
          <w:tcPr>
            <w:tcW w:w="7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160" w:type="dxa"/>
            <w:vAlign w:val="bottom"/>
          </w:tcPr>
          <w:p>
            <w:pPr>
              <w:ind w:left="260"/>
              <w:spacing w:after="0"/>
              <w:rPr>
                <w:sz w:val="20"/>
                <w:szCs w:val="20"/>
                <w:color w:val="auto"/>
              </w:rPr>
            </w:pPr>
            <w:r>
              <w:rPr>
                <w:rFonts w:ascii="Arial" w:cs="Arial" w:eastAsia="Arial" w:hAnsi="Arial"/>
                <w:sz w:val="17"/>
                <w:szCs w:val="17"/>
                <w:color w:val="auto"/>
              </w:rPr>
              <w:t>Mr. Soderstrom</w:t>
            </w:r>
          </w:p>
        </w:tc>
        <w:tc>
          <w:tcPr>
            <w:tcW w:w="7000" w:type="dxa"/>
            <w:vAlign w:val="bottom"/>
          </w:tcPr>
          <w:p>
            <w:pPr>
              <w:ind w:left="720"/>
              <w:spacing w:after="0"/>
              <w:rPr>
                <w:sz w:val="20"/>
                <w:szCs w:val="20"/>
                <w:color w:val="auto"/>
              </w:rPr>
            </w:pPr>
            <w:r>
              <w:rPr>
                <w:rFonts w:ascii="Arial" w:cs="Arial" w:eastAsia="Arial" w:hAnsi="Arial"/>
                <w:sz w:val="17"/>
                <w:szCs w:val="17"/>
                <w:color w:val="auto"/>
              </w:rPr>
              <w:t>Code of Ethics.</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7 meetings in fiscal year 2019</w:t>
      </w:r>
    </w:p>
    <w:p>
      <w:pPr>
        <w:spacing w:after="0" w:line="102"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The Board has determined that (i) each member of the committee is independent under the NYSE listing standards and Rule 10A-3(b)(1) under the Securities Exchange Act of 1934, as amended (“Exchange Act”); (ii) each member of the committee is financially literate; and (iii) Mr. Andrews, Mr. Grimes, Mr. Hawley, Mr. Hyde, Ms. Murtlow and Mr. Soderstrom are “audit committee financial experts” within the meaning of SEC regulations. No member of the committee serves on the audit committee of more than three public companies.</w:t>
      </w:r>
    </w:p>
    <w:p>
      <w:pPr>
        <w:spacing w:after="0" w:line="90"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*Messrs. Chandler and Grimes served on the committee in 2019 and are not standing for re-election. Mr. Andrews was appointed to the committee effective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5808980" cy="205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Compensation and Leadership Development Committee</w:t>
      </w:r>
    </w:p>
    <w:p>
      <w:pPr>
        <w:sectPr>
          <w:pgSz w:w="11900" w:h="16838" w:orient="portrait"/>
          <w:cols w:equalWidth="0" w:num="1">
            <w:col w:w="9160"/>
          </w:cols>
          <w:pgMar w:left="1360" w:top="272" w:right="1379" w:bottom="1440" w:gutter="0" w:footer="0" w:header="0"/>
        </w:sectPr>
      </w:pPr>
    </w:p>
    <w:p>
      <w:pPr>
        <w:spacing w:after="0" w:line="1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Committee Members</w:t>
      </w:r>
    </w:p>
    <w:p>
      <w:pPr>
        <w:ind w:left="260"/>
        <w:spacing w:after="0" w:line="237" w:lineRule="auto"/>
        <w:rPr>
          <w:sz w:val="20"/>
          <w:szCs w:val="20"/>
          <w:color w:val="auto"/>
        </w:rPr>
      </w:pPr>
      <w:r>
        <w:rPr>
          <w:rFonts w:ascii="Arial" w:cs="Arial" w:eastAsia="Arial" w:hAnsi="Arial"/>
          <w:sz w:val="17"/>
          <w:szCs w:val="17"/>
          <w:color w:val="auto"/>
        </w:rPr>
        <w:t>Mr. Sherman (Chair)*</w:t>
      </w:r>
    </w:p>
    <w:p>
      <w:pPr>
        <w:ind w:left="260"/>
        <w:spacing w:after="0"/>
        <w:rPr>
          <w:sz w:val="20"/>
          <w:szCs w:val="20"/>
          <w:color w:val="auto"/>
        </w:rPr>
      </w:pPr>
      <w:r>
        <w:rPr>
          <w:rFonts w:ascii="Arial" w:cs="Arial" w:eastAsia="Arial" w:hAnsi="Arial"/>
          <w:sz w:val="17"/>
          <w:szCs w:val="17"/>
          <w:color w:val="auto"/>
        </w:rPr>
        <w:t>Ms. Carter</w:t>
      </w:r>
    </w:p>
    <w:p>
      <w:pPr>
        <w:ind w:left="260"/>
        <w:spacing w:after="0" w:line="237" w:lineRule="auto"/>
        <w:rPr>
          <w:sz w:val="20"/>
          <w:szCs w:val="20"/>
          <w:color w:val="auto"/>
        </w:rPr>
      </w:pPr>
      <w:r>
        <w:rPr>
          <w:rFonts w:ascii="Arial" w:cs="Arial" w:eastAsia="Arial" w:hAnsi="Arial"/>
          <w:sz w:val="17"/>
          <w:szCs w:val="17"/>
          <w:color w:val="auto"/>
        </w:rPr>
        <w:t>Mr. Forsee*</w:t>
      </w:r>
    </w:p>
    <w:p>
      <w:pPr>
        <w:ind w:left="260"/>
        <w:spacing w:after="0"/>
        <w:rPr>
          <w:sz w:val="20"/>
          <w:szCs w:val="20"/>
          <w:color w:val="auto"/>
        </w:rPr>
      </w:pPr>
      <w:r>
        <w:rPr>
          <w:rFonts w:ascii="Arial" w:cs="Arial" w:eastAsia="Arial" w:hAnsi="Arial"/>
          <w:sz w:val="17"/>
          <w:szCs w:val="17"/>
          <w:color w:val="auto"/>
        </w:rPr>
        <w:t>Mr. Isaac</w:t>
      </w:r>
    </w:p>
    <w:p>
      <w:pPr>
        <w:ind w:left="260"/>
        <w:spacing w:after="0" w:line="237" w:lineRule="auto"/>
        <w:rPr>
          <w:sz w:val="20"/>
          <w:szCs w:val="20"/>
          <w:color w:val="auto"/>
        </w:rPr>
      </w:pPr>
      <w:r>
        <w:rPr>
          <w:rFonts w:ascii="Arial" w:cs="Arial" w:eastAsia="Arial" w:hAnsi="Arial"/>
          <w:sz w:val="17"/>
          <w:szCs w:val="17"/>
          <w:color w:val="auto"/>
        </w:rPr>
        <w:t>Mr. Keglevic*</w:t>
      </w:r>
    </w:p>
    <w:p>
      <w:pPr>
        <w:ind w:left="260"/>
        <w:spacing w:after="0"/>
        <w:rPr>
          <w:sz w:val="20"/>
          <w:szCs w:val="20"/>
          <w:color w:val="auto"/>
        </w:rPr>
      </w:pPr>
      <w:r>
        <w:rPr>
          <w:rFonts w:ascii="Arial" w:cs="Arial" w:eastAsia="Arial" w:hAnsi="Arial"/>
          <w:sz w:val="17"/>
          <w:szCs w:val="17"/>
          <w:color w:val="auto"/>
        </w:rPr>
        <w:t>Ms. Lawrence</w:t>
      </w:r>
    </w:p>
    <w:p>
      <w:pPr>
        <w:ind w:left="260"/>
        <w:spacing w:after="0"/>
        <w:rPr>
          <w:sz w:val="20"/>
          <w:szCs w:val="20"/>
          <w:color w:val="auto"/>
        </w:rPr>
      </w:pPr>
      <w:r>
        <w:rPr>
          <w:rFonts w:ascii="Arial" w:cs="Arial" w:eastAsia="Arial" w:hAnsi="Arial"/>
          <w:sz w:val="17"/>
          <w:szCs w:val="17"/>
          <w:color w:val="auto"/>
        </w:rPr>
        <w:t>Ms. Price</w:t>
      </w:r>
    </w:p>
    <w:p>
      <w:pPr>
        <w:spacing w:after="0" w:line="270" w:lineRule="exact"/>
        <w:rPr>
          <w:sz w:val="20"/>
          <w:szCs w:val="20"/>
          <w:color w:val="auto"/>
        </w:rPr>
      </w:pPr>
    </w:p>
    <w:p>
      <w:pPr>
        <w:jc w:val="center"/>
        <w:ind w:left="180"/>
        <w:spacing w:after="0"/>
        <w:rPr>
          <w:sz w:val="20"/>
          <w:szCs w:val="20"/>
          <w:color w:val="auto"/>
        </w:rPr>
      </w:pPr>
      <w:r>
        <w:rPr>
          <w:rFonts w:ascii="Arial" w:cs="Arial" w:eastAsia="Arial" w:hAnsi="Arial"/>
          <w:sz w:val="17"/>
          <w:szCs w:val="17"/>
          <w:color w:val="auto"/>
        </w:rPr>
        <w:t>6 meetings in fiscal year 2019</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264" w:hanging="264"/>
        <w:spacing w:after="0"/>
        <w:tabs>
          <w:tab w:leader="none" w:pos="264" w:val="left"/>
        </w:tabs>
        <w:numPr>
          <w:ilvl w:val="0"/>
          <w:numId w:val="17"/>
        </w:numPr>
        <w:rPr>
          <w:rFonts w:ascii="Arial" w:cs="Arial" w:eastAsia="Arial" w:hAnsi="Arial"/>
          <w:sz w:val="17"/>
          <w:szCs w:val="17"/>
          <w:color w:val="307CC0"/>
        </w:rPr>
      </w:pPr>
      <w:r>
        <w:rPr>
          <w:rFonts w:ascii="Arial" w:cs="Arial" w:eastAsia="Arial" w:hAnsi="Arial"/>
          <w:sz w:val="17"/>
          <w:szCs w:val="17"/>
          <w:color w:val="auto"/>
        </w:rPr>
        <w:t>Oversee alignment of compensation philosophy with shareholder interests;</w:t>
      </w:r>
    </w:p>
    <w:p>
      <w:pPr>
        <w:spacing w:after="0" w:line="24" w:lineRule="exact"/>
        <w:rPr>
          <w:rFonts w:ascii="Arial" w:cs="Arial" w:eastAsia="Arial" w:hAnsi="Arial"/>
          <w:sz w:val="17"/>
          <w:szCs w:val="17"/>
          <w:color w:val="307CC0"/>
        </w:rPr>
      </w:pPr>
    </w:p>
    <w:p>
      <w:pPr>
        <w:ind w:left="264" w:right="100" w:hanging="264"/>
        <w:spacing w:after="0" w:line="253" w:lineRule="auto"/>
        <w:tabs>
          <w:tab w:leader="none" w:pos="264" w:val="left"/>
        </w:tabs>
        <w:numPr>
          <w:ilvl w:val="0"/>
          <w:numId w:val="17"/>
        </w:numPr>
        <w:rPr>
          <w:rFonts w:ascii="Arial" w:cs="Arial" w:eastAsia="Arial" w:hAnsi="Arial"/>
          <w:sz w:val="17"/>
          <w:szCs w:val="17"/>
          <w:color w:val="307CC0"/>
        </w:rPr>
      </w:pPr>
      <w:r>
        <w:rPr>
          <w:rFonts w:ascii="Arial" w:cs="Arial" w:eastAsia="Arial" w:hAnsi="Arial"/>
          <w:sz w:val="17"/>
          <w:szCs w:val="17"/>
          <w:color w:val="auto"/>
        </w:rPr>
        <w:t>Evaluate, and recommend for approval by the non-management members of the Board, CEO compensation;</w:t>
      </w:r>
    </w:p>
    <w:p>
      <w:pPr>
        <w:spacing w:after="0" w:line="1" w:lineRule="exact"/>
        <w:rPr>
          <w:rFonts w:ascii="Arial" w:cs="Arial" w:eastAsia="Arial" w:hAnsi="Arial"/>
          <w:sz w:val="17"/>
          <w:szCs w:val="17"/>
          <w:color w:val="307CC0"/>
        </w:rPr>
      </w:pPr>
    </w:p>
    <w:p>
      <w:pPr>
        <w:ind w:left="264" w:hanging="264"/>
        <w:spacing w:after="0"/>
        <w:tabs>
          <w:tab w:leader="none" w:pos="264" w:val="left"/>
        </w:tabs>
        <w:numPr>
          <w:ilvl w:val="0"/>
          <w:numId w:val="17"/>
        </w:numPr>
        <w:rPr>
          <w:rFonts w:ascii="Arial" w:cs="Arial" w:eastAsia="Arial" w:hAnsi="Arial"/>
          <w:sz w:val="17"/>
          <w:szCs w:val="17"/>
          <w:color w:val="307CC0"/>
        </w:rPr>
      </w:pPr>
      <w:r>
        <w:rPr>
          <w:rFonts w:ascii="Arial" w:cs="Arial" w:eastAsia="Arial" w:hAnsi="Arial"/>
          <w:sz w:val="17"/>
          <w:szCs w:val="17"/>
          <w:color w:val="auto"/>
        </w:rPr>
        <w:t>Approve named executive officer compensation (other than the CEO);</w:t>
      </w:r>
    </w:p>
    <w:p>
      <w:pPr>
        <w:spacing w:after="0" w:line="24" w:lineRule="exact"/>
        <w:rPr>
          <w:rFonts w:ascii="Arial" w:cs="Arial" w:eastAsia="Arial" w:hAnsi="Arial"/>
          <w:sz w:val="17"/>
          <w:szCs w:val="17"/>
          <w:color w:val="307CC0"/>
        </w:rPr>
      </w:pPr>
    </w:p>
    <w:p>
      <w:pPr>
        <w:ind w:left="264" w:hanging="264"/>
        <w:spacing w:after="0"/>
        <w:tabs>
          <w:tab w:leader="none" w:pos="264" w:val="left"/>
        </w:tabs>
        <w:numPr>
          <w:ilvl w:val="0"/>
          <w:numId w:val="17"/>
        </w:numPr>
        <w:rPr>
          <w:rFonts w:ascii="Arial" w:cs="Arial" w:eastAsia="Arial" w:hAnsi="Arial"/>
          <w:sz w:val="17"/>
          <w:szCs w:val="17"/>
          <w:color w:val="307CC0"/>
        </w:rPr>
      </w:pPr>
      <w:r>
        <w:rPr>
          <w:rFonts w:ascii="Arial" w:cs="Arial" w:eastAsia="Arial" w:hAnsi="Arial"/>
          <w:sz w:val="17"/>
          <w:szCs w:val="17"/>
          <w:color w:val="auto"/>
        </w:rPr>
        <w:t>Advise the CEO on compensation for other officers;</w:t>
      </w:r>
    </w:p>
    <w:p>
      <w:pPr>
        <w:spacing w:after="0" w:line="24" w:lineRule="exact"/>
        <w:rPr>
          <w:rFonts w:ascii="Arial" w:cs="Arial" w:eastAsia="Arial" w:hAnsi="Arial"/>
          <w:sz w:val="17"/>
          <w:szCs w:val="17"/>
          <w:color w:val="307CC0"/>
        </w:rPr>
      </w:pPr>
    </w:p>
    <w:p>
      <w:pPr>
        <w:ind w:left="264" w:hanging="264"/>
        <w:spacing w:after="0"/>
        <w:tabs>
          <w:tab w:leader="none" w:pos="264" w:val="left"/>
        </w:tabs>
        <w:numPr>
          <w:ilvl w:val="0"/>
          <w:numId w:val="17"/>
        </w:numPr>
        <w:rPr>
          <w:rFonts w:ascii="Arial" w:cs="Arial" w:eastAsia="Arial" w:hAnsi="Arial"/>
          <w:sz w:val="17"/>
          <w:szCs w:val="17"/>
          <w:color w:val="307CC0"/>
        </w:rPr>
      </w:pPr>
      <w:r>
        <w:rPr>
          <w:rFonts w:ascii="Arial" w:cs="Arial" w:eastAsia="Arial" w:hAnsi="Arial"/>
          <w:sz w:val="17"/>
          <w:szCs w:val="17"/>
          <w:color w:val="auto"/>
        </w:rPr>
        <w:t>Oversee human capital resources;</w:t>
      </w:r>
    </w:p>
    <w:p>
      <w:pPr>
        <w:spacing w:after="0" w:line="24" w:lineRule="exact"/>
        <w:rPr>
          <w:rFonts w:ascii="Arial" w:cs="Arial" w:eastAsia="Arial" w:hAnsi="Arial"/>
          <w:sz w:val="17"/>
          <w:szCs w:val="17"/>
          <w:color w:val="307CC0"/>
        </w:rPr>
      </w:pPr>
    </w:p>
    <w:p>
      <w:pPr>
        <w:ind w:left="264" w:hanging="264"/>
        <w:spacing w:after="0"/>
        <w:tabs>
          <w:tab w:leader="none" w:pos="264" w:val="left"/>
        </w:tabs>
        <w:numPr>
          <w:ilvl w:val="0"/>
          <w:numId w:val="17"/>
        </w:numPr>
        <w:rPr>
          <w:rFonts w:ascii="Arial" w:cs="Arial" w:eastAsia="Arial" w:hAnsi="Arial"/>
          <w:sz w:val="17"/>
          <w:szCs w:val="17"/>
          <w:color w:val="307CC0"/>
        </w:rPr>
      </w:pPr>
      <w:r>
        <w:rPr>
          <w:rFonts w:ascii="Arial" w:cs="Arial" w:eastAsia="Arial" w:hAnsi="Arial"/>
          <w:sz w:val="17"/>
          <w:szCs w:val="17"/>
          <w:color w:val="auto"/>
        </w:rPr>
        <w:t>Review the culture of Evergy; and</w:t>
      </w:r>
    </w:p>
    <w:p>
      <w:pPr>
        <w:spacing w:after="0" w:line="24" w:lineRule="exact"/>
        <w:rPr>
          <w:rFonts w:ascii="Arial" w:cs="Arial" w:eastAsia="Arial" w:hAnsi="Arial"/>
          <w:sz w:val="17"/>
          <w:szCs w:val="17"/>
          <w:color w:val="307CC0"/>
        </w:rPr>
      </w:pPr>
    </w:p>
    <w:p>
      <w:pPr>
        <w:ind w:left="264" w:hanging="264"/>
        <w:spacing w:after="0"/>
        <w:tabs>
          <w:tab w:leader="none" w:pos="264" w:val="left"/>
        </w:tabs>
        <w:numPr>
          <w:ilvl w:val="0"/>
          <w:numId w:val="17"/>
        </w:numPr>
        <w:rPr>
          <w:rFonts w:ascii="Arial" w:cs="Arial" w:eastAsia="Arial" w:hAnsi="Arial"/>
          <w:sz w:val="17"/>
          <w:szCs w:val="17"/>
          <w:color w:val="307CC0"/>
        </w:rPr>
      </w:pPr>
      <w:r>
        <w:rPr>
          <w:rFonts w:ascii="Arial" w:cs="Arial" w:eastAsia="Arial" w:hAnsi="Arial"/>
          <w:sz w:val="17"/>
          <w:szCs w:val="17"/>
          <w:color w:val="auto"/>
        </w:rPr>
        <w:t>Review whether our compensation program encourages excessive risk taking.</w:t>
      </w:r>
    </w:p>
    <w:p>
      <w:pPr>
        <w:spacing w:after="0" w:line="412" w:lineRule="exact"/>
        <w:rPr>
          <w:sz w:val="20"/>
          <w:szCs w:val="20"/>
          <w:color w:val="auto"/>
        </w:rPr>
      </w:pPr>
    </w:p>
    <w:p>
      <w:pPr>
        <w:sectPr>
          <w:pgSz w:w="11900" w:h="16838" w:orient="portrait"/>
          <w:cols w:equalWidth="0" w:num="2">
            <w:col w:w="2460" w:space="156"/>
            <w:col w:w="6544"/>
          </w:cols>
          <w:pgMar w:left="1360" w:top="272" w:right="1379" w:bottom="1440" w:gutter="0" w:footer="0" w:header="0"/>
          <w:type w:val="continuous"/>
        </w:sectPr>
      </w:pPr>
    </w:p>
    <w:p>
      <w:pPr>
        <w:jc w:val="both"/>
        <w:ind w:left="20" w:firstLine="172"/>
        <w:spacing w:after="0" w:line="258" w:lineRule="auto"/>
        <w:rPr>
          <w:sz w:val="20"/>
          <w:szCs w:val="20"/>
          <w:color w:val="auto"/>
        </w:rPr>
      </w:pPr>
      <w:r>
        <w:rPr>
          <w:rFonts w:ascii="Arial" w:cs="Arial" w:eastAsia="Arial" w:hAnsi="Arial"/>
          <w:sz w:val="17"/>
          <w:szCs w:val="17"/>
          <w:color w:val="auto"/>
        </w:rPr>
        <w:t>The Board has determined that each member of the committee is independent under the NYSE listing standards, including the enhanced independence standards for members of the compensation committee, a “non-employee director” as defined in Rule 16b-3 promulgated under the Exchange Act and an “outside director” as that term is defined in Section 162(m) of the Internal Revenue Code of 1986.</w:t>
      </w:r>
    </w:p>
    <w:p>
      <w:pPr>
        <w:spacing w:after="0" w:line="90"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*Messrs. Sherman and Forsee served on the committee in 2019 and are not standing for re-election. Mr. Keglevic was appointed to the committee effective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5808980" cy="2051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Nominating, Governance and Corporate Responsibility Committee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140" w:type="dxa"/>
            <w:vAlign w:val="bottom"/>
          </w:tcPr>
          <w:p>
            <w:pPr>
              <w:spacing w:after="0"/>
              <w:rPr>
                <w:sz w:val="20"/>
                <w:szCs w:val="20"/>
                <w:color w:val="auto"/>
              </w:rPr>
            </w:pPr>
            <w:r>
              <w:rPr>
                <w:rFonts w:ascii="Arial" w:cs="Arial" w:eastAsia="Arial" w:hAnsi="Arial"/>
                <w:sz w:val="17"/>
                <w:szCs w:val="17"/>
                <w:color w:val="auto"/>
              </w:rPr>
              <w:t>Committee Members</w:t>
            </w:r>
          </w:p>
        </w:tc>
        <w:tc>
          <w:tcPr>
            <w:tcW w:w="5060" w:type="dxa"/>
            <w:vAlign w:val="bottom"/>
          </w:tcPr>
          <w:p>
            <w:pPr>
              <w:ind w:left="3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Identify nominees for election to our Board;</w:t>
            </w:r>
          </w:p>
        </w:tc>
        <w:tc>
          <w:tcPr>
            <w:tcW w:w="0" w:type="dxa"/>
            <w:vAlign w:val="bottom"/>
          </w:tcPr>
          <w:p>
            <w:pPr>
              <w:spacing w:after="0"/>
              <w:rPr>
                <w:sz w:val="1"/>
                <w:szCs w:val="1"/>
                <w:color w:val="auto"/>
              </w:rPr>
            </w:pPr>
          </w:p>
        </w:tc>
      </w:tr>
      <w:tr>
        <w:trPr>
          <w:trHeight w:val="194"/>
        </w:trPr>
        <w:tc>
          <w:tcPr>
            <w:tcW w:w="2140" w:type="dxa"/>
            <w:vAlign w:val="bottom"/>
          </w:tcPr>
          <w:p>
            <w:pPr>
              <w:ind w:left="140"/>
              <w:spacing w:after="0" w:line="194" w:lineRule="exact"/>
              <w:rPr>
                <w:sz w:val="20"/>
                <w:szCs w:val="20"/>
                <w:color w:val="auto"/>
              </w:rPr>
            </w:pPr>
            <w:r>
              <w:rPr>
                <w:rFonts w:ascii="Arial" w:cs="Arial" w:eastAsia="Arial" w:hAnsi="Arial"/>
                <w:sz w:val="17"/>
                <w:szCs w:val="17"/>
                <w:color w:val="auto"/>
              </w:rPr>
              <w:t>Ms. Lawrence (Chair)</w:t>
            </w:r>
          </w:p>
        </w:tc>
        <w:tc>
          <w:tcPr>
            <w:tcW w:w="5060" w:type="dxa"/>
            <w:vAlign w:val="bottom"/>
            <w:vMerge w:val="restart"/>
          </w:tcPr>
          <w:p>
            <w:pPr>
              <w:ind w:left="3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Oversee corporate governance principles and practices;</w:t>
            </w:r>
          </w:p>
        </w:tc>
        <w:tc>
          <w:tcPr>
            <w:tcW w:w="0" w:type="dxa"/>
            <w:vAlign w:val="bottom"/>
          </w:tcPr>
          <w:p>
            <w:pPr>
              <w:spacing w:after="0"/>
              <w:rPr>
                <w:sz w:val="1"/>
                <w:szCs w:val="1"/>
                <w:color w:val="auto"/>
              </w:rPr>
            </w:pPr>
          </w:p>
        </w:tc>
      </w:tr>
      <w:tr>
        <w:trPr>
          <w:trHeight w:val="92"/>
        </w:trPr>
        <w:tc>
          <w:tcPr>
            <w:tcW w:w="2140" w:type="dxa"/>
            <w:vAlign w:val="bottom"/>
            <w:vMerge w:val="restart"/>
          </w:tcPr>
          <w:p>
            <w:pPr>
              <w:ind w:left="140"/>
              <w:spacing w:after="0" w:line="194" w:lineRule="exact"/>
              <w:rPr>
                <w:sz w:val="20"/>
                <w:szCs w:val="20"/>
                <w:color w:val="auto"/>
              </w:rPr>
            </w:pPr>
            <w:r>
              <w:rPr>
                <w:rFonts w:ascii="Arial" w:cs="Arial" w:eastAsia="Arial" w:hAnsi="Arial"/>
                <w:sz w:val="17"/>
                <w:szCs w:val="17"/>
                <w:color w:val="auto"/>
              </w:rPr>
              <w:t>Ms. Carter</w:t>
            </w:r>
          </w:p>
        </w:tc>
        <w:tc>
          <w:tcPr>
            <w:tcW w:w="5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140" w:type="dxa"/>
            <w:vAlign w:val="bottom"/>
            <w:vMerge w:val="continue"/>
          </w:tcPr>
          <w:p>
            <w:pPr>
              <w:spacing w:after="0"/>
              <w:rPr>
                <w:sz w:val="8"/>
                <w:szCs w:val="8"/>
                <w:color w:val="auto"/>
              </w:rPr>
            </w:pPr>
          </w:p>
        </w:tc>
        <w:tc>
          <w:tcPr>
            <w:tcW w:w="5060" w:type="dxa"/>
            <w:vAlign w:val="bottom"/>
            <w:vMerge w:val="restart"/>
          </w:tcPr>
          <w:p>
            <w:pPr>
              <w:ind w:left="3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Oversee the evaluation of the Board and each committee;</w:t>
            </w:r>
          </w:p>
        </w:tc>
        <w:tc>
          <w:tcPr>
            <w:tcW w:w="0" w:type="dxa"/>
            <w:vAlign w:val="bottom"/>
          </w:tcPr>
          <w:p>
            <w:pPr>
              <w:spacing w:after="0"/>
              <w:rPr>
                <w:sz w:val="1"/>
                <w:szCs w:val="1"/>
                <w:color w:val="auto"/>
              </w:rPr>
            </w:pPr>
          </w:p>
        </w:tc>
      </w:tr>
      <w:tr>
        <w:trPr>
          <w:trHeight w:val="194"/>
        </w:trPr>
        <w:tc>
          <w:tcPr>
            <w:tcW w:w="2140" w:type="dxa"/>
            <w:vAlign w:val="bottom"/>
          </w:tcPr>
          <w:p>
            <w:pPr>
              <w:ind w:left="140"/>
              <w:spacing w:after="0" w:line="194" w:lineRule="exact"/>
              <w:rPr>
                <w:sz w:val="20"/>
                <w:szCs w:val="20"/>
                <w:color w:val="auto"/>
              </w:rPr>
            </w:pPr>
            <w:r>
              <w:rPr>
                <w:rFonts w:ascii="Arial" w:cs="Arial" w:eastAsia="Arial" w:hAnsi="Arial"/>
                <w:sz w:val="17"/>
                <w:szCs w:val="17"/>
                <w:color w:val="auto"/>
              </w:rPr>
              <w:t>Mr. Chandler*</w:t>
            </w:r>
          </w:p>
        </w:tc>
        <w:tc>
          <w:tcPr>
            <w:tcW w:w="5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40" w:type="dxa"/>
            <w:vAlign w:val="bottom"/>
          </w:tcPr>
          <w:p>
            <w:pPr>
              <w:ind w:left="140"/>
              <w:spacing w:after="0"/>
              <w:rPr>
                <w:sz w:val="20"/>
                <w:szCs w:val="20"/>
                <w:color w:val="auto"/>
              </w:rPr>
            </w:pPr>
            <w:r>
              <w:rPr>
                <w:rFonts w:ascii="Arial" w:cs="Arial" w:eastAsia="Arial" w:hAnsi="Arial"/>
                <w:sz w:val="17"/>
                <w:szCs w:val="17"/>
                <w:color w:val="auto"/>
              </w:rPr>
              <w:t>Mr. Forsee*</w:t>
            </w:r>
          </w:p>
        </w:tc>
        <w:tc>
          <w:tcPr>
            <w:tcW w:w="5060" w:type="dxa"/>
            <w:vAlign w:val="bottom"/>
          </w:tcPr>
          <w:p>
            <w:pPr>
              <w:ind w:left="3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Review Evergy’s corporate responsibility activities; and</w:t>
            </w:r>
          </w:p>
        </w:tc>
        <w:tc>
          <w:tcPr>
            <w:tcW w:w="0" w:type="dxa"/>
            <w:vAlign w:val="bottom"/>
          </w:tcPr>
          <w:p>
            <w:pPr>
              <w:spacing w:after="0"/>
              <w:rPr>
                <w:sz w:val="1"/>
                <w:szCs w:val="1"/>
                <w:color w:val="auto"/>
              </w:rPr>
            </w:pPr>
          </w:p>
        </w:tc>
      </w:tr>
      <w:tr>
        <w:trPr>
          <w:trHeight w:val="180"/>
        </w:trPr>
        <w:tc>
          <w:tcPr>
            <w:tcW w:w="2140" w:type="dxa"/>
            <w:vAlign w:val="bottom"/>
          </w:tcPr>
          <w:p>
            <w:pPr>
              <w:ind w:left="140"/>
              <w:spacing w:after="0" w:line="180" w:lineRule="exact"/>
              <w:rPr>
                <w:sz w:val="20"/>
                <w:szCs w:val="20"/>
                <w:color w:val="auto"/>
              </w:rPr>
            </w:pPr>
            <w:r>
              <w:rPr>
                <w:rFonts w:ascii="Arial" w:cs="Arial" w:eastAsia="Arial" w:hAnsi="Arial"/>
                <w:sz w:val="17"/>
                <w:szCs w:val="17"/>
                <w:color w:val="auto"/>
              </w:rPr>
              <w:t>Mr. Hyde</w:t>
            </w:r>
          </w:p>
        </w:tc>
        <w:tc>
          <w:tcPr>
            <w:tcW w:w="5060" w:type="dxa"/>
            <w:vAlign w:val="bottom"/>
            <w:vMerge w:val="restart"/>
          </w:tcPr>
          <w:p>
            <w:pPr>
              <w:ind w:left="3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Oversee and set compensation for members of the Board.</w:t>
            </w:r>
          </w:p>
        </w:tc>
        <w:tc>
          <w:tcPr>
            <w:tcW w:w="0" w:type="dxa"/>
            <w:vAlign w:val="bottom"/>
          </w:tcPr>
          <w:p>
            <w:pPr>
              <w:spacing w:after="0"/>
              <w:rPr>
                <w:sz w:val="1"/>
                <w:szCs w:val="1"/>
                <w:color w:val="auto"/>
              </w:rPr>
            </w:pPr>
          </w:p>
        </w:tc>
      </w:tr>
      <w:tr>
        <w:trPr>
          <w:trHeight w:val="143"/>
        </w:trPr>
        <w:tc>
          <w:tcPr>
            <w:tcW w:w="2140" w:type="dxa"/>
            <w:vAlign w:val="bottom"/>
            <w:vMerge w:val="restart"/>
          </w:tcPr>
          <w:p>
            <w:pPr>
              <w:ind w:left="140"/>
              <w:spacing w:after="0"/>
              <w:rPr>
                <w:sz w:val="20"/>
                <w:szCs w:val="20"/>
                <w:color w:val="auto"/>
              </w:rPr>
            </w:pPr>
            <w:r>
              <w:rPr>
                <w:rFonts w:ascii="Arial" w:cs="Arial" w:eastAsia="Arial" w:hAnsi="Arial"/>
                <w:sz w:val="17"/>
                <w:szCs w:val="17"/>
                <w:color w:val="auto"/>
              </w:rPr>
              <w:t>Ms. Price</w:t>
            </w:r>
          </w:p>
        </w:tc>
        <w:tc>
          <w:tcPr>
            <w:tcW w:w="5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140" w:type="dxa"/>
            <w:vAlign w:val="bottom"/>
            <w:vMerge w:val="continue"/>
          </w:tcPr>
          <w:p>
            <w:pPr>
              <w:spacing w:after="0"/>
              <w:rPr>
                <w:sz w:val="5"/>
                <w:szCs w:val="5"/>
                <w:color w:val="auto"/>
              </w:rPr>
            </w:pPr>
          </w:p>
        </w:tc>
        <w:tc>
          <w:tcPr>
            <w:tcW w:w="5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 meetings in fiscal year 2019</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Board has determined that each member of the committee is independent under the NYSE listing standards.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*Messrs. Chandler and Forsee served on the committee in 2019, and are not standing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5808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jc w:val="right"/>
        <w:spacing w:after="0"/>
        <w:tabs>
          <w:tab w:leader="none" w:pos="3360" w:val="left"/>
        </w:tabs>
        <w:rPr>
          <w:sz w:val="20"/>
          <w:szCs w:val="20"/>
          <w:color w:val="auto"/>
        </w:rPr>
      </w:pPr>
      <w:r>
        <w:rPr>
          <w:rFonts w:ascii="Arial" w:cs="Arial" w:eastAsia="Arial" w:hAnsi="Arial"/>
          <w:sz w:val="14"/>
          <w:szCs w:val="14"/>
          <w:b w:val="1"/>
          <w:bCs w:val="1"/>
          <w:color w:val="307CC0"/>
        </w:rPr>
        <w:t>Corporate Governance</w:t>
      </w:r>
      <w:r>
        <w:rPr>
          <w:rFonts w:ascii="Arial" w:cs="Arial" w:eastAsia="Arial" w:hAnsi="Arial"/>
          <w:sz w:val="14"/>
          <w:szCs w:val="14"/>
          <w:b w:val="1"/>
          <w:bCs w:val="1"/>
          <w:color w:val="7F7F7F"/>
        </w:rPr>
        <w:tab/>
        <w:t xml:space="preserve">Board Structure </w:t>
      </w:r>
      <w:r>
        <w:rPr>
          <w:rFonts w:ascii="Arial" w:cs="Arial" w:eastAsia="Arial" w:hAnsi="Arial"/>
          <w:sz w:val="14"/>
          <w:szCs w:val="14"/>
          <w:color w:val="000000"/>
        </w:rPr>
        <w:t>|</w:t>
      </w:r>
      <w:r>
        <w:rPr>
          <w:rFonts w:ascii="Arial" w:cs="Arial" w:eastAsia="Arial" w:hAnsi="Arial"/>
          <w:sz w:val="14"/>
          <w:szCs w:val="14"/>
          <w:b w:val="1"/>
          <w:bCs w:val="1"/>
          <w:color w:val="7F7F7F"/>
        </w:rPr>
        <w:t xml:space="preserve"> </w:t>
      </w:r>
      <w:r>
        <w:rPr>
          <w:rFonts w:ascii="Arial" w:cs="Arial" w:eastAsia="Arial" w:hAnsi="Arial"/>
          <w:sz w:val="14"/>
          <w:szCs w:val="14"/>
          <w:b w:val="1"/>
          <w:bCs w:val="1"/>
          <w:color w:val="000000"/>
        </w:rPr>
        <w:t>Evergy 2020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type w:val="continuous"/>
        </w:sectPr>
      </w:pPr>
    </w:p>
    <w:bookmarkStart w:id="22" w:name="page23"/>
    <w:bookmarkEnd w:id="22"/>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84455</wp:posOffset>
            </wp:positionV>
            <wp:extent cx="5808980" cy="2051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Finance Committee</w:t>
      </w:r>
    </w:p>
    <w:p>
      <w:pPr>
        <w:sectPr>
          <w:pgSz w:w="11900" w:h="16838" w:orient="portrait"/>
          <w:cols w:equalWidth="0" w:num="1">
            <w:col w:w="9160"/>
          </w:cols>
          <w:pgMar w:left="1360" w:top="272" w:right="1379" w:bottom="1440" w:gutter="0" w:footer="0" w:header="0"/>
        </w:sectPr>
      </w:pPr>
    </w:p>
    <w:p>
      <w:pPr>
        <w:spacing w:after="0" w:line="1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Committee Members</w:t>
      </w:r>
    </w:p>
    <w:p>
      <w:pPr>
        <w:ind w:left="260"/>
        <w:spacing w:after="0" w:line="237" w:lineRule="auto"/>
        <w:rPr>
          <w:sz w:val="20"/>
          <w:szCs w:val="20"/>
          <w:color w:val="auto"/>
        </w:rPr>
      </w:pPr>
      <w:r>
        <w:rPr>
          <w:rFonts w:ascii="Arial" w:cs="Arial" w:eastAsia="Arial" w:hAnsi="Arial"/>
          <w:sz w:val="17"/>
          <w:szCs w:val="17"/>
          <w:color w:val="auto"/>
        </w:rPr>
        <w:t>Mr. Isaac (Chair)</w:t>
      </w:r>
    </w:p>
    <w:p>
      <w:pPr>
        <w:ind w:left="260"/>
        <w:spacing w:after="0"/>
        <w:rPr>
          <w:sz w:val="20"/>
          <w:szCs w:val="20"/>
          <w:color w:val="auto"/>
        </w:rPr>
      </w:pPr>
      <w:r>
        <w:rPr>
          <w:rFonts w:ascii="Arial" w:cs="Arial" w:eastAsia="Arial" w:hAnsi="Arial"/>
          <w:sz w:val="17"/>
          <w:szCs w:val="17"/>
          <w:color w:val="auto"/>
        </w:rPr>
        <w:t>Mr. Grimes*</w:t>
      </w:r>
    </w:p>
    <w:p>
      <w:pPr>
        <w:ind w:left="260"/>
        <w:spacing w:after="0" w:line="237" w:lineRule="auto"/>
        <w:rPr>
          <w:sz w:val="20"/>
          <w:szCs w:val="20"/>
          <w:color w:val="auto"/>
        </w:rPr>
      </w:pPr>
      <w:r>
        <w:rPr>
          <w:rFonts w:ascii="Arial" w:cs="Arial" w:eastAsia="Arial" w:hAnsi="Arial"/>
          <w:sz w:val="17"/>
          <w:szCs w:val="17"/>
          <w:color w:val="auto"/>
        </w:rPr>
        <w:t>Mr. Hawley</w:t>
      </w:r>
    </w:p>
    <w:p>
      <w:pPr>
        <w:ind w:left="260"/>
        <w:spacing w:after="0"/>
        <w:rPr>
          <w:sz w:val="20"/>
          <w:szCs w:val="20"/>
          <w:color w:val="auto"/>
        </w:rPr>
      </w:pPr>
      <w:r>
        <w:rPr>
          <w:rFonts w:ascii="Arial" w:cs="Arial" w:eastAsia="Arial" w:hAnsi="Arial"/>
          <w:sz w:val="17"/>
          <w:szCs w:val="17"/>
          <w:color w:val="auto"/>
        </w:rPr>
        <w:t>Mr. Keglevic*</w:t>
      </w:r>
    </w:p>
    <w:p>
      <w:pPr>
        <w:ind w:left="260"/>
        <w:spacing w:after="0" w:line="237" w:lineRule="auto"/>
        <w:rPr>
          <w:sz w:val="20"/>
          <w:szCs w:val="20"/>
          <w:color w:val="auto"/>
        </w:rPr>
      </w:pPr>
      <w:r>
        <w:rPr>
          <w:rFonts w:ascii="Arial" w:cs="Arial" w:eastAsia="Arial" w:hAnsi="Arial"/>
          <w:sz w:val="17"/>
          <w:szCs w:val="17"/>
          <w:color w:val="auto"/>
        </w:rPr>
        <w:t>Ms. Murtlow</w:t>
      </w:r>
    </w:p>
    <w:p>
      <w:pPr>
        <w:ind w:left="260"/>
        <w:spacing w:after="0"/>
        <w:rPr>
          <w:sz w:val="20"/>
          <w:szCs w:val="20"/>
          <w:color w:val="auto"/>
        </w:rPr>
      </w:pPr>
      <w:r>
        <w:rPr>
          <w:rFonts w:ascii="Arial" w:cs="Arial" w:eastAsia="Arial" w:hAnsi="Arial"/>
          <w:sz w:val="17"/>
          <w:szCs w:val="17"/>
          <w:color w:val="auto"/>
        </w:rPr>
        <w:t>Mr. Sherman*</w:t>
      </w:r>
    </w:p>
    <w:p>
      <w:pPr>
        <w:ind w:left="260"/>
        <w:spacing w:after="0" w:line="237" w:lineRule="auto"/>
        <w:rPr>
          <w:sz w:val="20"/>
          <w:szCs w:val="20"/>
          <w:color w:val="auto"/>
        </w:rPr>
      </w:pPr>
      <w:r>
        <w:rPr>
          <w:rFonts w:ascii="Arial" w:cs="Arial" w:eastAsia="Arial" w:hAnsi="Arial"/>
          <w:sz w:val="17"/>
          <w:szCs w:val="17"/>
          <w:color w:val="auto"/>
        </w:rPr>
        <w:t>Mr. Soderstrom</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Mr. Stall</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meetings in fiscal year 2019</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264" w:right="540" w:hanging="264"/>
        <w:spacing w:after="0" w:line="253" w:lineRule="auto"/>
        <w:tabs>
          <w:tab w:leader="none" w:pos="264" w:val="left"/>
        </w:tabs>
        <w:numPr>
          <w:ilvl w:val="0"/>
          <w:numId w:val="18"/>
        </w:numPr>
        <w:rPr>
          <w:rFonts w:ascii="Arial" w:cs="Arial" w:eastAsia="Arial" w:hAnsi="Arial"/>
          <w:sz w:val="17"/>
          <w:szCs w:val="17"/>
          <w:color w:val="307CC0"/>
        </w:rPr>
      </w:pPr>
      <w:r>
        <w:rPr>
          <w:rFonts w:ascii="Arial" w:cs="Arial" w:eastAsia="Arial" w:hAnsi="Arial"/>
          <w:sz w:val="17"/>
          <w:szCs w:val="17"/>
          <w:color w:val="auto"/>
        </w:rPr>
        <w:t>Assist the Board with the management and review of matters relating to the financial condition and financing plans of Evergy;</w:t>
      </w:r>
    </w:p>
    <w:p>
      <w:pPr>
        <w:spacing w:after="0" w:line="1" w:lineRule="exact"/>
        <w:rPr>
          <w:rFonts w:ascii="Arial" w:cs="Arial" w:eastAsia="Arial" w:hAnsi="Arial"/>
          <w:sz w:val="17"/>
          <w:szCs w:val="17"/>
          <w:color w:val="307CC0"/>
        </w:rPr>
      </w:pPr>
    </w:p>
    <w:p>
      <w:pPr>
        <w:ind w:left="264" w:hanging="264"/>
        <w:spacing w:after="0"/>
        <w:tabs>
          <w:tab w:leader="none" w:pos="264" w:val="left"/>
        </w:tabs>
        <w:numPr>
          <w:ilvl w:val="0"/>
          <w:numId w:val="18"/>
        </w:numPr>
        <w:rPr>
          <w:rFonts w:ascii="Arial" w:cs="Arial" w:eastAsia="Arial" w:hAnsi="Arial"/>
          <w:sz w:val="17"/>
          <w:szCs w:val="17"/>
          <w:color w:val="307CC0"/>
        </w:rPr>
      </w:pPr>
      <w:r>
        <w:rPr>
          <w:rFonts w:ascii="Arial" w:cs="Arial" w:eastAsia="Arial" w:hAnsi="Arial"/>
          <w:sz w:val="17"/>
          <w:szCs w:val="17"/>
          <w:color w:val="auto"/>
        </w:rPr>
        <w:t>Review Evergy’s financial strategies;</w:t>
      </w:r>
    </w:p>
    <w:p>
      <w:pPr>
        <w:spacing w:after="0" w:line="24" w:lineRule="exact"/>
        <w:rPr>
          <w:rFonts w:ascii="Arial" w:cs="Arial" w:eastAsia="Arial" w:hAnsi="Arial"/>
          <w:sz w:val="17"/>
          <w:szCs w:val="17"/>
          <w:color w:val="307CC0"/>
        </w:rPr>
      </w:pPr>
    </w:p>
    <w:p>
      <w:pPr>
        <w:ind w:left="264" w:hanging="264"/>
        <w:spacing w:after="0"/>
        <w:tabs>
          <w:tab w:leader="none" w:pos="264" w:val="left"/>
        </w:tabs>
        <w:numPr>
          <w:ilvl w:val="0"/>
          <w:numId w:val="18"/>
        </w:numPr>
        <w:rPr>
          <w:rFonts w:ascii="Arial" w:cs="Arial" w:eastAsia="Arial" w:hAnsi="Arial"/>
          <w:sz w:val="17"/>
          <w:szCs w:val="17"/>
          <w:color w:val="307CC0"/>
        </w:rPr>
      </w:pPr>
      <w:r>
        <w:rPr>
          <w:rFonts w:ascii="Arial" w:cs="Arial" w:eastAsia="Arial" w:hAnsi="Arial"/>
          <w:sz w:val="17"/>
          <w:szCs w:val="17"/>
          <w:color w:val="auto"/>
        </w:rPr>
        <w:t>Review Evergy’s capital requirements, capital structure and capital allocation;</w:t>
      </w:r>
    </w:p>
    <w:p>
      <w:pPr>
        <w:spacing w:after="0" w:line="24" w:lineRule="exact"/>
        <w:rPr>
          <w:rFonts w:ascii="Arial" w:cs="Arial" w:eastAsia="Arial" w:hAnsi="Arial"/>
          <w:sz w:val="17"/>
          <w:szCs w:val="17"/>
          <w:color w:val="307CC0"/>
        </w:rPr>
      </w:pPr>
    </w:p>
    <w:p>
      <w:pPr>
        <w:ind w:left="264" w:hanging="264"/>
        <w:spacing w:after="0"/>
        <w:tabs>
          <w:tab w:leader="none" w:pos="264" w:val="left"/>
        </w:tabs>
        <w:numPr>
          <w:ilvl w:val="0"/>
          <w:numId w:val="18"/>
        </w:numPr>
        <w:rPr>
          <w:rFonts w:ascii="Arial" w:cs="Arial" w:eastAsia="Arial" w:hAnsi="Arial"/>
          <w:sz w:val="17"/>
          <w:szCs w:val="17"/>
          <w:color w:val="307CC0"/>
        </w:rPr>
      </w:pPr>
      <w:r>
        <w:rPr>
          <w:rFonts w:ascii="Arial" w:cs="Arial" w:eastAsia="Arial" w:hAnsi="Arial"/>
          <w:sz w:val="17"/>
          <w:szCs w:val="17"/>
          <w:color w:val="auto"/>
        </w:rPr>
        <w:t>Review Evergy’s annual budget;</w:t>
      </w:r>
    </w:p>
    <w:p>
      <w:pPr>
        <w:spacing w:after="0" w:line="24" w:lineRule="exact"/>
        <w:rPr>
          <w:rFonts w:ascii="Arial" w:cs="Arial" w:eastAsia="Arial" w:hAnsi="Arial"/>
          <w:sz w:val="17"/>
          <w:szCs w:val="17"/>
          <w:color w:val="307CC0"/>
        </w:rPr>
      </w:pPr>
    </w:p>
    <w:p>
      <w:pPr>
        <w:ind w:left="264" w:right="520" w:hanging="264"/>
        <w:spacing w:after="0" w:line="253" w:lineRule="auto"/>
        <w:tabs>
          <w:tab w:leader="none" w:pos="264" w:val="left"/>
        </w:tabs>
        <w:numPr>
          <w:ilvl w:val="0"/>
          <w:numId w:val="18"/>
        </w:numPr>
        <w:rPr>
          <w:rFonts w:ascii="Arial" w:cs="Arial" w:eastAsia="Arial" w:hAnsi="Arial"/>
          <w:sz w:val="17"/>
          <w:szCs w:val="17"/>
          <w:color w:val="307CC0"/>
        </w:rPr>
      </w:pPr>
      <w:r>
        <w:rPr>
          <w:rFonts w:ascii="Arial" w:cs="Arial" w:eastAsia="Arial" w:hAnsi="Arial"/>
          <w:sz w:val="17"/>
          <w:szCs w:val="17"/>
          <w:color w:val="auto"/>
        </w:rPr>
        <w:t>Review risks and mitigation strategies related to budgeting, financing, credit exposures and energy trading and marketing;</w:t>
      </w:r>
    </w:p>
    <w:p>
      <w:pPr>
        <w:spacing w:after="0" w:line="1" w:lineRule="exact"/>
        <w:rPr>
          <w:rFonts w:ascii="Arial" w:cs="Arial" w:eastAsia="Arial" w:hAnsi="Arial"/>
          <w:sz w:val="17"/>
          <w:szCs w:val="17"/>
          <w:color w:val="307CC0"/>
        </w:rPr>
      </w:pPr>
    </w:p>
    <w:p>
      <w:pPr>
        <w:ind w:left="264" w:hanging="264"/>
        <w:spacing w:after="0"/>
        <w:tabs>
          <w:tab w:leader="none" w:pos="264" w:val="left"/>
        </w:tabs>
        <w:numPr>
          <w:ilvl w:val="0"/>
          <w:numId w:val="18"/>
        </w:numPr>
        <w:rPr>
          <w:rFonts w:ascii="Arial" w:cs="Arial" w:eastAsia="Arial" w:hAnsi="Arial"/>
          <w:sz w:val="17"/>
          <w:szCs w:val="17"/>
          <w:color w:val="307CC0"/>
        </w:rPr>
      </w:pPr>
      <w:r>
        <w:rPr>
          <w:rFonts w:ascii="Arial" w:cs="Arial" w:eastAsia="Arial" w:hAnsi="Arial"/>
          <w:sz w:val="17"/>
          <w:szCs w:val="17"/>
          <w:color w:val="auto"/>
        </w:rPr>
        <w:t>Review Evergy’s investor relations program;</w:t>
      </w:r>
    </w:p>
    <w:p>
      <w:pPr>
        <w:spacing w:after="0" w:line="24" w:lineRule="exact"/>
        <w:rPr>
          <w:rFonts w:ascii="Arial" w:cs="Arial" w:eastAsia="Arial" w:hAnsi="Arial"/>
          <w:sz w:val="17"/>
          <w:szCs w:val="17"/>
          <w:color w:val="307CC0"/>
        </w:rPr>
      </w:pPr>
    </w:p>
    <w:p>
      <w:pPr>
        <w:ind w:left="264" w:right="1280" w:hanging="264"/>
        <w:spacing w:after="0" w:line="253" w:lineRule="auto"/>
        <w:tabs>
          <w:tab w:leader="none" w:pos="264" w:val="left"/>
        </w:tabs>
        <w:numPr>
          <w:ilvl w:val="0"/>
          <w:numId w:val="18"/>
        </w:numPr>
        <w:rPr>
          <w:rFonts w:ascii="Arial" w:cs="Arial" w:eastAsia="Arial" w:hAnsi="Arial"/>
          <w:sz w:val="17"/>
          <w:szCs w:val="17"/>
          <w:color w:val="307CC0"/>
        </w:rPr>
      </w:pPr>
      <w:r>
        <w:rPr>
          <w:rFonts w:ascii="Arial" w:cs="Arial" w:eastAsia="Arial" w:hAnsi="Arial"/>
          <w:sz w:val="17"/>
          <w:szCs w:val="17"/>
          <w:color w:val="auto"/>
        </w:rPr>
        <w:t>Oversee corporate insurance, and employee benefits and nuclear decommissioning trusts; and</w:t>
      </w:r>
    </w:p>
    <w:p>
      <w:pPr>
        <w:spacing w:after="0" w:line="1" w:lineRule="exact"/>
        <w:rPr>
          <w:rFonts w:ascii="Arial" w:cs="Arial" w:eastAsia="Arial" w:hAnsi="Arial"/>
          <w:sz w:val="17"/>
          <w:szCs w:val="17"/>
          <w:color w:val="307CC0"/>
        </w:rPr>
      </w:pPr>
    </w:p>
    <w:p>
      <w:pPr>
        <w:ind w:left="264" w:hanging="264"/>
        <w:spacing w:after="0"/>
        <w:tabs>
          <w:tab w:leader="none" w:pos="264" w:val="left"/>
        </w:tabs>
        <w:numPr>
          <w:ilvl w:val="0"/>
          <w:numId w:val="18"/>
        </w:numPr>
        <w:rPr>
          <w:rFonts w:ascii="Arial" w:cs="Arial" w:eastAsia="Arial" w:hAnsi="Arial"/>
          <w:sz w:val="17"/>
          <w:szCs w:val="17"/>
          <w:color w:val="307CC0"/>
        </w:rPr>
      </w:pPr>
      <w:r>
        <w:rPr>
          <w:rFonts w:ascii="Arial" w:cs="Arial" w:eastAsia="Arial" w:hAnsi="Arial"/>
          <w:sz w:val="17"/>
          <w:szCs w:val="17"/>
          <w:color w:val="auto"/>
        </w:rPr>
        <w:t>Review Evergy’s tax strategy and treasury practices, and related risks.</w:t>
      </w:r>
    </w:p>
    <w:p>
      <w:pPr>
        <w:spacing w:after="0" w:line="115" w:lineRule="exact"/>
        <w:rPr>
          <w:sz w:val="20"/>
          <w:szCs w:val="20"/>
          <w:color w:val="auto"/>
        </w:rPr>
      </w:pPr>
    </w:p>
    <w:p>
      <w:pPr>
        <w:sectPr>
          <w:pgSz w:w="11900" w:h="16838" w:orient="portrait"/>
          <w:cols w:equalWidth="0" w:num="2">
            <w:col w:w="2400" w:space="216"/>
            <w:col w:w="6544"/>
          </w:cols>
          <w:pgMar w:left="1360" w:top="272" w:right="137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The Board has determined that each member of the committee is independent under the NYSE listing standards.</w:t>
      </w:r>
    </w:p>
    <w:p>
      <w:pPr>
        <w:spacing w:after="0" w:line="102"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*Messrs. Grimes and Sherman served on the committee in 2019, and are not standing for re-election. Mr. Keglevic was appointed to the committee effective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5808980" cy="2051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Nuclear, Operations, and Environmental Oversight Committee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auto"/>
              </w:rPr>
              <w:t>Committee Members</w:t>
            </w:r>
          </w:p>
        </w:tc>
        <w:tc>
          <w:tcPr>
            <w:tcW w:w="6840" w:type="dxa"/>
            <w:vAlign w:val="bottom"/>
          </w:tcPr>
          <w:p>
            <w:pPr>
              <w:ind w:left="42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Assist with oversight of Wolf Creek nuclear generating station;</w:t>
            </w:r>
          </w:p>
        </w:tc>
        <w:tc>
          <w:tcPr>
            <w:tcW w:w="0" w:type="dxa"/>
            <w:vAlign w:val="bottom"/>
          </w:tcPr>
          <w:p>
            <w:pPr>
              <w:spacing w:after="0"/>
              <w:rPr>
                <w:sz w:val="1"/>
                <w:szCs w:val="1"/>
                <w:color w:val="auto"/>
              </w:rPr>
            </w:pPr>
          </w:p>
        </w:tc>
      </w:tr>
      <w:tr>
        <w:trPr>
          <w:trHeight w:val="208"/>
        </w:trPr>
        <w:tc>
          <w:tcPr>
            <w:tcW w:w="2060" w:type="dxa"/>
            <w:vAlign w:val="bottom"/>
          </w:tcPr>
          <w:p>
            <w:pPr>
              <w:ind w:left="140"/>
              <w:spacing w:after="0"/>
              <w:rPr>
                <w:sz w:val="20"/>
                <w:szCs w:val="20"/>
                <w:color w:val="auto"/>
              </w:rPr>
            </w:pPr>
            <w:r>
              <w:rPr>
                <w:rFonts w:ascii="Arial" w:cs="Arial" w:eastAsia="Arial" w:hAnsi="Arial"/>
                <w:sz w:val="17"/>
                <w:szCs w:val="17"/>
                <w:color w:val="auto"/>
              </w:rPr>
              <w:t>Ms. Murtlow (Chair)</w:t>
            </w:r>
          </w:p>
        </w:tc>
        <w:tc>
          <w:tcPr>
            <w:tcW w:w="6840" w:type="dxa"/>
            <w:vAlign w:val="bottom"/>
          </w:tcPr>
          <w:p>
            <w:pPr>
              <w:ind w:left="42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Assist with oversight of Evergy’s operations, including electric generation,</w:t>
            </w:r>
          </w:p>
        </w:tc>
        <w:tc>
          <w:tcPr>
            <w:tcW w:w="0" w:type="dxa"/>
            <w:vAlign w:val="bottom"/>
          </w:tcPr>
          <w:p>
            <w:pPr>
              <w:spacing w:after="0"/>
              <w:rPr>
                <w:sz w:val="1"/>
                <w:szCs w:val="1"/>
                <w:color w:val="auto"/>
              </w:rPr>
            </w:pPr>
          </w:p>
        </w:tc>
      </w:tr>
      <w:tr>
        <w:trPr>
          <w:trHeight w:val="194"/>
        </w:trPr>
        <w:tc>
          <w:tcPr>
            <w:tcW w:w="2060" w:type="dxa"/>
            <w:vAlign w:val="bottom"/>
          </w:tcPr>
          <w:p>
            <w:pPr>
              <w:ind w:left="140"/>
              <w:spacing w:after="0" w:line="194" w:lineRule="exact"/>
              <w:rPr>
                <w:sz w:val="20"/>
                <w:szCs w:val="20"/>
                <w:color w:val="auto"/>
              </w:rPr>
            </w:pPr>
            <w:r>
              <w:rPr>
                <w:rFonts w:ascii="Arial" w:cs="Arial" w:eastAsia="Arial" w:hAnsi="Arial"/>
                <w:sz w:val="17"/>
                <w:szCs w:val="17"/>
                <w:color w:val="auto"/>
              </w:rPr>
              <w:t>Mr. Andrews*</w:t>
            </w:r>
          </w:p>
        </w:tc>
        <w:tc>
          <w:tcPr>
            <w:tcW w:w="6840" w:type="dxa"/>
            <w:vAlign w:val="bottom"/>
          </w:tcPr>
          <w:p>
            <w:pPr>
              <w:ind w:left="740"/>
              <w:spacing w:after="0" w:line="194" w:lineRule="exact"/>
              <w:rPr>
                <w:sz w:val="20"/>
                <w:szCs w:val="20"/>
                <w:color w:val="auto"/>
              </w:rPr>
            </w:pPr>
            <w:r>
              <w:rPr>
                <w:rFonts w:ascii="Arial" w:cs="Arial" w:eastAsia="Arial" w:hAnsi="Arial"/>
                <w:sz w:val="17"/>
                <w:szCs w:val="17"/>
                <w:color w:val="auto"/>
              </w:rPr>
              <w:t>transmission and distribution, customer service and information technology;</w:t>
            </w:r>
          </w:p>
        </w:tc>
        <w:tc>
          <w:tcPr>
            <w:tcW w:w="0" w:type="dxa"/>
            <w:vAlign w:val="bottom"/>
          </w:tcPr>
          <w:p>
            <w:pPr>
              <w:spacing w:after="0"/>
              <w:rPr>
                <w:sz w:val="1"/>
                <w:szCs w:val="1"/>
                <w:color w:val="auto"/>
              </w:rPr>
            </w:pPr>
          </w:p>
        </w:tc>
      </w:tr>
      <w:tr>
        <w:trPr>
          <w:trHeight w:val="180"/>
        </w:trPr>
        <w:tc>
          <w:tcPr>
            <w:tcW w:w="2060" w:type="dxa"/>
            <w:vAlign w:val="bottom"/>
          </w:tcPr>
          <w:p>
            <w:pPr>
              <w:ind w:left="140"/>
              <w:spacing w:after="0" w:line="180" w:lineRule="exact"/>
              <w:rPr>
                <w:sz w:val="20"/>
                <w:szCs w:val="20"/>
                <w:color w:val="auto"/>
              </w:rPr>
            </w:pPr>
            <w:r>
              <w:rPr>
                <w:rFonts w:ascii="Arial" w:cs="Arial" w:eastAsia="Arial" w:hAnsi="Arial"/>
                <w:sz w:val="17"/>
                <w:szCs w:val="17"/>
                <w:color w:val="auto"/>
              </w:rPr>
              <w:t>Mr. Bassham</w:t>
            </w:r>
          </w:p>
        </w:tc>
        <w:tc>
          <w:tcPr>
            <w:tcW w:w="6840" w:type="dxa"/>
            <w:vAlign w:val="bottom"/>
            <w:vMerge w:val="restart"/>
          </w:tcPr>
          <w:p>
            <w:pPr>
              <w:ind w:left="42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Review risks and mitigation plans associated with Evergy’s operations, including</w:t>
            </w:r>
          </w:p>
        </w:tc>
        <w:tc>
          <w:tcPr>
            <w:tcW w:w="0" w:type="dxa"/>
            <w:vAlign w:val="bottom"/>
          </w:tcPr>
          <w:p>
            <w:pPr>
              <w:spacing w:after="0"/>
              <w:rPr>
                <w:sz w:val="1"/>
                <w:szCs w:val="1"/>
                <w:color w:val="auto"/>
              </w:rPr>
            </w:pPr>
          </w:p>
        </w:tc>
      </w:tr>
      <w:tr>
        <w:trPr>
          <w:trHeight w:val="116"/>
        </w:trPr>
        <w:tc>
          <w:tcPr>
            <w:tcW w:w="2060" w:type="dxa"/>
            <w:vAlign w:val="bottom"/>
            <w:vMerge w:val="restart"/>
          </w:tcPr>
          <w:p>
            <w:pPr>
              <w:ind w:left="140"/>
              <w:spacing w:after="0" w:line="194" w:lineRule="exact"/>
              <w:rPr>
                <w:sz w:val="20"/>
                <w:szCs w:val="20"/>
                <w:color w:val="auto"/>
              </w:rPr>
            </w:pPr>
            <w:r>
              <w:rPr>
                <w:rFonts w:ascii="Arial" w:cs="Arial" w:eastAsia="Arial" w:hAnsi="Arial"/>
                <w:sz w:val="17"/>
                <w:szCs w:val="17"/>
                <w:color w:val="auto"/>
              </w:rPr>
              <w:t>Mr. Grimes*</w:t>
            </w:r>
          </w:p>
        </w:tc>
        <w:tc>
          <w:tcPr>
            <w:tcW w:w="6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060" w:type="dxa"/>
            <w:vAlign w:val="bottom"/>
            <w:vMerge w:val="continue"/>
          </w:tcPr>
          <w:p>
            <w:pPr>
              <w:spacing w:after="0"/>
              <w:rPr>
                <w:sz w:val="6"/>
                <w:szCs w:val="6"/>
                <w:color w:val="auto"/>
              </w:rPr>
            </w:pPr>
          </w:p>
        </w:tc>
        <w:tc>
          <w:tcPr>
            <w:tcW w:w="6840" w:type="dxa"/>
            <w:vAlign w:val="bottom"/>
            <w:vMerge w:val="restart"/>
          </w:tcPr>
          <w:p>
            <w:pPr>
              <w:ind w:left="740"/>
              <w:spacing w:after="0"/>
              <w:rPr>
                <w:sz w:val="20"/>
                <w:szCs w:val="20"/>
                <w:color w:val="auto"/>
              </w:rPr>
            </w:pPr>
            <w:r>
              <w:rPr>
                <w:rFonts w:ascii="Arial" w:cs="Arial" w:eastAsia="Arial" w:hAnsi="Arial"/>
                <w:sz w:val="17"/>
                <w:szCs w:val="17"/>
                <w:color w:val="auto"/>
              </w:rPr>
              <w:t>physical and cybersecurity;</w:t>
            </w:r>
          </w:p>
        </w:tc>
        <w:tc>
          <w:tcPr>
            <w:tcW w:w="0" w:type="dxa"/>
            <w:vAlign w:val="bottom"/>
          </w:tcPr>
          <w:p>
            <w:pPr>
              <w:spacing w:after="0"/>
              <w:rPr>
                <w:sz w:val="1"/>
                <w:szCs w:val="1"/>
                <w:color w:val="auto"/>
              </w:rPr>
            </w:pPr>
          </w:p>
        </w:tc>
      </w:tr>
      <w:tr>
        <w:trPr>
          <w:trHeight w:val="130"/>
        </w:trPr>
        <w:tc>
          <w:tcPr>
            <w:tcW w:w="2060" w:type="dxa"/>
            <w:vAlign w:val="bottom"/>
            <w:vMerge w:val="restart"/>
          </w:tcPr>
          <w:p>
            <w:pPr>
              <w:ind w:left="140"/>
              <w:spacing w:after="0" w:line="194" w:lineRule="exact"/>
              <w:rPr>
                <w:sz w:val="20"/>
                <w:szCs w:val="20"/>
                <w:color w:val="auto"/>
              </w:rPr>
            </w:pPr>
            <w:r>
              <w:rPr>
                <w:rFonts w:ascii="Arial" w:cs="Arial" w:eastAsia="Arial" w:hAnsi="Arial"/>
                <w:sz w:val="17"/>
                <w:szCs w:val="17"/>
                <w:color w:val="auto"/>
              </w:rPr>
              <w:t>Mr. Isaac</w:t>
            </w:r>
          </w:p>
        </w:tc>
        <w:tc>
          <w:tcPr>
            <w:tcW w:w="6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60" w:type="dxa"/>
            <w:vAlign w:val="bottom"/>
            <w:vMerge w:val="continue"/>
          </w:tcPr>
          <w:p>
            <w:pPr>
              <w:spacing w:after="0"/>
              <w:rPr>
                <w:sz w:val="5"/>
                <w:szCs w:val="5"/>
                <w:color w:val="auto"/>
              </w:rPr>
            </w:pPr>
          </w:p>
        </w:tc>
        <w:tc>
          <w:tcPr>
            <w:tcW w:w="6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60" w:type="dxa"/>
            <w:vAlign w:val="bottom"/>
          </w:tcPr>
          <w:p>
            <w:pPr>
              <w:ind w:left="140"/>
              <w:spacing w:after="0" w:line="194" w:lineRule="exact"/>
              <w:rPr>
                <w:sz w:val="20"/>
                <w:szCs w:val="20"/>
                <w:color w:val="auto"/>
              </w:rPr>
            </w:pPr>
            <w:r>
              <w:rPr>
                <w:rFonts w:ascii="Arial" w:cs="Arial" w:eastAsia="Arial" w:hAnsi="Arial"/>
                <w:sz w:val="17"/>
                <w:szCs w:val="17"/>
                <w:color w:val="auto"/>
              </w:rPr>
              <w:t>Mr. Ruelle</w:t>
            </w:r>
          </w:p>
        </w:tc>
        <w:tc>
          <w:tcPr>
            <w:tcW w:w="6840" w:type="dxa"/>
            <w:vAlign w:val="bottom"/>
          </w:tcPr>
          <w:p>
            <w:pPr>
              <w:ind w:left="420"/>
              <w:spacing w:after="0" w:line="194" w:lineRule="exact"/>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Review the safety and reliability of Evergy’s operations; and</w:t>
            </w:r>
          </w:p>
        </w:tc>
        <w:tc>
          <w:tcPr>
            <w:tcW w:w="0" w:type="dxa"/>
            <w:vAlign w:val="bottom"/>
          </w:tcPr>
          <w:p>
            <w:pPr>
              <w:spacing w:after="0"/>
              <w:rPr>
                <w:sz w:val="1"/>
                <w:szCs w:val="1"/>
                <w:color w:val="auto"/>
              </w:rPr>
            </w:pPr>
          </w:p>
        </w:tc>
      </w:tr>
      <w:tr>
        <w:trPr>
          <w:trHeight w:val="208"/>
        </w:trPr>
        <w:tc>
          <w:tcPr>
            <w:tcW w:w="2060" w:type="dxa"/>
            <w:vAlign w:val="bottom"/>
          </w:tcPr>
          <w:p>
            <w:pPr>
              <w:ind w:left="140"/>
              <w:spacing w:after="0"/>
              <w:rPr>
                <w:sz w:val="20"/>
                <w:szCs w:val="20"/>
                <w:color w:val="auto"/>
              </w:rPr>
            </w:pPr>
            <w:r>
              <w:rPr>
                <w:rFonts w:ascii="Arial" w:cs="Arial" w:eastAsia="Arial" w:hAnsi="Arial"/>
                <w:sz w:val="17"/>
                <w:szCs w:val="17"/>
                <w:color w:val="auto"/>
              </w:rPr>
              <w:t>Mr. Soderstrom</w:t>
            </w:r>
          </w:p>
        </w:tc>
        <w:tc>
          <w:tcPr>
            <w:tcW w:w="6840" w:type="dxa"/>
            <w:vAlign w:val="bottom"/>
          </w:tcPr>
          <w:p>
            <w:pPr>
              <w:ind w:left="42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Oversee environmental and sustainability issues.</w:t>
            </w:r>
          </w:p>
        </w:tc>
        <w:tc>
          <w:tcPr>
            <w:tcW w:w="0" w:type="dxa"/>
            <w:vAlign w:val="bottom"/>
          </w:tcPr>
          <w:p>
            <w:pPr>
              <w:spacing w:after="0"/>
              <w:rPr>
                <w:sz w:val="1"/>
                <w:szCs w:val="1"/>
                <w:color w:val="auto"/>
              </w:rPr>
            </w:pPr>
          </w:p>
        </w:tc>
      </w:tr>
      <w:tr>
        <w:trPr>
          <w:trHeight w:val="208"/>
        </w:trPr>
        <w:tc>
          <w:tcPr>
            <w:tcW w:w="2060" w:type="dxa"/>
            <w:vAlign w:val="bottom"/>
          </w:tcPr>
          <w:p>
            <w:pPr>
              <w:ind w:left="140"/>
              <w:spacing w:after="0"/>
              <w:rPr>
                <w:sz w:val="20"/>
                <w:szCs w:val="20"/>
                <w:color w:val="auto"/>
              </w:rPr>
            </w:pPr>
            <w:r>
              <w:rPr>
                <w:rFonts w:ascii="Arial" w:cs="Arial" w:eastAsia="Arial" w:hAnsi="Arial"/>
                <w:sz w:val="17"/>
                <w:szCs w:val="17"/>
                <w:color w:val="auto"/>
              </w:rPr>
              <w:t>Mr. Stall</w:t>
            </w:r>
          </w:p>
        </w:tc>
        <w:tc>
          <w:tcPr>
            <w:tcW w:w="6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meetings in fiscal year 2019</w:t>
      </w:r>
    </w:p>
    <w:p>
      <w:pPr>
        <w:spacing w:after="0" w:line="115"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The Board has determined that each member of the committee, other than Mr. Ruelle and Mr. Bassham, is independent under the NYSE listing standards. Due to their extensive operational experience, including with respect to Wolf Creek, the Board determined that having Mr. Ruelle and Mr. Bassham on the committee is beneficial to the long-term interests of shareholders, customers and the community. Mr. Ruelle and Mr. Bassham have also both completed the Institute of Nuclear Power Operations Nuclear Reactor Technology Course for Executives at the Massachusetts Institute of Technology.</w:t>
      </w:r>
    </w:p>
    <w:p>
      <w:pPr>
        <w:spacing w:after="0" w:line="93" w:lineRule="exact"/>
        <w:rPr>
          <w:sz w:val="20"/>
          <w:szCs w:val="20"/>
          <w:color w:val="auto"/>
        </w:rPr>
      </w:pPr>
    </w:p>
    <w:p>
      <w:pPr>
        <w:jc w:val="both"/>
        <w:ind w:left="20" w:right="20"/>
        <w:spacing w:after="0" w:line="269" w:lineRule="auto"/>
        <w:rPr>
          <w:sz w:val="20"/>
          <w:szCs w:val="20"/>
          <w:color w:val="auto"/>
        </w:rPr>
      </w:pPr>
      <w:r>
        <w:rPr>
          <w:rFonts w:ascii="Arial" w:cs="Arial" w:eastAsia="Arial" w:hAnsi="Arial"/>
          <w:sz w:val="17"/>
          <w:szCs w:val="17"/>
          <w:color w:val="auto"/>
        </w:rPr>
        <w:t>*Mr. Grimes served on the committee in 2019, and is not standing for re-election. Mr. Andrews was appointed to the committee effective March 3, 2020.</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220" w:type="dxa"/>
            <w:vAlign w:val="bottom"/>
            <w:tcBorders>
              <w:top w:val="single" w:sz="8" w:color="auto"/>
              <w:left w:val="single" w:sz="8" w:color="auto"/>
              <w:bottom w:val="single" w:sz="8" w:color="auto"/>
            </w:tcBorders>
            <w:shd w:val="clear" w:color="auto" w:fill="95C93D"/>
          </w:tcPr>
          <w:p>
            <w:pPr>
              <w:spacing w:after="0"/>
              <w:rPr>
                <w:sz w:val="24"/>
                <w:szCs w:val="24"/>
                <w:color w:val="auto"/>
              </w:rPr>
            </w:pPr>
          </w:p>
        </w:tc>
        <w:tc>
          <w:tcPr>
            <w:tcW w:w="6940" w:type="dxa"/>
            <w:vAlign w:val="bottom"/>
            <w:tcBorders>
              <w:top w:val="single" w:sz="8" w:color="auto"/>
              <w:bottom w:val="single" w:sz="8" w:color="auto"/>
              <w:right w:val="single" w:sz="8" w:color="auto"/>
            </w:tcBorders>
            <w:shd w:val="clear" w:color="auto" w:fill="95C93D"/>
          </w:tcPr>
          <w:p>
            <w:pPr>
              <w:ind w:left="160"/>
              <w:spacing w:after="0"/>
              <w:rPr>
                <w:sz w:val="20"/>
                <w:szCs w:val="20"/>
                <w:color w:val="auto"/>
              </w:rPr>
            </w:pPr>
            <w:r>
              <w:rPr>
                <w:rFonts w:ascii="Arial" w:cs="Arial" w:eastAsia="Arial" w:hAnsi="Arial"/>
                <w:sz w:val="22"/>
                <w:szCs w:val="22"/>
                <w:b w:val="1"/>
                <w:bCs w:val="1"/>
                <w:color w:val="FFFFFF"/>
              </w:rPr>
              <w:t>Strategy Review &amp; Operations Committee</w:t>
            </w:r>
          </w:p>
        </w:tc>
        <w:tc>
          <w:tcPr>
            <w:tcW w:w="0" w:type="dxa"/>
            <w:vAlign w:val="bottom"/>
          </w:tcPr>
          <w:p>
            <w:pPr>
              <w:spacing w:after="0"/>
              <w:rPr>
                <w:sz w:val="1"/>
                <w:szCs w:val="1"/>
                <w:color w:val="auto"/>
              </w:rPr>
            </w:pPr>
          </w:p>
        </w:tc>
      </w:tr>
      <w:tr>
        <w:trPr>
          <w:trHeight w:val="251"/>
        </w:trPr>
        <w:tc>
          <w:tcPr>
            <w:tcW w:w="2220" w:type="dxa"/>
            <w:vAlign w:val="bottom"/>
          </w:tcPr>
          <w:p>
            <w:pPr>
              <w:ind w:left="120"/>
              <w:spacing w:after="0"/>
              <w:rPr>
                <w:sz w:val="20"/>
                <w:szCs w:val="20"/>
                <w:color w:val="auto"/>
              </w:rPr>
            </w:pPr>
            <w:r>
              <w:rPr>
                <w:rFonts w:ascii="Arial" w:cs="Arial" w:eastAsia="Arial" w:hAnsi="Arial"/>
                <w:sz w:val="17"/>
                <w:szCs w:val="17"/>
                <w:color w:val="auto"/>
              </w:rPr>
              <w:t>Committee Members</w:t>
            </w:r>
          </w:p>
        </w:tc>
        <w:tc>
          <w:tcPr>
            <w:tcW w:w="6940" w:type="dxa"/>
            <w:vAlign w:val="bottom"/>
          </w:tcPr>
          <w:p>
            <w:pPr>
              <w:ind w:left="40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Advise the Board and management in exploring ways to enhance long-term</w:t>
            </w:r>
          </w:p>
        </w:tc>
        <w:tc>
          <w:tcPr>
            <w:tcW w:w="0" w:type="dxa"/>
            <w:vAlign w:val="bottom"/>
          </w:tcPr>
          <w:p>
            <w:pPr>
              <w:spacing w:after="0"/>
              <w:rPr>
                <w:sz w:val="1"/>
                <w:szCs w:val="1"/>
                <w:color w:val="auto"/>
              </w:rPr>
            </w:pPr>
          </w:p>
        </w:tc>
      </w:tr>
      <w:tr>
        <w:trPr>
          <w:trHeight w:val="194"/>
        </w:trPr>
        <w:tc>
          <w:tcPr>
            <w:tcW w:w="2220" w:type="dxa"/>
            <w:vAlign w:val="bottom"/>
          </w:tcPr>
          <w:p>
            <w:pPr>
              <w:ind w:left="260"/>
              <w:spacing w:after="0" w:line="194" w:lineRule="exact"/>
              <w:rPr>
                <w:sz w:val="20"/>
                <w:szCs w:val="20"/>
                <w:color w:val="auto"/>
              </w:rPr>
            </w:pPr>
            <w:r>
              <w:rPr>
                <w:rFonts w:ascii="Arial" w:cs="Arial" w:eastAsia="Arial" w:hAnsi="Arial"/>
                <w:sz w:val="17"/>
                <w:szCs w:val="17"/>
                <w:color w:val="auto"/>
              </w:rPr>
              <w:t>Mr. Keglevic (Co-Chair)</w:t>
            </w:r>
          </w:p>
        </w:tc>
        <w:tc>
          <w:tcPr>
            <w:tcW w:w="6940" w:type="dxa"/>
            <w:vAlign w:val="bottom"/>
          </w:tcPr>
          <w:p>
            <w:pPr>
              <w:ind w:left="660"/>
              <w:spacing w:after="0" w:line="194" w:lineRule="exact"/>
              <w:rPr>
                <w:sz w:val="20"/>
                <w:szCs w:val="20"/>
                <w:color w:val="auto"/>
              </w:rPr>
            </w:pPr>
            <w:r>
              <w:rPr>
                <w:rFonts w:ascii="Arial" w:cs="Arial" w:eastAsia="Arial" w:hAnsi="Arial"/>
                <w:sz w:val="17"/>
                <w:szCs w:val="17"/>
                <w:color w:val="auto"/>
              </w:rPr>
              <w:t>shareholder value including through the evaluation of:</w:t>
            </w:r>
          </w:p>
        </w:tc>
        <w:tc>
          <w:tcPr>
            <w:tcW w:w="0" w:type="dxa"/>
            <w:vAlign w:val="bottom"/>
          </w:tcPr>
          <w:p>
            <w:pPr>
              <w:spacing w:after="0"/>
              <w:rPr>
                <w:sz w:val="1"/>
                <w:szCs w:val="1"/>
                <w:color w:val="auto"/>
              </w:rPr>
            </w:pPr>
          </w:p>
        </w:tc>
      </w:tr>
      <w:tr>
        <w:trPr>
          <w:trHeight w:val="194"/>
        </w:trPr>
        <w:tc>
          <w:tcPr>
            <w:tcW w:w="2220" w:type="dxa"/>
            <w:vAlign w:val="bottom"/>
          </w:tcPr>
          <w:p>
            <w:pPr>
              <w:ind w:left="260"/>
              <w:spacing w:after="0" w:line="194" w:lineRule="exact"/>
              <w:rPr>
                <w:sz w:val="20"/>
                <w:szCs w:val="20"/>
                <w:color w:val="auto"/>
              </w:rPr>
            </w:pPr>
            <w:r>
              <w:rPr>
                <w:rFonts w:ascii="Arial" w:cs="Arial" w:eastAsia="Arial" w:hAnsi="Arial"/>
                <w:sz w:val="17"/>
                <w:szCs w:val="17"/>
                <w:color w:val="auto"/>
              </w:rPr>
              <w:t>Mr. Stall (Co-Chair)</w:t>
            </w:r>
          </w:p>
        </w:tc>
        <w:tc>
          <w:tcPr>
            <w:tcW w:w="6940" w:type="dxa"/>
            <w:vAlign w:val="bottom"/>
            <w:vMerge w:val="restart"/>
          </w:tcPr>
          <w:p>
            <w:pPr>
              <w:ind w:left="6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Opportunities for a strategic combination involving the Company; and</w:t>
            </w:r>
          </w:p>
        </w:tc>
        <w:tc>
          <w:tcPr>
            <w:tcW w:w="0" w:type="dxa"/>
            <w:vAlign w:val="bottom"/>
          </w:tcPr>
          <w:p>
            <w:pPr>
              <w:spacing w:after="0"/>
              <w:rPr>
                <w:sz w:val="1"/>
                <w:szCs w:val="1"/>
                <w:color w:val="auto"/>
              </w:rPr>
            </w:pPr>
          </w:p>
        </w:tc>
      </w:tr>
      <w:tr>
        <w:trPr>
          <w:trHeight w:val="194"/>
        </w:trPr>
        <w:tc>
          <w:tcPr>
            <w:tcW w:w="2220" w:type="dxa"/>
            <w:vAlign w:val="bottom"/>
          </w:tcPr>
          <w:p>
            <w:pPr>
              <w:ind w:left="260"/>
              <w:spacing w:after="0" w:line="194" w:lineRule="exact"/>
              <w:rPr>
                <w:sz w:val="20"/>
                <w:szCs w:val="20"/>
                <w:color w:val="auto"/>
              </w:rPr>
            </w:pPr>
            <w:r>
              <w:rPr>
                <w:rFonts w:ascii="Arial" w:cs="Arial" w:eastAsia="Arial" w:hAnsi="Arial"/>
                <w:sz w:val="17"/>
                <w:szCs w:val="17"/>
                <w:color w:val="auto"/>
              </w:rPr>
              <w:t>Mr. Bassham</w:t>
            </w:r>
          </w:p>
        </w:tc>
        <w:tc>
          <w:tcPr>
            <w:tcW w:w="6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20" w:type="dxa"/>
            <w:vAlign w:val="bottom"/>
          </w:tcPr>
          <w:p>
            <w:pPr>
              <w:ind w:left="260"/>
              <w:spacing w:after="0"/>
              <w:rPr>
                <w:sz w:val="20"/>
                <w:szCs w:val="20"/>
                <w:color w:val="auto"/>
              </w:rPr>
            </w:pPr>
            <w:r>
              <w:rPr>
                <w:rFonts w:ascii="Arial" w:cs="Arial" w:eastAsia="Arial" w:hAnsi="Arial"/>
                <w:sz w:val="17"/>
                <w:szCs w:val="17"/>
                <w:color w:val="auto"/>
              </w:rPr>
              <w:t>Mr. Andrews</w:t>
            </w:r>
          </w:p>
        </w:tc>
        <w:tc>
          <w:tcPr>
            <w:tcW w:w="6940" w:type="dxa"/>
            <w:vAlign w:val="bottom"/>
          </w:tcPr>
          <w:p>
            <w:pPr>
              <w:ind w:left="660"/>
              <w:spacing w:after="0"/>
              <w:rPr>
                <w:sz w:val="20"/>
                <w:szCs w:val="20"/>
                <w:color w:val="auto"/>
              </w:rPr>
            </w:pPr>
            <w:r>
              <w:rPr>
                <w:rFonts w:ascii="Arial" w:cs="Arial" w:eastAsia="Arial" w:hAnsi="Arial"/>
                <w:sz w:val="17"/>
                <w:szCs w:val="17"/>
                <w:color w:val="307CC0"/>
              </w:rPr>
              <w:t xml:space="preserve">▪  </w:t>
            </w:r>
            <w:r>
              <w:rPr>
                <w:rFonts w:ascii="Arial" w:cs="Arial" w:eastAsia="Arial" w:hAnsi="Arial"/>
                <w:sz w:val="17"/>
                <w:szCs w:val="17"/>
                <w:color w:val="000000"/>
              </w:rPr>
              <w:t>Enhancements to the Company’s long-term standalone operating plan and</w:t>
            </w:r>
          </w:p>
        </w:tc>
        <w:tc>
          <w:tcPr>
            <w:tcW w:w="0" w:type="dxa"/>
            <w:vAlign w:val="bottom"/>
          </w:tcPr>
          <w:p>
            <w:pPr>
              <w:spacing w:after="0"/>
              <w:rPr>
                <w:sz w:val="1"/>
                <w:szCs w:val="1"/>
                <w:color w:val="auto"/>
              </w:rPr>
            </w:pPr>
          </w:p>
        </w:tc>
      </w:tr>
      <w:tr>
        <w:trPr>
          <w:trHeight w:val="208"/>
        </w:trPr>
        <w:tc>
          <w:tcPr>
            <w:tcW w:w="2220" w:type="dxa"/>
            <w:vAlign w:val="bottom"/>
            <w:vMerge w:val="restart"/>
          </w:tcPr>
          <w:p>
            <w:pPr>
              <w:ind w:left="120"/>
              <w:spacing w:after="0"/>
              <w:rPr>
                <w:sz w:val="20"/>
                <w:szCs w:val="20"/>
                <w:color w:val="auto"/>
              </w:rPr>
            </w:pPr>
            <w:r>
              <w:rPr>
                <w:rFonts w:ascii="Arial" w:cs="Arial" w:eastAsia="Arial" w:hAnsi="Arial"/>
                <w:sz w:val="17"/>
                <w:szCs w:val="17"/>
                <w:color w:val="auto"/>
              </w:rPr>
              <w:t>New Committee for 2020</w:t>
            </w:r>
          </w:p>
        </w:tc>
        <w:tc>
          <w:tcPr>
            <w:tcW w:w="6940" w:type="dxa"/>
            <w:vAlign w:val="bottom"/>
          </w:tcPr>
          <w:p>
            <w:pPr>
              <w:ind w:left="940"/>
              <w:spacing w:after="0"/>
              <w:rPr>
                <w:sz w:val="20"/>
                <w:szCs w:val="20"/>
                <w:color w:val="auto"/>
              </w:rPr>
            </w:pPr>
            <w:r>
              <w:rPr>
                <w:rFonts w:ascii="Arial" w:cs="Arial" w:eastAsia="Arial" w:hAnsi="Arial"/>
                <w:sz w:val="17"/>
                <w:szCs w:val="17"/>
                <w:color w:val="auto"/>
              </w:rPr>
              <w:t>strategy.</w:t>
            </w:r>
          </w:p>
        </w:tc>
        <w:tc>
          <w:tcPr>
            <w:tcW w:w="0" w:type="dxa"/>
            <w:vAlign w:val="bottom"/>
          </w:tcPr>
          <w:p>
            <w:pPr>
              <w:spacing w:after="0"/>
              <w:rPr>
                <w:sz w:val="1"/>
                <w:szCs w:val="1"/>
                <w:color w:val="auto"/>
              </w:rPr>
            </w:pPr>
          </w:p>
        </w:tc>
      </w:tr>
      <w:tr>
        <w:trPr>
          <w:trHeight w:val="142"/>
        </w:trPr>
        <w:tc>
          <w:tcPr>
            <w:tcW w:w="2220" w:type="dxa"/>
            <w:vAlign w:val="bottom"/>
            <w:vMerge w:val="continue"/>
          </w:tcPr>
          <w:p>
            <w:pPr>
              <w:spacing w:after="0"/>
              <w:rPr>
                <w:sz w:val="12"/>
                <w:szCs w:val="12"/>
                <w:color w:val="auto"/>
              </w:rPr>
            </w:pPr>
          </w:p>
        </w:tc>
        <w:tc>
          <w:tcPr>
            <w:tcW w:w="6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left="20" w:firstLine="172"/>
        <w:spacing w:after="0" w:line="261" w:lineRule="auto"/>
        <w:rPr>
          <w:sz w:val="20"/>
          <w:szCs w:val="20"/>
          <w:color w:val="auto"/>
        </w:rPr>
      </w:pPr>
      <w:r>
        <w:rPr>
          <w:rFonts w:ascii="Arial" w:cs="Arial" w:eastAsia="Arial" w:hAnsi="Arial"/>
          <w:sz w:val="17"/>
          <w:szCs w:val="17"/>
          <w:color w:val="auto"/>
        </w:rPr>
        <w:t>The Board has determined that each member of the committee, other than Mr. Bassham, is independent under the NYSE listing standards. The committee was formed pursuant to the Agreement with Elliott filed as Exhibit 10.1 to the Company’s Current Report on Form 8-K filed on March 2, 2020 with the SEC, and did not meet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120650</wp:posOffset>
            </wp:positionV>
            <wp:extent cx="5808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4" w:lineRule="exact"/>
        <w:rPr>
          <w:sz w:val="20"/>
          <w:szCs w:val="20"/>
          <w:color w:val="auto"/>
        </w:rPr>
      </w:pPr>
    </w:p>
    <w:p>
      <w:pPr>
        <w:jc w:val="right"/>
        <w:spacing w:after="0"/>
        <w:tabs>
          <w:tab w:leader="none" w:pos="3360" w:val="left"/>
        </w:tabs>
        <w:rPr>
          <w:sz w:val="20"/>
          <w:szCs w:val="20"/>
          <w:color w:val="auto"/>
        </w:rPr>
      </w:pPr>
      <w:r>
        <w:rPr>
          <w:rFonts w:ascii="Arial" w:cs="Arial" w:eastAsia="Arial" w:hAnsi="Arial"/>
          <w:sz w:val="14"/>
          <w:szCs w:val="14"/>
          <w:b w:val="1"/>
          <w:bCs w:val="1"/>
          <w:color w:val="307CC0"/>
        </w:rPr>
        <w:t>Corporate Governance</w:t>
      </w:r>
      <w:r>
        <w:rPr>
          <w:rFonts w:ascii="Arial" w:cs="Arial" w:eastAsia="Arial" w:hAnsi="Arial"/>
          <w:sz w:val="14"/>
          <w:szCs w:val="14"/>
          <w:b w:val="1"/>
          <w:bCs w:val="1"/>
          <w:color w:val="7F7F7F"/>
        </w:rPr>
        <w:tab/>
        <w:t xml:space="preserve">Board Structure </w:t>
      </w:r>
      <w:r>
        <w:rPr>
          <w:rFonts w:ascii="Arial" w:cs="Arial" w:eastAsia="Arial" w:hAnsi="Arial"/>
          <w:sz w:val="14"/>
          <w:szCs w:val="14"/>
          <w:color w:val="000000"/>
        </w:rPr>
        <w:t>|</w:t>
      </w:r>
      <w:r>
        <w:rPr>
          <w:rFonts w:ascii="Arial" w:cs="Arial" w:eastAsia="Arial" w:hAnsi="Arial"/>
          <w:sz w:val="14"/>
          <w:szCs w:val="14"/>
          <w:b w:val="1"/>
          <w:bCs w:val="1"/>
          <w:color w:val="7F7F7F"/>
        </w:rPr>
        <w:t xml:space="preserve"> </w:t>
      </w:r>
      <w:r>
        <w:rPr>
          <w:rFonts w:ascii="Arial" w:cs="Arial" w:eastAsia="Arial" w:hAnsi="Arial"/>
          <w:sz w:val="14"/>
          <w:szCs w:val="14"/>
          <w:b w:val="1"/>
          <w:bCs w:val="1"/>
          <w:color w:val="000000"/>
        </w:rPr>
        <w:t>Evergy 2020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240030</wp:posOffset>
            </wp:positionV>
            <wp:extent cx="5808980" cy="2051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Corporate Governance Practices</w:t>
      </w:r>
    </w:p>
    <w:p>
      <w:pPr>
        <w:spacing w:after="0" w:line="171" w:lineRule="exact"/>
        <w:rPr>
          <w:sz w:val="20"/>
          <w:szCs w:val="20"/>
          <w:color w:val="auto"/>
        </w:rPr>
      </w:pPr>
    </w:p>
    <w:p>
      <w:pPr>
        <w:jc w:val="both"/>
        <w:ind w:firstLine="172"/>
        <w:spacing w:after="0" w:line="269" w:lineRule="auto"/>
        <w:rPr>
          <w:sz w:val="20"/>
          <w:szCs w:val="20"/>
          <w:color w:val="auto"/>
        </w:rPr>
      </w:pPr>
      <w:r>
        <w:rPr>
          <w:rFonts w:ascii="Arial" w:cs="Arial" w:eastAsia="Arial" w:hAnsi="Arial"/>
          <w:sz w:val="17"/>
          <w:szCs w:val="17"/>
          <w:color w:val="auto"/>
        </w:rPr>
        <w:t>We are committed to strong corporate governance practices that support the regulated nature of our business and the long-term interests of our shareholders.</w:t>
      </w:r>
    </w:p>
    <w:p>
      <w:pPr>
        <w:spacing w:after="0" w:line="57" w:lineRule="exact"/>
        <w:rPr>
          <w:sz w:val="20"/>
          <w:szCs w:val="20"/>
          <w:color w:val="auto"/>
        </w:rPr>
      </w:pPr>
    </w:p>
    <w:p>
      <w:pPr>
        <w:jc w:val="both"/>
        <w:ind w:firstLine="172"/>
        <w:spacing w:after="0" w:line="264" w:lineRule="auto"/>
        <w:rPr>
          <w:sz w:val="20"/>
          <w:szCs w:val="20"/>
          <w:color w:val="auto"/>
        </w:rPr>
      </w:pPr>
      <w:r>
        <w:rPr>
          <w:rFonts w:ascii="Arial" w:cs="Arial" w:eastAsia="Arial" w:hAnsi="Arial"/>
          <w:sz w:val="17"/>
          <w:szCs w:val="17"/>
          <w:b w:val="1"/>
          <w:bCs w:val="1"/>
          <w:color w:val="auto"/>
        </w:rPr>
        <w:t xml:space="preserve">Corporate Governance Guidelines. </w:t>
      </w:r>
      <w:r>
        <w:rPr>
          <w:rFonts w:ascii="Arial" w:cs="Arial" w:eastAsia="Arial" w:hAnsi="Arial"/>
          <w:sz w:val="17"/>
          <w:szCs w:val="17"/>
          <w:color w:val="auto"/>
        </w:rPr>
        <w:t>The Board has adopted a set of Corporate Governance Guidelines to provide a</w:t>
      </w:r>
      <w:r>
        <w:rPr>
          <w:rFonts w:ascii="Arial" w:cs="Arial" w:eastAsia="Arial" w:hAnsi="Arial"/>
          <w:sz w:val="17"/>
          <w:szCs w:val="17"/>
          <w:b w:val="1"/>
          <w:bCs w:val="1"/>
          <w:color w:val="auto"/>
        </w:rPr>
        <w:t xml:space="preserve"> </w:t>
      </w:r>
      <w:r>
        <w:rPr>
          <w:rFonts w:ascii="Arial" w:cs="Arial" w:eastAsia="Arial" w:hAnsi="Arial"/>
          <w:sz w:val="17"/>
          <w:szCs w:val="17"/>
          <w:color w:val="auto"/>
        </w:rPr>
        <w:t>framework for our corporate governance initiatives. Our guidelines address, among other things, Board responsibilities and leadership, risk oversight, committee composition and director qualifications. The Nominating, Governance, and Corporate Responsibility Committee is responsible for overseeing and reviewing the Corporate Governance Guidelines and for recommending any changes to the guidelines to the Board.</w:t>
      </w:r>
    </w:p>
    <w:p>
      <w:pPr>
        <w:spacing w:after="0" w:line="62" w:lineRule="exact"/>
        <w:rPr>
          <w:sz w:val="20"/>
          <w:szCs w:val="20"/>
          <w:color w:val="auto"/>
        </w:rPr>
      </w:pPr>
    </w:p>
    <w:p>
      <w:pPr>
        <w:jc w:val="both"/>
        <w:ind w:firstLine="172"/>
        <w:spacing w:after="0" w:line="260" w:lineRule="auto"/>
        <w:rPr>
          <w:sz w:val="20"/>
          <w:szCs w:val="20"/>
          <w:color w:val="auto"/>
        </w:rPr>
      </w:pPr>
      <w:r>
        <w:rPr>
          <w:rFonts w:ascii="Arial" w:cs="Arial" w:eastAsia="Arial" w:hAnsi="Arial"/>
          <w:sz w:val="17"/>
          <w:szCs w:val="17"/>
          <w:b w:val="1"/>
          <w:bCs w:val="1"/>
          <w:color w:val="auto"/>
        </w:rPr>
        <w:t xml:space="preserve">Code of Ethics. </w:t>
      </w:r>
      <w:r>
        <w:rPr>
          <w:rFonts w:ascii="Arial" w:cs="Arial" w:eastAsia="Arial" w:hAnsi="Arial"/>
          <w:sz w:val="17"/>
          <w:szCs w:val="17"/>
          <w:color w:val="auto"/>
        </w:rPr>
        <w:t>Our Board has adopted a Code of Ethics to set the tone for our expectation that all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and employees act in an ethical and lawful manner. We also expect all parties who work on Evergy’s behalf to embrace the spirit of the Code of Ethics. Other parts of our process to ensure lawful and ethical business conduct include policies and procedures, compliance monitoring and reporting and periodic training on various areas of the law and corporate policies. We have also established a “ConcernsLine,” which is independently administered and is available 24 hours a day, every day, for the confidential and anonymous reporting of concerns and complaints. The ConcernsLine telephone number (1-866-266-7595) is listed in our Code of Ethics.</w:t>
      </w:r>
    </w:p>
    <w:p>
      <w:pPr>
        <w:spacing w:after="0" w:line="90"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 xml:space="preserve">Our Corporate Governance Guidelines and the Code of Ethics are available on the Company’s website at </w:t>
      </w:r>
      <w:r>
        <w:rPr>
          <w:rFonts w:ascii="Arial" w:cs="Arial" w:eastAsia="Arial" w:hAnsi="Arial"/>
          <w:sz w:val="17"/>
          <w:szCs w:val="17"/>
          <w:i w:val="1"/>
          <w:iCs w:val="1"/>
          <w:color w:val="auto"/>
        </w:rPr>
        <w:t>www.evergyinc.com</w:t>
      </w:r>
      <w:r>
        <w:rPr>
          <w:rFonts w:ascii="Arial" w:cs="Arial" w:eastAsia="Arial" w:hAnsi="Arial"/>
          <w:sz w:val="17"/>
          <w:szCs w:val="17"/>
          <w:color w:val="auto"/>
        </w:rPr>
        <w:t>. These documents are also available in print to any shareholder upon request. Requests should be</w:t>
      </w:r>
      <w:r>
        <w:rPr>
          <w:rFonts w:ascii="Arial" w:cs="Arial" w:eastAsia="Arial" w:hAnsi="Arial"/>
          <w:sz w:val="17"/>
          <w:szCs w:val="17"/>
          <w:i w:val="1"/>
          <w:iCs w:val="1"/>
          <w:color w:val="auto"/>
        </w:rPr>
        <w:t xml:space="preserve"> </w:t>
      </w:r>
      <w:r>
        <w:rPr>
          <w:rFonts w:ascii="Arial" w:cs="Arial" w:eastAsia="Arial" w:hAnsi="Arial"/>
          <w:sz w:val="17"/>
          <w:szCs w:val="17"/>
          <w:color w:val="auto"/>
        </w:rPr>
        <w:t>directed to Corporate Secretary, Evergy, Inc., 1200 Main Street, Kansas City, Missouri 64105. We intend to disclose any change in the Code of Ethics, or any waiver from a provision in the Code of Ethics granted to a director or an executive officer, by posting such information on our website or by filing a Form 8-K with the SEC.</w:t>
      </w:r>
    </w:p>
    <w:p>
      <w:pPr>
        <w:spacing w:after="0" w:line="68" w:lineRule="exact"/>
        <w:rPr>
          <w:sz w:val="20"/>
          <w:szCs w:val="20"/>
          <w:color w:val="auto"/>
        </w:rPr>
      </w:pPr>
    </w:p>
    <w:p>
      <w:pPr>
        <w:jc w:val="both"/>
        <w:ind w:firstLine="172"/>
        <w:spacing w:after="0" w:line="296" w:lineRule="auto"/>
        <w:rPr>
          <w:sz w:val="20"/>
          <w:szCs w:val="20"/>
          <w:color w:val="auto"/>
        </w:rPr>
      </w:pPr>
      <w:r>
        <w:rPr>
          <w:rFonts w:ascii="Arial" w:cs="Arial" w:eastAsia="Arial" w:hAnsi="Arial"/>
          <w:sz w:val="17"/>
          <w:szCs w:val="17"/>
          <w:b w:val="1"/>
          <w:bCs w:val="1"/>
          <w:color w:val="auto"/>
        </w:rPr>
        <w:t xml:space="preserve">Annual Election of Directors. </w:t>
      </w:r>
      <w:r>
        <w:rPr>
          <w:rFonts w:ascii="Arial" w:cs="Arial" w:eastAsia="Arial" w:hAnsi="Arial"/>
          <w:sz w:val="17"/>
          <w:szCs w:val="17"/>
          <w:color w:val="auto"/>
        </w:rPr>
        <w:t>Our directors are elected on an annual basis and serve until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have been duly elected and qualified.</w:t>
      </w:r>
    </w:p>
    <w:p>
      <w:pPr>
        <w:spacing w:after="0" w:line="35" w:lineRule="exact"/>
        <w:rPr>
          <w:sz w:val="20"/>
          <w:szCs w:val="20"/>
          <w:color w:val="auto"/>
        </w:rPr>
      </w:pPr>
    </w:p>
    <w:p>
      <w:pPr>
        <w:jc w:val="both"/>
        <w:ind w:firstLine="172"/>
        <w:spacing w:after="0" w:line="262" w:lineRule="auto"/>
        <w:rPr>
          <w:sz w:val="20"/>
          <w:szCs w:val="20"/>
          <w:color w:val="auto"/>
        </w:rPr>
      </w:pPr>
      <w:r>
        <w:rPr>
          <w:rFonts w:ascii="Arial" w:cs="Arial" w:eastAsia="Arial" w:hAnsi="Arial"/>
          <w:sz w:val="17"/>
          <w:szCs w:val="17"/>
          <w:b w:val="1"/>
          <w:bCs w:val="1"/>
          <w:color w:val="auto"/>
        </w:rPr>
        <w:t xml:space="preserve">Majority Voting Policy. </w:t>
      </w:r>
      <w:r>
        <w:rPr>
          <w:rFonts w:ascii="Arial" w:cs="Arial" w:eastAsia="Arial" w:hAnsi="Arial"/>
          <w:sz w:val="17"/>
          <w:szCs w:val="17"/>
          <w:color w:val="auto"/>
        </w:rPr>
        <w:t>Pursuant to our majority voting policy, each director nominee is required to tender in advance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annual meeting an irrevocable letter of resignation that will take effect if that nominee fails to receive, in an uncontested election, the vote of a majority of votes cast by shareholders at the meeting. In the event that any nominee fails to obtain the required majority vote, the Board will decide, through a process managed by the Nominating, Governance, and Corporate Responsibility Committee and excluding the nominee in question, whether to accept the resignation. Absent a compelling reason for the director to remain on the Board, the Board shall accept the resignation.</w:t>
      </w:r>
    </w:p>
    <w:p>
      <w:pPr>
        <w:spacing w:after="0" w:line="63" w:lineRule="exact"/>
        <w:rPr>
          <w:sz w:val="20"/>
          <w:szCs w:val="20"/>
          <w:color w:val="auto"/>
        </w:rPr>
      </w:pPr>
    </w:p>
    <w:p>
      <w:pPr>
        <w:jc w:val="both"/>
        <w:ind w:firstLine="172"/>
        <w:spacing w:after="0" w:line="260" w:lineRule="auto"/>
        <w:rPr>
          <w:sz w:val="20"/>
          <w:szCs w:val="20"/>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Subject to the requirements and limitations contained in our By-laws, an eligible shareholder, or a</w:t>
      </w:r>
      <w:r>
        <w:rPr>
          <w:rFonts w:ascii="Arial" w:cs="Arial" w:eastAsia="Arial" w:hAnsi="Arial"/>
          <w:sz w:val="17"/>
          <w:szCs w:val="17"/>
          <w:b w:val="1"/>
          <w:bCs w:val="1"/>
          <w:color w:val="auto"/>
        </w:rPr>
        <w:t xml:space="preserve"> </w:t>
      </w:r>
      <w:r>
        <w:rPr>
          <w:rFonts w:ascii="Arial" w:cs="Arial" w:eastAsia="Arial" w:hAnsi="Arial"/>
          <w:sz w:val="17"/>
          <w:szCs w:val="17"/>
          <w:color w:val="auto"/>
        </w:rPr>
        <w:t>group of up to 20 eligible shareholders, can have nominees included in future proxy statements. In general, a shareholder must have continuously owned at least three percent of Evergy’s outstanding shares for at least three years as of the date that the shareholder(s) notify Evergy of the intent to utilize proxy access. Ownership of our predecessor companies – Great Plains Energy and Westar Energy – qualify as counting toward the holding period requirement. An eligible shareholder may use proxy access to nominate up to 25% of the total number of directors who are members of the Board as of the date that the shareholder(s) notify Evergy of the intent to utilize proxy access.</w:t>
      </w:r>
    </w:p>
    <w:p>
      <w:pPr>
        <w:spacing w:after="0" w:line="68"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b w:val="1"/>
          <w:bCs w:val="1"/>
          <w:color w:val="auto"/>
        </w:rPr>
        <w:t xml:space="preserve">Annual Self-Assessments. </w:t>
      </w:r>
      <w:r>
        <w:rPr>
          <w:rFonts w:ascii="Arial" w:cs="Arial" w:eastAsia="Arial" w:hAnsi="Arial"/>
          <w:sz w:val="17"/>
          <w:szCs w:val="17"/>
          <w:color w:val="auto"/>
        </w:rPr>
        <w:t>The Board and each committee conduct annual self-assessments to determine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and the committees are functioning effectively. The self-assessment process is based on written Board and committee surveys that are completed by all Board members. The self-assessment topics generally include, among other matters, Board composition and Board and committee structure, meeting topics and process, quality and timeliness of information, diversity, risk management, succession planning and access to management. The Chair of the Nominating, Governance, and Corporate Responsibility Committee meets with each director to discuss the survey, and the process allows Board members to provide input on individual Board member effectiveness. Each Board committee receives and discusses the results of its self-assessment, and the Nominating, Governance, and Corporate Responsibility Committee receives and discusses the results of the Board and all committee self-assessments. The Board discusses the results of the self-assessment process and, as appropriate, oversees the implementation of enhancements and other modifications identified during the process.</w:t>
      </w:r>
    </w:p>
    <w:p>
      <w:pPr>
        <w:spacing w:after="0" w:line="66" w:lineRule="exact"/>
        <w:rPr>
          <w:sz w:val="20"/>
          <w:szCs w:val="20"/>
          <w:color w:val="auto"/>
        </w:rPr>
      </w:pPr>
    </w:p>
    <w:p>
      <w:pPr>
        <w:jc w:val="both"/>
        <w:ind w:firstLine="172"/>
        <w:spacing w:after="0" w:line="264" w:lineRule="auto"/>
        <w:rPr>
          <w:sz w:val="20"/>
          <w:szCs w:val="20"/>
          <w:color w:val="auto"/>
        </w:rPr>
      </w:pPr>
      <w:r>
        <w:rPr>
          <w:rFonts w:ascii="Arial" w:cs="Arial" w:eastAsia="Arial" w:hAnsi="Arial"/>
          <w:sz w:val="17"/>
          <w:szCs w:val="17"/>
          <w:b w:val="1"/>
          <w:bCs w:val="1"/>
          <w:color w:val="auto"/>
        </w:rPr>
        <w:t xml:space="preserve">Board Oversight of Risk Management. </w:t>
      </w:r>
      <w:r>
        <w:rPr>
          <w:rFonts w:ascii="Arial" w:cs="Arial" w:eastAsia="Arial" w:hAnsi="Arial"/>
          <w:sz w:val="17"/>
          <w:szCs w:val="17"/>
          <w:color w:val="auto"/>
        </w:rPr>
        <w:t>The Board is responsible for the oversight of all major risks (as well as</w:t>
      </w:r>
      <w:r>
        <w:rPr>
          <w:rFonts w:ascii="Arial" w:cs="Arial" w:eastAsia="Arial" w:hAnsi="Arial"/>
          <w:sz w:val="17"/>
          <w:szCs w:val="17"/>
          <w:b w:val="1"/>
          <w:bCs w:val="1"/>
          <w:color w:val="auto"/>
        </w:rPr>
        <w:t xml:space="preserve"> </w:t>
      </w:r>
      <w:r>
        <w:rPr>
          <w:rFonts w:ascii="Arial" w:cs="Arial" w:eastAsia="Arial" w:hAnsi="Arial"/>
          <w:sz w:val="17"/>
          <w:szCs w:val="17"/>
          <w:color w:val="auto"/>
        </w:rPr>
        <w:t>mitigation plans), including strategic, financial, operational and compliance risks. In an effort to ensure appropriate and in-depth oversight of risk, the Board has delegated some specific risk oversight responsibility to its committees, as summarized below and as described in those committees’ charters. The Nominating, Governance, and Corporate Responsibility Committee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5808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2" w:lineRule="exact"/>
        <w:rPr>
          <w:sz w:val="20"/>
          <w:szCs w:val="20"/>
          <w:color w:val="auto"/>
        </w:rPr>
      </w:pPr>
    </w:p>
    <w:p>
      <w:pPr>
        <w:jc w:val="right"/>
        <w:spacing w:after="0"/>
        <w:tabs>
          <w:tab w:leader="none" w:pos="4460" w:val="left"/>
        </w:tabs>
        <w:rPr>
          <w:sz w:val="20"/>
          <w:szCs w:val="20"/>
          <w:color w:val="auto"/>
        </w:rPr>
      </w:pPr>
      <w:r>
        <w:rPr>
          <w:rFonts w:ascii="Arial" w:cs="Arial" w:eastAsia="Arial" w:hAnsi="Arial"/>
          <w:sz w:val="14"/>
          <w:szCs w:val="14"/>
          <w:b w:val="1"/>
          <w:bCs w:val="1"/>
          <w:color w:val="307CC0"/>
        </w:rPr>
        <w:t>Corporate Governance</w:t>
      </w:r>
      <w:r>
        <w:rPr>
          <w:sz w:val="20"/>
          <w:szCs w:val="20"/>
          <w:color w:val="auto"/>
        </w:rPr>
        <w:tab/>
      </w:r>
      <w:r>
        <w:rPr>
          <w:rFonts w:ascii="Arial" w:cs="Arial" w:eastAsia="Arial" w:hAnsi="Arial"/>
          <w:sz w:val="13"/>
          <w:szCs w:val="13"/>
          <w:b w:val="1"/>
          <w:bCs w:val="1"/>
          <w:color w:val="7F7F7F"/>
        </w:rPr>
        <w:t xml:space="preserve">Corporate Governance Practices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charged with ensuring that risk governance roles have been properly allocated, and the Audit Committee reviews Evergy’s policies with respect to risk assessment and risk management. Management is responsible for developing and implementing appropriate risk management practices on a day-to-day basis.</w:t>
      </w:r>
    </w:p>
    <w:p>
      <w:pPr>
        <w:spacing w:after="0" w:line="86"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At least once each year, the full Board receives a report from management of key risks and related mitigation plans. The full Board also receives updates on significant events and the status of, and changes in, the risks and mitigation plans. In addition, management makes regular presentations to the Board focusing on significant risk areas and corresponding mitigation plans and activities.</w:t>
      </w:r>
    </w:p>
    <w:p>
      <w:pPr>
        <w:spacing w:after="0" w:line="68" w:lineRule="exact"/>
        <w:rPr>
          <w:sz w:val="20"/>
          <w:szCs w:val="20"/>
          <w:color w:val="auto"/>
        </w:rPr>
      </w:pPr>
    </w:p>
    <w:p>
      <w:pPr>
        <w:jc w:val="both"/>
        <w:ind w:right="20" w:firstLine="172"/>
        <w:spacing w:after="0" w:line="296" w:lineRule="auto"/>
        <w:rPr>
          <w:sz w:val="20"/>
          <w:szCs w:val="20"/>
          <w:color w:val="auto"/>
        </w:rPr>
      </w:pPr>
      <w:r>
        <w:rPr>
          <w:rFonts w:ascii="Arial" w:cs="Arial" w:eastAsia="Arial" w:hAnsi="Arial"/>
          <w:sz w:val="17"/>
          <w:szCs w:val="17"/>
          <w:b w:val="1"/>
          <w:bCs w:val="1"/>
          <w:color w:val="auto"/>
        </w:rPr>
        <w:t xml:space="preserve">Board Attendance at Annual Meeting. </w:t>
      </w:r>
      <w:r>
        <w:rPr>
          <w:rFonts w:ascii="Arial" w:cs="Arial" w:eastAsia="Arial" w:hAnsi="Arial"/>
          <w:sz w:val="17"/>
          <w:szCs w:val="17"/>
          <w:color w:val="auto"/>
        </w:rPr>
        <w:t>Our Corporate Governance Guidelines provide that all directors are</w:t>
      </w:r>
      <w:r>
        <w:rPr>
          <w:rFonts w:ascii="Arial" w:cs="Arial" w:eastAsia="Arial" w:hAnsi="Arial"/>
          <w:sz w:val="17"/>
          <w:szCs w:val="17"/>
          <w:b w:val="1"/>
          <w:bCs w:val="1"/>
          <w:color w:val="auto"/>
        </w:rPr>
        <w:t xml:space="preserve"> </w:t>
      </w:r>
      <w:r>
        <w:rPr>
          <w:rFonts w:ascii="Arial" w:cs="Arial" w:eastAsia="Arial" w:hAnsi="Arial"/>
          <w:sz w:val="17"/>
          <w:szCs w:val="17"/>
          <w:color w:val="auto"/>
        </w:rPr>
        <w:t>encouraged to attend annual meetings of shareholders. All directors attended the 2019 annual meeting of shareholders.</w:t>
      </w:r>
    </w:p>
    <w:p>
      <w:pPr>
        <w:spacing w:after="0" w:line="35" w:lineRule="exact"/>
        <w:rPr>
          <w:sz w:val="20"/>
          <w:szCs w:val="20"/>
          <w:color w:val="auto"/>
        </w:rPr>
      </w:pPr>
    </w:p>
    <w:p>
      <w:pPr>
        <w:jc w:val="both"/>
        <w:ind w:firstLine="172"/>
        <w:spacing w:after="0" w:line="212" w:lineRule="auto"/>
        <w:rPr>
          <w:sz w:val="20"/>
          <w:szCs w:val="20"/>
          <w:color w:val="auto"/>
        </w:rPr>
      </w:pPr>
      <w:r>
        <w:rPr>
          <w:rFonts w:ascii="Arial" w:cs="Arial" w:eastAsia="Arial" w:hAnsi="Arial"/>
          <w:sz w:val="17"/>
          <w:szCs w:val="17"/>
          <w:b w:val="1"/>
          <w:bCs w:val="1"/>
          <w:color w:val="auto"/>
        </w:rPr>
        <w:t xml:space="preserve">Mandatory Retirement / Tenure Policy. </w:t>
      </w:r>
      <w:r>
        <w:rPr>
          <w:rFonts w:ascii="Arial" w:cs="Arial" w:eastAsia="Arial" w:hAnsi="Arial"/>
          <w:sz w:val="17"/>
          <w:szCs w:val="17"/>
          <w:color w:val="auto"/>
        </w:rPr>
        <w:t>Each member of our Board who joined us in connection with the merger is</w:t>
      </w:r>
      <w:r>
        <w:rPr>
          <w:rFonts w:ascii="Arial" w:cs="Arial" w:eastAsia="Arial" w:hAnsi="Arial"/>
          <w:sz w:val="17"/>
          <w:szCs w:val="17"/>
          <w:b w:val="1"/>
          <w:bCs w:val="1"/>
          <w:color w:val="auto"/>
        </w:rPr>
        <w:t xml:space="preserve"> </w:t>
      </w:r>
      <w:r>
        <w:rPr>
          <w:rFonts w:ascii="Arial" w:cs="Arial" w:eastAsia="Arial" w:hAnsi="Arial"/>
          <w:sz w:val="17"/>
          <w:szCs w:val="17"/>
          <w:color w:val="auto"/>
        </w:rPr>
        <w:t>not eligible to stand for election or re-election at the annual meeting of shareholders following his or her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birthday. Any director appointed after closing of the merger will not be able to stand for election or re-election at the annual meeting of shareholders following the earlier of (i) his or her 72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birthday or (ii) 16 years of service. In addition, any director who experiences a significant change in primary employment since election to the Board will offer to resign, which offer will be evaluated by the Board in light of the individual circumstances.</w:t>
      </w:r>
    </w:p>
    <w:p>
      <w:pPr>
        <w:spacing w:after="0" w:line="84" w:lineRule="exact"/>
        <w:rPr>
          <w:sz w:val="20"/>
          <w:szCs w:val="20"/>
          <w:color w:val="auto"/>
        </w:rPr>
      </w:pPr>
    </w:p>
    <w:p>
      <w:pPr>
        <w:jc w:val="both"/>
        <w:ind w:firstLine="172"/>
        <w:spacing w:after="0" w:line="274" w:lineRule="auto"/>
        <w:rPr>
          <w:sz w:val="20"/>
          <w:szCs w:val="20"/>
          <w:color w:val="auto"/>
        </w:rPr>
      </w:pPr>
      <w:r>
        <w:rPr>
          <w:rFonts w:ascii="Arial" w:cs="Arial" w:eastAsia="Arial" w:hAnsi="Arial"/>
          <w:sz w:val="17"/>
          <w:szCs w:val="17"/>
          <w:b w:val="1"/>
          <w:bCs w:val="1"/>
          <w:color w:val="auto"/>
        </w:rPr>
        <w:t xml:space="preserve">Stock Ownership Requirements. </w:t>
      </w:r>
      <w:r>
        <w:rPr>
          <w:rFonts w:ascii="Arial" w:cs="Arial" w:eastAsia="Arial" w:hAnsi="Arial"/>
          <w:sz w:val="17"/>
          <w:szCs w:val="17"/>
          <w:color w:val="auto"/>
        </w:rPr>
        <w:t>Our Corporate Governance Guidelines provide that non-employee directors are</w:t>
      </w:r>
      <w:r>
        <w:rPr>
          <w:rFonts w:ascii="Arial" w:cs="Arial" w:eastAsia="Arial" w:hAnsi="Arial"/>
          <w:sz w:val="17"/>
          <w:szCs w:val="17"/>
          <w:b w:val="1"/>
          <w:bCs w:val="1"/>
          <w:color w:val="auto"/>
        </w:rPr>
        <w:t xml:space="preserve"> </w:t>
      </w:r>
      <w:r>
        <w:rPr>
          <w:rFonts w:ascii="Arial" w:cs="Arial" w:eastAsia="Arial" w:hAnsi="Arial"/>
          <w:sz w:val="17"/>
          <w:szCs w:val="17"/>
          <w:color w:val="auto"/>
        </w:rPr>
        <w:t>expected, within five years of their initial election to the Board, to acquire and hold Evergy stock with a value equal to at least five times the amount of the annual non-employee director cash retainer.</w:t>
      </w:r>
    </w:p>
    <w:p>
      <w:pPr>
        <w:spacing w:after="0" w:line="54" w:lineRule="exact"/>
        <w:rPr>
          <w:sz w:val="20"/>
          <w:szCs w:val="20"/>
          <w:color w:val="auto"/>
        </w:rPr>
      </w:pPr>
    </w:p>
    <w:p>
      <w:pPr>
        <w:jc w:val="both"/>
        <w:ind w:firstLine="172"/>
        <w:spacing w:after="0" w:line="260" w:lineRule="auto"/>
        <w:rPr>
          <w:sz w:val="20"/>
          <w:szCs w:val="20"/>
          <w:color w:val="auto"/>
        </w:rPr>
      </w:pPr>
      <w:r>
        <w:rPr>
          <w:rFonts w:ascii="Arial" w:cs="Arial" w:eastAsia="Arial" w:hAnsi="Arial"/>
          <w:sz w:val="17"/>
          <w:szCs w:val="17"/>
          <w:b w:val="1"/>
          <w:bCs w:val="1"/>
          <w:color w:val="auto"/>
        </w:rPr>
        <w:t xml:space="preserve">No Hedging / Pledging. </w:t>
      </w:r>
      <w:r>
        <w:rPr>
          <w:rFonts w:ascii="Arial" w:cs="Arial" w:eastAsia="Arial" w:hAnsi="Arial"/>
          <w:sz w:val="17"/>
          <w:szCs w:val="17"/>
          <w:color w:val="auto"/>
        </w:rPr>
        <w:t>Our securities trading policy, which was adopted by the Board and is overseen by our</w:t>
      </w:r>
      <w:r>
        <w:rPr>
          <w:rFonts w:ascii="Arial" w:cs="Arial" w:eastAsia="Arial" w:hAnsi="Arial"/>
          <w:sz w:val="17"/>
          <w:szCs w:val="17"/>
          <w:b w:val="1"/>
          <w:bCs w:val="1"/>
          <w:color w:val="auto"/>
        </w:rPr>
        <w:t xml:space="preserve"> </w:t>
      </w:r>
      <w:r>
        <w:rPr>
          <w:rFonts w:ascii="Arial" w:cs="Arial" w:eastAsia="Arial" w:hAnsi="Arial"/>
          <w:sz w:val="17"/>
          <w:szCs w:val="17"/>
          <w:color w:val="auto"/>
        </w:rPr>
        <w:t>Nominating, Governance, and Corporate Responsibility Committee, prohibits all employees, officers and directors from trading in options, warrants and puts and calls related to Evergy. Our policy also prohibits all employees, officers and directors from purchasing financial instruments (including prepaid variable forward contracts, equity swaps, collars, and exchange funds), or otherwise engaging in transactions, that hedge or offset, or are designed to hedge or offset, any decrease in the market value of Evergy securities. The policy also prohibits all employees, officers and directors from holding Evergy securities in a margin account and pledging Evergy securities as collateral.</w:t>
      </w:r>
    </w:p>
    <w:p>
      <w:pPr>
        <w:spacing w:after="0" w:line="68" w:lineRule="exact"/>
        <w:rPr>
          <w:sz w:val="20"/>
          <w:szCs w:val="20"/>
          <w:color w:val="auto"/>
        </w:rPr>
      </w:pPr>
    </w:p>
    <w:p>
      <w:pPr>
        <w:jc w:val="both"/>
        <w:ind w:firstLine="172"/>
        <w:spacing w:after="0" w:line="267" w:lineRule="auto"/>
        <w:rPr>
          <w:sz w:val="20"/>
          <w:szCs w:val="20"/>
          <w:color w:val="auto"/>
        </w:rPr>
      </w:pPr>
      <w:r>
        <w:rPr>
          <w:rFonts w:ascii="Arial" w:cs="Arial" w:eastAsia="Arial" w:hAnsi="Arial"/>
          <w:sz w:val="17"/>
          <w:szCs w:val="17"/>
          <w:b w:val="1"/>
          <w:bCs w:val="1"/>
          <w:color w:val="auto"/>
        </w:rPr>
        <w:t xml:space="preserve">Oversight and Disclosure of Political Contributions. </w:t>
      </w:r>
      <w:r>
        <w:rPr>
          <w:rFonts w:ascii="Arial" w:cs="Arial" w:eastAsia="Arial" w:hAnsi="Arial"/>
          <w:sz w:val="17"/>
          <w:szCs w:val="17"/>
          <w:color w:val="auto"/>
        </w:rPr>
        <w:t>Our Nominating, Governance, and Corporate Responsibility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Committee reviews and approves the annual political contribution budget, and reviews reports on political expenditures. Our website, </w:t>
      </w:r>
      <w:r>
        <w:rPr>
          <w:rFonts w:ascii="Arial" w:cs="Arial" w:eastAsia="Arial" w:hAnsi="Arial"/>
          <w:sz w:val="17"/>
          <w:szCs w:val="17"/>
          <w:i w:val="1"/>
          <w:iCs w:val="1"/>
          <w:color w:val="auto"/>
        </w:rPr>
        <w:t>www.evergyinc.com</w:t>
      </w:r>
      <w:r>
        <w:rPr>
          <w:rFonts w:ascii="Arial" w:cs="Arial" w:eastAsia="Arial" w:hAnsi="Arial"/>
          <w:sz w:val="17"/>
          <w:szCs w:val="17"/>
          <w:color w:val="auto"/>
        </w:rPr>
        <w:t>, also contains a copy of our policy with respect to political contributions and information regarding certain political expenditures.</w:t>
      </w:r>
    </w:p>
    <w:p>
      <w:pPr>
        <w:spacing w:after="0" w:line="60"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b w:val="1"/>
          <w:bCs w:val="1"/>
          <w:color w:val="auto"/>
        </w:rPr>
        <w:t xml:space="preserve">Leader in Environmental Stewardship. </w:t>
      </w:r>
      <w:r>
        <w:rPr>
          <w:rFonts w:ascii="Arial" w:cs="Arial" w:eastAsia="Arial" w:hAnsi="Arial"/>
          <w:sz w:val="17"/>
          <w:szCs w:val="17"/>
          <w:color w:val="auto"/>
        </w:rPr>
        <w:t>There has been continuing world-wide attention focused on issues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climate change, and there have been multiple political, legal and regulatory efforts to influence climate change, such as efforts to reduce greenhouse gas emissions or impose a tax on these emissions. Evergy is committed to a long-term strategy to reduce carbon emissions in a cost-effective manner, while maintaining reliable service for the customers and communities it serves. We have already made significant investments in protecting the environment and have reduced, from 2005 levels, carbon dioxide emissions by ~45%, sulfur dioxide emissions by ~98% and nitrogen oxide emissions by ~87%. In 2019, we announced a goal to reduce carbon emissions by 80% by 2050 from 2005 levels. Evergy is also committed to transparency. On its website, </w:t>
      </w:r>
      <w:r>
        <w:rPr>
          <w:rFonts w:ascii="Arial" w:cs="Arial" w:eastAsia="Arial" w:hAnsi="Arial"/>
          <w:sz w:val="17"/>
          <w:szCs w:val="17"/>
          <w:i w:val="1"/>
          <w:iCs w:val="1"/>
          <w:color w:val="auto"/>
        </w:rPr>
        <w:t>www.evergyinc.com</w:t>
      </w:r>
      <w:r>
        <w:rPr>
          <w:rFonts w:ascii="Arial" w:cs="Arial" w:eastAsia="Arial" w:hAnsi="Arial"/>
          <w:sz w:val="17"/>
          <w:szCs w:val="17"/>
          <w:color w:val="auto"/>
        </w:rPr>
        <w:t>, Evergy provides quantitative and qualitative data regarding various environmental, social and governance matters, including those relating to emissions, waste and water.</w:t>
      </w:r>
    </w:p>
    <w:p>
      <w:pPr>
        <w:spacing w:after="0" w:line="280" w:lineRule="exact"/>
        <w:rPr>
          <w:sz w:val="20"/>
          <w:szCs w:val="20"/>
          <w:color w:val="auto"/>
        </w:rPr>
      </w:pPr>
    </w:p>
    <w:p>
      <w:pPr>
        <w:jc w:val="both"/>
        <w:ind w:firstLine="172"/>
        <w:spacing w:after="0" w:line="262" w:lineRule="auto"/>
        <w:rPr>
          <w:sz w:val="20"/>
          <w:szCs w:val="20"/>
          <w:color w:val="auto"/>
        </w:rPr>
      </w:pPr>
      <w:r>
        <w:rPr>
          <w:rFonts w:ascii="Arial" w:cs="Arial" w:eastAsia="Arial" w:hAnsi="Arial"/>
          <w:sz w:val="17"/>
          <w:szCs w:val="17"/>
          <w:b w:val="1"/>
          <w:bCs w:val="1"/>
          <w:color w:val="auto"/>
        </w:rPr>
        <w:t xml:space="preserve">Diversity and Inclusion. </w:t>
      </w:r>
      <w:r>
        <w:rPr>
          <w:rFonts w:ascii="Arial" w:cs="Arial" w:eastAsia="Arial" w:hAnsi="Arial"/>
          <w:sz w:val="17"/>
          <w:szCs w:val="17"/>
          <w:color w:val="auto"/>
        </w:rPr>
        <w:t>Our mission is to empower a better future, and Evergy lives this mission by valuing “People</w:t>
      </w:r>
      <w:r>
        <w:rPr>
          <w:rFonts w:ascii="Arial" w:cs="Arial" w:eastAsia="Arial" w:hAnsi="Arial"/>
          <w:sz w:val="17"/>
          <w:szCs w:val="17"/>
          <w:b w:val="1"/>
          <w:bCs w:val="1"/>
          <w:color w:val="auto"/>
        </w:rPr>
        <w:t xml:space="preserve"> </w:t>
      </w:r>
      <w:r>
        <w:rPr>
          <w:rFonts w:ascii="Arial" w:cs="Arial" w:eastAsia="Arial" w:hAnsi="Arial"/>
          <w:sz w:val="17"/>
          <w:szCs w:val="17"/>
          <w:color w:val="auto"/>
        </w:rPr>
        <w:t>First.” We believe that to maintain sustainable success, we need a team with a variety of backgrounds, perspectives and skills, and our goal is to be a diverse workforce that is representative of the communities we serve. We are committed to celebrating diversity and building a team where everyone – regardless of race, color, religion, gender, gender identity or expression, sexual orientation, national origin, genetics, disability, age, or veteran status – has a voice and can bring their best every day. With this in mind, our director of diversity and inclusion reports directly to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4" w:lineRule="exact"/>
        <w:rPr>
          <w:sz w:val="20"/>
          <w:szCs w:val="20"/>
          <w:color w:val="auto"/>
        </w:rPr>
      </w:pPr>
    </w:p>
    <w:p>
      <w:pPr>
        <w:jc w:val="right"/>
        <w:spacing w:after="0"/>
        <w:tabs>
          <w:tab w:leader="none" w:pos="4460" w:val="left"/>
        </w:tabs>
        <w:rPr>
          <w:sz w:val="20"/>
          <w:szCs w:val="20"/>
          <w:color w:val="auto"/>
        </w:rPr>
      </w:pPr>
      <w:r>
        <w:rPr>
          <w:rFonts w:ascii="Arial" w:cs="Arial" w:eastAsia="Arial" w:hAnsi="Arial"/>
          <w:sz w:val="14"/>
          <w:szCs w:val="14"/>
          <w:b w:val="1"/>
          <w:bCs w:val="1"/>
          <w:color w:val="307CC0"/>
        </w:rPr>
        <w:t>Corporate Governance</w:t>
      </w:r>
      <w:r>
        <w:rPr>
          <w:sz w:val="20"/>
          <w:szCs w:val="20"/>
          <w:color w:val="auto"/>
        </w:rPr>
        <w:tab/>
      </w:r>
      <w:r>
        <w:rPr>
          <w:rFonts w:ascii="Arial" w:cs="Arial" w:eastAsia="Arial" w:hAnsi="Arial"/>
          <w:sz w:val="13"/>
          <w:szCs w:val="13"/>
          <w:b w:val="1"/>
          <w:bCs w:val="1"/>
          <w:color w:val="7F7F7F"/>
        </w:rPr>
        <w:t xml:space="preserve">Corporate Governance Practices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240030</wp:posOffset>
            </wp:positionV>
            <wp:extent cx="5808980" cy="2051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Director Independence</w:t>
      </w:r>
    </w:p>
    <w:p>
      <w:pPr>
        <w:spacing w:after="0" w:line="171"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 xml:space="preserve">Our Corporate Governance Guidelines require that a majority of our directors be independent, as determined in accordance with the NYSE listing standards, as well as other independence standards that the Board may adopt. The NYSE listing standards provide that no director can qualify as independent unless the Board affirmatively determines that the director has no material relationship with the listed company. The Board has adopted director qualification standards that are contained in our Corporate Governance Guidelines to assist in making director independence determinations. Our Corporate Governance Guidelines are available on our website, </w:t>
      </w:r>
      <w:r>
        <w:rPr>
          <w:rFonts w:ascii="Arial" w:cs="Arial" w:eastAsia="Arial" w:hAnsi="Arial"/>
          <w:sz w:val="17"/>
          <w:szCs w:val="17"/>
          <w:i w:val="1"/>
          <w:iCs w:val="1"/>
          <w:color w:val="auto"/>
        </w:rPr>
        <w:t>www.evergyinc.com</w:t>
      </w:r>
      <w:r>
        <w:rPr>
          <w:rFonts w:ascii="Arial" w:cs="Arial" w:eastAsia="Arial" w:hAnsi="Arial"/>
          <w:sz w:val="17"/>
          <w:szCs w:val="17"/>
          <w:color w:val="auto"/>
        </w:rPr>
        <w:t>. Our director qualification standards are consistent with the NYSE objective independence standards.</w:t>
      </w:r>
    </w:p>
    <w:p>
      <w:pPr>
        <w:spacing w:after="0" w:line="91"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7"/>
          <w:szCs w:val="17"/>
          <w:color w:val="auto"/>
        </w:rPr>
        <w:t>The Nominating, Governance, and Corporate Responsibility Committee reviewed the applicable legal standards for Board and committee member independence and the director qualification standards. The Nominating, Governance, and Corporate Responsibility Committee also reviewed an analysis of the information provided by each director in an annual questionnaire and a report of transactions between Evergy and director-affiliated entities. The Nominating, Governance, and Corporate Responsibility Committee reported its independence determination recommendations to the full Board, and the Board made its independence determinations based on the Nominating, Governance, and Corporate Responsibility Committee’s report and the supporting information. In making its independence determinations, the Board considered ordinary course commercial, charitable and other transactions, none of which were material or affected the independence of a director nominee.</w:t>
      </w:r>
    </w:p>
    <w:p>
      <w:pPr>
        <w:spacing w:after="0" w:line="95" w:lineRule="exact"/>
        <w:rPr>
          <w:sz w:val="20"/>
          <w:szCs w:val="20"/>
          <w:color w:val="auto"/>
        </w:rPr>
      </w:pPr>
    </w:p>
    <w:p>
      <w:pPr>
        <w:jc w:val="both"/>
        <w:ind w:firstLine="172"/>
        <w:spacing w:after="0" w:line="254" w:lineRule="auto"/>
        <w:rPr>
          <w:sz w:val="20"/>
          <w:szCs w:val="20"/>
          <w:color w:val="auto"/>
        </w:rPr>
      </w:pPr>
      <w:r>
        <w:rPr>
          <w:rFonts w:ascii="Arial" w:cs="Arial" w:eastAsia="Arial" w:hAnsi="Arial"/>
          <w:sz w:val="17"/>
          <w:szCs w:val="17"/>
          <w:color w:val="auto"/>
        </w:rPr>
        <w:t>The Board considered the fact that Mr. Chandler holds positions as a director and officer of INTRUST Bank, which has issued letters of credit related to the workers’ compensation program for the Wolf Creek nuclear power plant in which Evergy has an indirect 94% ownership interest and also holds a nominal amount of funds related to one of our employee association groups. The Board also considered the fact that Mr. Forsee is a director of Ingersoll-Rand, from which Evergy buys supplies from time to time in the ordinary course of business. They also considered the fact that, after conclusion of the 2019 season, Mr. Sherman and a group of investors acquired the Kansas City Royals, an Evergy customer with whom Evergy has a long-term sponsorship agreement and for which Evergy pays the Royals. These arrangements were done on an arms-length basis, and none of Mr. Chandler, Mr. Forsee, or Mr. Sherman, as applicable, is involved in, or responsible for, or had a material interest in, the dealings with Evergy. Mr. Chandler, Mr. Forsee and Mr. Sherman are not standing for re-election as directors at the 2020 Annual Meeting. The Board further considered the fact that Mr. Stall serves as an independent director of Wolf Creek Nuclear Operating Corporation, a subsidiary of the Company and, prior to joining the Evergy Board, received fees for his services. Such fees were less than $120,000 in each twelve-month period within the last three years. Some of our directors also serve as trustees or directors of non-profit and community organizations on which other directors or officers also serve or to which we donate money. In each case, payments by us or our predecessor companies were less than the greater of $1 million or 2% of the entity’s consolidated gross revenue.</w:t>
      </w:r>
    </w:p>
    <w:p>
      <w:pPr>
        <w:spacing w:after="0" w:line="308"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Based on this review, the Board affirmatively determined that all directors (including nominees for directors at the annual meeting of shareholders) are independent under the NYSE listing standards and the director qualification standards, except for Messrs. Ruelle and Bassham, due to the former and current position of each as a chief executive officer of Westar Energy and Evergy,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5808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8" w:lineRule="exact"/>
        <w:rPr>
          <w:sz w:val="20"/>
          <w:szCs w:val="20"/>
          <w:color w:val="auto"/>
        </w:rPr>
      </w:pPr>
    </w:p>
    <w:p>
      <w:pPr>
        <w:jc w:val="right"/>
        <w:spacing w:after="0"/>
        <w:tabs>
          <w:tab w:leader="none" w:pos="3800" w:val="left"/>
        </w:tabs>
        <w:rPr>
          <w:sz w:val="20"/>
          <w:szCs w:val="20"/>
          <w:color w:val="auto"/>
        </w:rPr>
      </w:pPr>
      <w:r>
        <w:rPr>
          <w:rFonts w:ascii="Arial" w:cs="Arial" w:eastAsia="Arial" w:hAnsi="Arial"/>
          <w:sz w:val="14"/>
          <w:szCs w:val="14"/>
          <w:b w:val="1"/>
          <w:bCs w:val="1"/>
          <w:color w:val="307CC0"/>
        </w:rPr>
        <w:t>Corporate Governance</w:t>
      </w:r>
      <w:r>
        <w:rPr>
          <w:sz w:val="20"/>
          <w:szCs w:val="20"/>
          <w:color w:val="auto"/>
        </w:rPr>
        <w:tab/>
      </w:r>
      <w:r>
        <w:rPr>
          <w:rFonts w:ascii="Arial" w:cs="Arial" w:eastAsia="Arial" w:hAnsi="Arial"/>
          <w:sz w:val="13"/>
          <w:szCs w:val="13"/>
          <w:b w:val="1"/>
          <w:bCs w:val="1"/>
          <w:color w:val="7F7F7F"/>
        </w:rPr>
        <w:t xml:space="preserve">Director Independence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240030</wp:posOffset>
            </wp:positionV>
            <wp:extent cx="5808980" cy="2051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Other Matters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124"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7"/>
          <w:szCs w:val="17"/>
          <w:color w:val="auto"/>
        </w:rPr>
        <w:t>The Board has adopted a written policy governing the identification, review, approval, consideration or ratification of related party transactions. The policy applies to any transaction in which Evergy (including any of its subsidiaries) was, is or will be a participant, the amount involved exceeds $120,000 in the aggregate, and any related party had, has or will have a direct or indirect material interest, but excludes any transaction that meets the preapproval thresholds set forth in our related party transaction policy. Pursuant to this policy, related party transactions are to be submitted to the Nominating, Governance, and Corporate Responsibility Committee for consideration at the next committee meeting or, if it is not practicable or desirable for the Company to wait until the next committee meeting, to the committee Chair. The Chair reports to the committee at its next meeting any approval under the related party transactions policy pursuant to delegated authority. There were no related party transactions in 2019.</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24"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None of the members of our Compensation and Leadership Development Committee is or was an officer or employee of Evergy or its subsidiaries. None of our executive officers served as a director or was a member of the compensation committee (or equivalent body) of any entity where a member of our Board or Compensation and Leadership Development Committee was also an executive officer.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Communicating with the Board</w:t>
      </w:r>
    </w:p>
    <w:p>
      <w:pPr>
        <w:spacing w:after="0" w:line="124"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The Board values input from shareholders and the many constituents that are impacted by Evergy’s activities. Communications relating to corporate governance, succession planning, executive compensation and general oversight of the Board can be sent to:</w:t>
      </w:r>
    </w:p>
    <w:p>
      <w:pPr>
        <w:spacing w:after="0" w:line="86" w:lineRule="exact"/>
        <w:rPr>
          <w:sz w:val="20"/>
          <w:szCs w:val="20"/>
          <w:color w:val="auto"/>
        </w:rPr>
      </w:pPr>
    </w:p>
    <w:p>
      <w:pPr>
        <w:ind w:left="340" w:right="3220"/>
        <w:spacing w:after="0" w:line="253" w:lineRule="auto"/>
        <w:rPr>
          <w:sz w:val="20"/>
          <w:szCs w:val="20"/>
          <w:color w:val="auto"/>
        </w:rPr>
      </w:pPr>
      <w:r>
        <w:rPr>
          <w:rFonts w:ascii="Arial" w:cs="Arial" w:eastAsia="Arial" w:hAnsi="Arial"/>
          <w:sz w:val="17"/>
          <w:szCs w:val="17"/>
          <w:color w:val="auto"/>
        </w:rPr>
        <w:t>Chair, Nominating, Governance, and Corporate Responsibility Committee Evergy, Inc.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Attention: Corporate Secretary</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1200 Main St.</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Kansas City, Missouri 64105</w:t>
      </w:r>
    </w:p>
    <w:p>
      <w:pPr>
        <w:spacing w:after="0" w:line="115"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Communications can also be sent by e-mail to board@evergy.com. All relevant communications will be forwarded to the Chair of the Nominating, Governance, and Corporate Responsibility Committee to be handled on behalf of the Board. The Board believes that communications relating to general business operations, financial results, strategic direction and similar matters are appropriately addressed by management, and relevant communications that relate to these topics will be shared with appropriate members of management.</w:t>
      </w:r>
    </w:p>
    <w:p>
      <w:pPr>
        <w:spacing w:after="0" w:line="90" w:lineRule="exact"/>
        <w:rPr>
          <w:sz w:val="20"/>
          <w:szCs w:val="20"/>
          <w:color w:val="auto"/>
        </w:rPr>
      </w:pPr>
    </w:p>
    <w:p>
      <w:pPr>
        <w:jc w:val="both"/>
        <w:ind w:right="20" w:firstLine="172"/>
        <w:spacing w:after="0" w:line="258" w:lineRule="auto"/>
        <w:rPr>
          <w:sz w:val="20"/>
          <w:szCs w:val="20"/>
          <w:color w:val="auto"/>
        </w:rPr>
      </w:pPr>
      <w:r>
        <w:rPr>
          <w:rFonts w:ascii="Arial" w:cs="Arial" w:eastAsia="Arial" w:hAnsi="Arial"/>
          <w:sz w:val="17"/>
          <w:szCs w:val="17"/>
          <w:color w:val="auto"/>
        </w:rPr>
        <w:t>The Audit Committee has established procedures for the receipt, retention and treatment of complaints or concerns regarding accounting, internal accounting controls or auditing matters affecting Evergy. Complaints or concerns may be submitted on a confidential and anonymous basis either through the “ConcernsLine” (1-866-266-7595) or by letter addressed to:</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Corporate Secretary</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Evergy, Inc.</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1200 Main St.</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Kansas City, Missouri 64105</w:t>
      </w:r>
    </w:p>
    <w:p>
      <w:pPr>
        <w:spacing w:after="0" w:line="115"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All complaints or concerns will be forwarded to the Chair of the Audit Committee. Confidentiality will be maintained to the fullest extent practicable, consistent with the need to conduct an adequate investigation and applicable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4" w:lineRule="exact"/>
        <w:rPr>
          <w:sz w:val="20"/>
          <w:szCs w:val="20"/>
          <w:color w:val="auto"/>
        </w:rPr>
      </w:pPr>
    </w:p>
    <w:p>
      <w:pPr>
        <w:jc w:val="right"/>
        <w:spacing w:after="0"/>
        <w:tabs>
          <w:tab w:leader="none" w:pos="3200" w:val="left"/>
        </w:tabs>
        <w:rPr>
          <w:sz w:val="20"/>
          <w:szCs w:val="20"/>
          <w:color w:val="auto"/>
        </w:rPr>
      </w:pPr>
      <w:r>
        <w:rPr>
          <w:rFonts w:ascii="Arial" w:cs="Arial" w:eastAsia="Arial" w:hAnsi="Arial"/>
          <w:sz w:val="14"/>
          <w:szCs w:val="14"/>
          <w:b w:val="1"/>
          <w:bCs w:val="1"/>
          <w:color w:val="307CC0"/>
        </w:rPr>
        <w:t>Corporate Governance</w:t>
      </w:r>
      <w:r>
        <w:rPr>
          <w:rFonts w:ascii="Arial" w:cs="Arial" w:eastAsia="Arial" w:hAnsi="Arial"/>
          <w:sz w:val="14"/>
          <w:szCs w:val="14"/>
          <w:b w:val="1"/>
          <w:bCs w:val="1"/>
          <w:color w:val="7F7F7F"/>
        </w:rPr>
        <w:tab/>
        <w:t xml:space="preserve">Other Matters </w:t>
      </w:r>
      <w:r>
        <w:rPr>
          <w:rFonts w:ascii="Arial" w:cs="Arial" w:eastAsia="Arial" w:hAnsi="Arial"/>
          <w:sz w:val="14"/>
          <w:szCs w:val="14"/>
          <w:color w:val="000000"/>
        </w:rPr>
        <w:t>|</w:t>
      </w:r>
      <w:r>
        <w:rPr>
          <w:rFonts w:ascii="Arial" w:cs="Arial" w:eastAsia="Arial" w:hAnsi="Arial"/>
          <w:sz w:val="14"/>
          <w:szCs w:val="14"/>
          <w:b w:val="1"/>
          <w:bCs w:val="1"/>
          <w:color w:val="7F7F7F"/>
        </w:rPr>
        <w:t xml:space="preserve"> </w:t>
      </w:r>
      <w:r>
        <w:rPr>
          <w:rFonts w:ascii="Arial" w:cs="Arial" w:eastAsia="Arial" w:hAnsi="Arial"/>
          <w:sz w:val="14"/>
          <w:szCs w:val="14"/>
          <w:b w:val="1"/>
          <w:bCs w:val="1"/>
          <w:color w:val="000000"/>
        </w:rPr>
        <w:t>Evergy 2020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240030</wp:posOffset>
            </wp:positionV>
            <wp:extent cx="5808980" cy="2051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Director Compensation</w:t>
      </w:r>
    </w:p>
    <w:p>
      <w:pPr>
        <w:spacing w:after="0" w:line="171" w:lineRule="exact"/>
        <w:rPr>
          <w:sz w:val="20"/>
          <w:szCs w:val="20"/>
          <w:color w:val="auto"/>
        </w:rPr>
      </w:pPr>
    </w:p>
    <w:p>
      <w:pPr>
        <w:jc w:val="both"/>
        <w:ind w:firstLine="172"/>
        <w:spacing w:after="0" w:line="232" w:lineRule="auto"/>
        <w:rPr>
          <w:sz w:val="20"/>
          <w:szCs w:val="20"/>
          <w:color w:val="auto"/>
        </w:rPr>
      </w:pPr>
      <w:r>
        <w:rPr>
          <w:rFonts w:ascii="Arial" w:cs="Arial" w:eastAsia="Arial" w:hAnsi="Arial"/>
          <w:sz w:val="17"/>
          <w:szCs w:val="17"/>
          <w:color w:val="auto"/>
        </w:rPr>
        <w:t>Our Nominating, Governance, and Corporate Responsibility Committee, which is comprised entirely of independent directors, is responsible for reviewing and approving compensation for our non-employee directors. The committee seeks to provide an overall non-employee director compensation program that is generally aligned with the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our peer group. However, due to the variation in peer company non-employee director compensation, and the fact that director compensation is not changed each year, in any given year overall non-employee director compensation may be above, at or below the market median. The committee reviews non-employee director compensation at our peer companies and relies in part on the advice of an independent compensation consultant.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124"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7"/>
          <w:szCs w:val="17"/>
          <w:color w:val="auto"/>
        </w:rPr>
        <w:t>The Nominating, Governance, and Corporate Responsibility Committee, based in part on a review of compensation practices at our peer companies and the advice of an independent compensation consultant, approved a compensation structure for non-employee directors that provides for the following: each non-employee director, other than the Chair and the Lead Independent Director, receives an annual cash retainer of $100,000, paid quarterly, and an annual stock award with a value of $130,000. The Chair receives an annual cash retainer of $ 155,000, paid quarterly, and an annual stock grant with a value of $ 185,000. The Lead Independent Director receives an annual cash retainer of $125,000, paid quarterly, and an annual stock award with a value of $130,000, which is the same as other non-employee directors. Committee chairs receive an additional annual cash retainer, paid quarterly, of $20,000 for each of the chairs of Audit Committee and the Compensation and Leadership Development Committee, and $15,000 for each of the chairs of the Finance Committee, the Nominating, Governance, and Corporate Responsibility Committee and the Nuclear, Operations, and Environmental Oversight Committee.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to Defer Compensation</w:t>
      </w:r>
    </w:p>
    <w:p>
      <w:pPr>
        <w:spacing w:after="0" w:line="124"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Non-employee directors may defer the receipt of all or part of their cash retainers through our non-qualified deferred compensation plan (“DCP”) or all or part of the equity retainer through issuance of Deferred Share Units (“DSU”) under the Evergy, Inc. Long-Term Incentive Plan (“LTIP”).</w:t>
      </w:r>
    </w:p>
    <w:p>
      <w:pPr>
        <w:spacing w:after="0" w:line="86" w:lineRule="exact"/>
        <w:rPr>
          <w:sz w:val="20"/>
          <w:szCs w:val="20"/>
          <w:color w:val="auto"/>
        </w:rPr>
      </w:pPr>
    </w:p>
    <w:p>
      <w:pPr>
        <w:ind w:left="160"/>
        <w:spacing w:after="0" w:line="253" w:lineRule="auto"/>
        <w:rPr>
          <w:sz w:val="20"/>
          <w:szCs w:val="20"/>
          <w:color w:val="auto"/>
        </w:rPr>
      </w:pPr>
      <w:r>
        <w:rPr>
          <w:rFonts w:ascii="Arial" w:cs="Arial" w:eastAsia="Arial" w:hAnsi="Arial"/>
          <w:sz w:val="17"/>
          <w:szCs w:val="17"/>
          <w:color w:val="auto"/>
        </w:rPr>
        <w:t>Non-employee directors may also elect to have all, or a part, of their cash retainers converted into DSUs under the LTIP.</w:t>
      </w:r>
    </w:p>
    <w:p>
      <w:pPr>
        <w:spacing w:after="0" w:line="79"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As of the date any dividend is paid to common stock shareholders, each DSU account is credited with additional DSUs equal to the number of shares of common stock that could have been purchased (at the closing price of our common stock on that date) with the amount which would have been paid as dividends on the number of shares equal to the number of DSUs.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 Reimbursement</w:t>
      </w:r>
    </w:p>
    <w:p>
      <w:pPr>
        <w:spacing w:after="0" w:line="124" w:lineRule="exact"/>
        <w:rPr>
          <w:sz w:val="20"/>
          <w:szCs w:val="20"/>
          <w:color w:val="auto"/>
        </w:rPr>
      </w:pPr>
    </w:p>
    <w:p>
      <w:pPr>
        <w:jc w:val="both"/>
        <w:ind w:firstLine="172"/>
        <w:spacing w:after="0" w:line="269" w:lineRule="auto"/>
        <w:rPr>
          <w:sz w:val="20"/>
          <w:szCs w:val="20"/>
          <w:color w:val="auto"/>
        </w:rPr>
      </w:pPr>
      <w:r>
        <w:rPr>
          <w:rFonts w:ascii="Arial" w:cs="Arial" w:eastAsia="Arial" w:hAnsi="Arial"/>
          <w:sz w:val="17"/>
          <w:szCs w:val="17"/>
          <w:color w:val="auto"/>
        </w:rPr>
        <w:t>Members of the Board will also receive standard reimbursements for expenses incurred in connection with meeting attendance and professional education.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Charitable Contribution Matching</w:t>
      </w:r>
    </w:p>
    <w:p>
      <w:pPr>
        <w:spacing w:after="0" w:line="124"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We also match up to $10,000 per year of charitable donations made by each director to 501(c)(3) organizations that meet our strategic giving priorities. In addition, in 2019 our directors were able to participate in charitable giving campaigns that were available to all employees, for which the Company also provides matching donations either based on individual or aggregate donations.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Liability Insurance</w:t>
      </w:r>
    </w:p>
    <w:p>
      <w:pPr>
        <w:spacing w:after="0" w:line="124"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Consistent with our peer group and other public companies, we provide liability insurance to our directors under our directors and officers insurance policies. We have also entered into standard indemnification agreements with each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4" w:lineRule="exact"/>
        <w:rPr>
          <w:sz w:val="20"/>
          <w:szCs w:val="20"/>
          <w:color w:val="auto"/>
        </w:rPr>
      </w:pPr>
    </w:p>
    <w:p>
      <w:pPr>
        <w:jc w:val="right"/>
        <w:spacing w:after="0"/>
        <w:tabs>
          <w:tab w:leader="none" w:pos="3820" w:val="left"/>
        </w:tabs>
        <w:rPr>
          <w:sz w:val="20"/>
          <w:szCs w:val="20"/>
          <w:color w:val="auto"/>
        </w:rPr>
      </w:pPr>
      <w:r>
        <w:rPr>
          <w:rFonts w:ascii="Arial" w:cs="Arial" w:eastAsia="Arial" w:hAnsi="Arial"/>
          <w:sz w:val="14"/>
          <w:szCs w:val="14"/>
          <w:b w:val="1"/>
          <w:bCs w:val="1"/>
          <w:color w:val="307CC0"/>
        </w:rPr>
        <w:t>Corporate Governance</w:t>
      </w:r>
      <w:r>
        <w:rPr>
          <w:sz w:val="20"/>
          <w:szCs w:val="20"/>
          <w:color w:val="auto"/>
        </w:rPr>
        <w:tab/>
      </w:r>
      <w:r>
        <w:rPr>
          <w:rFonts w:ascii="Arial" w:cs="Arial" w:eastAsia="Arial" w:hAnsi="Arial"/>
          <w:sz w:val="13"/>
          <w:szCs w:val="13"/>
          <w:b w:val="1"/>
          <w:bCs w:val="1"/>
          <w:color w:val="7F7F7F"/>
        </w:rPr>
        <w:t xml:space="preserve">Director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Stock Ownership Requirements</w:t>
      </w:r>
    </w:p>
    <w:p>
      <w:pPr>
        <w:spacing w:after="0" w:line="124"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Our Corporate Governance Guidelines provide that non-employee directors are expected, within five years of their initial election to the Board, to acquire and hold Evergy stock with a value equal to at least five times the amount of the annual non-employee director cash retainer. As for December 31, 2019, all of our non-employee directors satisfied, or were on pace to satisfy, this requirement.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2019 Director Compensation</w:t>
      </w:r>
    </w:p>
    <w:p>
      <w:pPr>
        <w:spacing w:after="0" w:line="124"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The following table outlines all compensation paid to our non-employee directors in 2019. We have omitted the columns titled “Option Awards” and “Non-Equity Incentive Plan Compensation” because our non-employee directors did not receive such compensation in 2019. Messrs. Andrews and Keglevic are not included because they did not serve on the Board in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80" w:type="dxa"/>
            <w:vAlign w:val="bottom"/>
            <w:shd w:val="clear" w:color="auto" w:fill="307CC0"/>
          </w:tcPr>
          <w:p>
            <w:pPr>
              <w:spacing w:after="0"/>
              <w:rPr>
                <w:sz w:val="13"/>
                <w:szCs w:val="13"/>
                <w:color w:val="auto"/>
              </w:rPr>
            </w:pPr>
          </w:p>
        </w:tc>
        <w:tc>
          <w:tcPr>
            <w:tcW w:w="2800" w:type="dxa"/>
            <w:vAlign w:val="bottom"/>
            <w:shd w:val="clear" w:color="auto" w:fill="307CC0"/>
          </w:tcPr>
          <w:p>
            <w:pPr>
              <w:spacing w:after="0"/>
              <w:rPr>
                <w:sz w:val="13"/>
                <w:szCs w:val="13"/>
                <w:color w:val="auto"/>
              </w:rPr>
            </w:pPr>
          </w:p>
        </w:tc>
        <w:tc>
          <w:tcPr>
            <w:tcW w:w="96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10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Nonqualified</w:t>
            </w:r>
          </w:p>
        </w:tc>
        <w:tc>
          <w:tcPr>
            <w:tcW w:w="1260" w:type="dxa"/>
            <w:vAlign w:val="bottom"/>
            <w:shd w:val="clear" w:color="auto" w:fill="307CC0"/>
          </w:tcPr>
          <w:p>
            <w:pPr>
              <w:spacing w:after="0"/>
              <w:rPr>
                <w:sz w:val="13"/>
                <w:szCs w:val="13"/>
                <w:color w:val="auto"/>
              </w:rPr>
            </w:pPr>
          </w:p>
        </w:tc>
        <w:tc>
          <w:tcPr>
            <w:tcW w:w="840" w:type="dxa"/>
            <w:vAlign w:val="bottom"/>
            <w:shd w:val="clear" w:color="auto" w:fill="307CC0"/>
          </w:tcPr>
          <w:p>
            <w:pPr>
              <w:spacing w:after="0"/>
              <w:rPr>
                <w:sz w:val="13"/>
                <w:szCs w:val="13"/>
                <w:color w:val="auto"/>
              </w:rPr>
            </w:pPr>
          </w:p>
        </w:tc>
      </w:tr>
      <w:tr>
        <w:trPr>
          <w:trHeight w:val="142"/>
        </w:trPr>
        <w:tc>
          <w:tcPr>
            <w:tcW w:w="1380" w:type="dxa"/>
            <w:vAlign w:val="bottom"/>
            <w:shd w:val="clear" w:color="auto" w:fill="307CC0"/>
          </w:tcPr>
          <w:p>
            <w:pPr>
              <w:spacing w:after="0"/>
              <w:rPr>
                <w:sz w:val="12"/>
                <w:szCs w:val="12"/>
                <w:color w:val="auto"/>
              </w:rPr>
            </w:pPr>
          </w:p>
        </w:tc>
        <w:tc>
          <w:tcPr>
            <w:tcW w:w="2800" w:type="dxa"/>
            <w:vAlign w:val="bottom"/>
            <w:shd w:val="clear" w:color="auto" w:fill="307CC0"/>
          </w:tcPr>
          <w:p>
            <w:pPr>
              <w:spacing w:after="0"/>
              <w:rPr>
                <w:sz w:val="12"/>
                <w:szCs w:val="12"/>
                <w:color w:val="auto"/>
              </w:rPr>
            </w:pPr>
          </w:p>
        </w:tc>
        <w:tc>
          <w:tcPr>
            <w:tcW w:w="9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Fees Earned</w:t>
            </w:r>
          </w:p>
        </w:tc>
        <w:tc>
          <w:tcPr>
            <w:tcW w:w="860" w:type="dxa"/>
            <w:vAlign w:val="bottom"/>
            <w:shd w:val="clear" w:color="auto" w:fill="307CC0"/>
          </w:tcPr>
          <w:p>
            <w:pPr>
              <w:spacing w:after="0"/>
              <w:rPr>
                <w:sz w:val="12"/>
                <w:szCs w:val="12"/>
                <w:color w:val="auto"/>
              </w:rPr>
            </w:pPr>
          </w:p>
        </w:tc>
        <w:tc>
          <w:tcPr>
            <w:tcW w:w="10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Deferred</w:t>
            </w:r>
          </w:p>
        </w:tc>
        <w:tc>
          <w:tcPr>
            <w:tcW w:w="1260" w:type="dxa"/>
            <w:vAlign w:val="bottom"/>
            <w:shd w:val="clear" w:color="auto" w:fill="307CC0"/>
          </w:tcPr>
          <w:p>
            <w:pPr>
              <w:spacing w:after="0"/>
              <w:rPr>
                <w:sz w:val="12"/>
                <w:szCs w:val="12"/>
                <w:color w:val="auto"/>
              </w:rPr>
            </w:pPr>
          </w:p>
        </w:tc>
        <w:tc>
          <w:tcPr>
            <w:tcW w:w="840" w:type="dxa"/>
            <w:vAlign w:val="bottom"/>
            <w:shd w:val="clear" w:color="auto" w:fill="307CC0"/>
          </w:tcPr>
          <w:p>
            <w:pPr>
              <w:spacing w:after="0"/>
              <w:rPr>
                <w:sz w:val="12"/>
                <w:szCs w:val="12"/>
                <w:color w:val="auto"/>
              </w:rPr>
            </w:pPr>
          </w:p>
        </w:tc>
      </w:tr>
      <w:tr>
        <w:trPr>
          <w:trHeight w:val="140"/>
        </w:trPr>
        <w:tc>
          <w:tcPr>
            <w:tcW w:w="1380" w:type="dxa"/>
            <w:vAlign w:val="bottom"/>
            <w:shd w:val="clear" w:color="auto" w:fill="307CC0"/>
          </w:tcPr>
          <w:p>
            <w:pPr>
              <w:spacing w:after="0"/>
              <w:rPr>
                <w:sz w:val="12"/>
                <w:szCs w:val="12"/>
                <w:color w:val="auto"/>
              </w:rPr>
            </w:pPr>
          </w:p>
        </w:tc>
        <w:tc>
          <w:tcPr>
            <w:tcW w:w="2800" w:type="dxa"/>
            <w:vAlign w:val="bottom"/>
            <w:shd w:val="clear" w:color="auto" w:fill="307CC0"/>
          </w:tcPr>
          <w:p>
            <w:pPr>
              <w:spacing w:after="0"/>
              <w:rPr>
                <w:sz w:val="12"/>
                <w:szCs w:val="12"/>
                <w:color w:val="auto"/>
              </w:rPr>
            </w:pPr>
          </w:p>
        </w:tc>
        <w:tc>
          <w:tcPr>
            <w:tcW w:w="96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9"/>
              </w:rPr>
              <w:t>or Paid</w:t>
            </w:r>
          </w:p>
        </w:tc>
        <w:tc>
          <w:tcPr>
            <w:tcW w:w="86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rPr>
              <w:t>Stock</w:t>
            </w:r>
          </w:p>
        </w:tc>
        <w:tc>
          <w:tcPr>
            <w:tcW w:w="106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9"/>
              </w:rPr>
              <w:t>Compensation</w:t>
            </w:r>
          </w:p>
        </w:tc>
        <w:tc>
          <w:tcPr>
            <w:tcW w:w="126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8"/>
              </w:rPr>
              <w:t>All Other</w:t>
            </w:r>
          </w:p>
        </w:tc>
        <w:tc>
          <w:tcPr>
            <w:tcW w:w="840" w:type="dxa"/>
            <w:vAlign w:val="bottom"/>
            <w:shd w:val="clear" w:color="auto" w:fill="307CC0"/>
          </w:tcPr>
          <w:p>
            <w:pPr>
              <w:spacing w:after="0"/>
              <w:rPr>
                <w:sz w:val="12"/>
                <w:szCs w:val="12"/>
                <w:color w:val="auto"/>
              </w:rPr>
            </w:pPr>
          </w:p>
        </w:tc>
      </w:tr>
      <w:tr>
        <w:trPr>
          <w:trHeight w:val="144"/>
        </w:trPr>
        <w:tc>
          <w:tcPr>
            <w:tcW w:w="1380" w:type="dxa"/>
            <w:vAlign w:val="bottom"/>
            <w:shd w:val="clear" w:color="auto" w:fill="307CC0"/>
          </w:tcPr>
          <w:p>
            <w:pPr>
              <w:spacing w:after="0"/>
              <w:rPr>
                <w:sz w:val="12"/>
                <w:szCs w:val="12"/>
                <w:color w:val="auto"/>
              </w:rPr>
            </w:pPr>
          </w:p>
        </w:tc>
        <w:tc>
          <w:tcPr>
            <w:tcW w:w="2800" w:type="dxa"/>
            <w:vAlign w:val="bottom"/>
            <w:shd w:val="clear" w:color="auto" w:fill="307CC0"/>
          </w:tcPr>
          <w:p>
            <w:pPr>
              <w:spacing w:after="0"/>
              <w:rPr>
                <w:sz w:val="12"/>
                <w:szCs w:val="12"/>
                <w:color w:val="auto"/>
              </w:rPr>
            </w:pPr>
          </w:p>
        </w:tc>
        <w:tc>
          <w:tcPr>
            <w:tcW w:w="960" w:type="dxa"/>
            <w:vAlign w:val="bottom"/>
            <w:shd w:val="clear" w:color="auto" w:fill="307CC0"/>
          </w:tcPr>
          <w:p>
            <w:pPr>
              <w:jc w:val="center"/>
              <w:spacing w:after="0" w:line="145" w:lineRule="exact"/>
              <w:rPr>
                <w:sz w:val="20"/>
                <w:szCs w:val="20"/>
                <w:color w:val="auto"/>
              </w:rPr>
            </w:pPr>
            <w:r>
              <w:rPr>
                <w:rFonts w:ascii="Arial" w:cs="Arial" w:eastAsia="Arial" w:hAnsi="Arial"/>
                <w:sz w:val="10"/>
                <w:szCs w:val="10"/>
                <w:b w:val="1"/>
                <w:bCs w:val="1"/>
                <w:color w:val="FFFFFF"/>
              </w:rPr>
              <w:t>in Cash</w:t>
            </w:r>
            <w:r>
              <w:rPr>
                <w:rFonts w:ascii="Arial" w:cs="Arial" w:eastAsia="Arial" w:hAnsi="Arial"/>
                <w:sz w:val="16"/>
                <w:szCs w:val="16"/>
                <w:b w:val="1"/>
                <w:bCs w:val="1"/>
                <w:color w:val="FFFFFF"/>
                <w:vertAlign w:val="superscript"/>
              </w:rPr>
              <w:t>(1)</w:t>
            </w:r>
          </w:p>
        </w:tc>
        <w:tc>
          <w:tcPr>
            <w:tcW w:w="860" w:type="dxa"/>
            <w:vAlign w:val="bottom"/>
            <w:shd w:val="clear" w:color="auto" w:fill="307CC0"/>
          </w:tcPr>
          <w:p>
            <w:pPr>
              <w:jc w:val="center"/>
              <w:spacing w:after="0" w:line="145"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1060" w:type="dxa"/>
            <w:vAlign w:val="bottom"/>
            <w:shd w:val="clear" w:color="auto" w:fill="307CC0"/>
          </w:tcPr>
          <w:p>
            <w:pPr>
              <w:jc w:val="center"/>
              <w:spacing w:after="0" w:line="145" w:lineRule="exact"/>
              <w:rPr>
                <w:sz w:val="20"/>
                <w:szCs w:val="20"/>
                <w:color w:val="auto"/>
              </w:rPr>
            </w:pPr>
            <w:r>
              <w:rPr>
                <w:rFonts w:ascii="Arial" w:cs="Arial" w:eastAsia="Arial" w:hAnsi="Arial"/>
                <w:sz w:val="10"/>
                <w:szCs w:val="10"/>
                <w:b w:val="1"/>
                <w:bCs w:val="1"/>
                <w:color w:val="FFFFFF"/>
              </w:rPr>
              <w:t>Earnings</w:t>
            </w:r>
            <w:r>
              <w:rPr>
                <w:rFonts w:ascii="Arial" w:cs="Arial" w:eastAsia="Arial" w:hAnsi="Arial"/>
                <w:sz w:val="16"/>
                <w:szCs w:val="16"/>
                <w:b w:val="1"/>
                <w:bCs w:val="1"/>
                <w:color w:val="FFFFFF"/>
                <w:vertAlign w:val="superscript"/>
              </w:rPr>
              <w:t>(3)</w:t>
            </w:r>
          </w:p>
        </w:tc>
        <w:tc>
          <w:tcPr>
            <w:tcW w:w="1260" w:type="dxa"/>
            <w:vAlign w:val="bottom"/>
            <w:shd w:val="clear" w:color="auto" w:fill="307CC0"/>
          </w:tcPr>
          <w:p>
            <w:pPr>
              <w:jc w:val="center"/>
              <w:spacing w:after="0" w:line="145"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840" w:type="dxa"/>
            <w:vAlign w:val="bottom"/>
            <w:shd w:val="clear" w:color="auto" w:fill="307CC0"/>
          </w:tcPr>
          <w:p>
            <w:pPr>
              <w:jc w:val="right"/>
              <w:ind w:right="217"/>
              <w:spacing w:after="0" w:line="144" w:lineRule="exact"/>
              <w:rPr>
                <w:sz w:val="20"/>
                <w:szCs w:val="20"/>
                <w:color w:val="auto"/>
              </w:rPr>
            </w:pPr>
            <w:r>
              <w:rPr>
                <w:rFonts w:ascii="Arial" w:cs="Arial" w:eastAsia="Arial" w:hAnsi="Arial"/>
                <w:sz w:val="13"/>
                <w:szCs w:val="13"/>
                <w:b w:val="1"/>
                <w:bCs w:val="1"/>
                <w:color w:val="FFFFFF"/>
              </w:rPr>
              <w:t>Total</w:t>
            </w:r>
          </w:p>
        </w:tc>
      </w:tr>
      <w:tr>
        <w:trPr>
          <w:trHeight w:val="185"/>
        </w:trPr>
        <w:tc>
          <w:tcPr>
            <w:tcW w:w="4180" w:type="dxa"/>
            <w:vAlign w:val="bottom"/>
            <w:gridSpan w:val="2"/>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9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307CC0"/>
          </w:tcPr>
          <w:p>
            <w:pPr>
              <w:jc w:val="right"/>
              <w:ind w:right="277"/>
              <w:spacing w:after="0"/>
              <w:rPr>
                <w:sz w:val="20"/>
                <w:szCs w:val="20"/>
                <w:color w:val="auto"/>
              </w:rPr>
            </w:pPr>
            <w:r>
              <w:rPr>
                <w:rFonts w:ascii="Arial" w:cs="Arial" w:eastAsia="Arial" w:hAnsi="Arial"/>
                <w:sz w:val="13"/>
                <w:szCs w:val="13"/>
                <w:b w:val="1"/>
                <w:bCs w:val="1"/>
                <w:color w:val="FFFFFF"/>
              </w:rPr>
              <w:t>($)</w:t>
            </w:r>
          </w:p>
        </w:tc>
      </w:tr>
      <w:tr>
        <w:trPr>
          <w:trHeight w:val="220"/>
        </w:trPr>
        <w:tc>
          <w:tcPr>
            <w:tcW w:w="418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Mollie Hale Carter</w:t>
            </w:r>
          </w:p>
        </w:tc>
        <w:tc>
          <w:tcPr>
            <w:tcW w:w="9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100,000</w:t>
            </w:r>
          </w:p>
        </w:tc>
        <w:tc>
          <w:tcPr>
            <w:tcW w:w="860" w:type="dxa"/>
            <w:vAlign w:val="bottom"/>
            <w:tcBorders>
              <w:bottom w:val="single" w:sz="8" w:color="307CC0"/>
            </w:tcBorders>
            <w:shd w:val="clear" w:color="auto" w:fill="CCEE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5,339</w:t>
            </w:r>
          </w:p>
        </w:tc>
        <w:tc>
          <w:tcPr>
            <w:tcW w:w="1260" w:type="dxa"/>
            <w:vAlign w:val="bottom"/>
            <w:tcBorders>
              <w:bottom w:val="single" w:sz="8" w:color="307CC0"/>
            </w:tcBorders>
            <w:shd w:val="clear" w:color="auto" w:fill="CCEEFF"/>
          </w:tcPr>
          <w:p>
            <w:pPr>
              <w:jc w:val="right"/>
              <w:ind w:right="78"/>
              <w:spacing w:after="0"/>
              <w:rPr>
                <w:sz w:val="20"/>
                <w:szCs w:val="20"/>
                <w:color w:val="auto"/>
              </w:rPr>
            </w:pPr>
            <w:r>
              <w:rPr>
                <w:rFonts w:ascii="Arial" w:cs="Arial" w:eastAsia="Arial" w:hAnsi="Arial"/>
                <w:sz w:val="17"/>
                <w:szCs w:val="17"/>
                <w:color w:val="auto"/>
              </w:rPr>
              <w:t>10,000</w:t>
            </w:r>
          </w:p>
        </w:tc>
        <w:tc>
          <w:tcPr>
            <w:tcW w:w="8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243,304</w:t>
            </w:r>
          </w:p>
        </w:tc>
      </w:tr>
      <w:tr>
        <w:trPr>
          <w:trHeight w:val="213"/>
        </w:trPr>
        <w:tc>
          <w:tcPr>
            <w:tcW w:w="4180" w:type="dxa"/>
            <w:vAlign w:val="bottom"/>
            <w:tcBorders>
              <w:bottom w:val="single" w:sz="8" w:color="307CC0"/>
            </w:tcBorders>
            <w:gridSpan w:val="2"/>
            <w:shd w:val="clear" w:color="auto" w:fill="D6E7FF"/>
          </w:tcPr>
          <w:p>
            <w:pPr>
              <w:ind w:left="40"/>
              <w:spacing w:after="0"/>
              <w:rPr>
                <w:sz w:val="20"/>
                <w:szCs w:val="20"/>
                <w:color w:val="auto"/>
              </w:rPr>
            </w:pPr>
            <w:r>
              <w:rPr>
                <w:rFonts w:ascii="Arial" w:cs="Arial" w:eastAsia="Arial" w:hAnsi="Arial"/>
                <w:sz w:val="17"/>
                <w:szCs w:val="17"/>
                <w:color w:val="auto"/>
              </w:rPr>
              <w:t>Charles Q. Chandler IV</w:t>
            </w:r>
          </w:p>
        </w:tc>
        <w:tc>
          <w:tcPr>
            <w:tcW w:w="9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125,000</w:t>
            </w:r>
          </w:p>
        </w:tc>
        <w:tc>
          <w:tcPr>
            <w:tcW w:w="860" w:type="dxa"/>
            <w:vAlign w:val="bottom"/>
            <w:tcBorders>
              <w:bottom w:val="single" w:sz="8" w:color="307CC0"/>
            </w:tcBorders>
            <w:shd w:val="clear" w:color="auto" w:fill="D6E7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55,105</w:t>
            </w:r>
          </w:p>
        </w:tc>
        <w:tc>
          <w:tcPr>
            <w:tcW w:w="1260" w:type="dxa"/>
            <w:vAlign w:val="bottom"/>
            <w:tcBorders>
              <w:bottom w:val="single" w:sz="8" w:color="307CC0"/>
            </w:tcBorders>
            <w:shd w:val="clear" w:color="auto" w:fill="D6E7FF"/>
          </w:tcPr>
          <w:p>
            <w:pPr>
              <w:jc w:val="right"/>
              <w:ind w:right="78"/>
              <w:spacing w:after="0"/>
              <w:rPr>
                <w:sz w:val="20"/>
                <w:szCs w:val="20"/>
                <w:color w:val="auto"/>
              </w:rPr>
            </w:pPr>
            <w:r>
              <w:rPr>
                <w:rFonts w:ascii="Arial" w:cs="Arial" w:eastAsia="Arial" w:hAnsi="Arial"/>
                <w:sz w:val="17"/>
                <w:szCs w:val="17"/>
                <w:color w:val="auto"/>
              </w:rPr>
              <w:t>10,000</w:t>
            </w:r>
          </w:p>
        </w:tc>
        <w:tc>
          <w:tcPr>
            <w:tcW w:w="8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318,070</w:t>
            </w:r>
          </w:p>
        </w:tc>
      </w:tr>
      <w:tr>
        <w:trPr>
          <w:trHeight w:val="213"/>
        </w:trPr>
        <w:tc>
          <w:tcPr>
            <w:tcW w:w="418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Gary D. Forsee</w:t>
            </w:r>
          </w:p>
        </w:tc>
        <w:tc>
          <w:tcPr>
            <w:tcW w:w="9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100,000</w:t>
            </w:r>
          </w:p>
        </w:tc>
        <w:tc>
          <w:tcPr>
            <w:tcW w:w="860" w:type="dxa"/>
            <w:vAlign w:val="bottom"/>
            <w:tcBorders>
              <w:bottom w:val="single" w:sz="8" w:color="307CC0"/>
            </w:tcBorders>
            <w:shd w:val="clear" w:color="auto" w:fill="CCEE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45,662</w:t>
            </w:r>
          </w:p>
        </w:tc>
        <w:tc>
          <w:tcPr>
            <w:tcW w:w="1260" w:type="dxa"/>
            <w:vAlign w:val="bottom"/>
            <w:tcBorders>
              <w:bottom w:val="single" w:sz="8" w:color="307CC0"/>
            </w:tcBorders>
            <w:shd w:val="clear" w:color="auto" w:fill="CCEEFF"/>
          </w:tcPr>
          <w:p>
            <w:pPr>
              <w:jc w:val="right"/>
              <w:ind w:right="78"/>
              <w:spacing w:after="0"/>
              <w:rPr>
                <w:sz w:val="20"/>
                <w:szCs w:val="20"/>
                <w:color w:val="auto"/>
              </w:rPr>
            </w:pPr>
            <w:r>
              <w:rPr>
                <w:rFonts w:ascii="Arial" w:cs="Arial" w:eastAsia="Arial" w:hAnsi="Arial"/>
                <w:sz w:val="17"/>
                <w:szCs w:val="17"/>
                <w:color w:val="auto"/>
              </w:rPr>
              <w:t>15,000</w:t>
            </w:r>
          </w:p>
        </w:tc>
        <w:tc>
          <w:tcPr>
            <w:tcW w:w="8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288,627</w:t>
            </w:r>
          </w:p>
        </w:tc>
      </w:tr>
      <w:tr>
        <w:trPr>
          <w:trHeight w:val="213"/>
        </w:trPr>
        <w:tc>
          <w:tcPr>
            <w:tcW w:w="4180" w:type="dxa"/>
            <w:vAlign w:val="bottom"/>
            <w:tcBorders>
              <w:bottom w:val="single" w:sz="8" w:color="307CC0"/>
            </w:tcBorders>
            <w:gridSpan w:val="2"/>
            <w:shd w:val="clear" w:color="auto" w:fill="D6E7FF"/>
          </w:tcPr>
          <w:p>
            <w:pPr>
              <w:ind w:left="40"/>
              <w:spacing w:after="0"/>
              <w:rPr>
                <w:sz w:val="20"/>
                <w:szCs w:val="20"/>
                <w:color w:val="auto"/>
              </w:rPr>
            </w:pPr>
            <w:r>
              <w:rPr>
                <w:rFonts w:ascii="Arial" w:cs="Arial" w:eastAsia="Arial" w:hAnsi="Arial"/>
                <w:sz w:val="17"/>
                <w:szCs w:val="17"/>
                <w:color w:val="auto"/>
              </w:rPr>
              <w:t>Scott D. Grimes</w:t>
            </w:r>
          </w:p>
        </w:tc>
        <w:tc>
          <w:tcPr>
            <w:tcW w:w="9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100,000</w:t>
            </w:r>
          </w:p>
        </w:tc>
        <w:tc>
          <w:tcPr>
            <w:tcW w:w="860" w:type="dxa"/>
            <w:vAlign w:val="bottom"/>
            <w:tcBorders>
              <w:bottom w:val="single" w:sz="8" w:color="307CC0"/>
            </w:tcBorders>
            <w:shd w:val="clear" w:color="auto" w:fill="D6E7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D6E7FF"/>
          </w:tcPr>
          <w:p>
            <w:pPr>
              <w:jc w:val="right"/>
              <w:ind w:right="78"/>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227,965</w:t>
            </w:r>
          </w:p>
        </w:tc>
      </w:tr>
      <w:tr>
        <w:trPr>
          <w:trHeight w:val="213"/>
        </w:trPr>
        <w:tc>
          <w:tcPr>
            <w:tcW w:w="418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Richard L. Hawley</w:t>
            </w:r>
          </w:p>
        </w:tc>
        <w:tc>
          <w:tcPr>
            <w:tcW w:w="9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100,000</w:t>
            </w:r>
          </w:p>
        </w:tc>
        <w:tc>
          <w:tcPr>
            <w:tcW w:w="860" w:type="dxa"/>
            <w:vAlign w:val="bottom"/>
            <w:tcBorders>
              <w:bottom w:val="single" w:sz="8" w:color="307CC0"/>
            </w:tcBorders>
            <w:shd w:val="clear" w:color="auto" w:fill="CCEE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78"/>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227,965</w:t>
            </w:r>
          </w:p>
        </w:tc>
      </w:tr>
      <w:tr>
        <w:trPr>
          <w:trHeight w:val="213"/>
        </w:trPr>
        <w:tc>
          <w:tcPr>
            <w:tcW w:w="4180" w:type="dxa"/>
            <w:vAlign w:val="bottom"/>
            <w:tcBorders>
              <w:bottom w:val="single" w:sz="8" w:color="307CC0"/>
            </w:tcBorders>
            <w:gridSpan w:val="2"/>
            <w:shd w:val="clear" w:color="auto" w:fill="D6E7FF"/>
          </w:tcPr>
          <w:p>
            <w:pPr>
              <w:ind w:left="40"/>
              <w:spacing w:after="0"/>
              <w:rPr>
                <w:sz w:val="20"/>
                <w:szCs w:val="20"/>
                <w:color w:val="auto"/>
              </w:rPr>
            </w:pPr>
            <w:r>
              <w:rPr>
                <w:rFonts w:ascii="Arial" w:cs="Arial" w:eastAsia="Arial" w:hAnsi="Arial"/>
                <w:sz w:val="17"/>
                <w:szCs w:val="17"/>
                <w:color w:val="auto"/>
              </w:rPr>
              <w:t>Thomas D. Hyde</w:t>
            </w:r>
          </w:p>
        </w:tc>
        <w:tc>
          <w:tcPr>
            <w:tcW w:w="9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120,000</w:t>
            </w:r>
          </w:p>
        </w:tc>
        <w:tc>
          <w:tcPr>
            <w:tcW w:w="860" w:type="dxa"/>
            <w:vAlign w:val="bottom"/>
            <w:tcBorders>
              <w:bottom w:val="single" w:sz="8" w:color="307CC0"/>
            </w:tcBorders>
            <w:shd w:val="clear" w:color="auto" w:fill="D6E7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25,682</w:t>
            </w:r>
          </w:p>
        </w:tc>
        <w:tc>
          <w:tcPr>
            <w:tcW w:w="1260" w:type="dxa"/>
            <w:vAlign w:val="bottom"/>
            <w:tcBorders>
              <w:bottom w:val="single" w:sz="8" w:color="307CC0"/>
            </w:tcBorders>
            <w:shd w:val="clear" w:color="auto" w:fill="D6E7FF"/>
          </w:tcPr>
          <w:p>
            <w:pPr>
              <w:jc w:val="right"/>
              <w:ind w:right="78"/>
              <w:spacing w:after="0"/>
              <w:rPr>
                <w:sz w:val="20"/>
                <w:szCs w:val="20"/>
                <w:color w:val="auto"/>
              </w:rPr>
            </w:pPr>
            <w:r>
              <w:rPr>
                <w:rFonts w:ascii="Arial" w:cs="Arial" w:eastAsia="Arial" w:hAnsi="Arial"/>
                <w:sz w:val="17"/>
                <w:szCs w:val="17"/>
                <w:color w:val="auto"/>
              </w:rPr>
              <w:t>10,000</w:t>
            </w:r>
          </w:p>
        </w:tc>
        <w:tc>
          <w:tcPr>
            <w:tcW w:w="8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283,647</w:t>
            </w:r>
          </w:p>
        </w:tc>
      </w:tr>
      <w:tr>
        <w:trPr>
          <w:trHeight w:val="213"/>
        </w:trPr>
        <w:tc>
          <w:tcPr>
            <w:tcW w:w="418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B. Anthony Isaac</w:t>
            </w:r>
          </w:p>
        </w:tc>
        <w:tc>
          <w:tcPr>
            <w:tcW w:w="9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115,000</w:t>
            </w:r>
          </w:p>
        </w:tc>
        <w:tc>
          <w:tcPr>
            <w:tcW w:w="860" w:type="dxa"/>
            <w:vAlign w:val="bottom"/>
            <w:tcBorders>
              <w:bottom w:val="single" w:sz="8" w:color="307CC0"/>
            </w:tcBorders>
            <w:shd w:val="clear" w:color="auto" w:fill="CCEE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78"/>
              <w:spacing w:after="0"/>
              <w:rPr>
                <w:sz w:val="20"/>
                <w:szCs w:val="20"/>
                <w:color w:val="auto"/>
              </w:rPr>
            </w:pPr>
            <w:r>
              <w:rPr>
                <w:rFonts w:ascii="Arial" w:cs="Arial" w:eastAsia="Arial" w:hAnsi="Arial"/>
                <w:sz w:val="17"/>
                <w:szCs w:val="17"/>
                <w:color w:val="auto"/>
              </w:rPr>
              <w:t>10,000</w:t>
            </w:r>
          </w:p>
        </w:tc>
        <w:tc>
          <w:tcPr>
            <w:tcW w:w="8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252,965</w:t>
            </w:r>
          </w:p>
        </w:tc>
      </w:tr>
      <w:tr>
        <w:trPr>
          <w:trHeight w:val="213"/>
        </w:trPr>
        <w:tc>
          <w:tcPr>
            <w:tcW w:w="4180" w:type="dxa"/>
            <w:vAlign w:val="bottom"/>
            <w:tcBorders>
              <w:bottom w:val="single" w:sz="8" w:color="307CC0"/>
            </w:tcBorders>
            <w:gridSpan w:val="2"/>
            <w:shd w:val="clear" w:color="auto" w:fill="D6E7FF"/>
          </w:tcPr>
          <w:p>
            <w:pPr>
              <w:ind w:left="40"/>
              <w:spacing w:after="0"/>
              <w:rPr>
                <w:sz w:val="20"/>
                <w:szCs w:val="20"/>
                <w:color w:val="auto"/>
              </w:rPr>
            </w:pPr>
            <w:r>
              <w:rPr>
                <w:rFonts w:ascii="Arial" w:cs="Arial" w:eastAsia="Arial" w:hAnsi="Arial"/>
                <w:sz w:val="17"/>
                <w:szCs w:val="17"/>
                <w:color w:val="auto"/>
              </w:rPr>
              <w:t>Sandra A.J. Lawrence</w:t>
            </w:r>
          </w:p>
        </w:tc>
        <w:tc>
          <w:tcPr>
            <w:tcW w:w="9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115,000</w:t>
            </w:r>
          </w:p>
        </w:tc>
        <w:tc>
          <w:tcPr>
            <w:tcW w:w="860" w:type="dxa"/>
            <w:vAlign w:val="bottom"/>
            <w:tcBorders>
              <w:bottom w:val="single" w:sz="8" w:color="307CC0"/>
            </w:tcBorders>
            <w:shd w:val="clear" w:color="auto" w:fill="D6E7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5,171</w:t>
            </w:r>
          </w:p>
        </w:tc>
        <w:tc>
          <w:tcPr>
            <w:tcW w:w="1260" w:type="dxa"/>
            <w:vAlign w:val="bottom"/>
            <w:tcBorders>
              <w:bottom w:val="single" w:sz="8" w:color="307CC0"/>
            </w:tcBorders>
            <w:shd w:val="clear" w:color="auto" w:fill="D6E7FF"/>
          </w:tcPr>
          <w:p>
            <w:pPr>
              <w:jc w:val="right"/>
              <w:ind w:right="78"/>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242,965</w:t>
            </w:r>
          </w:p>
        </w:tc>
      </w:tr>
      <w:tr>
        <w:trPr>
          <w:trHeight w:val="213"/>
        </w:trPr>
        <w:tc>
          <w:tcPr>
            <w:tcW w:w="418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Ann D. Murtlow</w:t>
            </w:r>
          </w:p>
        </w:tc>
        <w:tc>
          <w:tcPr>
            <w:tcW w:w="9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115,000</w:t>
            </w:r>
          </w:p>
        </w:tc>
        <w:tc>
          <w:tcPr>
            <w:tcW w:w="860" w:type="dxa"/>
            <w:vAlign w:val="bottom"/>
            <w:tcBorders>
              <w:bottom w:val="single" w:sz="8" w:color="307CC0"/>
            </w:tcBorders>
            <w:shd w:val="clear" w:color="auto" w:fill="CCEE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78"/>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248,136</w:t>
            </w:r>
          </w:p>
        </w:tc>
      </w:tr>
      <w:tr>
        <w:trPr>
          <w:trHeight w:val="213"/>
        </w:trPr>
        <w:tc>
          <w:tcPr>
            <w:tcW w:w="4180" w:type="dxa"/>
            <w:vAlign w:val="bottom"/>
            <w:tcBorders>
              <w:bottom w:val="single" w:sz="8" w:color="307CC0"/>
            </w:tcBorders>
            <w:gridSpan w:val="2"/>
            <w:shd w:val="clear" w:color="auto" w:fill="D6E7FF"/>
          </w:tcPr>
          <w:p>
            <w:pPr>
              <w:ind w:left="40"/>
              <w:spacing w:after="0"/>
              <w:rPr>
                <w:sz w:val="20"/>
                <w:szCs w:val="20"/>
                <w:color w:val="auto"/>
              </w:rPr>
            </w:pPr>
            <w:r>
              <w:rPr>
                <w:rFonts w:ascii="Arial" w:cs="Arial" w:eastAsia="Arial" w:hAnsi="Arial"/>
                <w:sz w:val="17"/>
                <w:szCs w:val="17"/>
                <w:color w:val="auto"/>
              </w:rPr>
              <w:t>Sandra J. Price</w:t>
            </w:r>
          </w:p>
        </w:tc>
        <w:tc>
          <w:tcPr>
            <w:tcW w:w="9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100,000</w:t>
            </w:r>
          </w:p>
        </w:tc>
        <w:tc>
          <w:tcPr>
            <w:tcW w:w="860" w:type="dxa"/>
            <w:vAlign w:val="bottom"/>
            <w:tcBorders>
              <w:bottom w:val="single" w:sz="8" w:color="307CC0"/>
            </w:tcBorders>
            <w:shd w:val="clear" w:color="auto" w:fill="D6E7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D6E7FF"/>
          </w:tcPr>
          <w:p>
            <w:pPr>
              <w:jc w:val="right"/>
              <w:ind w:right="78"/>
              <w:spacing w:after="0"/>
              <w:rPr>
                <w:sz w:val="20"/>
                <w:szCs w:val="20"/>
                <w:color w:val="auto"/>
              </w:rPr>
            </w:pPr>
            <w:r>
              <w:rPr>
                <w:rFonts w:ascii="Arial" w:cs="Arial" w:eastAsia="Arial" w:hAnsi="Arial"/>
                <w:sz w:val="17"/>
                <w:szCs w:val="17"/>
                <w:color w:val="auto"/>
              </w:rPr>
              <w:t>10,000</w:t>
            </w:r>
          </w:p>
        </w:tc>
        <w:tc>
          <w:tcPr>
            <w:tcW w:w="8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237,965</w:t>
            </w:r>
          </w:p>
        </w:tc>
      </w:tr>
      <w:tr>
        <w:trPr>
          <w:trHeight w:val="213"/>
        </w:trPr>
        <w:tc>
          <w:tcPr>
            <w:tcW w:w="418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Mark A. Ruelle</w:t>
            </w:r>
          </w:p>
        </w:tc>
        <w:tc>
          <w:tcPr>
            <w:tcW w:w="9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155,000</w:t>
            </w:r>
          </w:p>
        </w:tc>
        <w:tc>
          <w:tcPr>
            <w:tcW w:w="860" w:type="dxa"/>
            <w:vAlign w:val="bottom"/>
            <w:tcBorders>
              <w:bottom w:val="single" w:sz="8" w:color="307CC0"/>
            </w:tcBorders>
            <w:shd w:val="clear" w:color="auto" w:fill="CCEEFF"/>
          </w:tcPr>
          <w:p>
            <w:pPr>
              <w:jc w:val="right"/>
              <w:ind w:right="18"/>
              <w:spacing w:after="0"/>
              <w:rPr>
                <w:sz w:val="20"/>
                <w:szCs w:val="20"/>
                <w:color w:val="auto"/>
              </w:rPr>
            </w:pPr>
            <w:r>
              <w:rPr>
                <w:rFonts w:ascii="Arial" w:cs="Arial" w:eastAsia="Arial" w:hAnsi="Arial"/>
                <w:sz w:val="17"/>
                <w:szCs w:val="17"/>
                <w:color w:val="auto"/>
              </w:rPr>
              <w:t>182,113</w:t>
            </w: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3,215</w:t>
            </w:r>
          </w:p>
        </w:tc>
        <w:tc>
          <w:tcPr>
            <w:tcW w:w="1260" w:type="dxa"/>
            <w:vAlign w:val="bottom"/>
            <w:tcBorders>
              <w:bottom w:val="single" w:sz="8" w:color="307CC0"/>
            </w:tcBorders>
            <w:shd w:val="clear" w:color="auto" w:fill="CCEEFF"/>
          </w:tcPr>
          <w:p>
            <w:pPr>
              <w:jc w:val="right"/>
              <w:ind w:right="78"/>
              <w:spacing w:after="0"/>
              <w:rPr>
                <w:sz w:val="20"/>
                <w:szCs w:val="20"/>
                <w:color w:val="auto"/>
              </w:rPr>
            </w:pPr>
            <w:r>
              <w:rPr>
                <w:rFonts w:ascii="Arial" w:cs="Arial" w:eastAsia="Arial" w:hAnsi="Arial"/>
                <w:sz w:val="17"/>
                <w:szCs w:val="17"/>
                <w:color w:val="auto"/>
              </w:rPr>
              <w:t>10,000</w:t>
            </w:r>
          </w:p>
        </w:tc>
        <w:tc>
          <w:tcPr>
            <w:tcW w:w="8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350,328</w:t>
            </w:r>
          </w:p>
        </w:tc>
      </w:tr>
      <w:tr>
        <w:trPr>
          <w:trHeight w:val="213"/>
        </w:trPr>
        <w:tc>
          <w:tcPr>
            <w:tcW w:w="4180" w:type="dxa"/>
            <w:vAlign w:val="bottom"/>
            <w:tcBorders>
              <w:bottom w:val="single" w:sz="8" w:color="307CC0"/>
            </w:tcBorders>
            <w:gridSpan w:val="2"/>
            <w:shd w:val="clear" w:color="auto" w:fill="D6E7FF"/>
          </w:tcPr>
          <w:p>
            <w:pPr>
              <w:ind w:left="40"/>
              <w:spacing w:after="0"/>
              <w:rPr>
                <w:sz w:val="20"/>
                <w:szCs w:val="20"/>
                <w:color w:val="auto"/>
              </w:rPr>
            </w:pPr>
            <w:r>
              <w:rPr>
                <w:rFonts w:ascii="Arial" w:cs="Arial" w:eastAsia="Arial" w:hAnsi="Arial"/>
                <w:sz w:val="17"/>
                <w:szCs w:val="17"/>
                <w:color w:val="auto"/>
              </w:rPr>
              <w:t>John J. Sherman</w:t>
            </w:r>
          </w:p>
        </w:tc>
        <w:tc>
          <w:tcPr>
            <w:tcW w:w="9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120,000</w:t>
            </w:r>
          </w:p>
        </w:tc>
        <w:tc>
          <w:tcPr>
            <w:tcW w:w="860" w:type="dxa"/>
            <w:vAlign w:val="bottom"/>
            <w:tcBorders>
              <w:bottom w:val="single" w:sz="8" w:color="307CC0"/>
            </w:tcBorders>
            <w:shd w:val="clear" w:color="auto" w:fill="D6E7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D6E7FF"/>
          </w:tcPr>
          <w:p>
            <w:pPr>
              <w:jc w:val="right"/>
              <w:ind w:right="78"/>
              <w:spacing w:after="0"/>
              <w:rPr>
                <w:sz w:val="20"/>
                <w:szCs w:val="20"/>
                <w:color w:val="auto"/>
              </w:rPr>
            </w:pPr>
            <w:r>
              <w:rPr>
                <w:rFonts w:ascii="Arial" w:cs="Arial" w:eastAsia="Arial" w:hAnsi="Arial"/>
                <w:sz w:val="17"/>
                <w:szCs w:val="17"/>
                <w:color w:val="auto"/>
              </w:rPr>
              <w:t>35,000</w:t>
            </w:r>
          </w:p>
        </w:tc>
        <w:tc>
          <w:tcPr>
            <w:tcW w:w="8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282,965</w:t>
            </w:r>
          </w:p>
        </w:tc>
      </w:tr>
      <w:tr>
        <w:trPr>
          <w:trHeight w:val="213"/>
        </w:trPr>
        <w:tc>
          <w:tcPr>
            <w:tcW w:w="418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S. Carl Soderstrom Jr.</w:t>
            </w:r>
          </w:p>
        </w:tc>
        <w:tc>
          <w:tcPr>
            <w:tcW w:w="9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100,000</w:t>
            </w:r>
          </w:p>
        </w:tc>
        <w:tc>
          <w:tcPr>
            <w:tcW w:w="860" w:type="dxa"/>
            <w:vAlign w:val="bottom"/>
            <w:tcBorders>
              <w:bottom w:val="single" w:sz="8" w:color="307CC0"/>
            </w:tcBorders>
            <w:shd w:val="clear" w:color="auto" w:fill="CCEEFF"/>
          </w:tcPr>
          <w:p>
            <w:pPr>
              <w:jc w:val="right"/>
              <w:ind w:right="18"/>
              <w:spacing w:after="0"/>
              <w:rPr>
                <w:sz w:val="20"/>
                <w:szCs w:val="20"/>
                <w:color w:val="auto"/>
              </w:rPr>
            </w:pPr>
            <w:r>
              <w:rPr>
                <w:rFonts w:ascii="Arial" w:cs="Arial" w:eastAsia="Arial" w:hAnsi="Arial"/>
                <w:sz w:val="17"/>
                <w:szCs w:val="17"/>
                <w:color w:val="auto"/>
              </w:rPr>
              <w:t>127,965</w:t>
            </w: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78"/>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227,965</w:t>
            </w:r>
          </w:p>
        </w:tc>
      </w:tr>
      <w:tr>
        <w:trPr>
          <w:trHeight w:val="213"/>
        </w:trPr>
        <w:tc>
          <w:tcPr>
            <w:tcW w:w="4180" w:type="dxa"/>
            <w:vAlign w:val="bottom"/>
            <w:tcBorders>
              <w:bottom w:val="single" w:sz="8" w:color="307CC0"/>
            </w:tcBorders>
            <w:gridSpan w:val="2"/>
            <w:shd w:val="clear" w:color="auto" w:fill="D6E7FF"/>
          </w:tcPr>
          <w:p>
            <w:pPr>
              <w:ind w:left="40"/>
              <w:spacing w:after="0" w:line="212" w:lineRule="exact"/>
              <w:rPr>
                <w:sz w:val="20"/>
                <w:szCs w:val="20"/>
                <w:color w:val="auto"/>
              </w:rPr>
            </w:pPr>
            <w:r>
              <w:rPr>
                <w:rFonts w:ascii="Arial" w:cs="Arial" w:eastAsia="Arial" w:hAnsi="Arial"/>
                <w:sz w:val="15"/>
                <w:szCs w:val="15"/>
                <w:color w:val="auto"/>
              </w:rPr>
              <w:t>John Arthur Stall</w:t>
            </w:r>
            <w:r>
              <w:rPr>
                <w:rFonts w:ascii="Arial" w:cs="Arial" w:eastAsia="Arial" w:hAnsi="Arial"/>
                <w:sz w:val="24"/>
                <w:szCs w:val="24"/>
                <w:color w:val="auto"/>
                <w:vertAlign w:val="superscript"/>
              </w:rPr>
              <w:t>(5)</w:t>
            </w:r>
          </w:p>
        </w:tc>
        <w:tc>
          <w:tcPr>
            <w:tcW w:w="9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75,000</w:t>
            </w:r>
          </w:p>
        </w:tc>
        <w:tc>
          <w:tcPr>
            <w:tcW w:w="860" w:type="dxa"/>
            <w:vAlign w:val="bottom"/>
            <w:tcBorders>
              <w:bottom w:val="single" w:sz="8" w:color="307CC0"/>
            </w:tcBorders>
            <w:shd w:val="clear" w:color="auto" w:fill="D6E7FF"/>
          </w:tcPr>
          <w:p>
            <w:pPr>
              <w:jc w:val="right"/>
              <w:ind w:right="18"/>
              <w:spacing w:after="0"/>
              <w:rPr>
                <w:sz w:val="20"/>
                <w:szCs w:val="20"/>
                <w:color w:val="auto"/>
              </w:rPr>
            </w:pPr>
            <w:r>
              <w:rPr>
                <w:rFonts w:ascii="Arial" w:cs="Arial" w:eastAsia="Arial" w:hAnsi="Arial"/>
                <w:sz w:val="17"/>
                <w:szCs w:val="17"/>
                <w:color w:val="auto"/>
              </w:rPr>
              <w:t>128,643</w:t>
            </w: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D6E7FF"/>
          </w:tcPr>
          <w:p>
            <w:pPr>
              <w:jc w:val="right"/>
              <w:ind w:right="78"/>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203,643</w:t>
            </w:r>
          </w:p>
        </w:tc>
      </w:tr>
      <w:tr>
        <w:trPr>
          <w:trHeight w:val="174"/>
        </w:trPr>
        <w:tc>
          <w:tcPr>
            <w:tcW w:w="1380" w:type="dxa"/>
            <w:vAlign w:val="bottom"/>
            <w:tcBorders>
              <w:bottom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-2198370</wp:posOffset>
            </wp:positionV>
            <wp:extent cx="5808980" cy="147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-1903095</wp:posOffset>
            </wp:positionV>
            <wp:extent cx="5808980" cy="147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-1607820</wp:posOffset>
            </wp:positionV>
            <wp:extent cx="5808980" cy="147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-1311910</wp:posOffset>
            </wp:positionV>
            <wp:extent cx="5808980" cy="147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-1016635</wp:posOffset>
            </wp:positionV>
            <wp:extent cx="5808980" cy="147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-721360</wp:posOffset>
            </wp:positionV>
            <wp:extent cx="5808980" cy="147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-426085</wp:posOffset>
            </wp:positionV>
            <wp:extent cx="5808980" cy="147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88" w:lineRule="exact"/>
        <w:rPr>
          <w:sz w:val="20"/>
          <w:szCs w:val="20"/>
          <w:color w:val="auto"/>
        </w:rPr>
      </w:pPr>
    </w:p>
    <w:p>
      <w:pPr>
        <w:jc w:val="both"/>
        <w:ind w:left="340" w:hanging="330"/>
        <w:spacing w:after="0" w:line="234"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cash retainers for service on the Board and its committees. As discussed in “Election to Defer Compensation” above, non-employee directors can elect to convert all or part of their cash retainers into DSUs. In 2019, Ms. Carter ($93,986), Mr. Chandler ($99,513), Mr. Forsee ($24,102), Mr. Grimes ($10,706), Mr. Hyde ($16,808), Ms. Lawrence ($58,965), Ms. Murtlow ($10,706), Ms. Price ($8,218) and Mr. Ruelle ($3,362) received the amounts shown by their names in DSUs pursuant to elections to convert cash retainers into DSUs.</w:t>
      </w:r>
    </w:p>
    <w:p>
      <w:pPr>
        <w:spacing w:after="0" w:line="95" w:lineRule="exact"/>
        <w:rPr>
          <w:rFonts w:ascii="Arial" w:cs="Arial" w:eastAsia="Arial" w:hAnsi="Arial"/>
          <w:sz w:val="14"/>
          <w:szCs w:val="14"/>
          <w:color w:val="auto"/>
        </w:rPr>
      </w:pPr>
    </w:p>
    <w:p>
      <w:pPr>
        <w:ind w:left="340" w:hanging="330"/>
        <w:spacing w:after="0" w:line="23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reflect equity retainers paid by Evergy in 2019. The amount shown is the aggregate grant date fair value of equity granted in 2019 computed in accordance with the Financial Accounting Standards Board (“FASB”) Accounting Standards Codification (“ASC”) Topic 718.</w:t>
      </w:r>
    </w:p>
    <w:p>
      <w:pPr>
        <w:spacing w:after="0" w:line="94" w:lineRule="exact"/>
        <w:rPr>
          <w:rFonts w:ascii="Arial" w:cs="Arial" w:eastAsia="Arial" w:hAnsi="Arial"/>
          <w:sz w:val="14"/>
          <w:szCs w:val="14"/>
          <w:color w:val="auto"/>
        </w:rPr>
      </w:pPr>
    </w:p>
    <w:p>
      <w:pPr>
        <w:ind w:left="340" w:hanging="330"/>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shown represent the above-market earnings during 2019 on nonqualified deferred compensation.</w:t>
      </w:r>
    </w:p>
    <w:p>
      <w:pPr>
        <w:spacing w:after="0" w:line="97" w:lineRule="exact"/>
        <w:rPr>
          <w:rFonts w:ascii="Arial" w:cs="Arial" w:eastAsia="Arial" w:hAnsi="Arial"/>
          <w:sz w:val="14"/>
          <w:szCs w:val="14"/>
          <w:color w:val="auto"/>
        </w:rPr>
      </w:pPr>
    </w:p>
    <w:p>
      <w:pPr>
        <w:ind w:left="340" w:hanging="330"/>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amounts matched by the Company for qualifying charitable contributions made by the non-employee directors.</w:t>
      </w:r>
    </w:p>
    <w:p>
      <w:pPr>
        <w:spacing w:after="0" w:line="97" w:lineRule="exact"/>
        <w:rPr>
          <w:rFonts w:ascii="Arial" w:cs="Arial" w:eastAsia="Arial" w:hAnsi="Arial"/>
          <w:sz w:val="14"/>
          <w:szCs w:val="14"/>
          <w:color w:val="auto"/>
        </w:rPr>
      </w:pPr>
    </w:p>
    <w:p>
      <w:pPr>
        <w:ind w:left="340" w:hanging="330"/>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Stall was elected to the Board on March 25, 2019; therefore, his cash retainer was pro 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808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91" w:lineRule="exact"/>
        <w:rPr>
          <w:sz w:val="20"/>
          <w:szCs w:val="20"/>
          <w:color w:val="auto"/>
        </w:rPr>
      </w:pPr>
    </w:p>
    <w:p>
      <w:pPr>
        <w:ind w:left="3620"/>
        <w:spacing w:after="0"/>
        <w:tabs>
          <w:tab w:leader="none" w:pos="5300" w:val="left"/>
        </w:tabs>
        <w:rPr>
          <w:sz w:val="20"/>
          <w:szCs w:val="20"/>
          <w:color w:val="auto"/>
        </w:rPr>
      </w:pPr>
      <w:r>
        <w:rPr>
          <w:rFonts w:ascii="Arial" w:cs="Arial" w:eastAsia="Arial" w:hAnsi="Arial"/>
          <w:sz w:val="14"/>
          <w:szCs w:val="14"/>
          <w:b w:val="1"/>
          <w:bCs w:val="1"/>
          <w:color w:val="307CC0"/>
        </w:rPr>
        <w:t>Corporate Governance</w:t>
      </w:r>
      <w:r>
        <w:rPr>
          <w:sz w:val="20"/>
          <w:szCs w:val="20"/>
          <w:color w:val="auto"/>
        </w:rPr>
        <w:tab/>
      </w:r>
      <w:r>
        <w:rPr>
          <w:rFonts w:ascii="Arial" w:cs="Arial" w:eastAsia="Arial" w:hAnsi="Arial"/>
          <w:sz w:val="13"/>
          <w:szCs w:val="13"/>
          <w:b w:val="1"/>
          <w:bCs w:val="1"/>
          <w:color w:val="7F7F7F"/>
        </w:rPr>
        <w:t xml:space="preserve">Director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132715</wp:posOffset>
            </wp:positionV>
            <wp:extent cx="5808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p>
      <w:pPr>
        <w:spacing w:after="0" w:line="262" w:lineRule="exact"/>
        <w:rPr>
          <w:sz w:val="20"/>
          <w:szCs w:val="20"/>
          <w:color w:val="auto"/>
        </w:rPr>
      </w:pPr>
    </w:p>
    <w:p>
      <w:pPr>
        <w:jc w:val="center"/>
        <w:ind w:left="40"/>
        <w:spacing w:after="0"/>
        <w:rPr>
          <w:sz w:val="20"/>
          <w:szCs w:val="20"/>
          <w:color w:val="auto"/>
        </w:rPr>
      </w:pPr>
      <w:r>
        <w:rPr>
          <w:rFonts w:ascii="Arial" w:cs="Arial" w:eastAsia="Arial" w:hAnsi="Arial"/>
          <w:sz w:val="27"/>
          <w:szCs w:val="27"/>
          <w:b w:val="1"/>
          <w:bCs w:val="1"/>
          <w:color w:val="00215D"/>
        </w:rPr>
        <w:t>Proposal</w:t>
      </w:r>
    </w:p>
    <w:p>
      <w:pPr>
        <w:spacing w:after="0" w:line="47" w:lineRule="exact"/>
        <w:rPr>
          <w:sz w:val="20"/>
          <w:szCs w:val="20"/>
          <w:color w:val="auto"/>
        </w:rPr>
      </w:pPr>
    </w:p>
    <w:p>
      <w:pPr>
        <w:jc w:val="center"/>
        <w:ind w:left="40"/>
        <w:spacing w:after="0"/>
        <w:rPr>
          <w:sz w:val="20"/>
          <w:szCs w:val="20"/>
          <w:color w:val="auto"/>
        </w:rPr>
      </w:pPr>
      <w:r>
        <w:rPr>
          <w:rFonts w:ascii="Arial" w:cs="Arial" w:eastAsia="Arial" w:hAnsi="Arial"/>
          <w:sz w:val="28"/>
          <w:szCs w:val="28"/>
          <w:b w:val="1"/>
          <w:bCs w:val="1"/>
          <w:color w:val="00215D"/>
        </w:rPr>
        <w:t>2</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4" w:right="20"/>
        <w:spacing w:after="0" w:line="255" w:lineRule="auto"/>
        <w:rPr>
          <w:sz w:val="20"/>
          <w:szCs w:val="20"/>
          <w:color w:val="auto"/>
        </w:rPr>
      </w:pPr>
      <w:r>
        <w:rPr>
          <w:rFonts w:ascii="Arial" w:cs="Arial" w:eastAsia="Arial" w:hAnsi="Arial"/>
          <w:sz w:val="24"/>
          <w:szCs w:val="24"/>
          <w:b w:val="1"/>
          <w:bCs w:val="1"/>
          <w:color w:val="00215D"/>
        </w:rPr>
        <w:t>Approve on an advisory basis the compensation of the Company’s named executive officers, as disclosed in the Compensation Discussion and Analysis section, the compensation tables, related footnotes and narrative discussion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-742315</wp:posOffset>
            </wp:positionV>
            <wp:extent cx="5808980" cy="11156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08980" cy="1115695"/>
                    </a:xfrm>
                    <a:prstGeom prst="rect">
                      <a:avLst/>
                    </a:prstGeom>
                    <a:noFill/>
                  </pic:spPr>
                </pic:pic>
              </a:graphicData>
            </a:graphic>
          </wp:anchor>
        </w:drawing>
      </w:r>
    </w:p>
    <w:p>
      <w:pPr>
        <w:ind w:left="444" w:right="260" w:hanging="444"/>
        <w:spacing w:after="0" w:line="192" w:lineRule="auto"/>
        <w:tabs>
          <w:tab w:leader="none" w:pos="444" w:val="left"/>
        </w:tabs>
        <w:numPr>
          <w:ilvl w:val="0"/>
          <w:numId w:val="20"/>
        </w:numPr>
        <w:rPr>
          <w:rFonts w:ascii="MS PGothic" w:cs="MS PGothic" w:eastAsia="MS PGothic" w:hAnsi="MS PGothic"/>
          <w:sz w:val="45"/>
          <w:szCs w:val="45"/>
          <w:color w:val="00215D"/>
          <w:vertAlign w:val="subscript"/>
        </w:rPr>
      </w:pPr>
      <w:r>
        <w:rPr>
          <w:rFonts w:ascii="Arial" w:cs="Arial" w:eastAsia="Arial" w:hAnsi="Arial"/>
          <w:sz w:val="22"/>
          <w:szCs w:val="22"/>
          <w:b w:val="1"/>
          <w:bCs w:val="1"/>
          <w:color w:val="00215D"/>
        </w:rPr>
        <w:t>The Board recommends a vote FOR the approval of the executive compensation on an advisory basis.</w:t>
      </w:r>
    </w:p>
    <w:p>
      <w:pPr>
        <w:spacing w:after="0" w:line="127" w:lineRule="exact"/>
        <w:rPr>
          <w:sz w:val="20"/>
          <w:szCs w:val="20"/>
          <w:color w:val="auto"/>
        </w:rPr>
      </w:pPr>
    </w:p>
    <w:p>
      <w:pPr>
        <w:sectPr>
          <w:pgSz w:w="11900" w:h="16838" w:orient="portrait"/>
          <w:cols w:equalWidth="0" w:num="2">
            <w:col w:w="1220" w:space="256"/>
            <w:col w:w="7664"/>
          </w:cols>
          <w:pgMar w:left="1380" w:top="272" w:right="1379" w:bottom="1440" w:gutter="0" w:footer="0" w:header="0"/>
          <w:type w:val="continuous"/>
        </w:sectPr>
      </w:pPr>
    </w:p>
    <w:p>
      <w:pPr>
        <w:jc w:val="both"/>
        <w:ind w:firstLine="172"/>
        <w:spacing w:after="0" w:line="258" w:lineRule="auto"/>
        <w:rPr>
          <w:sz w:val="20"/>
          <w:szCs w:val="20"/>
          <w:color w:val="auto"/>
        </w:rPr>
      </w:pPr>
      <w:r>
        <w:rPr>
          <w:rFonts w:ascii="Arial" w:cs="Arial" w:eastAsia="Arial" w:hAnsi="Arial"/>
          <w:sz w:val="17"/>
          <w:szCs w:val="17"/>
          <w:color w:val="auto"/>
        </w:rPr>
        <w:t>Public companies are required to provide their shareholders with the opportunity to approve, on an advisory and non-binding basis, the compensation of their named executive officers. In 2019, approximately 97% of our shareholders that voted approved of the compensation of our named executive officers. We believe this strong shareholder support demonstrates the alignment of shareholder interests with our executive compensation program and philosophy.</w:t>
      </w:r>
    </w:p>
    <w:p>
      <w:pPr>
        <w:spacing w:after="0" w:line="90"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The Board believes that providing shareholders with an annual advisory vote on executive compensation can produce useful and timely information on investors’ views of the Company’s executive compensation program. Although the vote is advisory and non-binding, we value the opinions of our shareholders and the Compensation and Leadership Development Committee will consider this vote when making future compensation decisions.</w:t>
      </w:r>
    </w:p>
    <w:p>
      <w:pPr>
        <w:spacing w:after="0" w:line="90"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As discussed below, our executive compensation program is designed to support achievement of our business stategy without encouraging excessive risk-taking, to attract and retain highly qualified executives, pay for performance, reward long-term growth and sustained profitability and encourage teamwork. The Board strongly endorses our executive compensation program and recommends that our shareholders vote in favor of the following resolution:</w:t>
      </w:r>
    </w:p>
    <w:p>
      <w:pPr>
        <w:spacing w:after="0" w:line="51" w:lineRule="exact"/>
        <w:rPr>
          <w:sz w:val="20"/>
          <w:szCs w:val="20"/>
          <w:color w:val="auto"/>
        </w:rPr>
      </w:pPr>
    </w:p>
    <w:p>
      <w:pPr>
        <w:jc w:val="both"/>
        <w:ind w:left="440" w:right="560"/>
        <w:spacing w:after="0" w:line="243" w:lineRule="auto"/>
        <w:rPr>
          <w:sz w:val="20"/>
          <w:szCs w:val="20"/>
          <w:color w:val="auto"/>
        </w:rPr>
      </w:pPr>
      <w:r>
        <w:rPr>
          <w:rFonts w:ascii="Arial" w:cs="Arial" w:eastAsia="Arial" w:hAnsi="Arial"/>
          <w:sz w:val="17"/>
          <w:szCs w:val="17"/>
          <w:color w:val="auto"/>
        </w:rPr>
        <w:t>“RESOLVED, that the shareholders of the Company approve, on an advisory basis, the compensation of the Company’s named executive officers, as disclosed in the Compensation Discussion and Analysis section, the Executive Compensation section, the compensation tables, related footnotes and narrative discussion of this proxy statement.”</w:t>
      </w:r>
    </w:p>
    <w:p>
      <w:pPr>
        <w:spacing w:after="0" w:line="100"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We currently intend to hold the next non-binding advisory vote to approve the compensation of our named executive officers at our next annual meeting of shareholders, unless our Board modifies its current policy of holding this vote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5808980" cy="1555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08980" cy="155575"/>
                    </a:xfrm>
                    <a:prstGeom prst="rect">
                      <a:avLst/>
                    </a:prstGeom>
                    <a:noFill/>
                  </pic:spPr>
                </pic:pic>
              </a:graphicData>
            </a:graphic>
          </wp:anchor>
        </w:drawing>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215D"/>
        </w:rPr>
        <w:t>The Board of Directors unanimously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161290</wp:posOffset>
            </wp:positionV>
            <wp:extent cx="5808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48"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2 – Advisory Vote on Executive Compensation</w:t>
      </w:r>
      <w:r>
        <w:rPr>
          <w:rFonts w:ascii="Arial" w:cs="Arial" w:eastAsia="Arial" w:hAnsi="Arial"/>
          <w:sz w:val="14"/>
          <w:szCs w:val="14"/>
          <w:b w:val="1"/>
          <w:bCs w:val="1"/>
          <w:color w:val="auto"/>
        </w:rPr>
        <w:tab/>
        <w:t>Evergy 2020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5838190" cy="7150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38190" cy="715073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Executive Summary of 2019 Compensation</w:t>
      </w:r>
    </w:p>
    <w:p>
      <w:pPr>
        <w:spacing w:after="0" w:line="171" w:lineRule="exact"/>
        <w:rPr>
          <w:sz w:val="20"/>
          <w:szCs w:val="20"/>
          <w:color w:val="auto"/>
        </w:rPr>
      </w:pPr>
    </w:p>
    <w:p>
      <w:pPr>
        <w:jc w:val="both"/>
        <w:ind w:left="100" w:right="80" w:firstLine="172"/>
        <w:spacing w:after="0" w:line="261" w:lineRule="auto"/>
        <w:rPr>
          <w:sz w:val="20"/>
          <w:szCs w:val="20"/>
          <w:color w:val="auto"/>
        </w:rPr>
      </w:pPr>
      <w:r>
        <w:rPr>
          <w:rFonts w:ascii="Arial" w:cs="Arial" w:eastAsia="Arial" w:hAnsi="Arial"/>
          <w:sz w:val="17"/>
          <w:szCs w:val="17"/>
          <w:color w:val="auto"/>
        </w:rPr>
        <w:t>The Compensation Discussion and Analysis (“CD&amp;A”) that follows provides a comprehensive explanation of the compensation awarded to, earned by, or paid to the following individuals listed below, who are our named executive officers (“NEOs”), for 2019:</w:t>
      </w:r>
    </w:p>
    <w:p>
      <w:pPr>
        <w:spacing w:after="0" w:line="86" w:lineRule="exact"/>
        <w:rPr>
          <w:sz w:val="20"/>
          <w:szCs w:val="20"/>
          <w:color w:val="auto"/>
        </w:rPr>
      </w:pPr>
    </w:p>
    <w:p>
      <w:pPr>
        <w:ind w:left="600" w:hanging="333"/>
        <w:spacing w:after="0"/>
        <w:tabs>
          <w:tab w:leader="none" w:pos="600" w:val="left"/>
        </w:tabs>
        <w:numPr>
          <w:ilvl w:val="0"/>
          <w:numId w:val="21"/>
        </w:numPr>
        <w:rPr>
          <w:rFonts w:ascii="Arial" w:cs="Arial" w:eastAsia="Arial" w:hAnsi="Arial"/>
          <w:sz w:val="17"/>
          <w:szCs w:val="17"/>
          <w:color w:val="307CC0"/>
        </w:rPr>
      </w:pPr>
      <w:r>
        <w:rPr>
          <w:rFonts w:ascii="Arial" w:cs="Arial" w:eastAsia="Arial" w:hAnsi="Arial"/>
          <w:sz w:val="17"/>
          <w:szCs w:val="17"/>
          <w:color w:val="auto"/>
        </w:rPr>
        <w:t>Terry Bassham, President and Chief Executive Officer;</w:t>
      </w:r>
    </w:p>
    <w:p>
      <w:pPr>
        <w:spacing w:after="0" w:line="101" w:lineRule="exact"/>
        <w:rPr>
          <w:rFonts w:ascii="Arial" w:cs="Arial" w:eastAsia="Arial" w:hAnsi="Arial"/>
          <w:sz w:val="17"/>
          <w:szCs w:val="17"/>
          <w:color w:val="307CC0"/>
        </w:rPr>
      </w:pPr>
    </w:p>
    <w:p>
      <w:pPr>
        <w:ind w:left="600" w:hanging="333"/>
        <w:spacing w:after="0"/>
        <w:tabs>
          <w:tab w:leader="none" w:pos="600" w:val="left"/>
        </w:tabs>
        <w:numPr>
          <w:ilvl w:val="0"/>
          <w:numId w:val="21"/>
        </w:numPr>
        <w:rPr>
          <w:rFonts w:ascii="Arial" w:cs="Arial" w:eastAsia="Arial" w:hAnsi="Arial"/>
          <w:sz w:val="17"/>
          <w:szCs w:val="17"/>
          <w:color w:val="307CC0"/>
        </w:rPr>
      </w:pPr>
      <w:r>
        <w:rPr>
          <w:rFonts w:ascii="Arial" w:cs="Arial" w:eastAsia="Arial" w:hAnsi="Arial"/>
          <w:sz w:val="17"/>
          <w:szCs w:val="17"/>
          <w:color w:val="auto"/>
        </w:rPr>
        <w:t>Kevin E. Bryant, Executive Vice President and Chief Operating Officer;</w:t>
      </w:r>
    </w:p>
    <w:p>
      <w:pPr>
        <w:spacing w:after="0" w:line="101" w:lineRule="exact"/>
        <w:rPr>
          <w:rFonts w:ascii="Arial" w:cs="Arial" w:eastAsia="Arial" w:hAnsi="Arial"/>
          <w:sz w:val="17"/>
          <w:szCs w:val="17"/>
          <w:color w:val="307CC0"/>
        </w:rPr>
      </w:pPr>
    </w:p>
    <w:p>
      <w:pPr>
        <w:ind w:left="600" w:hanging="333"/>
        <w:spacing w:after="0"/>
        <w:tabs>
          <w:tab w:leader="none" w:pos="600" w:val="left"/>
        </w:tabs>
        <w:numPr>
          <w:ilvl w:val="0"/>
          <w:numId w:val="21"/>
        </w:numPr>
        <w:rPr>
          <w:rFonts w:ascii="Arial" w:cs="Arial" w:eastAsia="Arial" w:hAnsi="Arial"/>
          <w:sz w:val="17"/>
          <w:szCs w:val="17"/>
          <w:color w:val="307CC0"/>
        </w:rPr>
      </w:pPr>
      <w:r>
        <w:rPr>
          <w:rFonts w:ascii="Arial" w:cs="Arial" w:eastAsia="Arial" w:hAnsi="Arial"/>
          <w:sz w:val="17"/>
          <w:szCs w:val="17"/>
          <w:color w:val="auto"/>
        </w:rPr>
        <w:t>Greg A. Greenwood, Executive Vice President, Strategy and Chief Administrative Officer;</w:t>
      </w:r>
    </w:p>
    <w:p>
      <w:pPr>
        <w:spacing w:after="0" w:line="101" w:lineRule="exact"/>
        <w:rPr>
          <w:rFonts w:ascii="Arial" w:cs="Arial" w:eastAsia="Arial" w:hAnsi="Arial"/>
          <w:sz w:val="17"/>
          <w:szCs w:val="17"/>
          <w:color w:val="307CC0"/>
        </w:rPr>
      </w:pPr>
    </w:p>
    <w:p>
      <w:pPr>
        <w:ind w:left="600" w:hanging="333"/>
        <w:spacing w:after="0"/>
        <w:tabs>
          <w:tab w:leader="none" w:pos="600" w:val="left"/>
        </w:tabs>
        <w:numPr>
          <w:ilvl w:val="0"/>
          <w:numId w:val="21"/>
        </w:numPr>
        <w:rPr>
          <w:rFonts w:ascii="Arial" w:cs="Arial" w:eastAsia="Arial" w:hAnsi="Arial"/>
          <w:sz w:val="17"/>
          <w:szCs w:val="17"/>
          <w:color w:val="307CC0"/>
        </w:rPr>
      </w:pPr>
      <w:r>
        <w:rPr>
          <w:rFonts w:ascii="Arial" w:cs="Arial" w:eastAsia="Arial" w:hAnsi="Arial"/>
          <w:sz w:val="17"/>
          <w:szCs w:val="17"/>
          <w:color w:val="auto"/>
        </w:rPr>
        <w:t>Anthony D. Somma, Executive Vice President and Chief Financial Officer; and</w:t>
      </w:r>
    </w:p>
    <w:p>
      <w:pPr>
        <w:spacing w:after="0" w:line="101" w:lineRule="exact"/>
        <w:rPr>
          <w:rFonts w:ascii="Arial" w:cs="Arial" w:eastAsia="Arial" w:hAnsi="Arial"/>
          <w:sz w:val="17"/>
          <w:szCs w:val="17"/>
          <w:color w:val="307CC0"/>
        </w:rPr>
      </w:pPr>
    </w:p>
    <w:p>
      <w:pPr>
        <w:ind w:left="600" w:hanging="333"/>
        <w:spacing w:after="0"/>
        <w:tabs>
          <w:tab w:leader="none" w:pos="600" w:val="left"/>
        </w:tabs>
        <w:numPr>
          <w:ilvl w:val="0"/>
          <w:numId w:val="21"/>
        </w:numPr>
        <w:rPr>
          <w:rFonts w:ascii="Arial" w:cs="Arial" w:eastAsia="Arial" w:hAnsi="Arial"/>
          <w:sz w:val="17"/>
          <w:szCs w:val="17"/>
          <w:color w:val="307CC0"/>
        </w:rPr>
      </w:pPr>
      <w:r>
        <w:rPr>
          <w:rFonts w:ascii="Arial" w:cs="Arial" w:eastAsia="Arial" w:hAnsi="Arial"/>
          <w:sz w:val="17"/>
          <w:szCs w:val="17"/>
          <w:color w:val="auto"/>
        </w:rPr>
        <w:t>Heather A. Humphrey, Senior Vice President, General Counsel and Corporate Secretary.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2019 Compensation Decisions</w:t>
      </w:r>
    </w:p>
    <w:p>
      <w:pPr>
        <w:spacing w:after="0" w:line="149" w:lineRule="exact"/>
        <w:rPr>
          <w:sz w:val="20"/>
          <w:szCs w:val="20"/>
          <w:color w:val="auto"/>
        </w:rPr>
      </w:pPr>
    </w:p>
    <w:p>
      <w:pPr>
        <w:jc w:val="both"/>
        <w:ind w:left="600" w:right="100" w:hanging="333"/>
        <w:spacing w:after="0" w:line="259" w:lineRule="auto"/>
        <w:tabs>
          <w:tab w:leader="none" w:pos="600" w:val="left"/>
        </w:tabs>
        <w:numPr>
          <w:ilvl w:val="0"/>
          <w:numId w:val="22"/>
        </w:numPr>
        <w:rPr>
          <w:rFonts w:ascii="Arial" w:cs="Arial" w:eastAsia="Arial" w:hAnsi="Arial"/>
          <w:sz w:val="17"/>
          <w:szCs w:val="17"/>
          <w:color w:val="307CC0"/>
        </w:rPr>
      </w:pPr>
      <w:r>
        <w:rPr>
          <w:rFonts w:ascii="Arial" w:cs="Arial" w:eastAsia="Arial" w:hAnsi="Arial"/>
          <w:sz w:val="17"/>
          <w:szCs w:val="17"/>
          <w:b w:val="1"/>
          <w:bCs w:val="1"/>
          <w:color w:val="auto"/>
        </w:rPr>
        <w:t xml:space="preserve">Balanced Mix of Compensation Weighted Toward Incentivizing Performance. </w:t>
      </w:r>
      <w:r>
        <w:rPr>
          <w:rFonts w:ascii="Arial" w:cs="Arial" w:eastAsia="Arial" w:hAnsi="Arial"/>
          <w:sz w:val="17"/>
          <w:szCs w:val="17"/>
          <w:color w:val="auto"/>
        </w:rPr>
        <w:t>For 2019, under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structure, a majority of each NEO’s target compensation was “at risk” and subject to performance to further align the interests of the NEOs with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0" w:right="100" w:hanging="333"/>
        <w:spacing w:after="0" w:line="280" w:lineRule="auto"/>
        <w:tabs>
          <w:tab w:leader="none" w:pos="600" w:val="left"/>
        </w:tabs>
        <w:numPr>
          <w:ilvl w:val="0"/>
          <w:numId w:val="23"/>
        </w:numPr>
        <w:rPr>
          <w:rFonts w:ascii="Arial" w:cs="Arial" w:eastAsia="Arial" w:hAnsi="Arial"/>
          <w:sz w:val="17"/>
          <w:szCs w:val="17"/>
          <w:color w:val="307CC0"/>
        </w:rPr>
      </w:pPr>
      <w:r>
        <w:rPr>
          <w:rFonts w:ascii="Arial" w:cs="Arial" w:eastAsia="Arial" w:hAnsi="Arial"/>
          <w:sz w:val="17"/>
          <w:szCs w:val="17"/>
          <w:b w:val="1"/>
          <w:bCs w:val="1"/>
          <w:color w:val="auto"/>
        </w:rPr>
        <w:t xml:space="preserve">Base Salaries Unchanged. </w:t>
      </w:r>
      <w:r>
        <w:rPr>
          <w:rFonts w:ascii="Arial" w:cs="Arial" w:eastAsia="Arial" w:hAnsi="Arial"/>
          <w:sz w:val="17"/>
          <w:szCs w:val="17"/>
          <w:color w:val="auto"/>
        </w:rPr>
        <w:t>Recognizing that 2019 represented the first full fiscal year following completion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merger, base salaries for our named executive officers remained unchanged.</w:t>
      </w:r>
    </w:p>
    <w:p>
      <w:pPr>
        <w:spacing w:after="0" w:line="34" w:lineRule="exact"/>
        <w:rPr>
          <w:rFonts w:ascii="Arial" w:cs="Arial" w:eastAsia="Arial" w:hAnsi="Arial"/>
          <w:sz w:val="17"/>
          <w:szCs w:val="17"/>
          <w:color w:val="307CC0"/>
        </w:rPr>
      </w:pPr>
    </w:p>
    <w:p>
      <w:pPr>
        <w:ind w:left="600" w:right="100" w:hanging="333"/>
        <w:spacing w:after="0" w:line="280" w:lineRule="auto"/>
        <w:tabs>
          <w:tab w:leader="none" w:pos="600" w:val="left"/>
        </w:tabs>
        <w:numPr>
          <w:ilvl w:val="0"/>
          <w:numId w:val="23"/>
        </w:numPr>
        <w:rPr>
          <w:rFonts w:ascii="Arial" w:cs="Arial" w:eastAsia="Arial" w:hAnsi="Arial"/>
          <w:sz w:val="17"/>
          <w:szCs w:val="17"/>
          <w:color w:val="307CC0"/>
        </w:rPr>
      </w:pPr>
      <w:r>
        <w:rPr>
          <w:rFonts w:ascii="Arial" w:cs="Arial" w:eastAsia="Arial" w:hAnsi="Arial"/>
          <w:sz w:val="17"/>
          <w:szCs w:val="17"/>
          <w:b w:val="1"/>
          <w:bCs w:val="1"/>
          <w:color w:val="auto"/>
        </w:rPr>
        <w:t xml:space="preserve">Annual Cash Incentives Tied to Critical Financial and Operational Objectives. </w:t>
      </w:r>
      <w:r>
        <w:rPr>
          <w:rFonts w:ascii="Arial" w:cs="Arial" w:eastAsia="Arial" w:hAnsi="Arial"/>
          <w:sz w:val="17"/>
          <w:szCs w:val="17"/>
          <w:color w:val="auto"/>
        </w:rPr>
        <w:t>Our 2019 annual cash</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objectives and achievements were as follows:</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51"/>
        </w:trPr>
        <w:tc>
          <w:tcPr>
            <w:tcW w:w="5220" w:type="dxa"/>
            <w:vAlign w:val="bottom"/>
            <w:shd w:val="clear" w:color="auto" w:fill="307CC0"/>
          </w:tcPr>
          <w:p>
            <w:pPr>
              <w:spacing w:after="0"/>
              <w:rPr>
                <w:sz w:val="13"/>
                <w:szCs w:val="13"/>
                <w:color w:val="auto"/>
              </w:rPr>
            </w:pPr>
          </w:p>
        </w:tc>
        <w:tc>
          <w:tcPr>
            <w:tcW w:w="1220" w:type="dxa"/>
            <w:vAlign w:val="bottom"/>
            <w:shd w:val="clear" w:color="auto" w:fill="307CC0"/>
          </w:tcPr>
          <w:p>
            <w:pPr>
              <w:jc w:val="right"/>
              <w:ind w:right="278"/>
              <w:spacing w:after="0"/>
              <w:rPr>
                <w:sz w:val="20"/>
                <w:szCs w:val="20"/>
                <w:color w:val="auto"/>
              </w:rPr>
            </w:pPr>
            <w:r>
              <w:rPr>
                <w:rFonts w:ascii="Arial" w:cs="Arial" w:eastAsia="Arial" w:hAnsi="Arial"/>
                <w:sz w:val="13"/>
                <w:szCs w:val="13"/>
                <w:b w:val="1"/>
                <w:bCs w:val="1"/>
                <w:color w:val="FFFFFF"/>
              </w:rPr>
              <w:t>Weighting</w:t>
            </w:r>
          </w:p>
        </w:tc>
        <w:tc>
          <w:tcPr>
            <w:tcW w:w="1440" w:type="dxa"/>
            <w:vAlign w:val="bottom"/>
            <w:shd w:val="clear" w:color="auto" w:fill="307CC0"/>
          </w:tcPr>
          <w:p>
            <w:pPr>
              <w:jc w:val="right"/>
              <w:ind w:right="258"/>
              <w:spacing w:after="0"/>
              <w:rPr>
                <w:sz w:val="20"/>
                <w:szCs w:val="20"/>
                <w:color w:val="auto"/>
              </w:rPr>
            </w:pPr>
            <w:r>
              <w:rPr>
                <w:rFonts w:ascii="Arial" w:cs="Arial" w:eastAsia="Arial" w:hAnsi="Arial"/>
                <w:sz w:val="13"/>
                <w:szCs w:val="13"/>
                <w:b w:val="1"/>
                <w:bCs w:val="1"/>
                <w:color w:val="FFFFFF"/>
              </w:rPr>
              <w:t>Achievement</w:t>
            </w:r>
          </w:p>
        </w:tc>
      </w:tr>
      <w:tr>
        <w:trPr>
          <w:trHeight w:val="185"/>
        </w:trPr>
        <w:tc>
          <w:tcPr>
            <w:tcW w:w="5220" w:type="dxa"/>
            <w:vAlign w:val="bottom"/>
            <w:shd w:val="clear" w:color="auto" w:fill="307CC0"/>
          </w:tcPr>
          <w:p>
            <w:pPr>
              <w:ind w:left="20"/>
              <w:spacing w:after="0"/>
              <w:rPr>
                <w:sz w:val="20"/>
                <w:szCs w:val="20"/>
                <w:color w:val="auto"/>
              </w:rPr>
            </w:pPr>
            <w:r>
              <w:rPr>
                <w:rFonts w:ascii="Arial" w:cs="Arial" w:eastAsia="Arial" w:hAnsi="Arial"/>
                <w:sz w:val="13"/>
                <w:szCs w:val="13"/>
                <w:b w:val="1"/>
                <w:bCs w:val="1"/>
                <w:color w:val="FFFFFF"/>
              </w:rPr>
              <w:t>2019 Annual Incentive Objectives</w:t>
            </w:r>
          </w:p>
        </w:tc>
        <w:tc>
          <w:tcPr>
            <w:tcW w:w="1220" w:type="dxa"/>
            <w:vAlign w:val="bottom"/>
            <w:shd w:val="clear" w:color="auto" w:fill="307CC0"/>
          </w:tcPr>
          <w:p>
            <w:pPr>
              <w:jc w:val="right"/>
              <w:ind w:right="318"/>
              <w:spacing w:after="0"/>
              <w:rPr>
                <w:sz w:val="20"/>
                <w:szCs w:val="20"/>
                <w:color w:val="auto"/>
              </w:rPr>
            </w:pPr>
            <w:r>
              <w:rPr>
                <w:rFonts w:ascii="Arial" w:cs="Arial" w:eastAsia="Arial" w:hAnsi="Arial"/>
                <w:sz w:val="13"/>
                <w:szCs w:val="13"/>
                <w:b w:val="1"/>
                <w:bCs w:val="1"/>
                <w:color w:val="FFFFFF"/>
              </w:rPr>
              <w:t>(Percent)</w:t>
            </w:r>
          </w:p>
        </w:tc>
        <w:tc>
          <w:tcPr>
            <w:tcW w:w="1440" w:type="dxa"/>
            <w:vAlign w:val="bottom"/>
            <w:shd w:val="clear" w:color="auto" w:fill="307CC0"/>
          </w:tcPr>
          <w:p>
            <w:pPr>
              <w:jc w:val="right"/>
              <w:ind w:right="98"/>
              <w:spacing w:after="0"/>
              <w:rPr>
                <w:sz w:val="20"/>
                <w:szCs w:val="20"/>
                <w:color w:val="auto"/>
              </w:rPr>
            </w:pPr>
            <w:r>
              <w:rPr>
                <w:rFonts w:ascii="Arial" w:cs="Arial" w:eastAsia="Arial" w:hAnsi="Arial"/>
                <w:sz w:val="13"/>
                <w:szCs w:val="13"/>
                <w:b w:val="1"/>
                <w:bCs w:val="1"/>
                <w:color w:val="FFFFFF"/>
              </w:rPr>
              <w:t>(Percent of Target)</w:t>
            </w:r>
          </w:p>
        </w:tc>
      </w:tr>
      <w:tr>
        <w:trPr>
          <w:trHeight w:val="220"/>
        </w:trPr>
        <w:tc>
          <w:tcPr>
            <w:tcW w:w="52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Safety Audits (per month)</w:t>
            </w:r>
          </w:p>
        </w:tc>
        <w:tc>
          <w:tcPr>
            <w:tcW w:w="1220" w:type="dxa"/>
            <w:vAlign w:val="bottom"/>
            <w:tcBorders>
              <w:bottom w:val="single" w:sz="8" w:color="307CC0"/>
            </w:tcBorders>
            <w:shd w:val="clear" w:color="auto" w:fill="CCEEFF"/>
          </w:tcPr>
          <w:p>
            <w:pPr>
              <w:jc w:val="right"/>
              <w:ind w:right="58"/>
              <w:spacing w:after="0"/>
              <w:rPr>
                <w:sz w:val="20"/>
                <w:szCs w:val="20"/>
                <w:color w:val="auto"/>
              </w:rPr>
            </w:pPr>
            <w:r>
              <w:rPr>
                <w:rFonts w:ascii="Arial" w:cs="Arial" w:eastAsia="Arial" w:hAnsi="Arial"/>
                <w:sz w:val="17"/>
                <w:szCs w:val="17"/>
                <w:color w:val="auto"/>
              </w:rPr>
              <w:t>10%</w:t>
            </w:r>
          </w:p>
        </w:tc>
        <w:tc>
          <w:tcPr>
            <w:tcW w:w="14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3"/>
        </w:trPr>
        <w:tc>
          <w:tcPr>
            <w:tcW w:w="522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7"/>
                <w:szCs w:val="17"/>
                <w:color w:val="auto"/>
              </w:rPr>
              <w:t>System Average Interruption Duration Index (SAIDI)</w:t>
            </w:r>
          </w:p>
        </w:tc>
        <w:tc>
          <w:tcPr>
            <w:tcW w:w="1220" w:type="dxa"/>
            <w:vAlign w:val="bottom"/>
            <w:tcBorders>
              <w:bottom w:val="single" w:sz="8" w:color="307CC0"/>
            </w:tcBorders>
            <w:shd w:val="clear" w:color="auto" w:fill="D6E7FF"/>
          </w:tcPr>
          <w:p>
            <w:pPr>
              <w:jc w:val="right"/>
              <w:ind w:right="58"/>
              <w:spacing w:after="0"/>
              <w:rPr>
                <w:sz w:val="20"/>
                <w:szCs w:val="20"/>
                <w:color w:val="auto"/>
              </w:rPr>
            </w:pPr>
            <w:r>
              <w:rPr>
                <w:rFonts w:ascii="Arial" w:cs="Arial" w:eastAsia="Arial" w:hAnsi="Arial"/>
                <w:sz w:val="17"/>
                <w:szCs w:val="17"/>
                <w:color w:val="auto"/>
              </w:rPr>
              <w:t>15%</w:t>
            </w:r>
          </w:p>
        </w:tc>
        <w:tc>
          <w:tcPr>
            <w:tcW w:w="14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110.4%</w:t>
            </w:r>
          </w:p>
        </w:tc>
      </w:tr>
      <w:tr>
        <w:trPr>
          <w:trHeight w:val="213"/>
        </w:trPr>
        <w:tc>
          <w:tcPr>
            <w:tcW w:w="52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Equivalent Availability – Coal</w:t>
            </w:r>
          </w:p>
        </w:tc>
        <w:tc>
          <w:tcPr>
            <w:tcW w:w="1220" w:type="dxa"/>
            <w:vAlign w:val="bottom"/>
            <w:tcBorders>
              <w:bottom w:val="single" w:sz="8" w:color="307CC0"/>
            </w:tcBorders>
            <w:shd w:val="clear" w:color="auto" w:fill="CCEEFF"/>
          </w:tcPr>
          <w:p>
            <w:pPr>
              <w:jc w:val="right"/>
              <w:ind w:right="58"/>
              <w:spacing w:after="0"/>
              <w:rPr>
                <w:sz w:val="20"/>
                <w:szCs w:val="20"/>
                <w:color w:val="auto"/>
              </w:rPr>
            </w:pPr>
            <w:r>
              <w:rPr>
                <w:rFonts w:ascii="Arial" w:cs="Arial" w:eastAsia="Arial" w:hAnsi="Arial"/>
                <w:sz w:val="17"/>
                <w:szCs w:val="17"/>
                <w:color w:val="auto"/>
              </w:rPr>
              <w:t>10%</w:t>
            </w:r>
          </w:p>
        </w:tc>
        <w:tc>
          <w:tcPr>
            <w:tcW w:w="14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140.8%</w:t>
            </w:r>
          </w:p>
        </w:tc>
      </w:tr>
      <w:tr>
        <w:trPr>
          <w:trHeight w:val="213"/>
        </w:trPr>
        <w:tc>
          <w:tcPr>
            <w:tcW w:w="522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7"/>
                <w:szCs w:val="17"/>
                <w:color w:val="auto"/>
              </w:rPr>
              <w:t>Equivalent Availability – Nuclear</w:t>
            </w:r>
          </w:p>
        </w:tc>
        <w:tc>
          <w:tcPr>
            <w:tcW w:w="1220" w:type="dxa"/>
            <w:vAlign w:val="bottom"/>
            <w:tcBorders>
              <w:bottom w:val="single" w:sz="8" w:color="307CC0"/>
            </w:tcBorders>
            <w:shd w:val="clear" w:color="auto" w:fill="D6E7FF"/>
          </w:tcPr>
          <w:p>
            <w:pPr>
              <w:jc w:val="right"/>
              <w:ind w:right="58"/>
              <w:spacing w:after="0"/>
              <w:rPr>
                <w:sz w:val="20"/>
                <w:szCs w:val="20"/>
                <w:color w:val="auto"/>
              </w:rPr>
            </w:pPr>
            <w:r>
              <w:rPr>
                <w:rFonts w:ascii="Arial" w:cs="Arial" w:eastAsia="Arial" w:hAnsi="Arial"/>
                <w:sz w:val="17"/>
                <w:szCs w:val="17"/>
                <w:color w:val="auto"/>
              </w:rPr>
              <w:t>2%</w:t>
            </w:r>
          </w:p>
        </w:tc>
        <w:tc>
          <w:tcPr>
            <w:tcW w:w="14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200.0%</w:t>
            </w:r>
          </w:p>
        </w:tc>
      </w:tr>
      <w:tr>
        <w:trPr>
          <w:trHeight w:val="213"/>
        </w:trPr>
        <w:tc>
          <w:tcPr>
            <w:tcW w:w="52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Start Reliability – Gas / Oil</w:t>
            </w:r>
          </w:p>
        </w:tc>
        <w:tc>
          <w:tcPr>
            <w:tcW w:w="1220" w:type="dxa"/>
            <w:vAlign w:val="bottom"/>
            <w:tcBorders>
              <w:bottom w:val="single" w:sz="8" w:color="307CC0"/>
            </w:tcBorders>
            <w:shd w:val="clear" w:color="auto" w:fill="CCEEFF"/>
          </w:tcPr>
          <w:p>
            <w:pPr>
              <w:jc w:val="right"/>
              <w:ind w:right="58"/>
              <w:spacing w:after="0"/>
              <w:rPr>
                <w:sz w:val="20"/>
                <w:szCs w:val="20"/>
                <w:color w:val="auto"/>
              </w:rPr>
            </w:pPr>
            <w:r>
              <w:rPr>
                <w:rFonts w:ascii="Arial" w:cs="Arial" w:eastAsia="Arial" w:hAnsi="Arial"/>
                <w:sz w:val="17"/>
                <w:szCs w:val="17"/>
                <w:color w:val="auto"/>
              </w:rPr>
              <w:t>3%</w:t>
            </w:r>
          </w:p>
        </w:tc>
        <w:tc>
          <w:tcPr>
            <w:tcW w:w="14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r>
      <w:tr>
        <w:trPr>
          <w:trHeight w:val="213"/>
        </w:trPr>
        <w:tc>
          <w:tcPr>
            <w:tcW w:w="522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7"/>
                <w:szCs w:val="17"/>
                <w:color w:val="auto"/>
              </w:rPr>
              <w:t>Customer Satisfaction (Evergy Kansas Central)</w:t>
            </w:r>
          </w:p>
        </w:tc>
        <w:tc>
          <w:tcPr>
            <w:tcW w:w="1220" w:type="dxa"/>
            <w:vAlign w:val="bottom"/>
            <w:tcBorders>
              <w:bottom w:val="single" w:sz="8" w:color="307CC0"/>
            </w:tcBorders>
            <w:shd w:val="clear" w:color="auto" w:fill="D6E7FF"/>
          </w:tcPr>
          <w:p>
            <w:pPr>
              <w:jc w:val="right"/>
              <w:ind w:right="58"/>
              <w:spacing w:after="0"/>
              <w:rPr>
                <w:sz w:val="20"/>
                <w:szCs w:val="20"/>
                <w:color w:val="auto"/>
              </w:rPr>
            </w:pPr>
            <w:r>
              <w:rPr>
                <w:rFonts w:ascii="Arial" w:cs="Arial" w:eastAsia="Arial" w:hAnsi="Arial"/>
                <w:sz w:val="17"/>
                <w:szCs w:val="17"/>
                <w:color w:val="auto"/>
              </w:rPr>
              <w:t>5%</w:t>
            </w:r>
          </w:p>
        </w:tc>
        <w:tc>
          <w:tcPr>
            <w:tcW w:w="14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125.0%</w:t>
            </w:r>
          </w:p>
        </w:tc>
      </w:tr>
      <w:tr>
        <w:trPr>
          <w:trHeight w:val="213"/>
        </w:trPr>
        <w:tc>
          <w:tcPr>
            <w:tcW w:w="52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Customer Satisfaction (Evergy Metro)</w:t>
            </w:r>
          </w:p>
        </w:tc>
        <w:tc>
          <w:tcPr>
            <w:tcW w:w="1220" w:type="dxa"/>
            <w:vAlign w:val="bottom"/>
            <w:tcBorders>
              <w:bottom w:val="single" w:sz="8" w:color="307CC0"/>
            </w:tcBorders>
            <w:shd w:val="clear" w:color="auto" w:fill="CCEEFF"/>
          </w:tcPr>
          <w:p>
            <w:pPr>
              <w:jc w:val="right"/>
              <w:ind w:right="58"/>
              <w:spacing w:after="0"/>
              <w:rPr>
                <w:sz w:val="20"/>
                <w:szCs w:val="20"/>
                <w:color w:val="auto"/>
              </w:rPr>
            </w:pPr>
            <w:r>
              <w:rPr>
                <w:rFonts w:ascii="Arial" w:cs="Arial" w:eastAsia="Arial" w:hAnsi="Arial"/>
                <w:sz w:val="17"/>
                <w:szCs w:val="17"/>
                <w:color w:val="auto"/>
              </w:rPr>
              <w:t>5%</w:t>
            </w:r>
          </w:p>
        </w:tc>
        <w:tc>
          <w:tcPr>
            <w:tcW w:w="14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13"/>
        </w:trPr>
        <w:tc>
          <w:tcPr>
            <w:tcW w:w="5220" w:type="dxa"/>
            <w:vAlign w:val="bottom"/>
            <w:tcBorders>
              <w:bottom w:val="single" w:sz="8" w:color="307CC0"/>
            </w:tcBorders>
            <w:shd w:val="clear" w:color="auto" w:fill="D6E7FF"/>
          </w:tcPr>
          <w:p>
            <w:pPr>
              <w:ind w:left="20"/>
              <w:spacing w:after="0" w:line="212" w:lineRule="exact"/>
              <w:rPr>
                <w:sz w:val="20"/>
                <w:szCs w:val="20"/>
                <w:color w:val="auto"/>
              </w:rPr>
            </w:pPr>
            <w:r>
              <w:rPr>
                <w:rFonts w:ascii="Arial" w:cs="Arial" w:eastAsia="Arial" w:hAnsi="Arial"/>
                <w:sz w:val="15"/>
                <w:szCs w:val="15"/>
                <w:color w:val="auto"/>
              </w:rPr>
              <w:t>Adjusted Earnings Per Share</w:t>
            </w:r>
            <w:r>
              <w:rPr>
                <w:rFonts w:ascii="Arial" w:cs="Arial" w:eastAsia="Arial" w:hAnsi="Arial"/>
                <w:sz w:val="24"/>
                <w:szCs w:val="24"/>
                <w:color w:val="auto"/>
                <w:vertAlign w:val="superscript"/>
              </w:rPr>
              <w:t>(1)</w:t>
            </w:r>
          </w:p>
        </w:tc>
        <w:tc>
          <w:tcPr>
            <w:tcW w:w="1220" w:type="dxa"/>
            <w:vAlign w:val="bottom"/>
            <w:tcBorders>
              <w:bottom w:val="single" w:sz="8" w:color="307CC0"/>
            </w:tcBorders>
            <w:shd w:val="clear" w:color="auto" w:fill="D6E7FF"/>
          </w:tcPr>
          <w:p>
            <w:pPr>
              <w:jc w:val="right"/>
              <w:ind w:right="58"/>
              <w:spacing w:after="0"/>
              <w:rPr>
                <w:sz w:val="20"/>
                <w:szCs w:val="20"/>
                <w:color w:val="auto"/>
              </w:rPr>
            </w:pPr>
            <w:r>
              <w:rPr>
                <w:rFonts w:ascii="Arial" w:cs="Arial" w:eastAsia="Arial" w:hAnsi="Arial"/>
                <w:sz w:val="17"/>
                <w:szCs w:val="17"/>
                <w:color w:val="auto"/>
              </w:rPr>
              <w:t>25%</w:t>
            </w:r>
          </w:p>
        </w:tc>
        <w:tc>
          <w:tcPr>
            <w:tcW w:w="14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110.0%</w:t>
            </w:r>
          </w:p>
        </w:tc>
      </w:tr>
      <w:tr>
        <w:trPr>
          <w:trHeight w:val="213"/>
        </w:trPr>
        <w:tc>
          <w:tcPr>
            <w:tcW w:w="5220" w:type="dxa"/>
            <w:vAlign w:val="bottom"/>
            <w:tcBorders>
              <w:bottom w:val="single" w:sz="8" w:color="307CC0"/>
            </w:tcBorders>
            <w:shd w:val="clear" w:color="auto" w:fill="CCEEFF"/>
          </w:tcPr>
          <w:p>
            <w:pPr>
              <w:ind w:left="20"/>
              <w:spacing w:after="0" w:line="212" w:lineRule="exact"/>
              <w:rPr>
                <w:sz w:val="20"/>
                <w:szCs w:val="20"/>
                <w:color w:val="auto"/>
              </w:rPr>
            </w:pPr>
            <w:r>
              <w:rPr>
                <w:rFonts w:ascii="Arial" w:cs="Arial" w:eastAsia="Arial" w:hAnsi="Arial"/>
                <w:sz w:val="15"/>
                <w:szCs w:val="15"/>
                <w:color w:val="auto"/>
              </w:rPr>
              <w:t>Total Adjusted Non-Fuel Operations and Maintenance Expense</w:t>
            </w:r>
            <w:r>
              <w:rPr>
                <w:rFonts w:ascii="Arial" w:cs="Arial" w:eastAsia="Arial" w:hAnsi="Arial"/>
                <w:sz w:val="24"/>
                <w:szCs w:val="24"/>
                <w:color w:val="auto"/>
                <w:vertAlign w:val="superscript"/>
              </w:rPr>
              <w:t>(1)</w:t>
            </w:r>
          </w:p>
        </w:tc>
        <w:tc>
          <w:tcPr>
            <w:tcW w:w="1220" w:type="dxa"/>
            <w:vAlign w:val="bottom"/>
            <w:tcBorders>
              <w:bottom w:val="single" w:sz="8" w:color="307CC0"/>
            </w:tcBorders>
            <w:shd w:val="clear" w:color="auto" w:fill="CCEEFF"/>
          </w:tcPr>
          <w:p>
            <w:pPr>
              <w:jc w:val="right"/>
              <w:ind w:right="58"/>
              <w:spacing w:after="0"/>
              <w:rPr>
                <w:sz w:val="20"/>
                <w:szCs w:val="20"/>
                <w:color w:val="auto"/>
              </w:rPr>
            </w:pPr>
            <w:r>
              <w:rPr>
                <w:rFonts w:ascii="Arial" w:cs="Arial" w:eastAsia="Arial" w:hAnsi="Arial"/>
                <w:sz w:val="17"/>
                <w:szCs w:val="17"/>
                <w:color w:val="auto"/>
              </w:rPr>
              <w:t>25%</w:t>
            </w:r>
          </w:p>
        </w:tc>
        <w:tc>
          <w:tcPr>
            <w:tcW w:w="14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148.0%</w:t>
            </w:r>
          </w:p>
        </w:tc>
      </w:tr>
    </w:tbl>
    <w:p>
      <w:pPr>
        <w:spacing w:after="0" w:line="108" w:lineRule="exact"/>
        <w:rPr>
          <w:sz w:val="20"/>
          <w:szCs w:val="20"/>
          <w:color w:val="auto"/>
        </w:rPr>
      </w:pPr>
    </w:p>
    <w:p>
      <w:pPr>
        <w:ind w:left="960" w:right="80" w:hanging="345"/>
        <w:spacing w:after="0" w:line="215" w:lineRule="auto"/>
        <w:tabs>
          <w:tab w:leader="none" w:pos="960" w:val="left"/>
        </w:tabs>
        <w:numPr>
          <w:ilvl w:val="0"/>
          <w:numId w:val="24"/>
        </w:numPr>
        <w:rPr>
          <w:rFonts w:ascii="Arial" w:cs="Arial" w:eastAsia="Arial" w:hAnsi="Arial"/>
          <w:sz w:val="17"/>
          <w:szCs w:val="17"/>
          <w:color w:val="auto"/>
          <w:vertAlign w:val="superscript"/>
        </w:rPr>
      </w:pPr>
      <w:r>
        <w:rPr>
          <w:rFonts w:ascii="Arial" w:cs="Arial" w:eastAsia="Arial" w:hAnsi="Arial"/>
          <w:sz w:val="14"/>
          <w:szCs w:val="14"/>
          <w:color w:val="auto"/>
        </w:rPr>
        <w:t>These measures are not calculated in accordance with generally accepted accounting principles (GAAP). See Appendix A for a reconciliation to the most comparable measures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294640</wp:posOffset>
            </wp:positionV>
            <wp:extent cx="5808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Executive Summary of 2019 Compensation</w:t>
      </w:r>
      <w:r>
        <w:rPr>
          <w:rFonts w:ascii="Arial" w:cs="Arial" w:eastAsia="Arial" w:hAnsi="Arial"/>
          <w:sz w:val="14"/>
          <w:szCs w:val="14"/>
          <w:b w:val="1"/>
          <w:bCs w:val="1"/>
          <w:color w:val="auto"/>
        </w:rPr>
        <w:tab/>
        <w:t>Evergy 2020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81915</wp:posOffset>
            </wp:positionV>
            <wp:extent cx="5838190" cy="5977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38190" cy="5977890"/>
                    </a:xfrm>
                    <a:prstGeom prst="rect">
                      <a:avLst/>
                    </a:prstGeom>
                    <a:noFill/>
                  </pic:spPr>
                </pic:pic>
              </a:graphicData>
            </a:graphic>
          </wp:anchor>
        </w:drawing>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weighted achievement for 2019 was 121.5 percent of target. No adjustments were made to any NEO award.</w:t>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Based on this performance, the following performance cash awards were paid to our NEOs:</w:t>
      </w:r>
    </w:p>
    <w:p>
      <w:pPr>
        <w:spacing w:after="0" w:line="64" w:lineRule="exact"/>
        <w:rPr>
          <w:sz w:val="20"/>
          <w:szCs w:val="20"/>
          <w:color w:val="auto"/>
        </w:rPr>
      </w:pPr>
    </w:p>
    <w:tbl>
      <w:tblPr>
        <w:tblLayout w:type="fixed"/>
        <w:tblInd w:w="640" w:type="dxa"/>
        <w:tblCellMar>
          <w:top w:w="0" w:type="dxa"/>
          <w:left w:w="0" w:type="dxa"/>
          <w:bottom w:w="0" w:type="dxa"/>
          <w:right w:w="0" w:type="dxa"/>
        </w:tblCellMar>
      </w:tblPr>
      <w:tr>
        <w:trPr>
          <w:trHeight w:val="151"/>
        </w:trPr>
        <w:tc>
          <w:tcPr>
            <w:tcW w:w="2640" w:type="dxa"/>
            <w:vAlign w:val="bottom"/>
            <w:shd w:val="clear" w:color="auto" w:fill="307CC0"/>
          </w:tcPr>
          <w:p>
            <w:pPr>
              <w:spacing w:after="0"/>
              <w:rPr>
                <w:sz w:val="13"/>
                <w:szCs w:val="13"/>
                <w:color w:val="auto"/>
              </w:rPr>
            </w:pPr>
          </w:p>
        </w:tc>
        <w:tc>
          <w:tcPr>
            <w:tcW w:w="260" w:type="dxa"/>
            <w:vAlign w:val="bottom"/>
            <w:shd w:val="clear" w:color="auto" w:fill="307CC0"/>
          </w:tcPr>
          <w:p>
            <w:pPr>
              <w:spacing w:after="0"/>
              <w:rPr>
                <w:sz w:val="13"/>
                <w:szCs w:val="13"/>
                <w:color w:val="auto"/>
              </w:rPr>
            </w:pPr>
          </w:p>
        </w:tc>
        <w:tc>
          <w:tcPr>
            <w:tcW w:w="820" w:type="dxa"/>
            <w:vAlign w:val="bottom"/>
            <w:shd w:val="clear" w:color="auto" w:fill="307CC0"/>
          </w:tcPr>
          <w:p>
            <w:pPr>
              <w:spacing w:after="0"/>
              <w:rPr>
                <w:sz w:val="13"/>
                <w:szCs w:val="13"/>
                <w:color w:val="auto"/>
              </w:rPr>
            </w:pPr>
          </w:p>
        </w:tc>
        <w:tc>
          <w:tcPr>
            <w:tcW w:w="14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6"/>
              </w:rPr>
              <w:t>2019</w:t>
            </w:r>
          </w:p>
        </w:tc>
        <w:tc>
          <w:tcPr>
            <w:tcW w:w="1200" w:type="dxa"/>
            <w:vAlign w:val="bottom"/>
            <w:shd w:val="clear" w:color="auto" w:fill="307CC0"/>
          </w:tcPr>
          <w:p>
            <w:pPr>
              <w:jc w:val="right"/>
              <w:ind w:right="363"/>
              <w:spacing w:after="0"/>
              <w:rPr>
                <w:sz w:val="20"/>
                <w:szCs w:val="20"/>
                <w:color w:val="auto"/>
              </w:rPr>
            </w:pPr>
            <w:r>
              <w:rPr>
                <w:rFonts w:ascii="Arial" w:cs="Arial" w:eastAsia="Arial" w:hAnsi="Arial"/>
                <w:sz w:val="13"/>
                <w:szCs w:val="13"/>
                <w:b w:val="1"/>
                <w:bCs w:val="1"/>
                <w:color w:val="FFFFFF"/>
              </w:rPr>
              <w:t>2019</w:t>
            </w:r>
          </w:p>
        </w:tc>
        <w:tc>
          <w:tcPr>
            <w:tcW w:w="220" w:type="dxa"/>
            <w:vAlign w:val="bottom"/>
            <w:shd w:val="clear" w:color="auto" w:fill="307CC0"/>
          </w:tcPr>
          <w:p>
            <w:pPr>
              <w:spacing w:after="0"/>
              <w:rPr>
                <w:sz w:val="13"/>
                <w:szCs w:val="13"/>
                <w:color w:val="auto"/>
              </w:rPr>
            </w:pPr>
          </w:p>
        </w:tc>
        <w:tc>
          <w:tcPr>
            <w:tcW w:w="1260" w:type="dxa"/>
            <w:vAlign w:val="bottom"/>
            <w:shd w:val="clear" w:color="auto" w:fill="307CC0"/>
          </w:tcPr>
          <w:p>
            <w:pPr>
              <w:spacing w:after="0"/>
              <w:rPr>
                <w:sz w:val="13"/>
                <w:szCs w:val="13"/>
                <w:color w:val="auto"/>
              </w:rPr>
            </w:pPr>
          </w:p>
        </w:tc>
      </w:tr>
      <w:tr>
        <w:trPr>
          <w:trHeight w:val="142"/>
        </w:trPr>
        <w:tc>
          <w:tcPr>
            <w:tcW w:w="2640" w:type="dxa"/>
            <w:vAlign w:val="bottom"/>
            <w:shd w:val="clear" w:color="auto" w:fill="307CC0"/>
          </w:tcPr>
          <w:p>
            <w:pPr>
              <w:spacing w:after="0"/>
              <w:rPr>
                <w:sz w:val="12"/>
                <w:szCs w:val="12"/>
                <w:color w:val="auto"/>
              </w:rPr>
            </w:pPr>
          </w:p>
        </w:tc>
        <w:tc>
          <w:tcPr>
            <w:tcW w:w="260" w:type="dxa"/>
            <w:vAlign w:val="bottom"/>
            <w:shd w:val="clear" w:color="auto" w:fill="307CC0"/>
          </w:tcPr>
          <w:p>
            <w:pPr>
              <w:spacing w:after="0"/>
              <w:rPr>
                <w:sz w:val="12"/>
                <w:szCs w:val="12"/>
                <w:color w:val="auto"/>
              </w:rPr>
            </w:pPr>
          </w:p>
        </w:tc>
        <w:tc>
          <w:tcPr>
            <w:tcW w:w="820" w:type="dxa"/>
            <w:vAlign w:val="bottom"/>
            <w:shd w:val="clear" w:color="auto" w:fill="307CC0"/>
          </w:tcPr>
          <w:p>
            <w:pPr>
              <w:spacing w:after="0"/>
              <w:rPr>
                <w:sz w:val="12"/>
                <w:szCs w:val="12"/>
                <w:color w:val="auto"/>
              </w:rPr>
            </w:pPr>
          </w:p>
        </w:tc>
        <w:tc>
          <w:tcPr>
            <w:tcW w:w="14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Incentive Award</w:t>
            </w:r>
          </w:p>
        </w:tc>
        <w:tc>
          <w:tcPr>
            <w:tcW w:w="120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Actual Award</w:t>
            </w:r>
          </w:p>
        </w:tc>
        <w:tc>
          <w:tcPr>
            <w:tcW w:w="220" w:type="dxa"/>
            <w:vAlign w:val="bottom"/>
            <w:shd w:val="clear" w:color="auto" w:fill="307CC0"/>
          </w:tcPr>
          <w:p>
            <w:pPr>
              <w:spacing w:after="0"/>
              <w:rPr>
                <w:sz w:val="12"/>
                <w:szCs w:val="12"/>
                <w:color w:val="auto"/>
              </w:rPr>
            </w:pPr>
          </w:p>
        </w:tc>
        <w:tc>
          <w:tcPr>
            <w:tcW w:w="1260" w:type="dxa"/>
            <w:vAlign w:val="bottom"/>
            <w:shd w:val="clear" w:color="auto" w:fill="307CC0"/>
          </w:tcPr>
          <w:p>
            <w:pPr>
              <w:jc w:val="right"/>
              <w:ind w:right="462"/>
              <w:spacing w:after="0" w:line="143" w:lineRule="exact"/>
              <w:rPr>
                <w:sz w:val="20"/>
                <w:szCs w:val="20"/>
                <w:color w:val="auto"/>
              </w:rPr>
            </w:pPr>
            <w:r>
              <w:rPr>
                <w:rFonts w:ascii="Arial" w:cs="Arial" w:eastAsia="Arial" w:hAnsi="Arial"/>
                <w:sz w:val="13"/>
                <w:szCs w:val="13"/>
                <w:b w:val="1"/>
                <w:bCs w:val="1"/>
                <w:color w:val="FFFFFF"/>
              </w:rPr>
              <w:t>2019</w:t>
            </w:r>
          </w:p>
        </w:tc>
      </w:tr>
      <w:tr>
        <w:trPr>
          <w:trHeight w:val="142"/>
        </w:trPr>
        <w:tc>
          <w:tcPr>
            <w:tcW w:w="2640" w:type="dxa"/>
            <w:vAlign w:val="bottom"/>
            <w:shd w:val="clear" w:color="auto" w:fill="307CC0"/>
          </w:tcPr>
          <w:p>
            <w:pPr>
              <w:spacing w:after="0"/>
              <w:rPr>
                <w:sz w:val="12"/>
                <w:szCs w:val="12"/>
                <w:color w:val="auto"/>
              </w:rPr>
            </w:pPr>
          </w:p>
        </w:tc>
        <w:tc>
          <w:tcPr>
            <w:tcW w:w="260" w:type="dxa"/>
            <w:vAlign w:val="bottom"/>
            <w:shd w:val="clear" w:color="auto" w:fill="307CC0"/>
          </w:tcPr>
          <w:p>
            <w:pPr>
              <w:spacing w:after="0"/>
              <w:rPr>
                <w:sz w:val="12"/>
                <w:szCs w:val="12"/>
                <w:color w:val="auto"/>
              </w:rPr>
            </w:pPr>
          </w:p>
        </w:tc>
        <w:tc>
          <w:tcPr>
            <w:tcW w:w="820" w:type="dxa"/>
            <w:vAlign w:val="bottom"/>
            <w:shd w:val="clear" w:color="auto" w:fill="307CC0"/>
          </w:tcPr>
          <w:p>
            <w:pPr>
              <w:ind w:left="120"/>
              <w:spacing w:after="0" w:line="143" w:lineRule="exact"/>
              <w:rPr>
                <w:sz w:val="20"/>
                <w:szCs w:val="20"/>
                <w:color w:val="auto"/>
              </w:rPr>
            </w:pPr>
            <w:r>
              <w:rPr>
                <w:rFonts w:ascii="Arial" w:cs="Arial" w:eastAsia="Arial" w:hAnsi="Arial"/>
                <w:sz w:val="13"/>
                <w:szCs w:val="13"/>
                <w:b w:val="1"/>
                <w:bCs w:val="1"/>
                <w:color w:val="FFFFFF"/>
              </w:rPr>
              <w:t>Base</w:t>
            </w:r>
          </w:p>
        </w:tc>
        <w:tc>
          <w:tcPr>
            <w:tcW w:w="14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at Target (Percent of</w:t>
            </w:r>
          </w:p>
        </w:tc>
        <w:tc>
          <w:tcPr>
            <w:tcW w:w="120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As a percent of</w:t>
            </w:r>
          </w:p>
        </w:tc>
        <w:tc>
          <w:tcPr>
            <w:tcW w:w="220" w:type="dxa"/>
            <w:vAlign w:val="bottom"/>
            <w:shd w:val="clear" w:color="auto" w:fill="307CC0"/>
          </w:tcPr>
          <w:p>
            <w:pPr>
              <w:spacing w:after="0"/>
              <w:rPr>
                <w:sz w:val="12"/>
                <w:szCs w:val="12"/>
                <w:color w:val="auto"/>
              </w:rPr>
            </w:pPr>
          </w:p>
        </w:tc>
        <w:tc>
          <w:tcPr>
            <w:tcW w:w="1260" w:type="dxa"/>
            <w:vAlign w:val="bottom"/>
            <w:shd w:val="clear" w:color="auto" w:fill="307CC0"/>
          </w:tcPr>
          <w:p>
            <w:pPr>
              <w:jc w:val="right"/>
              <w:ind w:right="42"/>
              <w:spacing w:after="0" w:line="143" w:lineRule="exact"/>
              <w:rPr>
                <w:sz w:val="20"/>
                <w:szCs w:val="20"/>
                <w:color w:val="auto"/>
              </w:rPr>
            </w:pPr>
            <w:r>
              <w:rPr>
                <w:rFonts w:ascii="Arial" w:cs="Arial" w:eastAsia="Arial" w:hAnsi="Arial"/>
                <w:sz w:val="13"/>
                <w:szCs w:val="13"/>
                <w:b w:val="1"/>
                <w:bCs w:val="1"/>
                <w:color w:val="FFFFFF"/>
                <w:w w:val="98"/>
              </w:rPr>
              <w:t>Actual Award Paid</w:t>
            </w:r>
          </w:p>
        </w:tc>
      </w:tr>
      <w:tr>
        <w:trPr>
          <w:trHeight w:val="185"/>
        </w:trPr>
        <w:tc>
          <w:tcPr>
            <w:tcW w:w="2640" w:type="dxa"/>
            <w:vAlign w:val="bottom"/>
            <w:shd w:val="clear" w:color="auto" w:fill="307CC0"/>
          </w:tcPr>
          <w:p>
            <w:pPr>
              <w:ind w:left="20"/>
              <w:spacing w:after="0"/>
              <w:rPr>
                <w:sz w:val="20"/>
                <w:szCs w:val="20"/>
                <w:color w:val="auto"/>
              </w:rPr>
            </w:pPr>
            <w:r>
              <w:rPr>
                <w:rFonts w:ascii="Arial" w:cs="Arial" w:eastAsia="Arial" w:hAnsi="Arial"/>
                <w:sz w:val="13"/>
                <w:szCs w:val="13"/>
                <w:b w:val="1"/>
                <w:bCs w:val="1"/>
                <w:color w:val="FFFFFF"/>
              </w:rPr>
              <w:t>Name</w:t>
            </w:r>
          </w:p>
        </w:tc>
        <w:tc>
          <w:tcPr>
            <w:tcW w:w="260" w:type="dxa"/>
            <w:vAlign w:val="bottom"/>
            <w:shd w:val="clear" w:color="auto" w:fill="307CC0"/>
          </w:tcPr>
          <w:p>
            <w:pPr>
              <w:spacing w:after="0"/>
              <w:rPr>
                <w:sz w:val="16"/>
                <w:szCs w:val="16"/>
                <w:color w:val="auto"/>
              </w:rPr>
            </w:pPr>
          </w:p>
        </w:tc>
        <w:tc>
          <w:tcPr>
            <w:tcW w:w="820" w:type="dxa"/>
            <w:vAlign w:val="bottom"/>
            <w:shd w:val="clear" w:color="auto" w:fill="307CC0"/>
          </w:tcPr>
          <w:p>
            <w:pPr>
              <w:ind w:left="80"/>
              <w:spacing w:after="0"/>
              <w:rPr>
                <w:sz w:val="20"/>
                <w:szCs w:val="20"/>
                <w:color w:val="auto"/>
              </w:rPr>
            </w:pPr>
            <w:r>
              <w:rPr>
                <w:rFonts w:ascii="Arial" w:cs="Arial" w:eastAsia="Arial" w:hAnsi="Arial"/>
                <w:sz w:val="13"/>
                <w:szCs w:val="13"/>
                <w:b w:val="1"/>
                <w:bCs w:val="1"/>
                <w:color w:val="FFFFFF"/>
              </w:rPr>
              <w:t>Salary</w:t>
            </w:r>
          </w:p>
        </w:tc>
        <w:tc>
          <w:tcPr>
            <w:tcW w:w="14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Annual Base Salary)</w:t>
            </w:r>
          </w:p>
        </w:tc>
        <w:tc>
          <w:tcPr>
            <w:tcW w:w="12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Target bonus</w:t>
            </w:r>
          </w:p>
        </w:tc>
        <w:tc>
          <w:tcPr>
            <w:tcW w:w="220" w:type="dxa"/>
            <w:vAlign w:val="bottom"/>
            <w:shd w:val="clear" w:color="auto" w:fill="307CC0"/>
          </w:tcPr>
          <w:p>
            <w:pPr>
              <w:spacing w:after="0"/>
              <w:rPr>
                <w:sz w:val="16"/>
                <w:szCs w:val="16"/>
                <w:color w:val="auto"/>
              </w:rPr>
            </w:pPr>
          </w:p>
        </w:tc>
        <w:tc>
          <w:tcPr>
            <w:tcW w:w="1260" w:type="dxa"/>
            <w:vAlign w:val="bottom"/>
            <w:shd w:val="clear" w:color="auto" w:fill="307CC0"/>
          </w:tcPr>
          <w:p>
            <w:pPr>
              <w:jc w:val="right"/>
              <w:ind w:right="542"/>
              <w:spacing w:after="0"/>
              <w:rPr>
                <w:sz w:val="20"/>
                <w:szCs w:val="20"/>
                <w:color w:val="auto"/>
              </w:rPr>
            </w:pPr>
            <w:r>
              <w:rPr>
                <w:rFonts w:ascii="Arial" w:cs="Arial" w:eastAsia="Arial" w:hAnsi="Arial"/>
                <w:sz w:val="13"/>
                <w:szCs w:val="13"/>
                <w:b w:val="1"/>
                <w:bCs w:val="1"/>
                <w:color w:val="FFFFFF"/>
              </w:rPr>
              <w:t>($)</w:t>
            </w:r>
          </w:p>
        </w:tc>
      </w:tr>
      <w:tr>
        <w:trPr>
          <w:trHeight w:val="220"/>
        </w:trPr>
        <w:tc>
          <w:tcPr>
            <w:tcW w:w="264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Mr. Bassham</w:t>
            </w:r>
          </w:p>
        </w:tc>
        <w:tc>
          <w:tcPr>
            <w:tcW w:w="2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07CC0"/>
            </w:tcBorders>
            <w:shd w:val="clear" w:color="auto" w:fill="CCEEFF"/>
          </w:tcPr>
          <w:p>
            <w:pPr>
              <w:ind w:left="100"/>
              <w:spacing w:after="0"/>
              <w:rPr>
                <w:sz w:val="20"/>
                <w:szCs w:val="20"/>
                <w:color w:val="auto"/>
              </w:rPr>
            </w:pPr>
            <w:r>
              <w:rPr>
                <w:rFonts w:ascii="Arial" w:cs="Arial" w:eastAsia="Arial" w:hAnsi="Arial"/>
                <w:sz w:val="17"/>
                <w:szCs w:val="17"/>
                <w:color w:val="auto"/>
              </w:rPr>
              <w:t>950,000</w:t>
            </w:r>
          </w:p>
        </w:tc>
        <w:tc>
          <w:tcPr>
            <w:tcW w:w="14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100%</w:t>
            </w:r>
          </w:p>
        </w:tc>
        <w:tc>
          <w:tcPr>
            <w:tcW w:w="1200" w:type="dxa"/>
            <w:vAlign w:val="bottom"/>
            <w:tcBorders>
              <w:bottom w:val="single" w:sz="8" w:color="307CC0"/>
            </w:tcBorders>
            <w:shd w:val="clear" w:color="auto" w:fill="CCEEFF"/>
          </w:tcPr>
          <w:p>
            <w:pPr>
              <w:jc w:val="right"/>
              <w:ind w:right="223"/>
              <w:spacing w:after="0"/>
              <w:rPr>
                <w:sz w:val="20"/>
                <w:szCs w:val="20"/>
                <w:color w:val="auto"/>
              </w:rPr>
            </w:pPr>
            <w:r>
              <w:rPr>
                <w:rFonts w:ascii="Arial" w:cs="Arial" w:eastAsia="Arial" w:hAnsi="Arial"/>
                <w:sz w:val="17"/>
                <w:szCs w:val="17"/>
                <w:color w:val="auto"/>
              </w:rPr>
              <w:t>121.5%</w:t>
            </w:r>
          </w:p>
        </w:tc>
        <w:tc>
          <w:tcPr>
            <w:tcW w:w="2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22"/>
              <w:spacing w:after="0"/>
              <w:rPr>
                <w:sz w:val="20"/>
                <w:szCs w:val="20"/>
                <w:color w:val="auto"/>
              </w:rPr>
            </w:pPr>
            <w:r>
              <w:rPr>
                <w:rFonts w:ascii="Arial" w:cs="Arial" w:eastAsia="Arial" w:hAnsi="Arial"/>
                <w:sz w:val="17"/>
                <w:szCs w:val="17"/>
                <w:color w:val="auto"/>
              </w:rPr>
              <w:t>1,154,250</w:t>
            </w:r>
          </w:p>
        </w:tc>
      </w:tr>
      <w:tr>
        <w:trPr>
          <w:trHeight w:val="213"/>
        </w:trPr>
        <w:tc>
          <w:tcPr>
            <w:tcW w:w="264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7"/>
                <w:szCs w:val="17"/>
                <w:color w:val="auto"/>
              </w:rPr>
              <w:t>Mr. Bryant</w:t>
            </w:r>
          </w:p>
        </w:tc>
        <w:tc>
          <w:tcPr>
            <w:tcW w:w="2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07CC0"/>
            </w:tcBorders>
            <w:shd w:val="clear" w:color="auto" w:fill="D6E7FF"/>
          </w:tcPr>
          <w:p>
            <w:pPr>
              <w:ind w:left="100"/>
              <w:spacing w:after="0"/>
              <w:rPr>
                <w:sz w:val="20"/>
                <w:szCs w:val="20"/>
                <w:color w:val="auto"/>
              </w:rPr>
            </w:pPr>
            <w:r>
              <w:rPr>
                <w:rFonts w:ascii="Arial" w:cs="Arial" w:eastAsia="Arial" w:hAnsi="Arial"/>
                <w:sz w:val="17"/>
                <w:szCs w:val="17"/>
                <w:color w:val="auto"/>
              </w:rPr>
              <w:t>520,000</w:t>
            </w:r>
          </w:p>
        </w:tc>
        <w:tc>
          <w:tcPr>
            <w:tcW w:w="148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rPr>
              <w:t>80%</w:t>
            </w:r>
          </w:p>
        </w:tc>
        <w:tc>
          <w:tcPr>
            <w:tcW w:w="1200" w:type="dxa"/>
            <w:vAlign w:val="bottom"/>
            <w:tcBorders>
              <w:bottom w:val="single" w:sz="8" w:color="307CC0"/>
            </w:tcBorders>
            <w:shd w:val="clear" w:color="auto" w:fill="D6E7FF"/>
          </w:tcPr>
          <w:p>
            <w:pPr>
              <w:jc w:val="right"/>
              <w:ind w:right="223"/>
              <w:spacing w:after="0"/>
              <w:rPr>
                <w:sz w:val="20"/>
                <w:szCs w:val="20"/>
                <w:color w:val="auto"/>
              </w:rPr>
            </w:pPr>
            <w:r>
              <w:rPr>
                <w:rFonts w:ascii="Arial" w:cs="Arial" w:eastAsia="Arial" w:hAnsi="Arial"/>
                <w:sz w:val="17"/>
                <w:szCs w:val="17"/>
                <w:color w:val="auto"/>
              </w:rPr>
              <w:t>121.5%</w:t>
            </w:r>
          </w:p>
        </w:tc>
        <w:tc>
          <w:tcPr>
            <w:tcW w:w="2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D6E7FF"/>
          </w:tcPr>
          <w:p>
            <w:pPr>
              <w:jc w:val="right"/>
              <w:ind w:right="22"/>
              <w:spacing w:after="0"/>
              <w:rPr>
                <w:sz w:val="20"/>
                <w:szCs w:val="20"/>
                <w:color w:val="auto"/>
              </w:rPr>
            </w:pPr>
            <w:r>
              <w:rPr>
                <w:rFonts w:ascii="Arial" w:cs="Arial" w:eastAsia="Arial" w:hAnsi="Arial"/>
                <w:sz w:val="17"/>
                <w:szCs w:val="17"/>
                <w:color w:val="auto"/>
              </w:rPr>
              <w:t>505,440</w:t>
            </w:r>
          </w:p>
        </w:tc>
      </w:tr>
      <w:tr>
        <w:trPr>
          <w:trHeight w:val="213"/>
        </w:trPr>
        <w:tc>
          <w:tcPr>
            <w:tcW w:w="264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Mr. Greenwood</w:t>
            </w:r>
          </w:p>
        </w:tc>
        <w:tc>
          <w:tcPr>
            <w:tcW w:w="2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07CC0"/>
            </w:tcBorders>
            <w:shd w:val="clear" w:color="auto" w:fill="CCEEFF"/>
          </w:tcPr>
          <w:p>
            <w:pPr>
              <w:ind w:left="100"/>
              <w:spacing w:after="0"/>
              <w:rPr>
                <w:sz w:val="20"/>
                <w:szCs w:val="20"/>
                <w:color w:val="auto"/>
              </w:rPr>
            </w:pPr>
            <w:r>
              <w:rPr>
                <w:rFonts w:ascii="Arial" w:cs="Arial" w:eastAsia="Arial" w:hAnsi="Arial"/>
                <w:sz w:val="17"/>
                <w:szCs w:val="17"/>
                <w:color w:val="auto"/>
              </w:rPr>
              <w:t>520,000</w:t>
            </w:r>
          </w:p>
        </w:tc>
        <w:tc>
          <w:tcPr>
            <w:tcW w:w="14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80%</w:t>
            </w:r>
          </w:p>
        </w:tc>
        <w:tc>
          <w:tcPr>
            <w:tcW w:w="1200" w:type="dxa"/>
            <w:vAlign w:val="bottom"/>
            <w:tcBorders>
              <w:bottom w:val="single" w:sz="8" w:color="307CC0"/>
            </w:tcBorders>
            <w:shd w:val="clear" w:color="auto" w:fill="CCEEFF"/>
          </w:tcPr>
          <w:p>
            <w:pPr>
              <w:jc w:val="right"/>
              <w:ind w:right="223"/>
              <w:spacing w:after="0"/>
              <w:rPr>
                <w:sz w:val="20"/>
                <w:szCs w:val="20"/>
                <w:color w:val="auto"/>
              </w:rPr>
            </w:pPr>
            <w:r>
              <w:rPr>
                <w:rFonts w:ascii="Arial" w:cs="Arial" w:eastAsia="Arial" w:hAnsi="Arial"/>
                <w:sz w:val="17"/>
                <w:szCs w:val="17"/>
                <w:color w:val="auto"/>
              </w:rPr>
              <w:t>121.5%</w:t>
            </w:r>
          </w:p>
        </w:tc>
        <w:tc>
          <w:tcPr>
            <w:tcW w:w="2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22"/>
              <w:spacing w:after="0"/>
              <w:rPr>
                <w:sz w:val="20"/>
                <w:szCs w:val="20"/>
                <w:color w:val="auto"/>
              </w:rPr>
            </w:pPr>
            <w:r>
              <w:rPr>
                <w:rFonts w:ascii="Arial" w:cs="Arial" w:eastAsia="Arial" w:hAnsi="Arial"/>
                <w:sz w:val="17"/>
                <w:szCs w:val="17"/>
                <w:color w:val="auto"/>
              </w:rPr>
              <w:t>505,440</w:t>
            </w:r>
          </w:p>
        </w:tc>
      </w:tr>
      <w:tr>
        <w:trPr>
          <w:trHeight w:val="213"/>
        </w:trPr>
        <w:tc>
          <w:tcPr>
            <w:tcW w:w="264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7"/>
                <w:szCs w:val="17"/>
                <w:color w:val="auto"/>
              </w:rPr>
              <w:t>Mr. Somma</w:t>
            </w:r>
          </w:p>
        </w:tc>
        <w:tc>
          <w:tcPr>
            <w:tcW w:w="2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07CC0"/>
            </w:tcBorders>
            <w:shd w:val="clear" w:color="auto" w:fill="D6E7FF"/>
          </w:tcPr>
          <w:p>
            <w:pPr>
              <w:ind w:left="100"/>
              <w:spacing w:after="0"/>
              <w:rPr>
                <w:sz w:val="20"/>
                <w:szCs w:val="20"/>
                <w:color w:val="auto"/>
              </w:rPr>
            </w:pPr>
            <w:r>
              <w:rPr>
                <w:rFonts w:ascii="Arial" w:cs="Arial" w:eastAsia="Arial" w:hAnsi="Arial"/>
                <w:sz w:val="17"/>
                <w:szCs w:val="17"/>
                <w:color w:val="auto"/>
              </w:rPr>
              <w:t>495,000</w:t>
            </w:r>
          </w:p>
        </w:tc>
        <w:tc>
          <w:tcPr>
            <w:tcW w:w="148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rPr>
              <w:t>80%</w:t>
            </w:r>
          </w:p>
        </w:tc>
        <w:tc>
          <w:tcPr>
            <w:tcW w:w="1200" w:type="dxa"/>
            <w:vAlign w:val="bottom"/>
            <w:tcBorders>
              <w:bottom w:val="single" w:sz="8" w:color="307CC0"/>
            </w:tcBorders>
            <w:shd w:val="clear" w:color="auto" w:fill="D6E7FF"/>
          </w:tcPr>
          <w:p>
            <w:pPr>
              <w:jc w:val="right"/>
              <w:ind w:right="223"/>
              <w:spacing w:after="0"/>
              <w:rPr>
                <w:sz w:val="20"/>
                <w:szCs w:val="20"/>
                <w:color w:val="auto"/>
              </w:rPr>
            </w:pPr>
            <w:r>
              <w:rPr>
                <w:rFonts w:ascii="Arial" w:cs="Arial" w:eastAsia="Arial" w:hAnsi="Arial"/>
                <w:sz w:val="17"/>
                <w:szCs w:val="17"/>
                <w:color w:val="auto"/>
              </w:rPr>
              <w:t>121.5%</w:t>
            </w:r>
          </w:p>
        </w:tc>
        <w:tc>
          <w:tcPr>
            <w:tcW w:w="2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D6E7FF"/>
          </w:tcPr>
          <w:p>
            <w:pPr>
              <w:jc w:val="right"/>
              <w:ind w:right="22"/>
              <w:spacing w:after="0"/>
              <w:rPr>
                <w:sz w:val="20"/>
                <w:szCs w:val="20"/>
                <w:color w:val="auto"/>
              </w:rPr>
            </w:pPr>
            <w:r>
              <w:rPr>
                <w:rFonts w:ascii="Arial" w:cs="Arial" w:eastAsia="Arial" w:hAnsi="Arial"/>
                <w:sz w:val="17"/>
                <w:szCs w:val="17"/>
                <w:color w:val="auto"/>
              </w:rPr>
              <w:t>481,140</w:t>
            </w:r>
          </w:p>
        </w:tc>
      </w:tr>
      <w:tr>
        <w:trPr>
          <w:trHeight w:val="213"/>
        </w:trPr>
        <w:tc>
          <w:tcPr>
            <w:tcW w:w="264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Ms. Humphrey</w:t>
            </w:r>
          </w:p>
        </w:tc>
        <w:tc>
          <w:tcPr>
            <w:tcW w:w="2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307CC0"/>
            </w:tcBorders>
            <w:shd w:val="clear" w:color="auto" w:fill="CCEEFF"/>
          </w:tcPr>
          <w:p>
            <w:pPr>
              <w:ind w:left="100"/>
              <w:spacing w:after="0"/>
              <w:rPr>
                <w:sz w:val="20"/>
                <w:szCs w:val="20"/>
                <w:color w:val="auto"/>
              </w:rPr>
            </w:pPr>
            <w:r>
              <w:rPr>
                <w:rFonts w:ascii="Arial" w:cs="Arial" w:eastAsia="Arial" w:hAnsi="Arial"/>
                <w:sz w:val="17"/>
                <w:szCs w:val="17"/>
                <w:color w:val="auto"/>
              </w:rPr>
              <w:t>484,000</w:t>
            </w:r>
          </w:p>
        </w:tc>
        <w:tc>
          <w:tcPr>
            <w:tcW w:w="14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65%</w:t>
            </w:r>
          </w:p>
        </w:tc>
        <w:tc>
          <w:tcPr>
            <w:tcW w:w="1200" w:type="dxa"/>
            <w:vAlign w:val="bottom"/>
            <w:tcBorders>
              <w:bottom w:val="single" w:sz="8" w:color="307CC0"/>
            </w:tcBorders>
            <w:shd w:val="clear" w:color="auto" w:fill="CCEEFF"/>
          </w:tcPr>
          <w:p>
            <w:pPr>
              <w:jc w:val="right"/>
              <w:ind w:right="223"/>
              <w:spacing w:after="0"/>
              <w:rPr>
                <w:sz w:val="20"/>
                <w:szCs w:val="20"/>
                <w:color w:val="auto"/>
              </w:rPr>
            </w:pPr>
            <w:r>
              <w:rPr>
                <w:rFonts w:ascii="Arial" w:cs="Arial" w:eastAsia="Arial" w:hAnsi="Arial"/>
                <w:sz w:val="17"/>
                <w:szCs w:val="17"/>
                <w:color w:val="auto"/>
              </w:rPr>
              <w:t>121.5%</w:t>
            </w:r>
          </w:p>
        </w:tc>
        <w:tc>
          <w:tcPr>
            <w:tcW w:w="2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22"/>
              <w:spacing w:after="0"/>
              <w:rPr>
                <w:sz w:val="20"/>
                <w:szCs w:val="20"/>
                <w:color w:val="auto"/>
              </w:rPr>
            </w:pPr>
            <w:r>
              <w:rPr>
                <w:rFonts w:ascii="Arial" w:cs="Arial" w:eastAsia="Arial" w:hAnsi="Arial"/>
                <w:sz w:val="17"/>
                <w:szCs w:val="17"/>
                <w:color w:val="auto"/>
              </w:rPr>
              <w:t>382,239</w:t>
            </w:r>
          </w:p>
        </w:tc>
      </w:tr>
    </w:tbl>
    <w:p>
      <w:pPr>
        <w:spacing w:after="0" w:line="81" w:lineRule="exact"/>
        <w:rPr>
          <w:sz w:val="20"/>
          <w:szCs w:val="20"/>
          <w:color w:val="auto"/>
        </w:rPr>
      </w:pPr>
    </w:p>
    <w:p>
      <w:pPr>
        <w:jc w:val="both"/>
        <w:ind w:left="600" w:right="100" w:hanging="333"/>
        <w:spacing w:after="0" w:line="252" w:lineRule="auto"/>
        <w:tabs>
          <w:tab w:leader="none" w:pos="600" w:val="left"/>
        </w:tabs>
        <w:numPr>
          <w:ilvl w:val="0"/>
          <w:numId w:val="25"/>
        </w:numPr>
        <w:rPr>
          <w:rFonts w:ascii="Arial" w:cs="Arial" w:eastAsia="Arial" w:hAnsi="Arial"/>
          <w:sz w:val="17"/>
          <w:szCs w:val="17"/>
          <w:color w:val="307CC0"/>
        </w:rPr>
      </w:pPr>
      <w:r>
        <w:rPr>
          <w:rFonts w:ascii="Arial" w:cs="Arial" w:eastAsia="Arial" w:hAnsi="Arial"/>
          <w:sz w:val="17"/>
          <w:szCs w:val="17"/>
          <w:b w:val="1"/>
          <w:bCs w:val="1"/>
          <w:color w:val="auto"/>
        </w:rPr>
        <w:t xml:space="preserve">Long-Term Incentive Awards Weighted to Performance-Based Vehicles. </w:t>
      </w:r>
      <w:r>
        <w:rPr>
          <w:rFonts w:ascii="Arial" w:cs="Arial" w:eastAsia="Arial" w:hAnsi="Arial"/>
          <w:sz w:val="17"/>
          <w:szCs w:val="17"/>
          <w:color w:val="auto"/>
        </w:rPr>
        <w:t>We granted long-term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awards in 2019 that will, subject to continued employment, “cliff” vest in three years. A significant portion of the awards – 75% – is allocated to awards that vest, if at all, based on Evergy’s total shareholder return relative to companies in the Edison Electric Institute (“EEI”) index. A summary of these grants is as follows:</w:t>
      </w:r>
    </w:p>
    <w:p>
      <w:pPr>
        <w:spacing w:after="0" w:line="29"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2620" w:type="dxa"/>
            <w:vAlign w:val="bottom"/>
            <w:shd w:val="clear" w:color="auto" w:fill="307CC0"/>
          </w:tcPr>
          <w:p>
            <w:pPr>
              <w:spacing w:after="0"/>
              <w:rPr>
                <w:sz w:val="20"/>
                <w:szCs w:val="20"/>
                <w:color w:val="auto"/>
              </w:rPr>
            </w:pPr>
          </w:p>
        </w:tc>
        <w:tc>
          <w:tcPr>
            <w:tcW w:w="2680" w:type="dxa"/>
            <w:vAlign w:val="bottom"/>
            <w:gridSpan w:val="3"/>
            <w:shd w:val="clear" w:color="auto" w:fill="307CC0"/>
          </w:tcPr>
          <w:p>
            <w:pPr>
              <w:jc w:val="right"/>
              <w:ind w:right="417"/>
              <w:spacing w:after="0"/>
              <w:rPr>
                <w:sz w:val="20"/>
                <w:szCs w:val="20"/>
                <w:color w:val="auto"/>
              </w:rPr>
            </w:pPr>
            <w:r>
              <w:rPr>
                <w:rFonts w:ascii="Arial" w:cs="Arial" w:eastAsia="Arial" w:hAnsi="Arial"/>
                <w:sz w:val="16"/>
                <w:szCs w:val="16"/>
                <w:b w:val="1"/>
                <w:bCs w:val="1"/>
                <w:color w:val="FFFFFF"/>
              </w:rPr>
              <w:t>2019 Equity Incentives</w:t>
            </w:r>
          </w:p>
        </w:tc>
        <w:tc>
          <w:tcPr>
            <w:tcW w:w="280" w:type="dxa"/>
            <w:vAlign w:val="bottom"/>
            <w:shd w:val="clear" w:color="auto" w:fill="307CC0"/>
          </w:tcPr>
          <w:p>
            <w:pPr>
              <w:spacing w:after="0"/>
              <w:rPr>
                <w:sz w:val="20"/>
                <w:szCs w:val="20"/>
                <w:color w:val="auto"/>
              </w:rPr>
            </w:pPr>
          </w:p>
        </w:tc>
        <w:tc>
          <w:tcPr>
            <w:tcW w:w="780" w:type="dxa"/>
            <w:vAlign w:val="bottom"/>
            <w:shd w:val="clear" w:color="auto" w:fill="307CC0"/>
          </w:tcPr>
          <w:p>
            <w:pPr>
              <w:spacing w:after="0"/>
              <w:rPr>
                <w:sz w:val="20"/>
                <w:szCs w:val="20"/>
                <w:color w:val="auto"/>
              </w:rPr>
            </w:pPr>
          </w:p>
        </w:tc>
        <w:tc>
          <w:tcPr>
            <w:tcW w:w="180" w:type="dxa"/>
            <w:vAlign w:val="bottom"/>
            <w:shd w:val="clear" w:color="auto" w:fill="307CC0"/>
          </w:tcPr>
          <w:p>
            <w:pPr>
              <w:spacing w:after="0"/>
              <w:rPr>
                <w:sz w:val="20"/>
                <w:szCs w:val="20"/>
                <w:color w:val="auto"/>
              </w:rPr>
            </w:pPr>
          </w:p>
        </w:tc>
        <w:tc>
          <w:tcPr>
            <w:tcW w:w="1340" w:type="dxa"/>
            <w:vAlign w:val="bottom"/>
            <w:shd w:val="clear" w:color="auto" w:fill="307CC0"/>
          </w:tcPr>
          <w:p>
            <w:pPr>
              <w:jc w:val="center"/>
              <w:ind w:right="63"/>
              <w:spacing w:after="0"/>
              <w:rPr>
                <w:sz w:val="20"/>
                <w:szCs w:val="20"/>
                <w:color w:val="auto"/>
              </w:rPr>
            </w:pPr>
            <w:r>
              <w:rPr>
                <w:rFonts w:ascii="Arial" w:cs="Arial" w:eastAsia="Arial" w:hAnsi="Arial"/>
                <w:sz w:val="13"/>
                <w:szCs w:val="13"/>
                <w:b w:val="1"/>
                <w:bCs w:val="1"/>
                <w:color w:val="FFFFFF"/>
                <w:w w:val="96"/>
              </w:rPr>
              <w:t>2019</w:t>
            </w:r>
          </w:p>
        </w:tc>
      </w:tr>
      <w:tr>
        <w:trPr>
          <w:trHeight w:val="138"/>
        </w:trPr>
        <w:tc>
          <w:tcPr>
            <w:tcW w:w="2620" w:type="dxa"/>
            <w:vAlign w:val="bottom"/>
            <w:shd w:val="clear" w:color="auto" w:fill="307CC0"/>
          </w:tcPr>
          <w:p>
            <w:pPr>
              <w:spacing w:after="0"/>
              <w:rPr>
                <w:sz w:val="12"/>
                <w:szCs w:val="12"/>
                <w:color w:val="auto"/>
              </w:rPr>
            </w:pPr>
          </w:p>
        </w:tc>
        <w:tc>
          <w:tcPr>
            <w:tcW w:w="1480" w:type="dxa"/>
            <w:vAlign w:val="bottom"/>
            <w:shd w:val="clear" w:color="auto" w:fill="307CC0"/>
          </w:tcPr>
          <w:p>
            <w:pPr>
              <w:jc w:val="center"/>
              <w:spacing w:after="0" w:line="139" w:lineRule="exact"/>
              <w:rPr>
                <w:sz w:val="20"/>
                <w:szCs w:val="20"/>
                <w:color w:val="auto"/>
              </w:rPr>
            </w:pPr>
            <w:r>
              <w:rPr>
                <w:rFonts w:ascii="Arial" w:cs="Arial" w:eastAsia="Arial" w:hAnsi="Arial"/>
                <w:sz w:val="13"/>
                <w:szCs w:val="13"/>
                <w:b w:val="1"/>
                <w:bCs w:val="1"/>
                <w:color w:val="FFFFFF"/>
                <w:w w:val="99"/>
              </w:rPr>
              <w:t>Percentage of</w:t>
            </w:r>
          </w:p>
        </w:tc>
        <w:tc>
          <w:tcPr>
            <w:tcW w:w="260" w:type="dxa"/>
            <w:vAlign w:val="bottom"/>
            <w:shd w:val="clear" w:color="auto" w:fill="307CC0"/>
          </w:tcPr>
          <w:p>
            <w:pPr>
              <w:spacing w:after="0"/>
              <w:rPr>
                <w:sz w:val="12"/>
                <w:szCs w:val="12"/>
                <w:color w:val="auto"/>
              </w:rPr>
            </w:pPr>
          </w:p>
        </w:tc>
        <w:tc>
          <w:tcPr>
            <w:tcW w:w="940" w:type="dxa"/>
            <w:vAlign w:val="bottom"/>
            <w:shd w:val="clear" w:color="auto" w:fill="307CC0"/>
          </w:tcPr>
          <w:p>
            <w:pPr>
              <w:spacing w:after="0"/>
              <w:rPr>
                <w:sz w:val="12"/>
                <w:szCs w:val="12"/>
                <w:color w:val="auto"/>
              </w:rPr>
            </w:pPr>
          </w:p>
        </w:tc>
        <w:tc>
          <w:tcPr>
            <w:tcW w:w="280" w:type="dxa"/>
            <w:vAlign w:val="bottom"/>
            <w:shd w:val="clear" w:color="auto" w:fill="307CC0"/>
          </w:tcPr>
          <w:p>
            <w:pPr>
              <w:spacing w:after="0"/>
              <w:rPr>
                <w:sz w:val="12"/>
                <w:szCs w:val="12"/>
                <w:color w:val="auto"/>
              </w:rPr>
            </w:pPr>
          </w:p>
        </w:tc>
        <w:tc>
          <w:tcPr>
            <w:tcW w:w="780" w:type="dxa"/>
            <w:vAlign w:val="bottom"/>
            <w:shd w:val="clear" w:color="auto" w:fill="307CC0"/>
          </w:tcPr>
          <w:p>
            <w:pPr>
              <w:ind w:left="100"/>
              <w:spacing w:after="0" w:line="139" w:lineRule="exact"/>
              <w:rPr>
                <w:sz w:val="20"/>
                <w:szCs w:val="20"/>
                <w:color w:val="auto"/>
              </w:rPr>
            </w:pPr>
            <w:r>
              <w:rPr>
                <w:rFonts w:ascii="Arial" w:cs="Arial" w:eastAsia="Arial" w:hAnsi="Arial"/>
                <w:sz w:val="13"/>
                <w:szCs w:val="13"/>
                <w:b w:val="1"/>
                <w:bCs w:val="1"/>
                <w:color w:val="FFFFFF"/>
              </w:rPr>
              <w:t>2019</w:t>
            </w:r>
          </w:p>
        </w:tc>
        <w:tc>
          <w:tcPr>
            <w:tcW w:w="180" w:type="dxa"/>
            <w:vAlign w:val="bottom"/>
            <w:shd w:val="clear" w:color="auto" w:fill="307CC0"/>
          </w:tcPr>
          <w:p>
            <w:pPr>
              <w:spacing w:after="0"/>
              <w:rPr>
                <w:sz w:val="12"/>
                <w:szCs w:val="12"/>
                <w:color w:val="auto"/>
              </w:rPr>
            </w:pPr>
          </w:p>
        </w:tc>
        <w:tc>
          <w:tcPr>
            <w:tcW w:w="1340" w:type="dxa"/>
            <w:vAlign w:val="bottom"/>
            <w:shd w:val="clear" w:color="auto" w:fill="307CC0"/>
          </w:tcPr>
          <w:p>
            <w:pPr>
              <w:jc w:val="center"/>
              <w:ind w:right="43"/>
              <w:spacing w:after="0" w:line="139" w:lineRule="exact"/>
              <w:rPr>
                <w:sz w:val="20"/>
                <w:szCs w:val="20"/>
                <w:color w:val="auto"/>
              </w:rPr>
            </w:pPr>
            <w:r>
              <w:rPr>
                <w:rFonts w:ascii="Arial" w:cs="Arial" w:eastAsia="Arial" w:hAnsi="Arial"/>
                <w:sz w:val="13"/>
                <w:szCs w:val="13"/>
                <w:b w:val="1"/>
                <w:bCs w:val="1"/>
                <w:color w:val="FFFFFF"/>
                <w:w w:val="99"/>
              </w:rPr>
              <w:t>Performance-Based</w:t>
            </w:r>
          </w:p>
        </w:tc>
      </w:tr>
      <w:tr>
        <w:trPr>
          <w:trHeight w:val="142"/>
        </w:trPr>
        <w:tc>
          <w:tcPr>
            <w:tcW w:w="2620" w:type="dxa"/>
            <w:vAlign w:val="bottom"/>
            <w:shd w:val="clear" w:color="auto" w:fill="307CC0"/>
          </w:tcPr>
          <w:p>
            <w:pPr>
              <w:spacing w:after="0"/>
              <w:rPr>
                <w:sz w:val="12"/>
                <w:szCs w:val="12"/>
                <w:color w:val="auto"/>
              </w:rPr>
            </w:pPr>
          </w:p>
        </w:tc>
        <w:tc>
          <w:tcPr>
            <w:tcW w:w="14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Annual</w:t>
            </w:r>
          </w:p>
        </w:tc>
        <w:tc>
          <w:tcPr>
            <w:tcW w:w="260" w:type="dxa"/>
            <w:vAlign w:val="bottom"/>
            <w:shd w:val="clear" w:color="auto" w:fill="307CC0"/>
          </w:tcPr>
          <w:p>
            <w:pPr>
              <w:spacing w:after="0"/>
              <w:rPr>
                <w:sz w:val="12"/>
                <w:szCs w:val="12"/>
                <w:color w:val="auto"/>
              </w:rPr>
            </w:pPr>
          </w:p>
        </w:tc>
        <w:tc>
          <w:tcPr>
            <w:tcW w:w="940" w:type="dxa"/>
            <w:vAlign w:val="bottom"/>
            <w:shd w:val="clear" w:color="auto" w:fill="307CC0"/>
          </w:tcPr>
          <w:p>
            <w:pPr>
              <w:spacing w:after="0"/>
              <w:rPr>
                <w:sz w:val="12"/>
                <w:szCs w:val="12"/>
                <w:color w:val="auto"/>
              </w:rPr>
            </w:pPr>
          </w:p>
        </w:tc>
        <w:tc>
          <w:tcPr>
            <w:tcW w:w="1060" w:type="dxa"/>
            <w:vAlign w:val="bottom"/>
            <w:gridSpan w:val="2"/>
            <w:shd w:val="clear" w:color="auto" w:fill="307CC0"/>
          </w:tcPr>
          <w:p>
            <w:pPr>
              <w:ind w:left="160"/>
              <w:spacing w:after="0" w:line="143" w:lineRule="exact"/>
              <w:rPr>
                <w:sz w:val="20"/>
                <w:szCs w:val="20"/>
                <w:color w:val="auto"/>
              </w:rPr>
            </w:pPr>
            <w:r>
              <w:rPr>
                <w:rFonts w:ascii="Arial" w:cs="Arial" w:eastAsia="Arial" w:hAnsi="Arial"/>
                <w:sz w:val="13"/>
                <w:szCs w:val="13"/>
                <w:b w:val="1"/>
                <w:bCs w:val="1"/>
                <w:color w:val="FFFFFF"/>
              </w:rPr>
              <w:t>Time-Based</w:t>
            </w:r>
          </w:p>
        </w:tc>
        <w:tc>
          <w:tcPr>
            <w:tcW w:w="180" w:type="dxa"/>
            <w:vAlign w:val="bottom"/>
            <w:shd w:val="clear" w:color="auto" w:fill="307CC0"/>
          </w:tcPr>
          <w:p>
            <w:pPr>
              <w:spacing w:after="0"/>
              <w:rPr>
                <w:sz w:val="12"/>
                <w:szCs w:val="12"/>
                <w:color w:val="auto"/>
              </w:rPr>
            </w:pPr>
          </w:p>
        </w:tc>
        <w:tc>
          <w:tcPr>
            <w:tcW w:w="1340" w:type="dxa"/>
            <w:vAlign w:val="bottom"/>
            <w:shd w:val="clear" w:color="auto" w:fill="307CC0"/>
          </w:tcPr>
          <w:p>
            <w:pPr>
              <w:jc w:val="center"/>
              <w:ind w:right="43"/>
              <w:spacing w:after="0" w:line="143" w:lineRule="exact"/>
              <w:rPr>
                <w:sz w:val="20"/>
                <w:szCs w:val="20"/>
                <w:color w:val="auto"/>
              </w:rPr>
            </w:pPr>
            <w:r>
              <w:rPr>
                <w:rFonts w:ascii="Arial" w:cs="Arial" w:eastAsia="Arial" w:hAnsi="Arial"/>
                <w:sz w:val="13"/>
                <w:szCs w:val="13"/>
                <w:b w:val="1"/>
                <w:bCs w:val="1"/>
                <w:color w:val="FFFFFF"/>
                <w:w w:val="97"/>
              </w:rPr>
              <w:t>RSUs</w:t>
            </w:r>
          </w:p>
        </w:tc>
      </w:tr>
      <w:tr>
        <w:trPr>
          <w:trHeight w:val="185"/>
        </w:trPr>
        <w:tc>
          <w:tcPr>
            <w:tcW w:w="2620" w:type="dxa"/>
            <w:vAlign w:val="bottom"/>
            <w:shd w:val="clear" w:color="auto" w:fill="307CC0"/>
          </w:tcPr>
          <w:p>
            <w:pPr>
              <w:ind w:left="20"/>
              <w:spacing w:after="0"/>
              <w:rPr>
                <w:sz w:val="20"/>
                <w:szCs w:val="20"/>
                <w:color w:val="auto"/>
              </w:rPr>
            </w:pPr>
            <w:r>
              <w:rPr>
                <w:rFonts w:ascii="Arial" w:cs="Arial" w:eastAsia="Arial" w:hAnsi="Arial"/>
                <w:sz w:val="13"/>
                <w:szCs w:val="13"/>
                <w:b w:val="1"/>
                <w:bCs w:val="1"/>
                <w:color w:val="FFFFFF"/>
              </w:rPr>
              <w:t>Name</w:t>
            </w:r>
          </w:p>
        </w:tc>
        <w:tc>
          <w:tcPr>
            <w:tcW w:w="14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7"/>
              </w:rPr>
              <w:t>Base Salary</w:t>
            </w:r>
          </w:p>
        </w:tc>
        <w:tc>
          <w:tcPr>
            <w:tcW w:w="260" w:type="dxa"/>
            <w:vAlign w:val="bottom"/>
            <w:shd w:val="clear" w:color="auto" w:fill="307CC0"/>
          </w:tcPr>
          <w:p>
            <w:pPr>
              <w:spacing w:after="0"/>
              <w:rPr>
                <w:sz w:val="16"/>
                <w:szCs w:val="16"/>
                <w:color w:val="auto"/>
              </w:rPr>
            </w:pPr>
          </w:p>
        </w:tc>
        <w:tc>
          <w:tcPr>
            <w:tcW w:w="940" w:type="dxa"/>
            <w:vAlign w:val="bottom"/>
            <w:shd w:val="clear" w:color="auto" w:fill="307CC0"/>
          </w:tcPr>
          <w:p>
            <w:pPr>
              <w:jc w:val="right"/>
              <w:ind w:right="277"/>
              <w:spacing w:after="0"/>
              <w:rPr>
                <w:sz w:val="20"/>
                <w:szCs w:val="20"/>
                <w:color w:val="auto"/>
              </w:rPr>
            </w:pPr>
            <w:r>
              <w:rPr>
                <w:rFonts w:ascii="Arial" w:cs="Arial" w:eastAsia="Arial" w:hAnsi="Arial"/>
                <w:sz w:val="13"/>
                <w:szCs w:val="13"/>
                <w:b w:val="1"/>
                <w:bCs w:val="1"/>
                <w:color w:val="FFFFFF"/>
              </w:rPr>
              <w:t>Dollars</w:t>
            </w:r>
          </w:p>
        </w:tc>
        <w:tc>
          <w:tcPr>
            <w:tcW w:w="280" w:type="dxa"/>
            <w:vAlign w:val="bottom"/>
            <w:shd w:val="clear" w:color="auto" w:fill="307CC0"/>
          </w:tcPr>
          <w:p>
            <w:pPr>
              <w:spacing w:after="0"/>
              <w:rPr>
                <w:sz w:val="16"/>
                <w:szCs w:val="16"/>
                <w:color w:val="auto"/>
              </w:rPr>
            </w:pPr>
          </w:p>
        </w:tc>
        <w:tc>
          <w:tcPr>
            <w:tcW w:w="780" w:type="dxa"/>
            <w:vAlign w:val="bottom"/>
            <w:shd w:val="clear" w:color="auto" w:fill="307CC0"/>
          </w:tcPr>
          <w:p>
            <w:pPr>
              <w:ind w:left="80"/>
              <w:spacing w:after="0"/>
              <w:rPr>
                <w:sz w:val="20"/>
                <w:szCs w:val="20"/>
                <w:color w:val="auto"/>
              </w:rPr>
            </w:pPr>
            <w:r>
              <w:rPr>
                <w:rFonts w:ascii="Arial" w:cs="Arial" w:eastAsia="Arial" w:hAnsi="Arial"/>
                <w:sz w:val="13"/>
                <w:szCs w:val="13"/>
                <w:b w:val="1"/>
                <w:bCs w:val="1"/>
                <w:color w:val="FFFFFF"/>
              </w:rPr>
              <w:t>RSUs</w:t>
            </w:r>
          </w:p>
        </w:tc>
        <w:tc>
          <w:tcPr>
            <w:tcW w:w="180" w:type="dxa"/>
            <w:vAlign w:val="bottom"/>
            <w:shd w:val="clear" w:color="auto" w:fill="307CC0"/>
          </w:tcPr>
          <w:p>
            <w:pPr>
              <w:spacing w:after="0"/>
              <w:rPr>
                <w:sz w:val="16"/>
                <w:szCs w:val="16"/>
                <w:color w:val="auto"/>
              </w:rPr>
            </w:pPr>
          </w:p>
        </w:tc>
        <w:tc>
          <w:tcPr>
            <w:tcW w:w="1340" w:type="dxa"/>
            <w:vAlign w:val="bottom"/>
            <w:shd w:val="clear" w:color="auto" w:fill="307CC0"/>
          </w:tcPr>
          <w:p>
            <w:pPr>
              <w:jc w:val="center"/>
              <w:ind w:right="63"/>
              <w:spacing w:after="0"/>
              <w:rPr>
                <w:sz w:val="20"/>
                <w:szCs w:val="20"/>
                <w:color w:val="auto"/>
              </w:rPr>
            </w:pPr>
            <w:r>
              <w:rPr>
                <w:rFonts w:ascii="Arial" w:cs="Arial" w:eastAsia="Arial" w:hAnsi="Arial"/>
                <w:sz w:val="13"/>
                <w:szCs w:val="13"/>
                <w:b w:val="1"/>
                <w:bCs w:val="1"/>
                <w:color w:val="FFFFFF"/>
                <w:w w:val="99"/>
              </w:rPr>
              <w:t>(Target)</w:t>
            </w:r>
          </w:p>
        </w:tc>
      </w:tr>
      <w:tr>
        <w:trPr>
          <w:trHeight w:val="220"/>
        </w:trPr>
        <w:tc>
          <w:tcPr>
            <w:tcW w:w="26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Mr. Bassham</w:t>
            </w:r>
          </w:p>
        </w:tc>
        <w:tc>
          <w:tcPr>
            <w:tcW w:w="14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400%</w:t>
            </w:r>
          </w:p>
        </w:tc>
        <w:tc>
          <w:tcPr>
            <w:tcW w:w="2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3,800,000</w:t>
            </w:r>
          </w:p>
        </w:tc>
        <w:tc>
          <w:tcPr>
            <w:tcW w:w="28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307CC0"/>
            </w:tcBorders>
            <w:shd w:val="clear" w:color="auto" w:fill="CCEEFF"/>
          </w:tcPr>
          <w:p>
            <w:pPr>
              <w:ind w:left="80"/>
              <w:spacing w:after="0"/>
              <w:rPr>
                <w:sz w:val="20"/>
                <w:szCs w:val="20"/>
                <w:color w:val="auto"/>
              </w:rPr>
            </w:pPr>
            <w:r>
              <w:rPr>
                <w:rFonts w:ascii="Arial" w:cs="Arial" w:eastAsia="Arial" w:hAnsi="Arial"/>
                <w:sz w:val="17"/>
                <w:szCs w:val="17"/>
                <w:color w:val="auto"/>
              </w:rPr>
              <w:t>950,000</w:t>
            </w:r>
          </w:p>
        </w:tc>
        <w:tc>
          <w:tcPr>
            <w:tcW w:w="1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307CC0"/>
            </w:tcBorders>
            <w:shd w:val="clear" w:color="auto" w:fill="CCEEFF"/>
          </w:tcPr>
          <w:p>
            <w:pPr>
              <w:jc w:val="right"/>
              <w:ind w:right="23"/>
              <w:spacing w:after="0"/>
              <w:rPr>
                <w:sz w:val="20"/>
                <w:szCs w:val="20"/>
                <w:color w:val="auto"/>
              </w:rPr>
            </w:pPr>
            <w:r>
              <w:rPr>
                <w:rFonts w:ascii="Arial" w:cs="Arial" w:eastAsia="Arial" w:hAnsi="Arial"/>
                <w:sz w:val="17"/>
                <w:szCs w:val="17"/>
                <w:color w:val="auto"/>
              </w:rPr>
              <w:t>2,850,000</w:t>
            </w:r>
          </w:p>
        </w:tc>
      </w:tr>
      <w:tr>
        <w:trPr>
          <w:trHeight w:val="213"/>
        </w:trPr>
        <w:tc>
          <w:tcPr>
            <w:tcW w:w="262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7"/>
                <w:szCs w:val="17"/>
                <w:color w:val="auto"/>
              </w:rPr>
              <w:t>Mr. Bryant</w:t>
            </w:r>
          </w:p>
        </w:tc>
        <w:tc>
          <w:tcPr>
            <w:tcW w:w="148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rPr>
              <w:t>150%</w:t>
            </w:r>
          </w:p>
        </w:tc>
        <w:tc>
          <w:tcPr>
            <w:tcW w:w="2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780,000</w:t>
            </w:r>
          </w:p>
        </w:tc>
        <w:tc>
          <w:tcPr>
            <w:tcW w:w="28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307CC0"/>
            </w:tcBorders>
            <w:shd w:val="clear" w:color="auto" w:fill="D6E7FF"/>
          </w:tcPr>
          <w:p>
            <w:pPr>
              <w:ind w:left="80"/>
              <w:spacing w:after="0"/>
              <w:rPr>
                <w:sz w:val="20"/>
                <w:szCs w:val="20"/>
                <w:color w:val="auto"/>
              </w:rPr>
            </w:pPr>
            <w:r>
              <w:rPr>
                <w:rFonts w:ascii="Arial" w:cs="Arial" w:eastAsia="Arial" w:hAnsi="Arial"/>
                <w:sz w:val="17"/>
                <w:szCs w:val="17"/>
                <w:color w:val="auto"/>
              </w:rPr>
              <w:t>195,000</w:t>
            </w:r>
          </w:p>
        </w:tc>
        <w:tc>
          <w:tcPr>
            <w:tcW w:w="1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307CC0"/>
            </w:tcBorders>
            <w:shd w:val="clear" w:color="auto" w:fill="D6E7FF"/>
          </w:tcPr>
          <w:p>
            <w:pPr>
              <w:jc w:val="right"/>
              <w:ind w:right="23"/>
              <w:spacing w:after="0"/>
              <w:rPr>
                <w:sz w:val="20"/>
                <w:szCs w:val="20"/>
                <w:color w:val="auto"/>
              </w:rPr>
            </w:pPr>
            <w:r>
              <w:rPr>
                <w:rFonts w:ascii="Arial" w:cs="Arial" w:eastAsia="Arial" w:hAnsi="Arial"/>
                <w:sz w:val="17"/>
                <w:szCs w:val="17"/>
                <w:color w:val="auto"/>
              </w:rPr>
              <w:t>585,000</w:t>
            </w:r>
          </w:p>
        </w:tc>
      </w:tr>
      <w:tr>
        <w:trPr>
          <w:trHeight w:val="213"/>
        </w:trPr>
        <w:tc>
          <w:tcPr>
            <w:tcW w:w="26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Mr. Greenwood</w:t>
            </w:r>
          </w:p>
        </w:tc>
        <w:tc>
          <w:tcPr>
            <w:tcW w:w="14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150%</w:t>
            </w:r>
          </w:p>
        </w:tc>
        <w:tc>
          <w:tcPr>
            <w:tcW w:w="2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780,000</w:t>
            </w:r>
          </w:p>
        </w:tc>
        <w:tc>
          <w:tcPr>
            <w:tcW w:w="28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307CC0"/>
            </w:tcBorders>
            <w:shd w:val="clear" w:color="auto" w:fill="CCEEFF"/>
          </w:tcPr>
          <w:p>
            <w:pPr>
              <w:ind w:left="80"/>
              <w:spacing w:after="0"/>
              <w:rPr>
                <w:sz w:val="20"/>
                <w:szCs w:val="20"/>
                <w:color w:val="auto"/>
              </w:rPr>
            </w:pPr>
            <w:r>
              <w:rPr>
                <w:rFonts w:ascii="Arial" w:cs="Arial" w:eastAsia="Arial" w:hAnsi="Arial"/>
                <w:sz w:val="17"/>
                <w:szCs w:val="17"/>
                <w:color w:val="auto"/>
              </w:rPr>
              <w:t>195,000</w:t>
            </w:r>
          </w:p>
        </w:tc>
        <w:tc>
          <w:tcPr>
            <w:tcW w:w="1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307CC0"/>
            </w:tcBorders>
            <w:shd w:val="clear" w:color="auto" w:fill="CCEEFF"/>
          </w:tcPr>
          <w:p>
            <w:pPr>
              <w:jc w:val="right"/>
              <w:ind w:right="23"/>
              <w:spacing w:after="0"/>
              <w:rPr>
                <w:sz w:val="20"/>
                <w:szCs w:val="20"/>
                <w:color w:val="auto"/>
              </w:rPr>
            </w:pPr>
            <w:r>
              <w:rPr>
                <w:rFonts w:ascii="Arial" w:cs="Arial" w:eastAsia="Arial" w:hAnsi="Arial"/>
                <w:sz w:val="17"/>
                <w:szCs w:val="17"/>
                <w:color w:val="auto"/>
              </w:rPr>
              <w:t>585,000</w:t>
            </w:r>
          </w:p>
        </w:tc>
      </w:tr>
      <w:tr>
        <w:trPr>
          <w:trHeight w:val="213"/>
        </w:trPr>
        <w:tc>
          <w:tcPr>
            <w:tcW w:w="262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7"/>
                <w:szCs w:val="17"/>
                <w:color w:val="auto"/>
              </w:rPr>
              <w:t>Mr. Somma</w:t>
            </w:r>
          </w:p>
        </w:tc>
        <w:tc>
          <w:tcPr>
            <w:tcW w:w="148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rPr>
              <w:t>150%</w:t>
            </w:r>
          </w:p>
        </w:tc>
        <w:tc>
          <w:tcPr>
            <w:tcW w:w="2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742,500</w:t>
            </w:r>
          </w:p>
        </w:tc>
        <w:tc>
          <w:tcPr>
            <w:tcW w:w="28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307CC0"/>
            </w:tcBorders>
            <w:shd w:val="clear" w:color="auto" w:fill="D6E7FF"/>
          </w:tcPr>
          <w:p>
            <w:pPr>
              <w:ind w:left="80"/>
              <w:spacing w:after="0"/>
              <w:rPr>
                <w:sz w:val="20"/>
                <w:szCs w:val="20"/>
                <w:color w:val="auto"/>
              </w:rPr>
            </w:pPr>
            <w:r>
              <w:rPr>
                <w:rFonts w:ascii="Arial" w:cs="Arial" w:eastAsia="Arial" w:hAnsi="Arial"/>
                <w:sz w:val="17"/>
                <w:szCs w:val="17"/>
                <w:color w:val="auto"/>
              </w:rPr>
              <w:t>185,625</w:t>
            </w:r>
          </w:p>
        </w:tc>
        <w:tc>
          <w:tcPr>
            <w:tcW w:w="1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307CC0"/>
            </w:tcBorders>
            <w:shd w:val="clear" w:color="auto" w:fill="D6E7FF"/>
          </w:tcPr>
          <w:p>
            <w:pPr>
              <w:jc w:val="right"/>
              <w:ind w:right="23"/>
              <w:spacing w:after="0"/>
              <w:rPr>
                <w:sz w:val="20"/>
                <w:szCs w:val="20"/>
                <w:color w:val="auto"/>
              </w:rPr>
            </w:pPr>
            <w:r>
              <w:rPr>
                <w:rFonts w:ascii="Arial" w:cs="Arial" w:eastAsia="Arial" w:hAnsi="Arial"/>
                <w:sz w:val="17"/>
                <w:szCs w:val="17"/>
                <w:color w:val="auto"/>
              </w:rPr>
              <w:t>556,875</w:t>
            </w:r>
          </w:p>
        </w:tc>
      </w:tr>
      <w:tr>
        <w:trPr>
          <w:trHeight w:val="213"/>
        </w:trPr>
        <w:tc>
          <w:tcPr>
            <w:tcW w:w="26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7"/>
                <w:szCs w:val="17"/>
                <w:color w:val="auto"/>
              </w:rPr>
              <w:t>Ms. Humphrey</w:t>
            </w:r>
          </w:p>
        </w:tc>
        <w:tc>
          <w:tcPr>
            <w:tcW w:w="14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130%</w:t>
            </w:r>
          </w:p>
        </w:tc>
        <w:tc>
          <w:tcPr>
            <w:tcW w:w="2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629,200</w:t>
            </w:r>
          </w:p>
        </w:tc>
        <w:tc>
          <w:tcPr>
            <w:tcW w:w="28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307CC0"/>
            </w:tcBorders>
            <w:shd w:val="clear" w:color="auto" w:fill="CCEEFF"/>
          </w:tcPr>
          <w:p>
            <w:pPr>
              <w:ind w:left="80"/>
              <w:spacing w:after="0"/>
              <w:rPr>
                <w:sz w:val="20"/>
                <w:szCs w:val="20"/>
                <w:color w:val="auto"/>
              </w:rPr>
            </w:pPr>
            <w:r>
              <w:rPr>
                <w:rFonts w:ascii="Arial" w:cs="Arial" w:eastAsia="Arial" w:hAnsi="Arial"/>
                <w:sz w:val="17"/>
                <w:szCs w:val="17"/>
                <w:color w:val="auto"/>
              </w:rPr>
              <w:t>157,300</w:t>
            </w:r>
          </w:p>
        </w:tc>
        <w:tc>
          <w:tcPr>
            <w:tcW w:w="1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307CC0"/>
            </w:tcBorders>
            <w:shd w:val="clear" w:color="auto" w:fill="CCEEFF"/>
          </w:tcPr>
          <w:p>
            <w:pPr>
              <w:jc w:val="right"/>
              <w:ind w:right="23"/>
              <w:spacing w:after="0"/>
              <w:rPr>
                <w:sz w:val="20"/>
                <w:szCs w:val="20"/>
                <w:color w:val="auto"/>
              </w:rPr>
            </w:pPr>
            <w:r>
              <w:rPr>
                <w:rFonts w:ascii="Arial" w:cs="Arial" w:eastAsia="Arial" w:hAnsi="Arial"/>
                <w:sz w:val="17"/>
                <w:szCs w:val="17"/>
                <w:color w:val="auto"/>
              </w:rPr>
              <w:t>471,900</w:t>
            </w:r>
          </w:p>
        </w:tc>
      </w:tr>
    </w:tbl>
    <w:p>
      <w:pPr>
        <w:spacing w:after="0" w:line="81" w:lineRule="exact"/>
        <w:rPr>
          <w:sz w:val="20"/>
          <w:szCs w:val="20"/>
          <w:color w:val="auto"/>
        </w:rPr>
      </w:pPr>
    </w:p>
    <w:p>
      <w:pPr>
        <w:jc w:val="both"/>
        <w:ind w:left="600" w:right="100" w:hanging="333"/>
        <w:spacing w:after="0" w:line="248" w:lineRule="auto"/>
        <w:tabs>
          <w:tab w:leader="none" w:pos="600" w:val="left"/>
        </w:tabs>
        <w:numPr>
          <w:ilvl w:val="0"/>
          <w:numId w:val="26"/>
        </w:numPr>
        <w:rPr>
          <w:rFonts w:ascii="Arial" w:cs="Arial" w:eastAsia="Arial" w:hAnsi="Arial"/>
          <w:sz w:val="17"/>
          <w:szCs w:val="17"/>
          <w:color w:val="307CC0"/>
        </w:rPr>
      </w:pPr>
      <w:r>
        <w:rPr>
          <w:rFonts w:ascii="Arial" w:cs="Arial" w:eastAsia="Arial" w:hAnsi="Arial"/>
          <w:sz w:val="17"/>
          <w:szCs w:val="17"/>
          <w:b w:val="1"/>
          <w:bCs w:val="1"/>
          <w:color w:val="auto"/>
        </w:rPr>
        <w:t xml:space="preserve">Adopted Market-Standard Executive Severance Arrangements. </w:t>
      </w:r>
      <w:r>
        <w:rPr>
          <w:rFonts w:ascii="Arial" w:cs="Arial" w:eastAsia="Arial" w:hAnsi="Arial"/>
          <w:sz w:val="17"/>
          <w:szCs w:val="17"/>
          <w:color w:val="auto"/>
        </w:rPr>
        <w:t>We adopted market-standard change-in-control severance agreements that eliminated all excise tax “gross-ups.” In addition, based on a review of market practices, and to standardize separation benefits in connection with a termination by the Company other than for “cause” outside of a strategic transaction, we adopted an executive severance plan to govern officer departures.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Strong Compensation Governance Practices</w:t>
      </w:r>
    </w:p>
    <w:p>
      <w:pPr>
        <w:spacing w:after="0" w:line="171" w:lineRule="exact"/>
        <w:rPr>
          <w:sz w:val="20"/>
          <w:szCs w:val="20"/>
          <w:color w:val="auto"/>
        </w:rPr>
      </w:pPr>
    </w:p>
    <w:p>
      <w:pPr>
        <w:ind w:left="280" w:right="80"/>
        <w:spacing w:after="0" w:line="250" w:lineRule="auto"/>
        <w:rPr>
          <w:sz w:val="20"/>
          <w:szCs w:val="20"/>
          <w:color w:val="auto"/>
        </w:rPr>
      </w:pPr>
      <w:r>
        <w:rPr>
          <w:rFonts w:ascii="Arial" w:cs="Arial" w:eastAsia="Arial" w:hAnsi="Arial"/>
          <w:sz w:val="17"/>
          <w:szCs w:val="17"/>
          <w:color w:val="auto"/>
        </w:rPr>
        <w:t>Our Committee believes our executive compensation program also features best-in-class governance practices, such as:</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420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Alignment between pay and performance</w:t>
            </w:r>
          </w:p>
        </w:tc>
        <w:tc>
          <w:tcPr>
            <w:tcW w:w="48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00"/>
              <w:spacing w:after="0"/>
              <w:rPr>
                <w:sz w:val="20"/>
                <w:szCs w:val="20"/>
                <w:color w:val="auto"/>
              </w:rPr>
            </w:pPr>
            <w:r>
              <w:rPr>
                <w:rFonts w:ascii="Arial" w:cs="Arial" w:eastAsia="Arial" w:hAnsi="Arial"/>
                <w:sz w:val="17"/>
                <w:szCs w:val="17"/>
                <w:color w:val="auto"/>
              </w:rPr>
              <w:t>Clawback provisions</w:t>
            </w:r>
          </w:p>
        </w:tc>
      </w:tr>
      <w:tr>
        <w:trPr>
          <w:trHeight w:val="220"/>
        </w:trPr>
        <w:tc>
          <w:tcPr>
            <w:tcW w:w="420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Compensation heavily weighted to performance</w:t>
            </w:r>
          </w:p>
        </w:tc>
        <w:tc>
          <w:tcPr>
            <w:tcW w:w="3840" w:type="dxa"/>
            <w:vAlign w:val="bottom"/>
            <w:gridSpan w:val="2"/>
          </w:tcPr>
          <w:p>
            <w:pPr>
              <w:ind w:left="2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Standard annual equity grant cycle</w:t>
            </w:r>
          </w:p>
        </w:tc>
      </w:tr>
      <w:tr>
        <w:trPr>
          <w:trHeight w:val="220"/>
        </w:trPr>
        <w:tc>
          <w:tcPr>
            <w:tcW w:w="24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960" w:type="dxa"/>
            <w:vAlign w:val="bottom"/>
          </w:tcPr>
          <w:p>
            <w:pPr>
              <w:ind w:left="80"/>
              <w:spacing w:after="0"/>
              <w:rPr>
                <w:sz w:val="20"/>
                <w:szCs w:val="20"/>
                <w:color w:val="auto"/>
              </w:rPr>
            </w:pPr>
            <w:r>
              <w:rPr>
                <w:rFonts w:ascii="Arial" w:cs="Arial" w:eastAsia="Arial" w:hAnsi="Arial"/>
                <w:sz w:val="17"/>
                <w:szCs w:val="17"/>
                <w:color w:val="auto"/>
              </w:rPr>
              <w:t>Independent Committee oversight</w:t>
            </w:r>
          </w:p>
        </w:tc>
        <w:tc>
          <w:tcPr>
            <w:tcW w:w="48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00"/>
              <w:spacing w:after="0"/>
              <w:rPr>
                <w:sz w:val="20"/>
                <w:szCs w:val="20"/>
                <w:color w:val="auto"/>
              </w:rPr>
            </w:pPr>
            <w:r>
              <w:rPr>
                <w:rFonts w:ascii="Arial" w:cs="Arial" w:eastAsia="Arial" w:hAnsi="Arial"/>
                <w:sz w:val="17"/>
                <w:szCs w:val="17"/>
                <w:color w:val="auto"/>
              </w:rPr>
              <w:t>No employment contracts</w:t>
            </w:r>
          </w:p>
        </w:tc>
      </w:tr>
      <w:tr>
        <w:trPr>
          <w:trHeight w:val="220"/>
        </w:trPr>
        <w:tc>
          <w:tcPr>
            <w:tcW w:w="420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Standing Committee executive sessions</w:t>
            </w:r>
          </w:p>
        </w:tc>
        <w:tc>
          <w:tcPr>
            <w:tcW w:w="48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00"/>
              <w:spacing w:after="0"/>
              <w:rPr>
                <w:sz w:val="20"/>
                <w:szCs w:val="20"/>
                <w:color w:val="auto"/>
              </w:rPr>
            </w:pPr>
            <w:r>
              <w:rPr>
                <w:rFonts w:ascii="Arial" w:cs="Arial" w:eastAsia="Arial" w:hAnsi="Arial"/>
                <w:sz w:val="17"/>
                <w:szCs w:val="17"/>
                <w:color w:val="auto"/>
              </w:rPr>
              <w:t>No stock options</w:t>
            </w:r>
          </w:p>
        </w:tc>
      </w:tr>
      <w:tr>
        <w:trPr>
          <w:trHeight w:val="220"/>
        </w:trPr>
        <w:tc>
          <w:tcPr>
            <w:tcW w:w="24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960" w:type="dxa"/>
            <w:vAlign w:val="bottom"/>
          </w:tcPr>
          <w:p>
            <w:pPr>
              <w:ind w:left="80"/>
              <w:spacing w:after="0"/>
              <w:rPr>
                <w:sz w:val="20"/>
                <w:szCs w:val="20"/>
                <w:color w:val="auto"/>
              </w:rPr>
            </w:pPr>
            <w:r>
              <w:rPr>
                <w:rFonts w:ascii="Arial" w:cs="Arial" w:eastAsia="Arial" w:hAnsi="Arial"/>
                <w:sz w:val="17"/>
                <w:szCs w:val="17"/>
                <w:color w:val="auto"/>
              </w:rPr>
              <w:t>Independent compensation consultant</w:t>
            </w:r>
          </w:p>
        </w:tc>
        <w:tc>
          <w:tcPr>
            <w:tcW w:w="3840" w:type="dxa"/>
            <w:vAlign w:val="bottom"/>
            <w:gridSpan w:val="2"/>
          </w:tcPr>
          <w:p>
            <w:pPr>
              <w:ind w:left="2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 repricing or backdating of stock options</w:t>
            </w:r>
          </w:p>
        </w:tc>
      </w:tr>
      <w:tr>
        <w:trPr>
          <w:trHeight w:val="220"/>
        </w:trPr>
        <w:tc>
          <w:tcPr>
            <w:tcW w:w="420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“Double trigger” change-in-control benefits</w:t>
            </w:r>
          </w:p>
        </w:tc>
        <w:tc>
          <w:tcPr>
            <w:tcW w:w="3840" w:type="dxa"/>
            <w:vAlign w:val="bottom"/>
            <w:gridSpan w:val="2"/>
          </w:tcPr>
          <w:p>
            <w:pPr>
              <w:ind w:left="2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 dividends for unvested awards</w:t>
            </w:r>
          </w:p>
        </w:tc>
      </w:tr>
      <w:tr>
        <w:trPr>
          <w:trHeight w:val="220"/>
        </w:trPr>
        <w:tc>
          <w:tcPr>
            <w:tcW w:w="420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Robust stock ownership guidelines</w:t>
            </w:r>
          </w:p>
        </w:tc>
        <w:tc>
          <w:tcPr>
            <w:tcW w:w="3840" w:type="dxa"/>
            <w:vAlign w:val="bottom"/>
            <w:gridSpan w:val="2"/>
          </w:tcPr>
          <w:p>
            <w:pPr>
              <w:ind w:left="2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 short selling, hedging or pledging</w:t>
            </w:r>
          </w:p>
        </w:tc>
      </w:tr>
      <w:tr>
        <w:trPr>
          <w:trHeight w:val="260"/>
        </w:trPr>
        <w:tc>
          <w:tcPr>
            <w:tcW w:w="4200" w:type="dxa"/>
            <w:vAlign w:val="bottom"/>
            <w:gridSpan w:val="2"/>
          </w:tcPr>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Board oversight of succession plans</w:t>
            </w:r>
          </w:p>
        </w:tc>
        <w:tc>
          <w:tcPr>
            <w:tcW w:w="48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3360" w:type="dxa"/>
            <w:vAlign w:val="bottom"/>
          </w:tcPr>
          <w:p>
            <w:pPr>
              <w:ind w:left="100"/>
              <w:spacing w:after="0"/>
              <w:rPr>
                <w:sz w:val="20"/>
                <w:szCs w:val="20"/>
                <w:color w:val="auto"/>
              </w:rPr>
            </w:pPr>
            <w:r>
              <w:rPr>
                <w:rFonts w:ascii="Arial" w:cs="Arial" w:eastAsia="Arial" w:hAnsi="Arial"/>
                <w:sz w:val="17"/>
                <w:szCs w:val="17"/>
                <w:color w:val="auto"/>
              </w:rPr>
              <w:t>No tax “gross-ups”</w:t>
            </w:r>
          </w:p>
        </w:tc>
      </w:tr>
    </w:tbl>
    <w:p>
      <w:pPr>
        <w:spacing w:after="0" w:line="4" w:lineRule="exact"/>
        <w:rPr>
          <w:sz w:val="20"/>
          <w:szCs w:val="20"/>
          <w:color w:val="auto"/>
        </w:rPr>
      </w:pPr>
    </w:p>
    <w:p>
      <w:pPr>
        <w:ind w:left="520" w:hanging="318"/>
        <w:spacing w:after="0"/>
        <w:tabs>
          <w:tab w:leader="none" w:pos="520" w:val="left"/>
        </w:tabs>
        <w:numPr>
          <w:ilvl w:val="0"/>
          <w:numId w:val="27"/>
        </w:numPr>
        <w:rPr>
          <w:rFonts w:ascii="MS PGothic" w:cs="MS PGothic" w:eastAsia="MS PGothic" w:hAnsi="MS PGothic"/>
          <w:sz w:val="17"/>
          <w:szCs w:val="17"/>
          <w:color w:val="auto"/>
        </w:rPr>
      </w:pPr>
      <w:r>
        <w:rPr>
          <w:rFonts w:ascii="Arial" w:cs="Arial" w:eastAsia="Arial" w:hAnsi="Arial"/>
          <w:sz w:val="17"/>
          <w:szCs w:val="17"/>
          <w:color w:val="auto"/>
        </w:rPr>
        <w:t>Annual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311150</wp:posOffset>
            </wp:positionV>
            <wp:extent cx="58089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Executive Summary of 2019 Compensation</w:t>
      </w:r>
      <w:r>
        <w:rPr>
          <w:rFonts w:ascii="Arial" w:cs="Arial" w:eastAsia="Arial" w:hAnsi="Arial"/>
          <w:sz w:val="14"/>
          <w:szCs w:val="14"/>
          <w:b w:val="1"/>
          <w:bCs w:val="1"/>
          <w:color w:val="auto"/>
        </w:rPr>
        <w:tab/>
        <w:t>Evergy 2020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240030</wp:posOffset>
            </wp:positionV>
            <wp:extent cx="5808980" cy="2051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67945</wp:posOffset>
            </wp:positionV>
            <wp:extent cx="5808980" cy="2051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Compensation Philosophy, Objectives and Process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Compensation Philosophy and Objectives</w:t>
      </w:r>
    </w:p>
    <w:p>
      <w:pPr>
        <w:spacing w:after="0" w:line="124" w:lineRule="exact"/>
        <w:rPr>
          <w:sz w:val="20"/>
          <w:szCs w:val="20"/>
          <w:color w:val="auto"/>
        </w:rPr>
      </w:pPr>
    </w:p>
    <w:p>
      <w:pPr>
        <w:ind w:left="20" w:right="20" w:firstLine="172"/>
        <w:spacing w:after="0" w:line="269" w:lineRule="auto"/>
        <w:rPr>
          <w:sz w:val="20"/>
          <w:szCs w:val="20"/>
          <w:color w:val="auto"/>
        </w:rPr>
      </w:pPr>
      <w:r>
        <w:rPr>
          <w:rFonts w:ascii="Arial" w:cs="Arial" w:eastAsia="Arial" w:hAnsi="Arial"/>
          <w:sz w:val="17"/>
          <w:szCs w:val="17"/>
          <w:color w:val="auto"/>
        </w:rPr>
        <w:t>Evergy’s compensation programs are designed to support achievement of our business strategy without encouraging excessive risk-taking. The primary objectives of our compensation program are to:</w:t>
      </w:r>
    </w:p>
    <w:p>
      <w:pPr>
        <w:spacing w:after="0" w:line="79" w:lineRule="exact"/>
        <w:rPr>
          <w:sz w:val="20"/>
          <w:szCs w:val="20"/>
          <w:color w:val="auto"/>
        </w:rPr>
      </w:pPr>
    </w:p>
    <w:p>
      <w:pPr>
        <w:jc w:val="both"/>
        <w:ind w:left="520" w:hanging="342"/>
        <w:spacing w:after="0" w:line="245" w:lineRule="auto"/>
        <w:tabs>
          <w:tab w:leader="none" w:pos="520" w:val="left"/>
        </w:tabs>
        <w:numPr>
          <w:ilvl w:val="0"/>
          <w:numId w:val="28"/>
        </w:numPr>
        <w:rPr>
          <w:rFonts w:ascii="Arial" w:cs="Arial" w:eastAsia="Arial" w:hAnsi="Arial"/>
          <w:sz w:val="17"/>
          <w:szCs w:val="17"/>
          <w:color w:val="307CC0"/>
        </w:rPr>
      </w:pPr>
      <w:r>
        <w:rPr>
          <w:rFonts w:ascii="Arial" w:cs="Arial" w:eastAsia="Arial" w:hAnsi="Arial"/>
          <w:sz w:val="17"/>
          <w:szCs w:val="17"/>
          <w:u w:val="single" w:color="auto"/>
          <w:color w:val="auto"/>
        </w:rPr>
        <w:t>Attract and Retain Highly Qualified Executives</w:t>
      </w:r>
      <w:r>
        <w:rPr>
          <w:rFonts w:ascii="Arial" w:cs="Arial" w:eastAsia="Arial" w:hAnsi="Arial"/>
          <w:sz w:val="17"/>
          <w:szCs w:val="17"/>
          <w:color w:val="auto"/>
        </w:rPr>
        <w:t>. Attract and retain highly qualified executive officers using a competitive pay package, with target total compensation positioned around the market median and opportunities to earn higher levels of total compensation through performance-based incentives.</w:t>
      </w:r>
    </w:p>
    <w:p>
      <w:pPr>
        <w:spacing w:after="0" w:line="86" w:lineRule="exact"/>
        <w:rPr>
          <w:rFonts w:ascii="Arial" w:cs="Arial" w:eastAsia="Arial" w:hAnsi="Arial"/>
          <w:sz w:val="17"/>
          <w:szCs w:val="17"/>
          <w:color w:val="307CC0"/>
        </w:rPr>
      </w:pPr>
    </w:p>
    <w:p>
      <w:pPr>
        <w:jc w:val="both"/>
        <w:ind w:left="520" w:hanging="342"/>
        <w:spacing w:after="0" w:line="245" w:lineRule="auto"/>
        <w:tabs>
          <w:tab w:leader="none" w:pos="520" w:val="left"/>
        </w:tabs>
        <w:numPr>
          <w:ilvl w:val="0"/>
          <w:numId w:val="28"/>
        </w:numPr>
        <w:rPr>
          <w:rFonts w:ascii="Arial" w:cs="Arial" w:eastAsia="Arial" w:hAnsi="Arial"/>
          <w:sz w:val="17"/>
          <w:szCs w:val="17"/>
          <w:color w:val="307CC0"/>
        </w:rPr>
      </w:pPr>
      <w:r>
        <w:rPr>
          <w:rFonts w:ascii="Arial" w:cs="Arial" w:eastAsia="Arial" w:hAnsi="Arial"/>
          <w:sz w:val="17"/>
          <w:szCs w:val="17"/>
          <w:u w:val="single" w:color="auto"/>
          <w:color w:val="auto"/>
        </w:rPr>
        <w:t>Pay for Performance</w:t>
      </w:r>
      <w:r>
        <w:rPr>
          <w:rFonts w:ascii="Arial" w:cs="Arial" w:eastAsia="Arial" w:hAnsi="Arial"/>
          <w:sz w:val="17"/>
          <w:szCs w:val="17"/>
          <w:color w:val="auto"/>
        </w:rPr>
        <w:t>. A majority of executive officer compensation is “at-risk” and granted in the form of short-term and long-term incentives. This approach ties executive compensation to the achievement of key financial and operational objectives and creates a strong link between executive officers’ pay and Evergy’s performance.</w:t>
      </w:r>
    </w:p>
    <w:p>
      <w:pPr>
        <w:spacing w:after="0" w:line="86" w:lineRule="exact"/>
        <w:rPr>
          <w:rFonts w:ascii="Arial" w:cs="Arial" w:eastAsia="Arial" w:hAnsi="Arial"/>
          <w:sz w:val="17"/>
          <w:szCs w:val="17"/>
          <w:color w:val="307CC0"/>
        </w:rPr>
      </w:pPr>
    </w:p>
    <w:p>
      <w:pPr>
        <w:jc w:val="both"/>
        <w:ind w:left="520" w:hanging="342"/>
        <w:spacing w:after="0" w:line="243" w:lineRule="auto"/>
        <w:tabs>
          <w:tab w:leader="none" w:pos="520" w:val="left"/>
        </w:tabs>
        <w:numPr>
          <w:ilvl w:val="0"/>
          <w:numId w:val="28"/>
        </w:numPr>
        <w:rPr>
          <w:rFonts w:ascii="Arial" w:cs="Arial" w:eastAsia="Arial" w:hAnsi="Arial"/>
          <w:sz w:val="17"/>
          <w:szCs w:val="17"/>
          <w:color w:val="307CC0"/>
        </w:rPr>
      </w:pPr>
      <w:r>
        <w:rPr>
          <w:rFonts w:ascii="Arial" w:cs="Arial" w:eastAsia="Arial" w:hAnsi="Arial"/>
          <w:sz w:val="17"/>
          <w:szCs w:val="17"/>
          <w:u w:val="single" w:color="auto"/>
          <w:color w:val="auto"/>
        </w:rPr>
        <w:t>Reward Long-Term Growth and Sustained Profitability</w:t>
      </w:r>
      <w:r>
        <w:rPr>
          <w:rFonts w:ascii="Arial" w:cs="Arial" w:eastAsia="Arial" w:hAnsi="Arial"/>
          <w:sz w:val="17"/>
          <w:szCs w:val="17"/>
          <w:color w:val="auto"/>
        </w:rPr>
        <w:t>. Align the economic interests of executive officers with those of our shareholders by delivering a significant portion of total compensation in the form of equity-based compensation with long-term vesting that rewards growth and sustained profitability and the creation of shareholder value.</w:t>
      </w:r>
    </w:p>
    <w:p>
      <w:pPr>
        <w:spacing w:after="0" w:line="86" w:lineRule="exact"/>
        <w:rPr>
          <w:rFonts w:ascii="Arial" w:cs="Arial" w:eastAsia="Arial" w:hAnsi="Arial"/>
          <w:sz w:val="17"/>
          <w:szCs w:val="17"/>
          <w:color w:val="307CC0"/>
        </w:rPr>
      </w:pPr>
    </w:p>
    <w:p>
      <w:pPr>
        <w:ind w:left="520" w:hanging="342"/>
        <w:spacing w:after="0" w:line="253" w:lineRule="auto"/>
        <w:tabs>
          <w:tab w:leader="none" w:pos="520" w:val="left"/>
        </w:tabs>
        <w:numPr>
          <w:ilvl w:val="0"/>
          <w:numId w:val="28"/>
        </w:numPr>
        <w:rPr>
          <w:rFonts w:ascii="Arial" w:cs="Arial" w:eastAsia="Arial" w:hAnsi="Arial"/>
          <w:sz w:val="17"/>
          <w:szCs w:val="17"/>
          <w:color w:val="307CC0"/>
        </w:rPr>
      </w:pPr>
      <w:r>
        <w:rPr>
          <w:rFonts w:ascii="Arial" w:cs="Arial" w:eastAsia="Arial" w:hAnsi="Arial"/>
          <w:sz w:val="17"/>
          <w:szCs w:val="17"/>
          <w:u w:val="single" w:color="auto"/>
          <w:color w:val="auto"/>
        </w:rPr>
        <w:t>Encourage Teamwork</w:t>
      </w:r>
      <w:r>
        <w:rPr>
          <w:rFonts w:ascii="Arial" w:cs="Arial" w:eastAsia="Arial" w:hAnsi="Arial"/>
          <w:sz w:val="17"/>
          <w:szCs w:val="17"/>
          <w:color w:val="auto"/>
        </w:rPr>
        <w:t>. Reward teamwork and collaboration among executives to benefit customers and shareholders.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Independent Compensation Consultant</w:t>
      </w:r>
    </w:p>
    <w:p>
      <w:pPr>
        <w:spacing w:after="0" w:line="124" w:lineRule="exact"/>
        <w:rPr>
          <w:sz w:val="20"/>
          <w:szCs w:val="20"/>
          <w:color w:val="auto"/>
        </w:rPr>
      </w:pPr>
    </w:p>
    <w:p>
      <w:pPr>
        <w:jc w:val="both"/>
        <w:ind w:left="20" w:firstLine="172"/>
        <w:spacing w:after="0" w:line="255" w:lineRule="auto"/>
        <w:rPr>
          <w:sz w:val="20"/>
          <w:szCs w:val="20"/>
          <w:color w:val="auto"/>
        </w:rPr>
      </w:pPr>
      <w:r>
        <w:rPr>
          <w:rFonts w:ascii="Arial" w:cs="Arial" w:eastAsia="Arial" w:hAnsi="Arial"/>
          <w:sz w:val="17"/>
          <w:szCs w:val="17"/>
          <w:color w:val="auto"/>
        </w:rPr>
        <w:t>For 2019, the Compensation and Leadership Development Committee retained Meridian Compensation Partners, LLC (“Meridian”) to evaluate, and provide advice with respect to, our executive compensation program. At the committee’s request, Meridian reviews the Company’s executive compensation and benefit programs, analyzes base salaries and variable pay relative to market data and peer companies, advises on compensation practices of peer companies and performs other activities related to executive compensation as requested by the committee. Meridian neither determines, nor recommends, the amount of any executive’s compensation. The committee retains the sole authority to select, retain, direct or dismiss any executive compensation consultant engaged by the committee. In addition, annually, the committee confirms that any compensation consultant engaged by the committee remains independent and free from conflicts of interest that would prevent the applicable consultant from independently representing the committee.</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Role of Peer Group</w:t>
      </w:r>
    </w:p>
    <w:p>
      <w:pPr>
        <w:spacing w:after="0" w:line="124"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The committee evaluates the Company’s compensation program against peer companies because the committee believes that peer companies are generally representative of the types of companies with which Evergy competes for executive-level talent and have similar businesses as Evergy. To select the peer companies, the committee identifies companies with a size and business mix similar to the Company and then assesses those potential peer companies by annual revenues, market value and percentage of total revenues from regulated electric operations. The committee used the following peer group in connection with 2019 compensation decisions.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00" w:type="dxa"/>
            <w:vAlign w:val="bottom"/>
            <w:tcBorders>
              <w:bottom w:val="single" w:sz="8" w:color="307CC0"/>
            </w:tcBorders>
          </w:tcPr>
          <w:p>
            <w:pPr>
              <w:ind w:left="120"/>
              <w:spacing w:after="0"/>
              <w:rPr>
                <w:sz w:val="20"/>
                <w:szCs w:val="20"/>
                <w:color w:val="auto"/>
              </w:rPr>
            </w:pPr>
            <w:r>
              <w:rPr>
                <w:rFonts w:ascii="Arial" w:cs="Arial" w:eastAsia="Arial" w:hAnsi="Arial"/>
                <w:sz w:val="17"/>
                <w:szCs w:val="17"/>
                <w:color w:val="auto"/>
              </w:rPr>
              <w:t>Alliant Energy Corporation</w:t>
            </w:r>
          </w:p>
        </w:tc>
        <w:tc>
          <w:tcPr>
            <w:tcW w:w="3360" w:type="dxa"/>
            <w:vAlign w:val="bottom"/>
            <w:tcBorders>
              <w:bottom w:val="single" w:sz="8" w:color="307CC0"/>
            </w:tcBorders>
          </w:tcPr>
          <w:p>
            <w:pPr>
              <w:ind w:left="480"/>
              <w:spacing w:after="0"/>
              <w:rPr>
                <w:sz w:val="20"/>
                <w:szCs w:val="20"/>
                <w:color w:val="auto"/>
              </w:rPr>
            </w:pPr>
            <w:r>
              <w:rPr>
                <w:rFonts w:ascii="Arial" w:cs="Arial" w:eastAsia="Arial" w:hAnsi="Arial"/>
                <w:sz w:val="17"/>
                <w:szCs w:val="17"/>
                <w:color w:val="auto"/>
              </w:rPr>
              <w:t>Entergy Corporation</w:t>
            </w:r>
          </w:p>
        </w:tc>
        <w:tc>
          <w:tcPr>
            <w:tcW w:w="320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PPL Corporation</w:t>
            </w:r>
          </w:p>
        </w:tc>
      </w:tr>
      <w:tr>
        <w:trPr>
          <w:trHeight w:val="213"/>
        </w:trPr>
        <w:tc>
          <w:tcPr>
            <w:tcW w:w="260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color w:val="auto"/>
              </w:rPr>
              <w:t>Ameren Corporation</w:t>
            </w:r>
          </w:p>
        </w:tc>
        <w:tc>
          <w:tcPr>
            <w:tcW w:w="3360" w:type="dxa"/>
            <w:vAlign w:val="bottom"/>
            <w:tcBorders>
              <w:bottom w:val="single" w:sz="8" w:color="307CC0"/>
            </w:tcBorders>
            <w:shd w:val="clear" w:color="auto" w:fill="D6E7FF"/>
          </w:tcPr>
          <w:p>
            <w:pPr>
              <w:ind w:left="480"/>
              <w:spacing w:after="0"/>
              <w:rPr>
                <w:sz w:val="20"/>
                <w:szCs w:val="20"/>
                <w:color w:val="auto"/>
              </w:rPr>
            </w:pPr>
            <w:r>
              <w:rPr>
                <w:rFonts w:ascii="Arial" w:cs="Arial" w:eastAsia="Arial" w:hAnsi="Arial"/>
                <w:sz w:val="17"/>
                <w:szCs w:val="17"/>
                <w:color w:val="auto"/>
              </w:rPr>
              <w:t>NiSource Inc.</w:t>
            </w:r>
          </w:p>
        </w:tc>
        <w:tc>
          <w:tcPr>
            <w:tcW w:w="3200" w:type="dxa"/>
            <w:vAlign w:val="bottom"/>
            <w:tcBorders>
              <w:bottom w:val="single" w:sz="8" w:color="307CC0"/>
            </w:tcBorders>
            <w:shd w:val="clear" w:color="auto" w:fill="D6E7FF"/>
          </w:tcPr>
          <w:p>
            <w:pPr>
              <w:ind w:left="200"/>
              <w:spacing w:after="0"/>
              <w:rPr>
                <w:sz w:val="20"/>
                <w:szCs w:val="20"/>
                <w:color w:val="auto"/>
              </w:rPr>
            </w:pPr>
            <w:r>
              <w:rPr>
                <w:rFonts w:ascii="Arial" w:cs="Arial" w:eastAsia="Arial" w:hAnsi="Arial"/>
                <w:sz w:val="17"/>
                <w:szCs w:val="17"/>
                <w:color w:val="auto"/>
              </w:rPr>
              <w:t>SCANA Corporation</w:t>
            </w:r>
          </w:p>
        </w:tc>
      </w:tr>
      <w:tr>
        <w:trPr>
          <w:trHeight w:val="213"/>
        </w:trPr>
        <w:tc>
          <w:tcPr>
            <w:tcW w:w="2600" w:type="dxa"/>
            <w:vAlign w:val="bottom"/>
            <w:tcBorders>
              <w:bottom w:val="single" w:sz="8" w:color="307CC0"/>
            </w:tcBorders>
          </w:tcPr>
          <w:p>
            <w:pPr>
              <w:ind w:left="120"/>
              <w:spacing w:after="0"/>
              <w:rPr>
                <w:sz w:val="20"/>
                <w:szCs w:val="20"/>
                <w:color w:val="auto"/>
              </w:rPr>
            </w:pPr>
            <w:r>
              <w:rPr>
                <w:rFonts w:ascii="Arial" w:cs="Arial" w:eastAsia="Arial" w:hAnsi="Arial"/>
                <w:sz w:val="17"/>
                <w:szCs w:val="17"/>
                <w:color w:val="auto"/>
              </w:rPr>
              <w:t>CenterPoint Energy, Inc.</w:t>
            </w:r>
          </w:p>
        </w:tc>
        <w:tc>
          <w:tcPr>
            <w:tcW w:w="3360" w:type="dxa"/>
            <w:vAlign w:val="bottom"/>
            <w:tcBorders>
              <w:bottom w:val="single" w:sz="8" w:color="307CC0"/>
            </w:tcBorders>
          </w:tcPr>
          <w:p>
            <w:pPr>
              <w:ind w:left="480"/>
              <w:spacing w:after="0"/>
              <w:rPr>
                <w:sz w:val="20"/>
                <w:szCs w:val="20"/>
                <w:color w:val="auto"/>
              </w:rPr>
            </w:pPr>
            <w:r>
              <w:rPr>
                <w:rFonts w:ascii="Arial" w:cs="Arial" w:eastAsia="Arial" w:hAnsi="Arial"/>
                <w:sz w:val="17"/>
                <w:szCs w:val="17"/>
                <w:color w:val="auto"/>
              </w:rPr>
              <w:t>OGE Energy Corp.</w:t>
            </w:r>
          </w:p>
        </w:tc>
        <w:tc>
          <w:tcPr>
            <w:tcW w:w="320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WEC Energy Group, Inc.</w:t>
            </w:r>
          </w:p>
        </w:tc>
      </w:tr>
      <w:tr>
        <w:trPr>
          <w:trHeight w:val="213"/>
        </w:trPr>
        <w:tc>
          <w:tcPr>
            <w:tcW w:w="260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color w:val="auto"/>
              </w:rPr>
              <w:t>CMS Energy Corporation</w:t>
            </w:r>
          </w:p>
        </w:tc>
        <w:tc>
          <w:tcPr>
            <w:tcW w:w="3360" w:type="dxa"/>
            <w:vAlign w:val="bottom"/>
            <w:tcBorders>
              <w:bottom w:val="single" w:sz="8" w:color="307CC0"/>
            </w:tcBorders>
            <w:shd w:val="clear" w:color="auto" w:fill="D6E7FF"/>
          </w:tcPr>
          <w:p>
            <w:pPr>
              <w:ind w:left="480"/>
              <w:spacing w:after="0"/>
              <w:rPr>
                <w:sz w:val="20"/>
                <w:szCs w:val="20"/>
                <w:color w:val="auto"/>
              </w:rPr>
            </w:pPr>
            <w:r>
              <w:rPr>
                <w:rFonts w:ascii="Arial" w:cs="Arial" w:eastAsia="Arial" w:hAnsi="Arial"/>
                <w:sz w:val="17"/>
                <w:szCs w:val="17"/>
                <w:color w:val="auto"/>
              </w:rPr>
              <w:t>Pinnacle West Capital Corporation</w:t>
            </w:r>
          </w:p>
        </w:tc>
        <w:tc>
          <w:tcPr>
            <w:tcW w:w="3200" w:type="dxa"/>
            <w:vAlign w:val="bottom"/>
            <w:tcBorders>
              <w:bottom w:val="single" w:sz="8" w:color="307CC0"/>
            </w:tcBorders>
            <w:shd w:val="clear" w:color="auto" w:fill="D6E7FF"/>
          </w:tcPr>
          <w:p>
            <w:pPr>
              <w:ind w:left="200"/>
              <w:spacing w:after="0"/>
              <w:rPr>
                <w:sz w:val="20"/>
                <w:szCs w:val="20"/>
                <w:color w:val="auto"/>
              </w:rPr>
            </w:pPr>
            <w:r>
              <w:rPr>
                <w:rFonts w:ascii="Arial" w:cs="Arial" w:eastAsia="Arial" w:hAnsi="Arial"/>
                <w:sz w:val="17"/>
                <w:szCs w:val="17"/>
                <w:color w:val="auto"/>
              </w:rPr>
              <w:t>Xcel Energy Inc.</w:t>
            </w:r>
          </w:p>
        </w:tc>
      </w:tr>
      <w:tr>
        <w:trPr>
          <w:trHeight w:val="213"/>
        </w:trPr>
        <w:tc>
          <w:tcPr>
            <w:tcW w:w="2600" w:type="dxa"/>
            <w:vAlign w:val="bottom"/>
            <w:tcBorders>
              <w:bottom w:val="single" w:sz="8" w:color="307CC0"/>
            </w:tcBorders>
          </w:tcPr>
          <w:p>
            <w:pPr>
              <w:ind w:left="120"/>
              <w:spacing w:after="0"/>
              <w:rPr>
                <w:sz w:val="20"/>
                <w:szCs w:val="20"/>
                <w:color w:val="auto"/>
              </w:rPr>
            </w:pPr>
            <w:r>
              <w:rPr>
                <w:rFonts w:ascii="Arial" w:cs="Arial" w:eastAsia="Arial" w:hAnsi="Arial"/>
                <w:sz w:val="17"/>
                <w:szCs w:val="17"/>
                <w:color w:val="auto"/>
              </w:rPr>
              <w:t>DTE Energy Company</w:t>
            </w:r>
          </w:p>
        </w:tc>
        <w:tc>
          <w:tcPr>
            <w:tcW w:w="3360" w:type="dxa"/>
            <w:vAlign w:val="bottom"/>
            <w:tcBorders>
              <w:bottom w:val="single" w:sz="8" w:color="307CC0"/>
            </w:tcBorders>
          </w:tcPr>
          <w:p>
            <w:pPr>
              <w:ind w:left="480"/>
              <w:spacing w:after="0"/>
              <w:rPr>
                <w:sz w:val="20"/>
                <w:szCs w:val="20"/>
                <w:color w:val="auto"/>
              </w:rPr>
            </w:pPr>
            <w:r>
              <w:rPr>
                <w:rFonts w:ascii="Arial" w:cs="Arial" w:eastAsia="Arial" w:hAnsi="Arial"/>
                <w:sz w:val="17"/>
                <w:szCs w:val="17"/>
                <w:color w:val="auto"/>
              </w:rPr>
              <w:t>Portland General Electric Company</w:t>
            </w:r>
          </w:p>
        </w:tc>
        <w:tc>
          <w:tcPr>
            <w:tcW w:w="3200" w:type="dxa"/>
            <w:vAlign w:val="bottom"/>
            <w:tcBorders>
              <w:bottom w:val="single" w:sz="8" w:color="307CC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131445</wp:posOffset>
            </wp:positionV>
            <wp:extent cx="5808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1" w:lineRule="exact"/>
        <w:rPr>
          <w:sz w:val="20"/>
          <w:szCs w:val="20"/>
          <w:color w:val="auto"/>
        </w:rPr>
      </w:pPr>
    </w:p>
    <w:p>
      <w:pPr>
        <w:ind w:left="540"/>
        <w:spacing w:after="0"/>
        <w:tabs>
          <w:tab w:leader="none" w:pos="350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Compensation Philosophy, Objectives and Process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Compensation Process</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Process for Setting Compensation in Connection with the Merger</w:t>
      </w:r>
    </w:p>
    <w:p>
      <w:pPr>
        <w:spacing w:after="0" w:line="124" w:lineRule="exact"/>
        <w:rPr>
          <w:sz w:val="20"/>
          <w:szCs w:val="20"/>
          <w:color w:val="auto"/>
        </w:rPr>
      </w:pPr>
    </w:p>
    <w:p>
      <w:pPr>
        <w:jc w:val="both"/>
        <w:ind w:firstLine="172"/>
        <w:spacing w:after="0" w:line="243" w:lineRule="auto"/>
        <w:rPr>
          <w:sz w:val="20"/>
          <w:szCs w:val="20"/>
          <w:color w:val="auto"/>
        </w:rPr>
      </w:pPr>
      <w:r>
        <w:rPr>
          <w:rFonts w:ascii="Arial" w:cs="Arial" w:eastAsia="Arial" w:hAnsi="Arial"/>
          <w:sz w:val="17"/>
          <w:szCs w:val="17"/>
          <w:color w:val="auto"/>
        </w:rPr>
        <w:t>Prior to closing of the merger, the members of the post-closing management team retained Willis Towers Watson to conduct a competitive market assessment of the post-closing executive officer compensation program. The competitive market assessment reviewed base salary and target short-term incentives, long-term incentives, total cash compensation and total direct compensation.</w:t>
      </w:r>
    </w:p>
    <w:p>
      <w:pPr>
        <w:spacing w:after="0" w:line="87" w:lineRule="exact"/>
        <w:rPr>
          <w:sz w:val="20"/>
          <w:szCs w:val="20"/>
          <w:color w:val="auto"/>
        </w:rPr>
      </w:pPr>
    </w:p>
    <w:p>
      <w:pPr>
        <w:jc w:val="both"/>
        <w:ind w:firstLine="172"/>
        <w:spacing w:after="0" w:line="239" w:lineRule="auto"/>
        <w:rPr>
          <w:sz w:val="20"/>
          <w:szCs w:val="20"/>
          <w:color w:val="auto"/>
        </w:rPr>
      </w:pPr>
      <w:r>
        <w:rPr>
          <w:rFonts w:ascii="Arial" w:cs="Arial" w:eastAsia="Arial" w:hAnsi="Arial"/>
          <w:sz w:val="17"/>
          <w:szCs w:val="17"/>
          <w:color w:val="auto"/>
        </w:rPr>
        <w:t>To conduct this analysis, Willis Towers Watson provided market data from two sources. One source was Willis Towers Watson’s 2017 Energy Services Executive Compensation Database, which is an annual compilation of compensation for executive officer positions at a broad group of energy and utility companies nationwide. Willis Towers Watson obtained data from its database for positions that in its judgment most closely corresponded to the duties and responsibilities associated with each of our post-closing officer positions. Willis Towers Watson then adjusted the data to account for the different total revenues of the companies in its database as compared to our projected post-merger revenues. Willis Towers Watson also reviewed data derived from the 2016 proxy statements for companies in our post-closing peer group. The proxy data was used to compare the proposed compensation levels of our executive officers against the compensation of corresponding executive officers of companies in the post-closing peer group. This comparison allowed for an evaluation of the reasonableness of the Willis Towers Watson survey data and of our proposed post-closing executive officer compensation program. Willis Towers Watson also reviewed the executive officer compensation from Great Plains Energy and Westar Energy.</w:t>
      </w:r>
    </w:p>
    <w:p>
      <w:pPr>
        <w:spacing w:after="0" w:line="93" w:lineRule="exact"/>
        <w:rPr>
          <w:sz w:val="20"/>
          <w:szCs w:val="20"/>
          <w:color w:val="auto"/>
        </w:rPr>
      </w:pPr>
    </w:p>
    <w:p>
      <w:pPr>
        <w:jc w:val="both"/>
        <w:ind w:firstLine="172"/>
        <w:spacing w:after="0" w:line="245" w:lineRule="auto"/>
        <w:rPr>
          <w:sz w:val="20"/>
          <w:szCs w:val="20"/>
          <w:color w:val="auto"/>
        </w:rPr>
      </w:pPr>
      <w:r>
        <w:rPr>
          <w:rFonts w:ascii="Arial" w:cs="Arial" w:eastAsia="Arial" w:hAnsi="Arial"/>
          <w:sz w:val="17"/>
          <w:szCs w:val="17"/>
          <w:color w:val="auto"/>
        </w:rPr>
        <w:t>Meridian reviewed the work of Willis Towers Watson and provided input on the benchmark matches and methodologies. The Committee, and Board, had full authority to adjust any of the recommendations and provide final decisions with respect to compensation.</w:t>
      </w:r>
    </w:p>
    <w:p>
      <w:pPr>
        <w:spacing w:after="0" w:line="86" w:lineRule="exact"/>
        <w:rPr>
          <w:sz w:val="20"/>
          <w:szCs w:val="20"/>
          <w:color w:val="auto"/>
        </w:rPr>
      </w:pPr>
    </w:p>
    <w:p>
      <w:pPr>
        <w:jc w:val="both"/>
        <w:ind w:firstLine="172"/>
        <w:spacing w:after="0"/>
        <w:rPr>
          <w:sz w:val="20"/>
          <w:szCs w:val="20"/>
          <w:color w:val="auto"/>
        </w:rPr>
      </w:pPr>
      <w:r>
        <w:rPr>
          <w:rFonts w:ascii="Arial" w:cs="Arial" w:eastAsia="Arial" w:hAnsi="Arial"/>
          <w:sz w:val="17"/>
          <w:szCs w:val="17"/>
          <w:color w:val="auto"/>
        </w:rPr>
        <w:t>Based on the foregoing work and analysis, at the closing of the merger the Evergy Board approved the salaries, target short-term incentive compensation (expressed as a percentage of base salary) and target long-term incentive compensation (expressed as a percentage of base salary) for each of the officers, other than the Chief Executive Officer. Following the closing of the merger, using the information discussed above, and following consultation with Meridian, the committee met to review the proposed salary, target short-term incentive compensation (expressed as a percentage of base salary) and target long-term incentive compensation (expressed as a percentage of base salary) for the Chief Executive Officer. The Board subsequently approved these amounts based on the recommendation of the Committee.</w:t>
      </w:r>
    </w:p>
    <w:p>
      <w:pPr>
        <w:spacing w:after="0" w:line="286" w:lineRule="exact"/>
        <w:rPr>
          <w:sz w:val="20"/>
          <w:szCs w:val="20"/>
          <w:color w:val="auto"/>
        </w:rPr>
      </w:pPr>
    </w:p>
    <w:p>
      <w:pPr>
        <w:jc w:val="both"/>
        <w:ind w:firstLine="172"/>
        <w:spacing w:after="0" w:line="245" w:lineRule="auto"/>
        <w:rPr>
          <w:sz w:val="20"/>
          <w:szCs w:val="20"/>
          <w:color w:val="auto"/>
        </w:rPr>
      </w:pPr>
      <w:r>
        <w:rPr>
          <w:rFonts w:ascii="Arial" w:cs="Arial" w:eastAsia="Arial" w:hAnsi="Arial"/>
          <w:sz w:val="17"/>
          <w:szCs w:val="17"/>
          <w:color w:val="auto"/>
        </w:rPr>
        <w:t>The base salaries, target short-term incentive compensation (expressed as a percentage of base salary) and target long-term incentive compensation (expressed as a percentage of base salary) of all executive officers, including NEOs, were unchanged in 2019 because they were set in the second half of 2018.</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Compensation Review Process</w:t>
      </w:r>
    </w:p>
    <w:p>
      <w:pPr>
        <w:spacing w:after="0" w:line="124" w:lineRule="exact"/>
        <w:rPr>
          <w:sz w:val="20"/>
          <w:szCs w:val="20"/>
          <w:color w:val="auto"/>
        </w:rPr>
      </w:pPr>
    </w:p>
    <w:p>
      <w:pPr>
        <w:jc w:val="both"/>
        <w:ind w:firstLine="172"/>
        <w:spacing w:after="0"/>
        <w:rPr>
          <w:sz w:val="20"/>
          <w:szCs w:val="20"/>
          <w:color w:val="auto"/>
        </w:rPr>
      </w:pPr>
      <w:r>
        <w:rPr>
          <w:rFonts w:ascii="Arial" w:cs="Arial" w:eastAsia="Arial" w:hAnsi="Arial"/>
          <w:sz w:val="17"/>
          <w:szCs w:val="17"/>
          <w:color w:val="auto"/>
        </w:rPr>
        <w:t>Our Compensation and Leadership Development Committee charter provides that, on an annual basis, the Committee is responsible for evaluating, and recommending for approval by the non-management members of the Board, Chief Executive Officer compensation, incentives and benefits. The charter further provides that, on an annual basis, the Committee is responsible for evaluating and approving the same for our other NEOs and for evaluating and advising our Chief Executive Officer on compensation, incentives and benefits for all other officers. Since all officer compensation was set in the second half of 2018 in connection with the merger, the Committee did not undertake a comprehensive annual review in 2019 separate and apart from the process related to the merger described above.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 Officers</w:t>
      </w:r>
    </w:p>
    <w:p>
      <w:pPr>
        <w:spacing w:after="0" w:line="124" w:lineRule="exact"/>
        <w:rPr>
          <w:sz w:val="20"/>
          <w:szCs w:val="20"/>
          <w:color w:val="auto"/>
        </w:rPr>
      </w:pPr>
    </w:p>
    <w:p>
      <w:pPr>
        <w:jc w:val="both"/>
        <w:ind w:firstLine="172"/>
        <w:spacing w:after="0" w:line="239" w:lineRule="auto"/>
        <w:rPr>
          <w:sz w:val="20"/>
          <w:szCs w:val="20"/>
          <w:color w:val="auto"/>
        </w:rPr>
      </w:pPr>
      <w:r>
        <w:rPr>
          <w:rFonts w:ascii="Arial" w:cs="Arial" w:eastAsia="Arial" w:hAnsi="Arial"/>
          <w:sz w:val="17"/>
          <w:szCs w:val="17"/>
          <w:color w:val="auto"/>
        </w:rPr>
        <w:t>While the Chief Executive Officer at times attends meetings of the Committee, he is not a member and does not vote on Committee matters. In addition, there are portions of committee meetings when the Chief Executive Officer is not present, such as when the Committee is in closed executive session or discusses the Chief Executive Officer’s performance or individual compensation. The Chief Executive Officer’s compensation levels and performance goals are recommended by the Committee for approval by the non-management members of the Board. Consistent with other companies, and in the ordinary course of their job responsibilities, the Chief Executive Officer and other executive officers play a role in the design and evaluation of the Company’s compensation programs and policies. For example, because of their extensive knowledge of the Company and its operations, these executives are in a position to suggest to the Committee operational and financial measures that align annual compensation with value for shareholders and customers. Notwithstanding this involvement, all compensation decisions for the Chief Executive Officer and the other NEOs are ultimately made by the Committee or the non-management members of the Board, and all compensation decisions for the officers are reviewed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5808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92" w:lineRule="exact"/>
        <w:rPr>
          <w:sz w:val="20"/>
          <w:szCs w:val="20"/>
          <w:color w:val="auto"/>
        </w:rPr>
      </w:pPr>
    </w:p>
    <w:p>
      <w:pPr>
        <w:ind w:left="520"/>
        <w:spacing w:after="0"/>
        <w:tabs>
          <w:tab w:leader="none" w:pos="348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Compensation Philosophy, Objectives and Process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240030</wp:posOffset>
            </wp:positionV>
            <wp:extent cx="5808980" cy="2051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FFFFFF"/>
        </w:rPr>
        <w:t>Summary and Analysis of Executive Compensation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primary elements of our executive compensation program are summarized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shd w:val="clear" w:color="auto" w:fill="307CC0"/>
          </w:tcPr>
          <w:p>
            <w:pPr>
              <w:ind w:left="400"/>
              <w:spacing w:after="0"/>
              <w:rPr>
                <w:sz w:val="20"/>
                <w:szCs w:val="20"/>
                <w:color w:val="auto"/>
              </w:rPr>
            </w:pPr>
            <w:r>
              <w:rPr>
                <w:rFonts w:ascii="Arial" w:cs="Arial" w:eastAsia="Arial" w:hAnsi="Arial"/>
                <w:sz w:val="17"/>
                <w:szCs w:val="17"/>
                <w:b w:val="1"/>
                <w:bCs w:val="1"/>
                <w:color w:val="FFFFFF"/>
              </w:rPr>
              <w:t>Compensation Component</w:t>
            </w:r>
          </w:p>
        </w:tc>
        <w:tc>
          <w:tcPr>
            <w:tcW w:w="360" w:type="dxa"/>
            <w:vAlign w:val="bottom"/>
            <w:shd w:val="clear" w:color="auto" w:fill="307CC0"/>
          </w:tcPr>
          <w:p>
            <w:pPr>
              <w:spacing w:after="0"/>
              <w:rPr>
                <w:sz w:val="19"/>
                <w:szCs w:val="19"/>
                <w:color w:val="auto"/>
              </w:rPr>
            </w:pPr>
          </w:p>
        </w:tc>
        <w:tc>
          <w:tcPr>
            <w:tcW w:w="2660" w:type="dxa"/>
            <w:vAlign w:val="bottom"/>
            <w:shd w:val="clear" w:color="auto" w:fill="307CC0"/>
          </w:tcPr>
          <w:p>
            <w:pPr>
              <w:ind w:left="700"/>
              <w:spacing w:after="0"/>
              <w:rPr>
                <w:sz w:val="20"/>
                <w:szCs w:val="20"/>
                <w:color w:val="auto"/>
              </w:rPr>
            </w:pPr>
            <w:r>
              <w:rPr>
                <w:rFonts w:ascii="Arial" w:cs="Arial" w:eastAsia="Arial" w:hAnsi="Arial"/>
                <w:sz w:val="17"/>
                <w:szCs w:val="17"/>
                <w:b w:val="1"/>
                <w:bCs w:val="1"/>
                <w:color w:val="FFFFFF"/>
              </w:rPr>
              <w:t>Description</w:t>
            </w:r>
          </w:p>
        </w:tc>
        <w:tc>
          <w:tcPr>
            <w:tcW w:w="400" w:type="dxa"/>
            <w:vAlign w:val="bottom"/>
            <w:shd w:val="clear" w:color="auto" w:fill="307CC0"/>
          </w:tcPr>
          <w:p>
            <w:pPr>
              <w:spacing w:after="0"/>
              <w:rPr>
                <w:sz w:val="19"/>
                <w:szCs w:val="19"/>
                <w:color w:val="auto"/>
              </w:rPr>
            </w:pPr>
          </w:p>
        </w:tc>
        <w:tc>
          <w:tcPr>
            <w:tcW w:w="2740" w:type="dxa"/>
            <w:vAlign w:val="bottom"/>
            <w:shd w:val="clear" w:color="auto" w:fill="307CC0"/>
          </w:tcPr>
          <w:p>
            <w:pPr>
              <w:ind w:left="800"/>
              <w:spacing w:after="0"/>
              <w:rPr>
                <w:sz w:val="20"/>
                <w:szCs w:val="20"/>
                <w:color w:val="auto"/>
              </w:rPr>
            </w:pPr>
            <w:r>
              <w:rPr>
                <w:rFonts w:ascii="Arial" w:cs="Arial" w:eastAsia="Arial" w:hAnsi="Arial"/>
                <w:sz w:val="17"/>
                <w:szCs w:val="17"/>
                <w:b w:val="1"/>
                <w:bCs w:val="1"/>
                <w:color w:val="FFFFFF"/>
              </w:rPr>
              <w:t>Objective</w:t>
            </w:r>
          </w:p>
        </w:tc>
        <w:tc>
          <w:tcPr>
            <w:tcW w:w="0" w:type="dxa"/>
            <w:vAlign w:val="bottom"/>
          </w:tcPr>
          <w:p>
            <w:pPr>
              <w:spacing w:after="0"/>
              <w:rPr>
                <w:sz w:val="1"/>
                <w:szCs w:val="1"/>
                <w:color w:val="auto"/>
              </w:rPr>
            </w:pPr>
          </w:p>
        </w:tc>
      </w:tr>
      <w:tr>
        <w:trPr>
          <w:trHeight w:val="220"/>
        </w:trPr>
        <w:tc>
          <w:tcPr>
            <w:tcW w:w="300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b w:val="1"/>
                <w:bCs w:val="1"/>
                <w:i w:val="1"/>
                <w:iCs w:val="1"/>
                <w:color w:val="auto"/>
              </w:rPr>
              <w:t>Cash Compensation</w:t>
            </w:r>
          </w:p>
        </w:tc>
        <w:tc>
          <w:tcPr>
            <w:tcW w:w="360" w:type="dxa"/>
            <w:vAlign w:val="bottom"/>
            <w:tcBorders>
              <w:bottom w:val="single" w:sz="8" w:color="307CC0"/>
            </w:tcBorders>
            <w:shd w:val="clear" w:color="auto" w:fill="D6E7FF"/>
          </w:tcPr>
          <w:p>
            <w:pPr>
              <w:spacing w:after="0"/>
              <w:rPr>
                <w:sz w:val="19"/>
                <w:szCs w:val="19"/>
                <w:color w:val="auto"/>
              </w:rPr>
            </w:pPr>
          </w:p>
        </w:tc>
        <w:tc>
          <w:tcPr>
            <w:tcW w:w="2660" w:type="dxa"/>
            <w:vAlign w:val="bottom"/>
            <w:tcBorders>
              <w:bottom w:val="single" w:sz="8" w:color="307CC0"/>
            </w:tcBorders>
            <w:shd w:val="clear" w:color="auto" w:fill="D6E7FF"/>
          </w:tcPr>
          <w:p>
            <w:pPr>
              <w:spacing w:after="0"/>
              <w:rPr>
                <w:sz w:val="19"/>
                <w:szCs w:val="19"/>
                <w:color w:val="auto"/>
              </w:rPr>
            </w:pPr>
          </w:p>
        </w:tc>
        <w:tc>
          <w:tcPr>
            <w:tcW w:w="400" w:type="dxa"/>
            <w:vAlign w:val="bottom"/>
            <w:tcBorders>
              <w:bottom w:val="single" w:sz="8" w:color="307CC0"/>
            </w:tcBorders>
            <w:shd w:val="clear" w:color="auto" w:fill="D6E7FF"/>
          </w:tcPr>
          <w:p>
            <w:pPr>
              <w:spacing w:after="0"/>
              <w:rPr>
                <w:sz w:val="19"/>
                <w:szCs w:val="19"/>
                <w:color w:val="auto"/>
              </w:rPr>
            </w:pPr>
          </w:p>
        </w:tc>
        <w:tc>
          <w:tcPr>
            <w:tcW w:w="2740" w:type="dxa"/>
            <w:vAlign w:val="bottom"/>
            <w:tcBorders>
              <w:bottom w:val="single" w:sz="8" w:color="307CC0"/>
            </w:tcBorders>
            <w:shd w:val="clear" w:color="auto" w:fill="D6E7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000" w:type="dxa"/>
            <w:vAlign w:val="bottom"/>
          </w:tcPr>
          <w:p>
            <w:pPr>
              <w:ind w:left="120"/>
              <w:spacing w:after="0"/>
              <w:rPr>
                <w:sz w:val="20"/>
                <w:szCs w:val="20"/>
                <w:color w:val="auto"/>
              </w:rPr>
            </w:pPr>
            <w:r>
              <w:rPr>
                <w:rFonts w:ascii="Arial" w:cs="Arial" w:eastAsia="Arial" w:hAnsi="Arial"/>
                <w:sz w:val="17"/>
                <w:szCs w:val="17"/>
                <w:color w:val="auto"/>
              </w:rPr>
              <w:t>Base Salary</w:t>
            </w: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Fixed compensation that is</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Provide competitive level of</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reviewed annually taking into</w:t>
            </w:r>
          </w:p>
        </w:tc>
        <w:tc>
          <w:tcPr>
            <w:tcW w:w="400" w:type="dxa"/>
            <w:vAlign w:val="bottom"/>
          </w:tcPr>
          <w:p>
            <w:pPr>
              <w:spacing w:after="0"/>
              <w:rPr>
                <w:sz w:val="16"/>
                <w:szCs w:val="16"/>
                <w:color w:val="auto"/>
              </w:rPr>
            </w:pPr>
          </w:p>
        </w:tc>
        <w:tc>
          <w:tcPr>
            <w:tcW w:w="2740" w:type="dxa"/>
            <w:vAlign w:val="bottom"/>
          </w:tcPr>
          <w:p>
            <w:pPr>
              <w:ind w:left="200"/>
              <w:spacing w:after="0" w:line="194" w:lineRule="exact"/>
              <w:rPr>
                <w:sz w:val="20"/>
                <w:szCs w:val="20"/>
                <w:color w:val="auto"/>
              </w:rPr>
            </w:pPr>
            <w:r>
              <w:rPr>
                <w:rFonts w:ascii="Arial" w:cs="Arial" w:eastAsia="Arial" w:hAnsi="Arial"/>
                <w:sz w:val="17"/>
                <w:szCs w:val="17"/>
                <w:color w:val="auto"/>
              </w:rPr>
              <w:t>fixed cash compensation</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consideration peer</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307CC0"/>
              </w:rPr>
              <w:t>▪</w:t>
            </w:r>
          </w:p>
        </w:tc>
        <w:tc>
          <w:tcPr>
            <w:tcW w:w="2740" w:type="dxa"/>
            <w:vAlign w:val="bottom"/>
            <w:vMerge w:val="restart"/>
          </w:tcPr>
          <w:p>
            <w:pPr>
              <w:ind w:left="200"/>
              <w:spacing w:after="0"/>
              <w:rPr>
                <w:sz w:val="20"/>
                <w:szCs w:val="20"/>
                <w:color w:val="auto"/>
              </w:rPr>
            </w:pPr>
            <w:r>
              <w:rPr>
                <w:rFonts w:ascii="Arial" w:cs="Arial" w:eastAsia="Arial" w:hAnsi="Arial"/>
                <w:sz w:val="17"/>
                <w:szCs w:val="17"/>
                <w:color w:val="auto"/>
              </w:rPr>
              <w:t>Recognize strong performers</w:t>
            </w: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60" w:type="dxa"/>
            <w:vAlign w:val="bottom"/>
            <w:vMerge w:val="restart"/>
          </w:tcPr>
          <w:p>
            <w:pPr>
              <w:ind w:left="200"/>
              <w:spacing w:after="0" w:line="194" w:lineRule="exact"/>
              <w:rPr>
                <w:sz w:val="20"/>
                <w:szCs w:val="20"/>
                <w:color w:val="auto"/>
              </w:rPr>
            </w:pPr>
            <w:r>
              <w:rPr>
                <w:rFonts w:ascii="Arial" w:cs="Arial" w:eastAsia="Arial" w:hAnsi="Arial"/>
                <w:sz w:val="17"/>
                <w:szCs w:val="17"/>
                <w:color w:val="auto"/>
              </w:rPr>
              <w:t>compensation information and</w:t>
            </w:r>
          </w:p>
        </w:tc>
        <w:tc>
          <w:tcPr>
            <w:tcW w:w="40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307CC0"/>
              </w:rPr>
              <w:t>▪</w:t>
            </w:r>
          </w:p>
        </w:tc>
        <w:tc>
          <w:tcPr>
            <w:tcW w:w="2740" w:type="dxa"/>
            <w:vAlign w:val="bottom"/>
            <w:vMerge w:val="restart"/>
          </w:tcPr>
          <w:p>
            <w:pPr>
              <w:ind w:left="200"/>
              <w:spacing w:after="0"/>
              <w:rPr>
                <w:sz w:val="20"/>
                <w:szCs w:val="20"/>
                <w:color w:val="auto"/>
              </w:rPr>
            </w:pPr>
            <w:r>
              <w:rPr>
                <w:rFonts w:ascii="Arial" w:cs="Arial" w:eastAsia="Arial" w:hAnsi="Arial"/>
                <w:sz w:val="17"/>
                <w:szCs w:val="17"/>
                <w:color w:val="auto"/>
              </w:rPr>
              <w:t>Attract and retain talent</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7"/>
                <w:szCs w:val="17"/>
                <w:color w:val="auto"/>
              </w:rPr>
              <w:t>individual performance</w:t>
            </w:r>
          </w:p>
        </w:tc>
        <w:tc>
          <w:tcPr>
            <w:tcW w:w="400" w:type="dxa"/>
            <w:vAlign w:val="bottom"/>
            <w:vMerge w:val="continue"/>
          </w:tcPr>
          <w:p>
            <w:pPr>
              <w:spacing w:after="0"/>
              <w:rPr>
                <w:sz w:val="18"/>
                <w:szCs w:val="18"/>
                <w:color w:val="auto"/>
              </w:rPr>
            </w:pP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Aligned within a reasonable</w:t>
            </w:r>
          </w:p>
        </w:tc>
        <w:tc>
          <w:tcPr>
            <w:tcW w:w="4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00" w:type="dxa"/>
            <w:vAlign w:val="bottom"/>
            <w:tcBorders>
              <w:bottom w:val="single" w:sz="8" w:color="307CC0"/>
            </w:tcBorders>
          </w:tcPr>
          <w:p>
            <w:pPr>
              <w:spacing w:after="0"/>
              <w:rPr>
                <w:sz w:val="18"/>
                <w:szCs w:val="18"/>
                <w:color w:val="auto"/>
              </w:rPr>
            </w:pPr>
          </w:p>
        </w:tc>
        <w:tc>
          <w:tcPr>
            <w:tcW w:w="360" w:type="dxa"/>
            <w:vAlign w:val="bottom"/>
            <w:tcBorders>
              <w:bottom w:val="single" w:sz="8" w:color="307CC0"/>
            </w:tcBorders>
          </w:tcPr>
          <w:p>
            <w:pPr>
              <w:spacing w:after="0"/>
              <w:rPr>
                <w:sz w:val="18"/>
                <w:szCs w:val="18"/>
                <w:color w:val="auto"/>
              </w:rPr>
            </w:pPr>
          </w:p>
        </w:tc>
        <w:tc>
          <w:tcPr>
            <w:tcW w:w="266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range of market median</w:t>
            </w:r>
          </w:p>
        </w:tc>
        <w:tc>
          <w:tcPr>
            <w:tcW w:w="400" w:type="dxa"/>
            <w:vAlign w:val="bottom"/>
            <w:tcBorders>
              <w:bottom w:val="single" w:sz="8" w:color="307CC0"/>
            </w:tcBorders>
          </w:tcPr>
          <w:p>
            <w:pPr>
              <w:spacing w:after="0"/>
              <w:rPr>
                <w:sz w:val="18"/>
                <w:szCs w:val="18"/>
                <w:color w:val="auto"/>
              </w:rPr>
            </w:pPr>
          </w:p>
        </w:tc>
        <w:tc>
          <w:tcPr>
            <w:tcW w:w="2740" w:type="dxa"/>
            <w:vAlign w:val="bottom"/>
            <w:tcBorders>
              <w:bottom w:val="single" w:sz="8" w:color="307CC0"/>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Pr>
          <w:p>
            <w:pPr>
              <w:ind w:left="120"/>
              <w:spacing w:after="0"/>
              <w:rPr>
                <w:sz w:val="20"/>
                <w:szCs w:val="20"/>
                <w:color w:val="auto"/>
              </w:rPr>
            </w:pPr>
            <w:r>
              <w:rPr>
                <w:rFonts w:ascii="Arial" w:cs="Arial" w:eastAsia="Arial" w:hAnsi="Arial"/>
                <w:sz w:val="17"/>
                <w:szCs w:val="17"/>
                <w:color w:val="auto"/>
              </w:rPr>
              <w:t>Short-Term Incentives</w:t>
            </w: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Variable compensation earned</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Incentivize behaviors that</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based on performance against</w:t>
            </w:r>
          </w:p>
        </w:tc>
        <w:tc>
          <w:tcPr>
            <w:tcW w:w="400" w:type="dxa"/>
            <w:vAlign w:val="bottom"/>
          </w:tcPr>
          <w:p>
            <w:pPr>
              <w:spacing w:after="0"/>
              <w:rPr>
                <w:sz w:val="16"/>
                <w:szCs w:val="16"/>
                <w:color w:val="auto"/>
              </w:rPr>
            </w:pPr>
          </w:p>
        </w:tc>
        <w:tc>
          <w:tcPr>
            <w:tcW w:w="2740" w:type="dxa"/>
            <w:vAlign w:val="bottom"/>
          </w:tcPr>
          <w:p>
            <w:pPr>
              <w:ind w:left="200"/>
              <w:spacing w:after="0" w:line="194" w:lineRule="exact"/>
              <w:rPr>
                <w:sz w:val="20"/>
                <w:szCs w:val="20"/>
                <w:color w:val="auto"/>
              </w:rPr>
            </w:pPr>
            <w:r>
              <w:rPr>
                <w:rFonts w:ascii="Arial" w:cs="Arial" w:eastAsia="Arial" w:hAnsi="Arial"/>
                <w:sz w:val="17"/>
                <w:szCs w:val="17"/>
                <w:color w:val="auto"/>
              </w:rPr>
              <w:t>contribute to operational</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pre-established objectives</w:t>
            </w:r>
          </w:p>
        </w:tc>
        <w:tc>
          <w:tcPr>
            <w:tcW w:w="400" w:type="dxa"/>
            <w:vAlign w:val="bottom"/>
          </w:tcPr>
          <w:p>
            <w:pPr>
              <w:spacing w:after="0"/>
              <w:rPr>
                <w:sz w:val="16"/>
                <w:szCs w:val="16"/>
                <w:color w:val="auto"/>
              </w:rPr>
            </w:pPr>
          </w:p>
        </w:tc>
        <w:tc>
          <w:tcPr>
            <w:tcW w:w="2740" w:type="dxa"/>
            <w:vAlign w:val="bottom"/>
          </w:tcPr>
          <w:p>
            <w:pPr>
              <w:ind w:left="200"/>
              <w:spacing w:after="0" w:line="194" w:lineRule="exact"/>
              <w:rPr>
                <w:sz w:val="20"/>
                <w:szCs w:val="20"/>
                <w:color w:val="auto"/>
              </w:rPr>
            </w:pPr>
            <w:r>
              <w:rPr>
                <w:rFonts w:ascii="Arial" w:cs="Arial" w:eastAsia="Arial" w:hAnsi="Arial"/>
                <w:sz w:val="17"/>
                <w:szCs w:val="17"/>
                <w:color w:val="auto"/>
              </w:rPr>
              <w:t>performance and shareholder</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307CC0"/>
            </w:tcBorders>
          </w:tcPr>
          <w:p>
            <w:pPr>
              <w:spacing w:after="0"/>
              <w:rPr>
                <w:sz w:val="19"/>
                <w:szCs w:val="19"/>
                <w:color w:val="auto"/>
              </w:rPr>
            </w:pPr>
          </w:p>
        </w:tc>
        <w:tc>
          <w:tcPr>
            <w:tcW w:w="360" w:type="dxa"/>
            <w:vAlign w:val="bottom"/>
            <w:tcBorders>
              <w:bottom w:val="single" w:sz="8" w:color="307CC0"/>
            </w:tcBorders>
          </w:tcPr>
          <w:p>
            <w:pPr>
              <w:spacing w:after="0"/>
              <w:rPr>
                <w:sz w:val="19"/>
                <w:szCs w:val="19"/>
                <w:color w:val="auto"/>
              </w:rPr>
            </w:pPr>
          </w:p>
        </w:tc>
        <w:tc>
          <w:tcPr>
            <w:tcW w:w="2660" w:type="dxa"/>
            <w:vAlign w:val="bottom"/>
            <w:tcBorders>
              <w:bottom w:val="single" w:sz="8" w:color="307CC0"/>
            </w:tcBorders>
          </w:tcPr>
          <w:p>
            <w:pPr>
              <w:spacing w:after="0"/>
              <w:rPr>
                <w:sz w:val="19"/>
                <w:szCs w:val="19"/>
                <w:color w:val="auto"/>
              </w:rPr>
            </w:pPr>
          </w:p>
        </w:tc>
        <w:tc>
          <w:tcPr>
            <w:tcW w:w="400" w:type="dxa"/>
            <w:vAlign w:val="bottom"/>
            <w:tcBorders>
              <w:bottom w:val="single" w:sz="8" w:color="307CC0"/>
            </w:tcBorders>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Attract and retain talent</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b w:val="1"/>
                <w:bCs w:val="1"/>
                <w:i w:val="1"/>
                <w:iCs w:val="1"/>
                <w:color w:val="auto"/>
              </w:rPr>
              <w:t>Equity Compensation</w:t>
            </w:r>
          </w:p>
        </w:tc>
        <w:tc>
          <w:tcPr>
            <w:tcW w:w="360" w:type="dxa"/>
            <w:vAlign w:val="bottom"/>
            <w:tcBorders>
              <w:bottom w:val="single" w:sz="8" w:color="307CC0"/>
            </w:tcBorders>
            <w:shd w:val="clear" w:color="auto" w:fill="D6E7FF"/>
          </w:tcPr>
          <w:p>
            <w:pPr>
              <w:spacing w:after="0"/>
              <w:rPr>
                <w:sz w:val="18"/>
                <w:szCs w:val="18"/>
                <w:color w:val="auto"/>
              </w:rPr>
            </w:pPr>
          </w:p>
        </w:tc>
        <w:tc>
          <w:tcPr>
            <w:tcW w:w="2660" w:type="dxa"/>
            <w:vAlign w:val="bottom"/>
            <w:tcBorders>
              <w:bottom w:val="single" w:sz="8" w:color="307CC0"/>
            </w:tcBorders>
            <w:shd w:val="clear" w:color="auto" w:fill="D6E7FF"/>
          </w:tcPr>
          <w:p>
            <w:pPr>
              <w:spacing w:after="0"/>
              <w:rPr>
                <w:sz w:val="18"/>
                <w:szCs w:val="18"/>
                <w:color w:val="auto"/>
              </w:rPr>
            </w:pPr>
          </w:p>
        </w:tc>
        <w:tc>
          <w:tcPr>
            <w:tcW w:w="400" w:type="dxa"/>
            <w:vAlign w:val="bottom"/>
            <w:tcBorders>
              <w:bottom w:val="single" w:sz="8" w:color="307CC0"/>
            </w:tcBorders>
            <w:shd w:val="clear" w:color="auto" w:fill="D6E7FF"/>
          </w:tcPr>
          <w:p>
            <w:pPr>
              <w:spacing w:after="0"/>
              <w:rPr>
                <w:sz w:val="18"/>
                <w:szCs w:val="18"/>
                <w:color w:val="auto"/>
              </w:rPr>
            </w:pPr>
          </w:p>
        </w:tc>
        <w:tc>
          <w:tcPr>
            <w:tcW w:w="2740" w:type="dxa"/>
            <w:vAlign w:val="bottom"/>
            <w:tcBorders>
              <w:bottom w:val="single" w:sz="8" w:color="307CC0"/>
            </w:tcBorders>
            <w:shd w:val="clear" w:color="auto" w:fill="D6E7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Pr>
          <w:p>
            <w:pPr>
              <w:ind w:left="120"/>
              <w:spacing w:after="0"/>
              <w:rPr>
                <w:sz w:val="20"/>
                <w:szCs w:val="20"/>
                <w:color w:val="auto"/>
              </w:rPr>
            </w:pPr>
            <w:r>
              <w:rPr>
                <w:rFonts w:ascii="Arial" w:cs="Arial" w:eastAsia="Arial" w:hAnsi="Arial"/>
                <w:sz w:val="17"/>
                <w:szCs w:val="17"/>
                <w:color w:val="auto"/>
              </w:rPr>
              <w:t>Restricted Equity Incentives</w:t>
            </w: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75% of incentives are</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Incentivize creation of long-</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performance-based, and 25%</w:t>
            </w:r>
          </w:p>
        </w:tc>
        <w:tc>
          <w:tcPr>
            <w:tcW w:w="400" w:type="dxa"/>
            <w:vAlign w:val="bottom"/>
          </w:tcPr>
          <w:p>
            <w:pPr>
              <w:spacing w:after="0"/>
              <w:rPr>
                <w:sz w:val="16"/>
                <w:szCs w:val="16"/>
                <w:color w:val="auto"/>
              </w:rPr>
            </w:pPr>
          </w:p>
        </w:tc>
        <w:tc>
          <w:tcPr>
            <w:tcW w:w="2740" w:type="dxa"/>
            <w:vAlign w:val="bottom"/>
          </w:tcPr>
          <w:p>
            <w:pPr>
              <w:ind w:left="200"/>
              <w:spacing w:after="0" w:line="194" w:lineRule="exact"/>
              <w:rPr>
                <w:sz w:val="20"/>
                <w:szCs w:val="20"/>
                <w:color w:val="auto"/>
              </w:rPr>
            </w:pPr>
            <w:r>
              <w:rPr>
                <w:rFonts w:ascii="Arial" w:cs="Arial" w:eastAsia="Arial" w:hAnsi="Arial"/>
                <w:sz w:val="17"/>
                <w:szCs w:val="17"/>
                <w:color w:val="auto"/>
              </w:rPr>
              <w:t>term shareholder value</w:t>
            </w:r>
          </w:p>
        </w:tc>
        <w:tc>
          <w:tcPr>
            <w:tcW w:w="0" w:type="dxa"/>
            <w:vAlign w:val="bottom"/>
          </w:tcPr>
          <w:p>
            <w:pPr>
              <w:spacing w:after="0"/>
              <w:rPr>
                <w:sz w:val="1"/>
                <w:szCs w:val="1"/>
                <w:color w:val="auto"/>
              </w:rPr>
            </w:pPr>
          </w:p>
        </w:tc>
      </w:tr>
      <w:tr>
        <w:trPr>
          <w:trHeight w:val="220"/>
        </w:trPr>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ind w:left="200"/>
              <w:spacing w:after="0"/>
              <w:rPr>
                <w:sz w:val="20"/>
                <w:szCs w:val="20"/>
                <w:color w:val="auto"/>
              </w:rPr>
            </w:pPr>
            <w:r>
              <w:rPr>
                <w:rFonts w:ascii="Arial" w:cs="Arial" w:eastAsia="Arial" w:hAnsi="Arial"/>
                <w:sz w:val="17"/>
                <w:szCs w:val="17"/>
                <w:color w:val="auto"/>
              </w:rPr>
              <w:t>are time-based</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Align compensation with</w:t>
            </w:r>
          </w:p>
        </w:tc>
        <w:tc>
          <w:tcPr>
            <w:tcW w:w="0" w:type="dxa"/>
            <w:vAlign w:val="bottom"/>
          </w:tcPr>
          <w:p>
            <w:pPr>
              <w:spacing w:after="0"/>
              <w:rPr>
                <w:sz w:val="1"/>
                <w:szCs w:val="1"/>
                <w:color w:val="auto"/>
              </w:rPr>
            </w:pPr>
          </w:p>
        </w:tc>
      </w:tr>
      <w:tr>
        <w:trPr>
          <w:trHeight w:val="207"/>
        </w:trPr>
        <w:tc>
          <w:tcPr>
            <w:tcW w:w="300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Equity incentives with three</w:t>
            </w:r>
          </w:p>
        </w:tc>
        <w:tc>
          <w:tcPr>
            <w:tcW w:w="400" w:type="dxa"/>
            <w:vAlign w:val="bottom"/>
          </w:tcPr>
          <w:p>
            <w:pPr>
              <w:spacing w:after="0"/>
              <w:rPr>
                <w:sz w:val="17"/>
                <w:szCs w:val="17"/>
                <w:color w:val="auto"/>
              </w:rPr>
            </w:pPr>
          </w:p>
        </w:tc>
        <w:tc>
          <w:tcPr>
            <w:tcW w:w="2740" w:type="dxa"/>
            <w:vAlign w:val="bottom"/>
          </w:tcPr>
          <w:p>
            <w:pPr>
              <w:ind w:left="200"/>
              <w:spacing w:after="0"/>
              <w:rPr>
                <w:sz w:val="20"/>
                <w:szCs w:val="20"/>
                <w:color w:val="auto"/>
              </w:rPr>
            </w:pPr>
            <w:r>
              <w:rPr>
                <w:rFonts w:ascii="Arial" w:cs="Arial" w:eastAsia="Arial" w:hAnsi="Arial"/>
                <w:sz w:val="17"/>
                <w:szCs w:val="17"/>
                <w:color w:val="auto"/>
              </w:rPr>
              <w:t>shareholder interests</w:t>
            </w: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60" w:type="dxa"/>
            <w:vAlign w:val="bottom"/>
          </w:tcPr>
          <w:p>
            <w:pPr>
              <w:ind w:left="200"/>
              <w:spacing w:after="0"/>
              <w:rPr>
                <w:sz w:val="20"/>
                <w:szCs w:val="20"/>
                <w:color w:val="auto"/>
              </w:rPr>
            </w:pPr>
            <w:r>
              <w:rPr>
                <w:rFonts w:ascii="Arial" w:cs="Arial" w:eastAsia="Arial" w:hAnsi="Arial"/>
                <w:sz w:val="17"/>
                <w:szCs w:val="17"/>
                <w:color w:val="auto"/>
              </w:rPr>
              <w:t>year “cliff” vesting</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Build stock ownership</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307CC0"/>
            </w:tcBorders>
          </w:tcPr>
          <w:p>
            <w:pPr>
              <w:spacing w:after="0"/>
              <w:rPr>
                <w:sz w:val="19"/>
                <w:szCs w:val="19"/>
                <w:color w:val="auto"/>
              </w:rPr>
            </w:pPr>
          </w:p>
        </w:tc>
        <w:tc>
          <w:tcPr>
            <w:tcW w:w="360" w:type="dxa"/>
            <w:vAlign w:val="bottom"/>
            <w:tcBorders>
              <w:bottom w:val="single" w:sz="8" w:color="307CC0"/>
            </w:tcBorders>
          </w:tcPr>
          <w:p>
            <w:pPr>
              <w:spacing w:after="0"/>
              <w:rPr>
                <w:sz w:val="19"/>
                <w:szCs w:val="19"/>
                <w:color w:val="auto"/>
              </w:rPr>
            </w:pPr>
          </w:p>
        </w:tc>
        <w:tc>
          <w:tcPr>
            <w:tcW w:w="2660" w:type="dxa"/>
            <w:vAlign w:val="bottom"/>
            <w:tcBorders>
              <w:bottom w:val="single" w:sz="8" w:color="307CC0"/>
            </w:tcBorders>
          </w:tcPr>
          <w:p>
            <w:pPr>
              <w:spacing w:after="0"/>
              <w:rPr>
                <w:sz w:val="19"/>
                <w:szCs w:val="19"/>
                <w:color w:val="auto"/>
              </w:rPr>
            </w:pPr>
          </w:p>
        </w:tc>
        <w:tc>
          <w:tcPr>
            <w:tcW w:w="400" w:type="dxa"/>
            <w:vAlign w:val="bottom"/>
            <w:tcBorders>
              <w:bottom w:val="single" w:sz="8" w:color="307CC0"/>
            </w:tcBorders>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Attract and retain talent</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b w:val="1"/>
                <w:bCs w:val="1"/>
                <w:i w:val="1"/>
                <w:iCs w:val="1"/>
                <w:color w:val="auto"/>
              </w:rPr>
              <w:t>Other Compensation Components</w:t>
            </w:r>
          </w:p>
        </w:tc>
        <w:tc>
          <w:tcPr>
            <w:tcW w:w="360" w:type="dxa"/>
            <w:vAlign w:val="bottom"/>
            <w:tcBorders>
              <w:bottom w:val="single" w:sz="8" w:color="307CC0"/>
            </w:tcBorders>
            <w:shd w:val="clear" w:color="auto" w:fill="D6E7FF"/>
          </w:tcPr>
          <w:p>
            <w:pPr>
              <w:spacing w:after="0"/>
              <w:rPr>
                <w:sz w:val="18"/>
                <w:szCs w:val="18"/>
                <w:color w:val="auto"/>
              </w:rPr>
            </w:pPr>
          </w:p>
        </w:tc>
        <w:tc>
          <w:tcPr>
            <w:tcW w:w="2660" w:type="dxa"/>
            <w:vAlign w:val="bottom"/>
            <w:tcBorders>
              <w:bottom w:val="single" w:sz="8" w:color="307CC0"/>
            </w:tcBorders>
            <w:shd w:val="clear" w:color="auto" w:fill="D6E7FF"/>
          </w:tcPr>
          <w:p>
            <w:pPr>
              <w:spacing w:after="0"/>
              <w:rPr>
                <w:sz w:val="18"/>
                <w:szCs w:val="18"/>
                <w:color w:val="auto"/>
              </w:rPr>
            </w:pPr>
          </w:p>
        </w:tc>
        <w:tc>
          <w:tcPr>
            <w:tcW w:w="400" w:type="dxa"/>
            <w:vAlign w:val="bottom"/>
            <w:tcBorders>
              <w:bottom w:val="single" w:sz="8" w:color="307CC0"/>
            </w:tcBorders>
            <w:shd w:val="clear" w:color="auto" w:fill="D6E7FF"/>
          </w:tcPr>
          <w:p>
            <w:pPr>
              <w:spacing w:after="0"/>
              <w:rPr>
                <w:sz w:val="18"/>
                <w:szCs w:val="18"/>
                <w:color w:val="auto"/>
              </w:rPr>
            </w:pPr>
          </w:p>
        </w:tc>
        <w:tc>
          <w:tcPr>
            <w:tcW w:w="2740" w:type="dxa"/>
            <w:vAlign w:val="bottom"/>
            <w:tcBorders>
              <w:bottom w:val="single" w:sz="8" w:color="307CC0"/>
            </w:tcBorders>
            <w:shd w:val="clear" w:color="auto" w:fill="D6E7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0" w:type="dxa"/>
            <w:vAlign w:val="bottom"/>
          </w:tcPr>
          <w:p>
            <w:pPr>
              <w:ind w:left="120"/>
              <w:spacing w:after="0"/>
              <w:rPr>
                <w:sz w:val="20"/>
                <w:szCs w:val="20"/>
                <w:color w:val="auto"/>
              </w:rPr>
            </w:pPr>
            <w:r>
              <w:rPr>
                <w:rFonts w:ascii="Arial" w:cs="Arial" w:eastAsia="Arial" w:hAnsi="Arial"/>
                <w:sz w:val="17"/>
                <w:szCs w:val="17"/>
                <w:color w:val="auto"/>
              </w:rPr>
              <w:t>Deferred Compensation</w:t>
            </w: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Unfunded, non-qualified plan</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Attract and retain talent</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that allows all officers to defer</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307CC0"/>
              </w:rPr>
              <w:t>▪</w:t>
            </w:r>
          </w:p>
        </w:tc>
        <w:tc>
          <w:tcPr>
            <w:tcW w:w="2740" w:type="dxa"/>
            <w:vAlign w:val="bottom"/>
            <w:vMerge w:val="restart"/>
          </w:tcPr>
          <w:p>
            <w:pPr>
              <w:ind w:left="200"/>
              <w:spacing w:after="0"/>
              <w:rPr>
                <w:sz w:val="20"/>
                <w:szCs w:val="20"/>
                <w:color w:val="auto"/>
              </w:rPr>
            </w:pPr>
            <w:r>
              <w:rPr>
                <w:rFonts w:ascii="Arial" w:cs="Arial" w:eastAsia="Arial" w:hAnsi="Arial"/>
                <w:sz w:val="17"/>
                <w:szCs w:val="17"/>
                <w:color w:val="auto"/>
              </w:rPr>
              <w:t>Provide compensation deferrals</w:t>
            </w:r>
          </w:p>
        </w:tc>
        <w:tc>
          <w:tcPr>
            <w:tcW w:w="0" w:type="dxa"/>
            <w:vAlign w:val="bottom"/>
          </w:tcPr>
          <w:p>
            <w:pPr>
              <w:spacing w:after="0"/>
              <w:rPr>
                <w:sz w:val="1"/>
                <w:szCs w:val="1"/>
                <w:color w:val="auto"/>
              </w:rPr>
            </w:pPr>
          </w:p>
        </w:tc>
      </w:tr>
      <w:tr>
        <w:trPr>
          <w:trHeight w:val="78"/>
        </w:trPr>
        <w:tc>
          <w:tcPr>
            <w:tcW w:w="3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60" w:type="dxa"/>
            <w:vAlign w:val="bottom"/>
            <w:vMerge w:val="restart"/>
          </w:tcPr>
          <w:p>
            <w:pPr>
              <w:ind w:left="200"/>
              <w:spacing w:after="0" w:line="194" w:lineRule="exact"/>
              <w:rPr>
                <w:sz w:val="20"/>
                <w:szCs w:val="20"/>
                <w:color w:val="auto"/>
              </w:rPr>
            </w:pPr>
            <w:r>
              <w:rPr>
                <w:rFonts w:ascii="Arial" w:cs="Arial" w:eastAsia="Arial" w:hAnsi="Arial"/>
                <w:sz w:val="17"/>
                <w:szCs w:val="17"/>
                <w:color w:val="auto"/>
              </w:rPr>
              <w:t>the receipt of certain cash</w:t>
            </w:r>
          </w:p>
        </w:tc>
        <w:tc>
          <w:tcPr>
            <w:tcW w:w="400" w:type="dxa"/>
            <w:vAlign w:val="bottom"/>
            <w:vMerge w:val="continue"/>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2740" w:type="dxa"/>
            <w:vAlign w:val="bottom"/>
            <w:vMerge w:val="restart"/>
          </w:tcPr>
          <w:p>
            <w:pPr>
              <w:ind w:left="200"/>
              <w:spacing w:after="0"/>
              <w:rPr>
                <w:sz w:val="20"/>
                <w:szCs w:val="20"/>
                <w:color w:val="auto"/>
              </w:rPr>
            </w:pPr>
            <w:r>
              <w:rPr>
                <w:rFonts w:ascii="Arial" w:cs="Arial" w:eastAsia="Arial" w:hAnsi="Arial"/>
                <w:sz w:val="17"/>
                <w:szCs w:val="17"/>
                <w:color w:val="auto"/>
              </w:rPr>
              <w:t>in a tax-efficient manner</w:t>
            </w:r>
          </w:p>
        </w:tc>
        <w:tc>
          <w:tcPr>
            <w:tcW w:w="0" w:type="dxa"/>
            <w:vAlign w:val="bottom"/>
          </w:tcPr>
          <w:p>
            <w:pPr>
              <w:spacing w:after="0"/>
              <w:rPr>
                <w:sz w:val="1"/>
                <w:szCs w:val="1"/>
                <w:color w:val="auto"/>
              </w:rPr>
            </w:pPr>
          </w:p>
        </w:tc>
      </w:tr>
      <w:tr>
        <w:trPr>
          <w:trHeight w:val="92"/>
        </w:trPr>
        <w:tc>
          <w:tcPr>
            <w:tcW w:w="30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60" w:type="dxa"/>
            <w:vAlign w:val="bottom"/>
            <w:vMerge w:val="restart"/>
          </w:tcPr>
          <w:p>
            <w:pPr>
              <w:ind w:left="200"/>
              <w:spacing w:after="0"/>
              <w:rPr>
                <w:sz w:val="20"/>
                <w:szCs w:val="20"/>
                <w:color w:val="auto"/>
              </w:rPr>
            </w:pPr>
            <w:r>
              <w:rPr>
                <w:rFonts w:ascii="Arial" w:cs="Arial" w:eastAsia="Arial" w:hAnsi="Arial"/>
                <w:sz w:val="17"/>
                <w:szCs w:val="17"/>
                <w:color w:val="auto"/>
              </w:rPr>
              <w:t>compensation</w:t>
            </w:r>
          </w:p>
        </w:tc>
        <w:tc>
          <w:tcPr>
            <w:tcW w:w="4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000" w:type="dxa"/>
            <w:vAlign w:val="bottom"/>
            <w:tcBorders>
              <w:bottom w:val="single" w:sz="8" w:color="307CC0"/>
            </w:tcBorders>
          </w:tcPr>
          <w:p>
            <w:pPr>
              <w:spacing w:after="0"/>
              <w:rPr>
                <w:sz w:val="10"/>
                <w:szCs w:val="10"/>
                <w:color w:val="auto"/>
              </w:rPr>
            </w:pPr>
          </w:p>
        </w:tc>
        <w:tc>
          <w:tcPr>
            <w:tcW w:w="360" w:type="dxa"/>
            <w:vAlign w:val="bottom"/>
            <w:tcBorders>
              <w:bottom w:val="single" w:sz="8" w:color="307CC0"/>
            </w:tcBorders>
          </w:tcPr>
          <w:p>
            <w:pPr>
              <w:spacing w:after="0"/>
              <w:rPr>
                <w:sz w:val="10"/>
                <w:szCs w:val="10"/>
                <w:color w:val="auto"/>
              </w:rPr>
            </w:pPr>
          </w:p>
        </w:tc>
        <w:tc>
          <w:tcPr>
            <w:tcW w:w="2660" w:type="dxa"/>
            <w:vAlign w:val="bottom"/>
            <w:tcBorders>
              <w:bottom w:val="single" w:sz="8" w:color="307CC0"/>
            </w:tcBorders>
            <w:vMerge w:val="continue"/>
          </w:tcPr>
          <w:p>
            <w:pPr>
              <w:spacing w:after="0"/>
              <w:rPr>
                <w:sz w:val="10"/>
                <w:szCs w:val="10"/>
                <w:color w:val="auto"/>
              </w:rPr>
            </w:pPr>
          </w:p>
        </w:tc>
        <w:tc>
          <w:tcPr>
            <w:tcW w:w="400" w:type="dxa"/>
            <w:vAlign w:val="bottom"/>
            <w:tcBorders>
              <w:bottom w:val="single" w:sz="8" w:color="307CC0"/>
            </w:tcBorders>
          </w:tcPr>
          <w:p>
            <w:pPr>
              <w:spacing w:after="0"/>
              <w:rPr>
                <w:sz w:val="10"/>
                <w:szCs w:val="10"/>
                <w:color w:val="auto"/>
              </w:rPr>
            </w:pPr>
          </w:p>
        </w:tc>
        <w:tc>
          <w:tcPr>
            <w:tcW w:w="2740" w:type="dxa"/>
            <w:vAlign w:val="bottom"/>
            <w:tcBorders>
              <w:bottom w:val="single" w:sz="8" w:color="307CC0"/>
            </w:tcBorders>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3000" w:type="dxa"/>
            <w:vAlign w:val="bottom"/>
          </w:tcPr>
          <w:p>
            <w:pPr>
              <w:ind w:left="120"/>
              <w:spacing w:after="0"/>
              <w:rPr>
                <w:sz w:val="20"/>
                <w:szCs w:val="20"/>
                <w:color w:val="auto"/>
              </w:rPr>
            </w:pPr>
            <w:r>
              <w:rPr>
                <w:rFonts w:ascii="Arial" w:cs="Arial" w:eastAsia="Arial" w:hAnsi="Arial"/>
                <w:sz w:val="17"/>
                <w:szCs w:val="17"/>
                <w:color w:val="auto"/>
              </w:rPr>
              <w:t>Retirement Benefits</w:t>
            </w: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Pension plan*</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Provide competitive total</w:t>
            </w:r>
          </w:p>
        </w:tc>
        <w:tc>
          <w:tcPr>
            <w:tcW w:w="0" w:type="dxa"/>
            <w:vAlign w:val="bottom"/>
          </w:tcPr>
          <w:p>
            <w:pPr>
              <w:spacing w:after="0"/>
              <w:rPr>
                <w:sz w:val="1"/>
                <w:szCs w:val="1"/>
                <w:color w:val="auto"/>
              </w:rPr>
            </w:pPr>
          </w:p>
        </w:tc>
      </w:tr>
      <w:tr>
        <w:trPr>
          <w:trHeight w:val="220"/>
        </w:trPr>
        <w:tc>
          <w:tcPr>
            <w:tcW w:w="30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Supplemental executive</w:t>
            </w:r>
          </w:p>
        </w:tc>
        <w:tc>
          <w:tcPr>
            <w:tcW w:w="400" w:type="dxa"/>
            <w:vAlign w:val="bottom"/>
          </w:tcPr>
          <w:p>
            <w:pPr>
              <w:spacing w:after="0"/>
              <w:rPr>
                <w:sz w:val="19"/>
                <w:szCs w:val="19"/>
                <w:color w:val="auto"/>
              </w:rPr>
            </w:pPr>
          </w:p>
        </w:tc>
        <w:tc>
          <w:tcPr>
            <w:tcW w:w="2740" w:type="dxa"/>
            <w:vAlign w:val="bottom"/>
          </w:tcPr>
          <w:p>
            <w:pPr>
              <w:ind w:left="200"/>
              <w:spacing w:after="0"/>
              <w:rPr>
                <w:sz w:val="20"/>
                <w:szCs w:val="20"/>
                <w:color w:val="auto"/>
              </w:rPr>
            </w:pPr>
            <w:r>
              <w:rPr>
                <w:rFonts w:ascii="Arial" w:cs="Arial" w:eastAsia="Arial" w:hAnsi="Arial"/>
                <w:sz w:val="17"/>
                <w:szCs w:val="17"/>
                <w:color w:val="auto"/>
              </w:rPr>
              <w:t>compensation package</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tcPr>
          <w:p>
            <w:pPr>
              <w:ind w:left="200"/>
              <w:spacing w:after="0"/>
              <w:rPr>
                <w:sz w:val="20"/>
                <w:szCs w:val="20"/>
                <w:color w:val="auto"/>
              </w:rPr>
            </w:pPr>
            <w:r>
              <w:rPr>
                <w:rFonts w:ascii="Arial" w:cs="Arial" w:eastAsia="Arial" w:hAnsi="Arial"/>
                <w:sz w:val="17"/>
                <w:szCs w:val="17"/>
                <w:color w:val="auto"/>
              </w:rPr>
              <w:t>retirement plans</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Facilitate succession planning</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307CC0"/>
            </w:tcBorders>
          </w:tcPr>
          <w:p>
            <w:pPr>
              <w:spacing w:after="0"/>
              <w:rPr>
                <w:sz w:val="19"/>
                <w:szCs w:val="19"/>
                <w:color w:val="auto"/>
              </w:rPr>
            </w:pPr>
          </w:p>
        </w:tc>
        <w:tc>
          <w:tcPr>
            <w:tcW w:w="360" w:type="dxa"/>
            <w:vAlign w:val="bottom"/>
            <w:tcBorders>
              <w:bottom w:val="single" w:sz="8" w:color="307CC0"/>
            </w:tcBorders>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401(k) plan</w:t>
            </w:r>
          </w:p>
        </w:tc>
        <w:tc>
          <w:tcPr>
            <w:tcW w:w="400" w:type="dxa"/>
            <w:vAlign w:val="bottom"/>
            <w:tcBorders>
              <w:bottom w:val="single" w:sz="8" w:color="307CC0"/>
            </w:tcBorders>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Attract and retain talent</w:t>
            </w:r>
          </w:p>
        </w:tc>
        <w:tc>
          <w:tcPr>
            <w:tcW w:w="0" w:type="dxa"/>
            <w:vAlign w:val="bottom"/>
          </w:tcPr>
          <w:p>
            <w:pPr>
              <w:spacing w:after="0"/>
              <w:rPr>
                <w:sz w:val="1"/>
                <w:szCs w:val="1"/>
                <w:color w:val="auto"/>
              </w:rPr>
            </w:pPr>
          </w:p>
        </w:tc>
      </w:tr>
      <w:tr>
        <w:trPr>
          <w:trHeight w:val="199"/>
        </w:trPr>
        <w:tc>
          <w:tcPr>
            <w:tcW w:w="3000" w:type="dxa"/>
            <w:vAlign w:val="bottom"/>
          </w:tcPr>
          <w:p>
            <w:pPr>
              <w:ind w:left="120"/>
              <w:spacing w:after="0"/>
              <w:rPr>
                <w:sz w:val="20"/>
                <w:szCs w:val="20"/>
                <w:color w:val="auto"/>
              </w:rPr>
            </w:pPr>
            <w:r>
              <w:rPr>
                <w:rFonts w:ascii="Arial" w:cs="Arial" w:eastAsia="Arial" w:hAnsi="Arial"/>
                <w:sz w:val="17"/>
                <w:szCs w:val="17"/>
                <w:color w:val="auto"/>
              </w:rPr>
              <w:t>Change-in-Control Benefits</w:t>
            </w: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Payments in the event of (i)</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Align executive interests with</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change-in-control and (ii)</w:t>
            </w:r>
          </w:p>
        </w:tc>
        <w:tc>
          <w:tcPr>
            <w:tcW w:w="400" w:type="dxa"/>
            <w:vAlign w:val="bottom"/>
          </w:tcPr>
          <w:p>
            <w:pPr>
              <w:spacing w:after="0"/>
              <w:rPr>
                <w:sz w:val="16"/>
                <w:szCs w:val="16"/>
                <w:color w:val="auto"/>
              </w:rPr>
            </w:pPr>
          </w:p>
        </w:tc>
        <w:tc>
          <w:tcPr>
            <w:tcW w:w="2740" w:type="dxa"/>
            <w:vAlign w:val="bottom"/>
          </w:tcPr>
          <w:p>
            <w:pPr>
              <w:ind w:left="200"/>
              <w:spacing w:after="0" w:line="194" w:lineRule="exact"/>
              <w:rPr>
                <w:sz w:val="20"/>
                <w:szCs w:val="20"/>
                <w:color w:val="auto"/>
              </w:rPr>
            </w:pPr>
            <w:r>
              <w:rPr>
                <w:rFonts w:ascii="Arial" w:cs="Arial" w:eastAsia="Arial" w:hAnsi="Arial"/>
                <w:sz w:val="17"/>
                <w:szCs w:val="17"/>
                <w:color w:val="auto"/>
              </w:rPr>
              <w:t>shareholder interests</w:t>
            </w:r>
          </w:p>
        </w:tc>
        <w:tc>
          <w:tcPr>
            <w:tcW w:w="0" w:type="dxa"/>
            <w:vAlign w:val="bottom"/>
          </w:tcPr>
          <w:p>
            <w:pPr>
              <w:spacing w:after="0"/>
              <w:rPr>
                <w:sz w:val="1"/>
                <w:szCs w:val="1"/>
                <w:color w:val="auto"/>
              </w:rPr>
            </w:pPr>
          </w:p>
        </w:tc>
      </w:tr>
      <w:tr>
        <w:trPr>
          <w:trHeight w:val="233"/>
        </w:trPr>
        <w:tc>
          <w:tcPr>
            <w:tcW w:w="3000" w:type="dxa"/>
            <w:vAlign w:val="bottom"/>
            <w:tcBorders>
              <w:bottom w:val="single" w:sz="8" w:color="307CC0"/>
            </w:tcBorders>
          </w:tcPr>
          <w:p>
            <w:pPr>
              <w:spacing w:after="0"/>
              <w:rPr>
                <w:sz w:val="20"/>
                <w:szCs w:val="20"/>
                <w:color w:val="auto"/>
              </w:rPr>
            </w:pPr>
          </w:p>
        </w:tc>
        <w:tc>
          <w:tcPr>
            <w:tcW w:w="360" w:type="dxa"/>
            <w:vAlign w:val="bottom"/>
            <w:tcBorders>
              <w:bottom w:val="single" w:sz="8" w:color="307CC0"/>
            </w:tcBorders>
          </w:tcPr>
          <w:p>
            <w:pPr>
              <w:spacing w:after="0"/>
              <w:rPr>
                <w:sz w:val="20"/>
                <w:szCs w:val="20"/>
                <w:color w:val="auto"/>
              </w:rPr>
            </w:pPr>
          </w:p>
        </w:tc>
        <w:tc>
          <w:tcPr>
            <w:tcW w:w="266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termination of employment</w:t>
            </w:r>
          </w:p>
        </w:tc>
        <w:tc>
          <w:tcPr>
            <w:tcW w:w="400" w:type="dxa"/>
            <w:vAlign w:val="bottom"/>
            <w:tcBorders>
              <w:bottom w:val="single" w:sz="8" w:color="307CC0"/>
            </w:tcBorders>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Attract and retain talent</w:t>
            </w:r>
          </w:p>
        </w:tc>
        <w:tc>
          <w:tcPr>
            <w:tcW w:w="0" w:type="dxa"/>
            <w:vAlign w:val="bottom"/>
          </w:tcPr>
          <w:p>
            <w:pPr>
              <w:spacing w:after="0"/>
              <w:rPr>
                <w:sz w:val="1"/>
                <w:szCs w:val="1"/>
                <w:color w:val="auto"/>
              </w:rPr>
            </w:pPr>
          </w:p>
        </w:tc>
      </w:tr>
      <w:tr>
        <w:trPr>
          <w:trHeight w:val="199"/>
        </w:trPr>
        <w:tc>
          <w:tcPr>
            <w:tcW w:w="3000" w:type="dxa"/>
            <w:vAlign w:val="bottom"/>
          </w:tcPr>
          <w:p>
            <w:pPr>
              <w:ind w:left="120"/>
              <w:spacing w:after="0"/>
              <w:rPr>
                <w:sz w:val="20"/>
                <w:szCs w:val="20"/>
                <w:color w:val="auto"/>
              </w:rPr>
            </w:pPr>
            <w:r>
              <w:rPr>
                <w:rFonts w:ascii="Arial" w:cs="Arial" w:eastAsia="Arial" w:hAnsi="Arial"/>
                <w:sz w:val="17"/>
                <w:szCs w:val="17"/>
                <w:color w:val="auto"/>
              </w:rPr>
              <w:t>Executive Severance Benefits</w:t>
            </w: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Payments in the event of</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Align executive interests with</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termination of employment</w:t>
            </w:r>
          </w:p>
        </w:tc>
        <w:tc>
          <w:tcPr>
            <w:tcW w:w="400" w:type="dxa"/>
            <w:vAlign w:val="bottom"/>
          </w:tcPr>
          <w:p>
            <w:pPr>
              <w:spacing w:after="0"/>
              <w:rPr>
                <w:sz w:val="16"/>
                <w:szCs w:val="16"/>
                <w:color w:val="auto"/>
              </w:rPr>
            </w:pPr>
          </w:p>
        </w:tc>
        <w:tc>
          <w:tcPr>
            <w:tcW w:w="2740" w:type="dxa"/>
            <w:vAlign w:val="bottom"/>
          </w:tcPr>
          <w:p>
            <w:pPr>
              <w:ind w:left="200"/>
              <w:spacing w:after="0" w:line="194" w:lineRule="exact"/>
              <w:rPr>
                <w:sz w:val="20"/>
                <w:szCs w:val="20"/>
                <w:color w:val="auto"/>
              </w:rPr>
            </w:pPr>
            <w:r>
              <w:rPr>
                <w:rFonts w:ascii="Arial" w:cs="Arial" w:eastAsia="Arial" w:hAnsi="Arial"/>
                <w:sz w:val="17"/>
                <w:szCs w:val="17"/>
                <w:color w:val="auto"/>
              </w:rPr>
              <w:t>shareholder interests</w:t>
            </w:r>
          </w:p>
        </w:tc>
        <w:tc>
          <w:tcPr>
            <w:tcW w:w="0" w:type="dxa"/>
            <w:vAlign w:val="bottom"/>
          </w:tcPr>
          <w:p>
            <w:pPr>
              <w:spacing w:after="0"/>
              <w:rPr>
                <w:sz w:val="1"/>
                <w:szCs w:val="1"/>
                <w:color w:val="auto"/>
              </w:rPr>
            </w:pPr>
          </w:p>
        </w:tc>
      </w:tr>
      <w:tr>
        <w:trPr>
          <w:trHeight w:val="233"/>
        </w:trPr>
        <w:tc>
          <w:tcPr>
            <w:tcW w:w="3000" w:type="dxa"/>
            <w:vAlign w:val="bottom"/>
            <w:tcBorders>
              <w:bottom w:val="single" w:sz="8" w:color="307CC0"/>
            </w:tcBorders>
          </w:tcPr>
          <w:p>
            <w:pPr>
              <w:spacing w:after="0"/>
              <w:rPr>
                <w:sz w:val="20"/>
                <w:szCs w:val="20"/>
                <w:color w:val="auto"/>
              </w:rPr>
            </w:pPr>
          </w:p>
        </w:tc>
        <w:tc>
          <w:tcPr>
            <w:tcW w:w="360" w:type="dxa"/>
            <w:vAlign w:val="bottom"/>
            <w:tcBorders>
              <w:bottom w:val="single" w:sz="8" w:color="307CC0"/>
            </w:tcBorders>
          </w:tcPr>
          <w:p>
            <w:pPr>
              <w:spacing w:after="0"/>
              <w:rPr>
                <w:sz w:val="20"/>
                <w:szCs w:val="20"/>
                <w:color w:val="auto"/>
              </w:rPr>
            </w:pPr>
          </w:p>
        </w:tc>
        <w:tc>
          <w:tcPr>
            <w:tcW w:w="266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without cause</w:t>
            </w:r>
          </w:p>
        </w:tc>
        <w:tc>
          <w:tcPr>
            <w:tcW w:w="400" w:type="dxa"/>
            <w:vAlign w:val="bottom"/>
            <w:tcBorders>
              <w:bottom w:val="single" w:sz="8" w:color="307CC0"/>
            </w:tcBorders>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Attract and retain talent</w:t>
            </w:r>
          </w:p>
        </w:tc>
        <w:tc>
          <w:tcPr>
            <w:tcW w:w="0" w:type="dxa"/>
            <w:vAlign w:val="bottom"/>
          </w:tcPr>
          <w:p>
            <w:pPr>
              <w:spacing w:after="0"/>
              <w:rPr>
                <w:sz w:val="1"/>
                <w:szCs w:val="1"/>
                <w:color w:val="auto"/>
              </w:rPr>
            </w:pPr>
          </w:p>
        </w:tc>
      </w:tr>
      <w:tr>
        <w:trPr>
          <w:trHeight w:val="199"/>
        </w:trPr>
        <w:tc>
          <w:tcPr>
            <w:tcW w:w="3000" w:type="dxa"/>
            <w:vAlign w:val="bottom"/>
          </w:tcPr>
          <w:p>
            <w:pPr>
              <w:ind w:left="120"/>
              <w:spacing w:after="0"/>
              <w:rPr>
                <w:sz w:val="20"/>
                <w:szCs w:val="20"/>
                <w:color w:val="auto"/>
              </w:rPr>
            </w:pPr>
            <w:r>
              <w:rPr>
                <w:rFonts w:ascii="Arial" w:cs="Arial" w:eastAsia="Arial" w:hAnsi="Arial"/>
                <w:sz w:val="17"/>
                <w:szCs w:val="17"/>
                <w:color w:val="auto"/>
              </w:rPr>
              <w:t>Other Benefits</w:t>
            </w: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Financial planning services /</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Provide competitive total</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7"/>
                <w:szCs w:val="17"/>
                <w:color w:val="auto"/>
              </w:rPr>
              <w:t>health physicals</w:t>
            </w:r>
          </w:p>
        </w:tc>
        <w:tc>
          <w:tcPr>
            <w:tcW w:w="4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7"/>
                <w:szCs w:val="17"/>
                <w:color w:val="auto"/>
              </w:rPr>
              <w:t>compensation package</w:t>
            </w: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307CC0"/>
              </w:rPr>
              <w:t>▪</w:t>
            </w:r>
          </w:p>
        </w:tc>
        <w:tc>
          <w:tcPr>
            <w:tcW w:w="2660" w:type="dxa"/>
            <w:vAlign w:val="bottom"/>
          </w:tcPr>
          <w:p>
            <w:pPr>
              <w:ind w:left="200"/>
              <w:spacing w:after="0"/>
              <w:rPr>
                <w:sz w:val="20"/>
                <w:szCs w:val="20"/>
                <w:color w:val="auto"/>
              </w:rPr>
            </w:pPr>
            <w:r>
              <w:rPr>
                <w:rFonts w:ascii="Arial" w:cs="Arial" w:eastAsia="Arial" w:hAnsi="Arial"/>
                <w:sz w:val="17"/>
                <w:szCs w:val="17"/>
                <w:color w:val="auto"/>
              </w:rPr>
              <w:t>Standard benefits, such as</w:t>
            </w:r>
          </w:p>
        </w:tc>
        <w:tc>
          <w:tcPr>
            <w:tcW w:w="400" w:type="dxa"/>
            <w:vAlign w:val="bottom"/>
          </w:tcPr>
          <w:p>
            <w:pPr>
              <w:ind w:left="160"/>
              <w:spacing w:after="0"/>
              <w:rPr>
                <w:sz w:val="20"/>
                <w:szCs w:val="20"/>
                <w:color w:val="auto"/>
              </w:rPr>
            </w:pPr>
            <w:r>
              <w:rPr>
                <w:rFonts w:ascii="Arial" w:cs="Arial" w:eastAsia="Arial" w:hAnsi="Arial"/>
                <w:sz w:val="17"/>
                <w:szCs w:val="17"/>
                <w:color w:val="307CC0"/>
              </w:rPr>
              <w:t>▪</w:t>
            </w:r>
          </w:p>
        </w:tc>
        <w:tc>
          <w:tcPr>
            <w:tcW w:w="2740" w:type="dxa"/>
            <w:vAlign w:val="bottom"/>
          </w:tcPr>
          <w:p>
            <w:pPr>
              <w:ind w:left="200"/>
              <w:spacing w:after="0"/>
              <w:rPr>
                <w:sz w:val="20"/>
                <w:szCs w:val="20"/>
                <w:color w:val="auto"/>
              </w:rPr>
            </w:pPr>
            <w:r>
              <w:rPr>
                <w:rFonts w:ascii="Arial" w:cs="Arial" w:eastAsia="Arial" w:hAnsi="Arial"/>
                <w:sz w:val="17"/>
                <w:szCs w:val="17"/>
                <w:color w:val="auto"/>
              </w:rPr>
              <w:t>Attract and retain talent</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tcPr>
          <w:p>
            <w:pPr>
              <w:ind w:left="200"/>
              <w:spacing w:after="0" w:line="194" w:lineRule="exact"/>
              <w:rPr>
                <w:sz w:val="20"/>
                <w:szCs w:val="20"/>
                <w:color w:val="auto"/>
              </w:rPr>
            </w:pPr>
            <w:r>
              <w:rPr>
                <w:rFonts w:ascii="Arial" w:cs="Arial" w:eastAsia="Arial" w:hAnsi="Arial"/>
                <w:sz w:val="17"/>
                <w:szCs w:val="17"/>
                <w:color w:val="auto"/>
              </w:rPr>
              <w:t>medical, life insurance and</w:t>
            </w:r>
          </w:p>
        </w:tc>
        <w:tc>
          <w:tcPr>
            <w:tcW w:w="4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00" w:type="dxa"/>
            <w:vAlign w:val="bottom"/>
            <w:tcBorders>
              <w:bottom w:val="single" w:sz="8" w:color="307CC0"/>
            </w:tcBorders>
          </w:tcPr>
          <w:p>
            <w:pPr>
              <w:spacing w:after="0"/>
              <w:rPr>
                <w:sz w:val="18"/>
                <w:szCs w:val="18"/>
                <w:color w:val="auto"/>
              </w:rPr>
            </w:pPr>
          </w:p>
        </w:tc>
        <w:tc>
          <w:tcPr>
            <w:tcW w:w="360" w:type="dxa"/>
            <w:vAlign w:val="bottom"/>
            <w:tcBorders>
              <w:bottom w:val="single" w:sz="8" w:color="307CC0"/>
            </w:tcBorders>
          </w:tcPr>
          <w:p>
            <w:pPr>
              <w:spacing w:after="0"/>
              <w:rPr>
                <w:sz w:val="18"/>
                <w:szCs w:val="18"/>
                <w:color w:val="auto"/>
              </w:rPr>
            </w:pPr>
          </w:p>
        </w:tc>
        <w:tc>
          <w:tcPr>
            <w:tcW w:w="2660" w:type="dxa"/>
            <w:vAlign w:val="bottom"/>
            <w:tcBorders>
              <w:bottom w:val="single" w:sz="8" w:color="307CC0"/>
            </w:tcBorders>
          </w:tcPr>
          <w:p>
            <w:pPr>
              <w:ind w:left="200"/>
              <w:spacing w:after="0"/>
              <w:rPr>
                <w:sz w:val="20"/>
                <w:szCs w:val="20"/>
                <w:color w:val="auto"/>
              </w:rPr>
            </w:pPr>
            <w:r>
              <w:rPr>
                <w:rFonts w:ascii="Arial" w:cs="Arial" w:eastAsia="Arial" w:hAnsi="Arial"/>
                <w:sz w:val="17"/>
                <w:szCs w:val="17"/>
                <w:color w:val="auto"/>
              </w:rPr>
              <w:t>disability</w:t>
            </w:r>
          </w:p>
        </w:tc>
        <w:tc>
          <w:tcPr>
            <w:tcW w:w="400" w:type="dxa"/>
            <w:vAlign w:val="bottom"/>
            <w:tcBorders>
              <w:bottom w:val="single" w:sz="8" w:color="307CC0"/>
            </w:tcBorders>
          </w:tcPr>
          <w:p>
            <w:pPr>
              <w:spacing w:after="0"/>
              <w:rPr>
                <w:sz w:val="18"/>
                <w:szCs w:val="18"/>
                <w:color w:val="auto"/>
              </w:rPr>
            </w:pPr>
          </w:p>
        </w:tc>
        <w:tc>
          <w:tcPr>
            <w:tcW w:w="2740" w:type="dxa"/>
            <w:vAlign w:val="bottom"/>
            <w:tcBorders>
              <w:bottom w:val="single" w:sz="8" w:color="307CC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hanging="330"/>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Frozen to new hires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808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91" w:lineRule="exact"/>
        <w:rPr>
          <w:sz w:val="20"/>
          <w:szCs w:val="20"/>
          <w:color w:val="auto"/>
        </w:rPr>
      </w:pPr>
    </w:p>
    <w:p>
      <w:pPr>
        <w:ind w:left="540"/>
        <w:spacing w:after="0"/>
        <w:tabs>
          <w:tab w:leader="none" w:pos="350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51"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Cash Compensation</w:t>
      </w:r>
    </w:p>
    <w:p>
      <w:pPr>
        <w:spacing w:after="0" w:line="122" w:lineRule="exact"/>
        <w:rPr>
          <w:sz w:val="20"/>
          <w:szCs w:val="20"/>
          <w:color w:val="auto"/>
        </w:rPr>
      </w:pPr>
    </w:p>
    <w:p>
      <w:pPr>
        <w:jc w:val="both"/>
        <w:ind w:left="20" w:firstLine="172"/>
        <w:spacing w:after="0" w:line="261" w:lineRule="auto"/>
        <w:rPr>
          <w:sz w:val="20"/>
          <w:szCs w:val="20"/>
          <w:color w:val="auto"/>
        </w:rPr>
      </w:pPr>
      <w:r>
        <w:rPr>
          <w:rFonts w:ascii="Arial" w:cs="Arial" w:eastAsia="Arial" w:hAnsi="Arial"/>
          <w:sz w:val="17"/>
          <w:szCs w:val="17"/>
          <w:color w:val="auto"/>
        </w:rPr>
        <w:t>Cash compensation for our NEOs includes a market-competitive base salary and performance-based short-term incentives. The Committee believes that, in general, cash compensation should comprise an increasingly smaller percent of total compensation as officers move to higher levels of responsibility.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Base Salary</w:t>
      </w:r>
    </w:p>
    <w:p>
      <w:pPr>
        <w:spacing w:after="0" w:line="120"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At closing of the merger in 2018, each NEO received a salary increase from what he or she was paid by his or her predecessor company for retention purposes and to ensure that each NEO’s salary was competitively aligned with the median salary of individuals in comparable positions in companies of similar size within the industry. In turn, the Committee did not approve any salary increases for NEOs in 2019. Annualized base salaries for our NEOs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6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280" w:type="dxa"/>
            <w:vAlign w:val="bottom"/>
            <w:shd w:val="clear" w:color="auto" w:fill="307CC0"/>
          </w:tcPr>
          <w:p>
            <w:pPr>
              <w:spacing w:after="0"/>
              <w:rPr>
                <w:sz w:val="16"/>
                <w:szCs w:val="16"/>
                <w:color w:val="auto"/>
              </w:rPr>
            </w:pPr>
          </w:p>
        </w:tc>
        <w:tc>
          <w:tcPr>
            <w:tcW w:w="1560" w:type="dxa"/>
            <w:vAlign w:val="bottom"/>
            <w:shd w:val="clear" w:color="auto" w:fill="307CC0"/>
          </w:tcPr>
          <w:p>
            <w:pPr>
              <w:jc w:val="right"/>
              <w:ind w:right="257"/>
              <w:spacing w:after="0"/>
              <w:rPr>
                <w:sz w:val="20"/>
                <w:szCs w:val="20"/>
                <w:color w:val="auto"/>
              </w:rPr>
            </w:pPr>
            <w:r>
              <w:rPr>
                <w:rFonts w:ascii="Arial" w:cs="Arial" w:eastAsia="Arial" w:hAnsi="Arial"/>
                <w:sz w:val="13"/>
                <w:szCs w:val="13"/>
                <w:b w:val="1"/>
                <w:bCs w:val="1"/>
                <w:color w:val="FFFFFF"/>
              </w:rPr>
              <w:t>2018 (Post-Merger)</w:t>
            </w:r>
          </w:p>
        </w:tc>
        <w:tc>
          <w:tcPr>
            <w:tcW w:w="380" w:type="dxa"/>
            <w:vAlign w:val="bottom"/>
            <w:shd w:val="clear" w:color="auto" w:fill="307CC0"/>
          </w:tcPr>
          <w:p>
            <w:pPr>
              <w:spacing w:after="0"/>
              <w:rPr>
                <w:sz w:val="16"/>
                <w:szCs w:val="16"/>
                <w:color w:val="auto"/>
              </w:rPr>
            </w:pPr>
          </w:p>
        </w:tc>
        <w:tc>
          <w:tcPr>
            <w:tcW w:w="980" w:type="dxa"/>
            <w:vAlign w:val="bottom"/>
            <w:shd w:val="clear" w:color="auto" w:fill="307CC0"/>
          </w:tcPr>
          <w:p>
            <w:pPr>
              <w:jc w:val="right"/>
              <w:ind w:right="397"/>
              <w:spacing w:after="0"/>
              <w:rPr>
                <w:sz w:val="20"/>
                <w:szCs w:val="20"/>
                <w:color w:val="auto"/>
              </w:rPr>
            </w:pPr>
            <w:r>
              <w:rPr>
                <w:rFonts w:ascii="Arial" w:cs="Arial" w:eastAsia="Arial" w:hAnsi="Arial"/>
                <w:sz w:val="13"/>
                <w:szCs w:val="13"/>
                <w:b w:val="1"/>
                <w:bCs w:val="1"/>
                <w:color w:val="FFFFFF"/>
              </w:rPr>
              <w:t>2019</w:t>
            </w:r>
          </w:p>
        </w:tc>
      </w:tr>
      <w:tr>
        <w:trPr>
          <w:trHeight w:val="188"/>
        </w:trPr>
        <w:tc>
          <w:tcPr>
            <w:tcW w:w="5960" w:type="dxa"/>
            <w:vAlign w:val="bottom"/>
            <w:shd w:val="clear" w:color="auto" w:fill="CCEEFF"/>
          </w:tcPr>
          <w:p>
            <w:pPr>
              <w:ind w:left="40"/>
              <w:spacing w:after="0" w:line="188" w:lineRule="exact"/>
              <w:rPr>
                <w:sz w:val="20"/>
                <w:szCs w:val="20"/>
                <w:color w:val="auto"/>
              </w:rPr>
            </w:pPr>
            <w:r>
              <w:rPr>
                <w:rFonts w:ascii="Arial" w:cs="Arial" w:eastAsia="Arial" w:hAnsi="Arial"/>
                <w:sz w:val="17"/>
                <w:szCs w:val="17"/>
                <w:color w:val="auto"/>
              </w:rPr>
              <w:t>Mr. Bassham</w:t>
            </w:r>
          </w:p>
        </w:tc>
        <w:tc>
          <w:tcPr>
            <w:tcW w:w="2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950,000</w:t>
            </w:r>
          </w:p>
        </w:tc>
        <w:tc>
          <w:tcPr>
            <w:tcW w:w="380" w:type="dxa"/>
            <w:vAlign w:val="bottom"/>
            <w:shd w:val="clear" w:color="auto" w:fill="CCEEFF"/>
          </w:tcPr>
          <w:p>
            <w:pPr>
              <w:jc w:val="right"/>
              <w:ind w:right="114"/>
              <w:spacing w:after="0" w:line="188"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
              <w:spacing w:after="0" w:line="188" w:lineRule="exact"/>
              <w:rPr>
                <w:sz w:val="20"/>
                <w:szCs w:val="20"/>
                <w:color w:val="auto"/>
              </w:rPr>
            </w:pPr>
            <w:r>
              <w:rPr>
                <w:rFonts w:ascii="Arial" w:cs="Arial" w:eastAsia="Arial" w:hAnsi="Arial"/>
                <w:sz w:val="17"/>
                <w:szCs w:val="17"/>
                <w:color w:val="auto"/>
              </w:rPr>
              <w:t>950,000</w:t>
            </w:r>
          </w:p>
        </w:tc>
      </w:tr>
      <w:tr>
        <w:trPr>
          <w:trHeight w:val="226"/>
        </w:trPr>
        <w:tc>
          <w:tcPr>
            <w:tcW w:w="5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President and Chief Executive Officer</w:t>
            </w:r>
          </w:p>
        </w:tc>
        <w:tc>
          <w:tcPr>
            <w:tcW w:w="280" w:type="dxa"/>
            <w:vAlign w:val="bottom"/>
            <w:tcBorders>
              <w:bottom w:val="single" w:sz="8" w:color="307CC0"/>
            </w:tcBorders>
            <w:shd w:val="clear" w:color="auto" w:fill="CCEEFF"/>
          </w:tcPr>
          <w:p>
            <w:pPr>
              <w:spacing w:after="0"/>
              <w:rPr>
                <w:sz w:val="19"/>
                <w:szCs w:val="19"/>
                <w:color w:val="auto"/>
              </w:rPr>
            </w:pPr>
          </w:p>
        </w:tc>
        <w:tc>
          <w:tcPr>
            <w:tcW w:w="1560" w:type="dxa"/>
            <w:vAlign w:val="bottom"/>
            <w:tcBorders>
              <w:bottom w:val="single" w:sz="8" w:color="307CC0"/>
            </w:tcBorders>
            <w:shd w:val="clear" w:color="auto" w:fill="CCEEFF"/>
          </w:tcPr>
          <w:p>
            <w:pPr>
              <w:spacing w:after="0"/>
              <w:rPr>
                <w:sz w:val="19"/>
                <w:szCs w:val="19"/>
                <w:color w:val="auto"/>
              </w:rPr>
            </w:pPr>
          </w:p>
        </w:tc>
        <w:tc>
          <w:tcPr>
            <w:tcW w:w="380" w:type="dxa"/>
            <w:vAlign w:val="bottom"/>
            <w:tcBorders>
              <w:bottom w:val="single" w:sz="8" w:color="307CC0"/>
            </w:tcBorders>
            <w:shd w:val="clear" w:color="auto" w:fill="CCEEFF"/>
          </w:tcPr>
          <w:p>
            <w:pPr>
              <w:spacing w:after="0"/>
              <w:rPr>
                <w:sz w:val="19"/>
                <w:szCs w:val="19"/>
                <w:color w:val="auto"/>
              </w:rPr>
            </w:pPr>
          </w:p>
        </w:tc>
        <w:tc>
          <w:tcPr>
            <w:tcW w:w="980" w:type="dxa"/>
            <w:vAlign w:val="bottom"/>
            <w:tcBorders>
              <w:bottom w:val="single" w:sz="8" w:color="307CC0"/>
            </w:tcBorders>
            <w:shd w:val="clear" w:color="auto" w:fill="CCEEFF"/>
          </w:tcPr>
          <w:p>
            <w:pPr>
              <w:spacing w:after="0"/>
              <w:rPr>
                <w:sz w:val="19"/>
                <w:szCs w:val="19"/>
                <w:color w:val="auto"/>
              </w:rPr>
            </w:pPr>
          </w:p>
        </w:tc>
      </w:tr>
      <w:tr>
        <w:trPr>
          <w:trHeight w:val="181"/>
        </w:trPr>
        <w:tc>
          <w:tcPr>
            <w:tcW w:w="5960" w:type="dxa"/>
            <w:vAlign w:val="bottom"/>
            <w:shd w:val="clear" w:color="auto" w:fill="D6E7FF"/>
          </w:tcPr>
          <w:p>
            <w:pPr>
              <w:ind w:left="40"/>
              <w:spacing w:after="0" w:line="181" w:lineRule="exact"/>
              <w:rPr>
                <w:sz w:val="20"/>
                <w:szCs w:val="20"/>
                <w:color w:val="auto"/>
              </w:rPr>
            </w:pPr>
            <w:r>
              <w:rPr>
                <w:rFonts w:ascii="Arial" w:cs="Arial" w:eastAsia="Arial" w:hAnsi="Arial"/>
                <w:sz w:val="17"/>
                <w:szCs w:val="17"/>
                <w:color w:val="auto"/>
              </w:rPr>
              <w:t>Mr. Bryant</w:t>
            </w:r>
          </w:p>
        </w:tc>
        <w:tc>
          <w:tcPr>
            <w:tcW w:w="280" w:type="dxa"/>
            <w:vAlign w:val="bottom"/>
            <w:shd w:val="clear" w:color="auto" w:fill="D6E7FF"/>
          </w:tcPr>
          <w:p>
            <w:pPr>
              <w:jc w:val="right"/>
              <w:spacing w:after="0" w:line="181" w:lineRule="exact"/>
              <w:rPr>
                <w:sz w:val="20"/>
                <w:szCs w:val="20"/>
                <w:color w:val="auto"/>
              </w:rPr>
            </w:pPr>
            <w:r>
              <w:rPr>
                <w:rFonts w:ascii="Arial" w:cs="Arial" w:eastAsia="Arial" w:hAnsi="Arial"/>
                <w:sz w:val="17"/>
                <w:szCs w:val="17"/>
                <w:color w:val="auto"/>
              </w:rPr>
              <w:t>$</w:t>
            </w:r>
          </w:p>
        </w:tc>
        <w:tc>
          <w:tcPr>
            <w:tcW w:w="1560" w:type="dxa"/>
            <w:vAlign w:val="bottom"/>
            <w:shd w:val="clear" w:color="auto" w:fill="D6E7FF"/>
          </w:tcPr>
          <w:p>
            <w:pPr>
              <w:jc w:val="right"/>
              <w:spacing w:after="0" w:line="181" w:lineRule="exact"/>
              <w:rPr>
                <w:sz w:val="20"/>
                <w:szCs w:val="20"/>
                <w:color w:val="auto"/>
              </w:rPr>
            </w:pPr>
            <w:r>
              <w:rPr>
                <w:rFonts w:ascii="Arial" w:cs="Arial" w:eastAsia="Arial" w:hAnsi="Arial"/>
                <w:sz w:val="17"/>
                <w:szCs w:val="17"/>
                <w:color w:val="auto"/>
              </w:rPr>
              <w:t>520,000</w:t>
            </w:r>
          </w:p>
        </w:tc>
        <w:tc>
          <w:tcPr>
            <w:tcW w:w="380" w:type="dxa"/>
            <w:vAlign w:val="bottom"/>
            <w:shd w:val="clear" w:color="auto" w:fill="D6E7FF"/>
          </w:tcPr>
          <w:p>
            <w:pPr>
              <w:jc w:val="right"/>
              <w:ind w:right="114"/>
              <w:spacing w:after="0" w:line="181" w:lineRule="exact"/>
              <w:rPr>
                <w:sz w:val="20"/>
                <w:szCs w:val="20"/>
                <w:color w:val="auto"/>
              </w:rPr>
            </w:pPr>
            <w:r>
              <w:rPr>
                <w:rFonts w:ascii="Arial" w:cs="Arial" w:eastAsia="Arial" w:hAnsi="Arial"/>
                <w:sz w:val="17"/>
                <w:szCs w:val="17"/>
                <w:color w:val="auto"/>
              </w:rPr>
              <w:t>$</w:t>
            </w:r>
          </w:p>
        </w:tc>
        <w:tc>
          <w:tcPr>
            <w:tcW w:w="980" w:type="dxa"/>
            <w:vAlign w:val="bottom"/>
            <w:shd w:val="clear" w:color="auto" w:fill="D6E7FF"/>
          </w:tcPr>
          <w:p>
            <w:pPr>
              <w:jc w:val="right"/>
              <w:ind w:right="17"/>
              <w:spacing w:after="0" w:line="181" w:lineRule="exact"/>
              <w:rPr>
                <w:sz w:val="20"/>
                <w:szCs w:val="20"/>
                <w:color w:val="auto"/>
              </w:rPr>
            </w:pPr>
            <w:r>
              <w:rPr>
                <w:rFonts w:ascii="Arial" w:cs="Arial" w:eastAsia="Arial" w:hAnsi="Arial"/>
                <w:sz w:val="17"/>
                <w:szCs w:val="17"/>
                <w:color w:val="auto"/>
              </w:rPr>
              <w:t>520,000</w:t>
            </w:r>
          </w:p>
        </w:tc>
      </w:tr>
      <w:tr>
        <w:trPr>
          <w:trHeight w:val="226"/>
        </w:trPr>
        <w:tc>
          <w:tcPr>
            <w:tcW w:w="59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i w:val="1"/>
                <w:iCs w:val="1"/>
                <w:color w:val="auto"/>
              </w:rPr>
              <w:t>Executive Vice President and Chief Operating Officer</w:t>
            </w:r>
          </w:p>
        </w:tc>
        <w:tc>
          <w:tcPr>
            <w:tcW w:w="280" w:type="dxa"/>
            <w:vAlign w:val="bottom"/>
            <w:tcBorders>
              <w:bottom w:val="single" w:sz="8" w:color="307CC0"/>
            </w:tcBorders>
            <w:shd w:val="clear" w:color="auto" w:fill="D6E7FF"/>
          </w:tcPr>
          <w:p>
            <w:pPr>
              <w:spacing w:after="0"/>
              <w:rPr>
                <w:sz w:val="19"/>
                <w:szCs w:val="19"/>
                <w:color w:val="auto"/>
              </w:rPr>
            </w:pPr>
          </w:p>
        </w:tc>
        <w:tc>
          <w:tcPr>
            <w:tcW w:w="1560" w:type="dxa"/>
            <w:vAlign w:val="bottom"/>
            <w:tcBorders>
              <w:bottom w:val="single" w:sz="8" w:color="307CC0"/>
            </w:tcBorders>
            <w:shd w:val="clear" w:color="auto" w:fill="D6E7FF"/>
          </w:tcPr>
          <w:p>
            <w:pPr>
              <w:spacing w:after="0"/>
              <w:rPr>
                <w:sz w:val="19"/>
                <w:szCs w:val="19"/>
                <w:color w:val="auto"/>
              </w:rPr>
            </w:pPr>
          </w:p>
        </w:tc>
        <w:tc>
          <w:tcPr>
            <w:tcW w:w="380" w:type="dxa"/>
            <w:vAlign w:val="bottom"/>
            <w:tcBorders>
              <w:bottom w:val="single" w:sz="8" w:color="307CC0"/>
            </w:tcBorders>
            <w:shd w:val="clear" w:color="auto" w:fill="D6E7FF"/>
          </w:tcPr>
          <w:p>
            <w:pPr>
              <w:spacing w:after="0"/>
              <w:rPr>
                <w:sz w:val="19"/>
                <w:szCs w:val="19"/>
                <w:color w:val="auto"/>
              </w:rPr>
            </w:pPr>
          </w:p>
        </w:tc>
        <w:tc>
          <w:tcPr>
            <w:tcW w:w="980" w:type="dxa"/>
            <w:vAlign w:val="bottom"/>
            <w:tcBorders>
              <w:bottom w:val="single" w:sz="8" w:color="307CC0"/>
            </w:tcBorders>
            <w:shd w:val="clear" w:color="auto" w:fill="D6E7FF"/>
          </w:tcPr>
          <w:p>
            <w:pPr>
              <w:spacing w:after="0"/>
              <w:rPr>
                <w:sz w:val="19"/>
                <w:szCs w:val="19"/>
                <w:color w:val="auto"/>
              </w:rPr>
            </w:pPr>
          </w:p>
        </w:tc>
      </w:tr>
      <w:tr>
        <w:trPr>
          <w:trHeight w:val="181"/>
        </w:trPr>
        <w:tc>
          <w:tcPr>
            <w:tcW w:w="5960" w:type="dxa"/>
            <w:vAlign w:val="bottom"/>
            <w:shd w:val="clear" w:color="auto" w:fill="CCEEFF"/>
          </w:tcPr>
          <w:p>
            <w:pPr>
              <w:ind w:left="40"/>
              <w:spacing w:after="0" w:line="181" w:lineRule="exact"/>
              <w:rPr>
                <w:sz w:val="20"/>
                <w:szCs w:val="20"/>
                <w:color w:val="auto"/>
              </w:rPr>
            </w:pPr>
            <w:r>
              <w:rPr>
                <w:rFonts w:ascii="Arial" w:cs="Arial" w:eastAsia="Arial" w:hAnsi="Arial"/>
                <w:sz w:val="17"/>
                <w:szCs w:val="17"/>
                <w:color w:val="auto"/>
              </w:rPr>
              <w:t>Mr. Greenwood</w:t>
            </w:r>
          </w:p>
        </w:tc>
        <w:tc>
          <w:tcPr>
            <w:tcW w:w="2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520,000</w:t>
            </w:r>
          </w:p>
        </w:tc>
        <w:tc>
          <w:tcPr>
            <w:tcW w:w="380" w:type="dxa"/>
            <w:vAlign w:val="bottom"/>
            <w:shd w:val="clear" w:color="auto" w:fill="CCEEFF"/>
          </w:tcPr>
          <w:p>
            <w:pPr>
              <w:jc w:val="right"/>
              <w:ind w:right="114"/>
              <w:spacing w:after="0" w:line="181"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
              <w:spacing w:after="0" w:line="181" w:lineRule="exact"/>
              <w:rPr>
                <w:sz w:val="20"/>
                <w:szCs w:val="20"/>
                <w:color w:val="auto"/>
              </w:rPr>
            </w:pPr>
            <w:r>
              <w:rPr>
                <w:rFonts w:ascii="Arial" w:cs="Arial" w:eastAsia="Arial" w:hAnsi="Arial"/>
                <w:sz w:val="17"/>
                <w:szCs w:val="17"/>
                <w:color w:val="auto"/>
              </w:rPr>
              <w:t>520,000</w:t>
            </w:r>
          </w:p>
        </w:tc>
      </w:tr>
      <w:tr>
        <w:trPr>
          <w:trHeight w:val="226"/>
        </w:trPr>
        <w:tc>
          <w:tcPr>
            <w:tcW w:w="5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Executive Vice President, Strategy and Chief Administrative Officer</w:t>
            </w:r>
          </w:p>
        </w:tc>
        <w:tc>
          <w:tcPr>
            <w:tcW w:w="280" w:type="dxa"/>
            <w:vAlign w:val="bottom"/>
            <w:tcBorders>
              <w:bottom w:val="single" w:sz="8" w:color="307CC0"/>
            </w:tcBorders>
            <w:shd w:val="clear" w:color="auto" w:fill="CCEEFF"/>
          </w:tcPr>
          <w:p>
            <w:pPr>
              <w:spacing w:after="0"/>
              <w:rPr>
                <w:sz w:val="19"/>
                <w:szCs w:val="19"/>
                <w:color w:val="auto"/>
              </w:rPr>
            </w:pPr>
          </w:p>
        </w:tc>
        <w:tc>
          <w:tcPr>
            <w:tcW w:w="1560" w:type="dxa"/>
            <w:vAlign w:val="bottom"/>
            <w:tcBorders>
              <w:bottom w:val="single" w:sz="8" w:color="307CC0"/>
            </w:tcBorders>
            <w:shd w:val="clear" w:color="auto" w:fill="CCEEFF"/>
          </w:tcPr>
          <w:p>
            <w:pPr>
              <w:spacing w:after="0"/>
              <w:rPr>
                <w:sz w:val="19"/>
                <w:szCs w:val="19"/>
                <w:color w:val="auto"/>
              </w:rPr>
            </w:pPr>
          </w:p>
        </w:tc>
        <w:tc>
          <w:tcPr>
            <w:tcW w:w="380" w:type="dxa"/>
            <w:vAlign w:val="bottom"/>
            <w:tcBorders>
              <w:bottom w:val="single" w:sz="8" w:color="307CC0"/>
            </w:tcBorders>
            <w:shd w:val="clear" w:color="auto" w:fill="CCEEFF"/>
          </w:tcPr>
          <w:p>
            <w:pPr>
              <w:spacing w:after="0"/>
              <w:rPr>
                <w:sz w:val="19"/>
                <w:szCs w:val="19"/>
                <w:color w:val="auto"/>
              </w:rPr>
            </w:pPr>
          </w:p>
        </w:tc>
        <w:tc>
          <w:tcPr>
            <w:tcW w:w="980" w:type="dxa"/>
            <w:vAlign w:val="bottom"/>
            <w:tcBorders>
              <w:bottom w:val="single" w:sz="8" w:color="307CC0"/>
            </w:tcBorders>
            <w:shd w:val="clear" w:color="auto" w:fill="CCEEFF"/>
          </w:tcPr>
          <w:p>
            <w:pPr>
              <w:spacing w:after="0"/>
              <w:rPr>
                <w:sz w:val="19"/>
                <w:szCs w:val="19"/>
                <w:color w:val="auto"/>
              </w:rPr>
            </w:pPr>
          </w:p>
        </w:tc>
      </w:tr>
      <w:tr>
        <w:trPr>
          <w:trHeight w:val="181"/>
        </w:trPr>
        <w:tc>
          <w:tcPr>
            <w:tcW w:w="5960" w:type="dxa"/>
            <w:vAlign w:val="bottom"/>
            <w:shd w:val="clear" w:color="auto" w:fill="D6E7FF"/>
          </w:tcPr>
          <w:p>
            <w:pPr>
              <w:ind w:left="40"/>
              <w:spacing w:after="0" w:line="181" w:lineRule="exact"/>
              <w:rPr>
                <w:sz w:val="20"/>
                <w:szCs w:val="20"/>
                <w:color w:val="auto"/>
              </w:rPr>
            </w:pPr>
            <w:r>
              <w:rPr>
                <w:rFonts w:ascii="Arial" w:cs="Arial" w:eastAsia="Arial" w:hAnsi="Arial"/>
                <w:sz w:val="17"/>
                <w:szCs w:val="17"/>
                <w:color w:val="auto"/>
              </w:rPr>
              <w:t>Mr. Somma</w:t>
            </w:r>
          </w:p>
        </w:tc>
        <w:tc>
          <w:tcPr>
            <w:tcW w:w="280" w:type="dxa"/>
            <w:vAlign w:val="bottom"/>
            <w:shd w:val="clear" w:color="auto" w:fill="D6E7FF"/>
          </w:tcPr>
          <w:p>
            <w:pPr>
              <w:jc w:val="right"/>
              <w:spacing w:after="0" w:line="181" w:lineRule="exact"/>
              <w:rPr>
                <w:sz w:val="20"/>
                <w:szCs w:val="20"/>
                <w:color w:val="auto"/>
              </w:rPr>
            </w:pPr>
            <w:r>
              <w:rPr>
                <w:rFonts w:ascii="Arial" w:cs="Arial" w:eastAsia="Arial" w:hAnsi="Arial"/>
                <w:sz w:val="17"/>
                <w:szCs w:val="17"/>
                <w:color w:val="auto"/>
              </w:rPr>
              <w:t>$</w:t>
            </w:r>
          </w:p>
        </w:tc>
        <w:tc>
          <w:tcPr>
            <w:tcW w:w="1560" w:type="dxa"/>
            <w:vAlign w:val="bottom"/>
            <w:shd w:val="clear" w:color="auto" w:fill="D6E7FF"/>
          </w:tcPr>
          <w:p>
            <w:pPr>
              <w:jc w:val="right"/>
              <w:spacing w:after="0" w:line="181" w:lineRule="exact"/>
              <w:rPr>
                <w:sz w:val="20"/>
                <w:szCs w:val="20"/>
                <w:color w:val="auto"/>
              </w:rPr>
            </w:pPr>
            <w:r>
              <w:rPr>
                <w:rFonts w:ascii="Arial" w:cs="Arial" w:eastAsia="Arial" w:hAnsi="Arial"/>
                <w:sz w:val="17"/>
                <w:szCs w:val="17"/>
                <w:color w:val="auto"/>
              </w:rPr>
              <w:t>495,000</w:t>
            </w:r>
          </w:p>
        </w:tc>
        <w:tc>
          <w:tcPr>
            <w:tcW w:w="380" w:type="dxa"/>
            <w:vAlign w:val="bottom"/>
            <w:shd w:val="clear" w:color="auto" w:fill="D6E7FF"/>
          </w:tcPr>
          <w:p>
            <w:pPr>
              <w:jc w:val="right"/>
              <w:ind w:right="114"/>
              <w:spacing w:after="0" w:line="181" w:lineRule="exact"/>
              <w:rPr>
                <w:sz w:val="20"/>
                <w:szCs w:val="20"/>
                <w:color w:val="auto"/>
              </w:rPr>
            </w:pPr>
            <w:r>
              <w:rPr>
                <w:rFonts w:ascii="Arial" w:cs="Arial" w:eastAsia="Arial" w:hAnsi="Arial"/>
                <w:sz w:val="17"/>
                <w:szCs w:val="17"/>
                <w:color w:val="auto"/>
              </w:rPr>
              <w:t>$</w:t>
            </w:r>
          </w:p>
        </w:tc>
        <w:tc>
          <w:tcPr>
            <w:tcW w:w="980" w:type="dxa"/>
            <w:vAlign w:val="bottom"/>
            <w:shd w:val="clear" w:color="auto" w:fill="D6E7FF"/>
          </w:tcPr>
          <w:p>
            <w:pPr>
              <w:jc w:val="right"/>
              <w:ind w:right="17"/>
              <w:spacing w:after="0" w:line="181" w:lineRule="exact"/>
              <w:rPr>
                <w:sz w:val="20"/>
                <w:szCs w:val="20"/>
                <w:color w:val="auto"/>
              </w:rPr>
            </w:pPr>
            <w:r>
              <w:rPr>
                <w:rFonts w:ascii="Arial" w:cs="Arial" w:eastAsia="Arial" w:hAnsi="Arial"/>
                <w:sz w:val="17"/>
                <w:szCs w:val="17"/>
                <w:color w:val="auto"/>
              </w:rPr>
              <w:t>495,000</w:t>
            </w:r>
          </w:p>
        </w:tc>
      </w:tr>
      <w:tr>
        <w:trPr>
          <w:trHeight w:val="226"/>
        </w:trPr>
        <w:tc>
          <w:tcPr>
            <w:tcW w:w="59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i w:val="1"/>
                <w:iCs w:val="1"/>
                <w:color w:val="auto"/>
              </w:rPr>
              <w:t>Executive Vice President and Chief Financial Officer</w:t>
            </w:r>
          </w:p>
        </w:tc>
        <w:tc>
          <w:tcPr>
            <w:tcW w:w="280" w:type="dxa"/>
            <w:vAlign w:val="bottom"/>
            <w:tcBorders>
              <w:bottom w:val="single" w:sz="8" w:color="307CC0"/>
            </w:tcBorders>
            <w:shd w:val="clear" w:color="auto" w:fill="D6E7FF"/>
          </w:tcPr>
          <w:p>
            <w:pPr>
              <w:spacing w:after="0"/>
              <w:rPr>
                <w:sz w:val="19"/>
                <w:szCs w:val="19"/>
                <w:color w:val="auto"/>
              </w:rPr>
            </w:pPr>
          </w:p>
        </w:tc>
        <w:tc>
          <w:tcPr>
            <w:tcW w:w="1560" w:type="dxa"/>
            <w:vAlign w:val="bottom"/>
            <w:tcBorders>
              <w:bottom w:val="single" w:sz="8" w:color="307CC0"/>
            </w:tcBorders>
            <w:shd w:val="clear" w:color="auto" w:fill="D6E7FF"/>
          </w:tcPr>
          <w:p>
            <w:pPr>
              <w:spacing w:after="0"/>
              <w:rPr>
                <w:sz w:val="19"/>
                <w:szCs w:val="19"/>
                <w:color w:val="auto"/>
              </w:rPr>
            </w:pPr>
          </w:p>
        </w:tc>
        <w:tc>
          <w:tcPr>
            <w:tcW w:w="380" w:type="dxa"/>
            <w:vAlign w:val="bottom"/>
            <w:tcBorders>
              <w:bottom w:val="single" w:sz="8" w:color="307CC0"/>
            </w:tcBorders>
            <w:shd w:val="clear" w:color="auto" w:fill="D6E7FF"/>
          </w:tcPr>
          <w:p>
            <w:pPr>
              <w:spacing w:after="0"/>
              <w:rPr>
                <w:sz w:val="19"/>
                <w:szCs w:val="19"/>
                <w:color w:val="auto"/>
              </w:rPr>
            </w:pPr>
          </w:p>
        </w:tc>
        <w:tc>
          <w:tcPr>
            <w:tcW w:w="980" w:type="dxa"/>
            <w:vAlign w:val="bottom"/>
            <w:tcBorders>
              <w:bottom w:val="single" w:sz="8" w:color="307CC0"/>
            </w:tcBorders>
            <w:shd w:val="clear" w:color="auto" w:fill="D6E7FF"/>
          </w:tcPr>
          <w:p>
            <w:pPr>
              <w:spacing w:after="0"/>
              <w:rPr>
                <w:sz w:val="19"/>
                <w:szCs w:val="19"/>
                <w:color w:val="auto"/>
              </w:rPr>
            </w:pPr>
          </w:p>
        </w:tc>
      </w:tr>
      <w:tr>
        <w:trPr>
          <w:trHeight w:val="181"/>
        </w:trPr>
        <w:tc>
          <w:tcPr>
            <w:tcW w:w="5960" w:type="dxa"/>
            <w:vAlign w:val="bottom"/>
            <w:shd w:val="clear" w:color="auto" w:fill="CCEEFF"/>
          </w:tcPr>
          <w:p>
            <w:pPr>
              <w:ind w:left="40"/>
              <w:spacing w:after="0" w:line="181" w:lineRule="exact"/>
              <w:rPr>
                <w:sz w:val="20"/>
                <w:szCs w:val="20"/>
                <w:color w:val="auto"/>
              </w:rPr>
            </w:pPr>
            <w:r>
              <w:rPr>
                <w:rFonts w:ascii="Arial" w:cs="Arial" w:eastAsia="Arial" w:hAnsi="Arial"/>
                <w:sz w:val="17"/>
                <w:szCs w:val="17"/>
                <w:color w:val="auto"/>
              </w:rPr>
              <w:t>Ms. Humphrey</w:t>
            </w:r>
          </w:p>
        </w:tc>
        <w:tc>
          <w:tcPr>
            <w:tcW w:w="2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484,000</w:t>
            </w:r>
          </w:p>
        </w:tc>
        <w:tc>
          <w:tcPr>
            <w:tcW w:w="380" w:type="dxa"/>
            <w:vAlign w:val="bottom"/>
            <w:shd w:val="clear" w:color="auto" w:fill="CCEEFF"/>
          </w:tcPr>
          <w:p>
            <w:pPr>
              <w:jc w:val="right"/>
              <w:ind w:right="114"/>
              <w:spacing w:after="0" w:line="181"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
              <w:spacing w:after="0" w:line="181" w:lineRule="exact"/>
              <w:rPr>
                <w:sz w:val="20"/>
                <w:szCs w:val="20"/>
                <w:color w:val="auto"/>
              </w:rPr>
            </w:pPr>
            <w:r>
              <w:rPr>
                <w:rFonts w:ascii="Arial" w:cs="Arial" w:eastAsia="Arial" w:hAnsi="Arial"/>
                <w:sz w:val="17"/>
                <w:szCs w:val="17"/>
                <w:color w:val="auto"/>
              </w:rPr>
              <w:t>484,000</w:t>
            </w:r>
          </w:p>
        </w:tc>
      </w:tr>
      <w:tr>
        <w:trPr>
          <w:trHeight w:val="226"/>
        </w:trPr>
        <w:tc>
          <w:tcPr>
            <w:tcW w:w="59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Senior Vice President, General Counsel and Corporate Secretary</w:t>
            </w:r>
          </w:p>
        </w:tc>
        <w:tc>
          <w:tcPr>
            <w:tcW w:w="280" w:type="dxa"/>
            <w:vAlign w:val="bottom"/>
            <w:tcBorders>
              <w:bottom w:val="single" w:sz="8" w:color="307CC0"/>
            </w:tcBorders>
            <w:shd w:val="clear" w:color="auto" w:fill="CCEEFF"/>
          </w:tcPr>
          <w:p>
            <w:pPr>
              <w:spacing w:after="0"/>
              <w:rPr>
                <w:sz w:val="19"/>
                <w:szCs w:val="19"/>
                <w:color w:val="auto"/>
              </w:rPr>
            </w:pPr>
          </w:p>
        </w:tc>
        <w:tc>
          <w:tcPr>
            <w:tcW w:w="1560" w:type="dxa"/>
            <w:vAlign w:val="bottom"/>
            <w:tcBorders>
              <w:bottom w:val="single" w:sz="8" w:color="307CC0"/>
            </w:tcBorders>
            <w:shd w:val="clear" w:color="auto" w:fill="CCEEFF"/>
          </w:tcPr>
          <w:p>
            <w:pPr>
              <w:spacing w:after="0"/>
              <w:rPr>
                <w:sz w:val="19"/>
                <w:szCs w:val="19"/>
                <w:color w:val="auto"/>
              </w:rPr>
            </w:pPr>
          </w:p>
        </w:tc>
        <w:tc>
          <w:tcPr>
            <w:tcW w:w="380" w:type="dxa"/>
            <w:vAlign w:val="bottom"/>
            <w:tcBorders>
              <w:bottom w:val="single" w:sz="8" w:color="307CC0"/>
            </w:tcBorders>
            <w:shd w:val="clear" w:color="auto" w:fill="CCEEFF"/>
          </w:tcPr>
          <w:p>
            <w:pPr>
              <w:spacing w:after="0"/>
              <w:rPr>
                <w:sz w:val="19"/>
                <w:szCs w:val="19"/>
                <w:color w:val="auto"/>
              </w:rPr>
            </w:pPr>
          </w:p>
        </w:tc>
        <w:tc>
          <w:tcPr>
            <w:tcW w:w="980" w:type="dxa"/>
            <w:vAlign w:val="bottom"/>
            <w:tcBorders>
              <w:bottom w:val="single" w:sz="8" w:color="307CC0"/>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-1361440</wp:posOffset>
            </wp:positionV>
            <wp:extent cx="5808980" cy="270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08980" cy="2705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-819785</wp:posOffset>
            </wp:positionV>
            <wp:extent cx="5808980" cy="270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08980" cy="2705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-278130</wp:posOffset>
            </wp:positionV>
            <wp:extent cx="5808980" cy="270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08980" cy="27051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Short-Term Incentives</w:t>
      </w:r>
    </w:p>
    <w:p>
      <w:pPr>
        <w:spacing w:after="0" w:line="120"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Our short-term incentive plan is based upon a mix of financial and operational metrics that the Committee believes drive the creation of shareholder value and reflect critical operating objectives. Because of their extensive knowledge of the Company and its operations, management recommends objectives and targets, which the Committee analyzes, and if deemed necessary adjusts, with input from the independent compensation consultant before Committee approval. As part of the review, the Committee analyzes risks associated with the short-term incentive plan. In establishing final objectives and targets, the Committee seeks to ensure that:</w:t>
      </w:r>
    </w:p>
    <w:p>
      <w:pPr>
        <w:spacing w:after="0" w:line="93" w:lineRule="exact"/>
        <w:rPr>
          <w:sz w:val="20"/>
          <w:szCs w:val="20"/>
          <w:color w:val="auto"/>
        </w:rPr>
      </w:pPr>
    </w:p>
    <w:p>
      <w:pPr>
        <w:ind w:left="520" w:hanging="342"/>
        <w:spacing w:after="0"/>
        <w:tabs>
          <w:tab w:leader="none" w:pos="520" w:val="left"/>
        </w:tabs>
        <w:numPr>
          <w:ilvl w:val="0"/>
          <w:numId w:val="30"/>
        </w:numPr>
        <w:rPr>
          <w:rFonts w:ascii="Arial" w:cs="Arial" w:eastAsia="Arial" w:hAnsi="Arial"/>
          <w:sz w:val="17"/>
          <w:szCs w:val="17"/>
          <w:color w:val="307CC0"/>
        </w:rPr>
      </w:pPr>
      <w:r>
        <w:rPr>
          <w:rFonts w:ascii="Arial" w:cs="Arial" w:eastAsia="Arial" w:hAnsi="Arial"/>
          <w:sz w:val="17"/>
          <w:szCs w:val="17"/>
          <w:color w:val="auto"/>
        </w:rPr>
        <w:t>incentives are aligned with the strategic goals approved by the Board;</w:t>
      </w:r>
    </w:p>
    <w:p>
      <w:pPr>
        <w:spacing w:after="0" w:line="101" w:lineRule="exact"/>
        <w:rPr>
          <w:rFonts w:ascii="Arial" w:cs="Arial" w:eastAsia="Arial" w:hAnsi="Arial"/>
          <w:sz w:val="17"/>
          <w:szCs w:val="17"/>
          <w:color w:val="307CC0"/>
        </w:rPr>
      </w:pPr>
    </w:p>
    <w:p>
      <w:pPr>
        <w:ind w:left="520" w:hanging="342"/>
        <w:spacing w:after="0"/>
        <w:tabs>
          <w:tab w:leader="none" w:pos="520" w:val="left"/>
        </w:tabs>
        <w:numPr>
          <w:ilvl w:val="0"/>
          <w:numId w:val="30"/>
        </w:numPr>
        <w:rPr>
          <w:rFonts w:ascii="Arial" w:cs="Arial" w:eastAsia="Arial" w:hAnsi="Arial"/>
          <w:sz w:val="17"/>
          <w:szCs w:val="17"/>
          <w:color w:val="307CC0"/>
        </w:rPr>
      </w:pPr>
      <w:r>
        <w:rPr>
          <w:rFonts w:ascii="Arial" w:cs="Arial" w:eastAsia="Arial" w:hAnsi="Arial"/>
          <w:sz w:val="17"/>
          <w:szCs w:val="17"/>
          <w:color w:val="auto"/>
        </w:rPr>
        <w:t>targets are sufficiently ambitious, but strike an acceptable balance between risk and reward; and</w:t>
      </w:r>
    </w:p>
    <w:p>
      <w:pPr>
        <w:spacing w:after="0" w:line="101" w:lineRule="exact"/>
        <w:rPr>
          <w:rFonts w:ascii="Arial" w:cs="Arial" w:eastAsia="Arial" w:hAnsi="Arial"/>
          <w:sz w:val="17"/>
          <w:szCs w:val="17"/>
          <w:color w:val="307CC0"/>
        </w:rPr>
      </w:pPr>
    </w:p>
    <w:p>
      <w:pPr>
        <w:ind w:left="520" w:hanging="342"/>
        <w:spacing w:after="0" w:line="253" w:lineRule="auto"/>
        <w:tabs>
          <w:tab w:leader="none" w:pos="520" w:val="left"/>
        </w:tabs>
        <w:numPr>
          <w:ilvl w:val="0"/>
          <w:numId w:val="30"/>
        </w:numPr>
        <w:rPr>
          <w:rFonts w:ascii="Arial" w:cs="Arial" w:eastAsia="Arial" w:hAnsi="Arial"/>
          <w:sz w:val="17"/>
          <w:szCs w:val="17"/>
          <w:color w:val="307CC0"/>
        </w:rPr>
      </w:pPr>
      <w:r>
        <w:rPr>
          <w:rFonts w:ascii="Arial" w:cs="Arial" w:eastAsia="Arial" w:hAnsi="Arial"/>
          <w:sz w:val="17"/>
          <w:szCs w:val="17"/>
          <w:color w:val="auto"/>
        </w:rPr>
        <w:t>incentive payments, assuming target levels are met, will be consistent with the overall compensation program established by the Committee.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2019 short-term incentive plan provided for financial and operational objectives each weighted at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5808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ind w:left="540"/>
        <w:spacing w:after="0"/>
        <w:tabs>
          <w:tab w:leader="none" w:pos="350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The short-term incentive plan provides for 100% payout for target performance for each objective, 50% for threshold performance, 150% for stretch performance and 200% for maximum performance. Objective performance is interpolated between performance levels. Objective performance achievement that is less than threshold achievement results in a zero payment for that objective. Additional information and results for the 2019 short-term incentive plan are described below.</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520" w:type="dxa"/>
            <w:vAlign w:val="bottom"/>
            <w:shd w:val="clear" w:color="auto" w:fill="307CC0"/>
          </w:tcPr>
          <w:p>
            <w:pPr>
              <w:spacing w:after="0"/>
              <w:rPr>
                <w:sz w:val="13"/>
                <w:szCs w:val="13"/>
                <w:color w:val="auto"/>
              </w:rPr>
            </w:pPr>
          </w:p>
        </w:tc>
        <w:tc>
          <w:tcPr>
            <w:tcW w:w="740" w:type="dxa"/>
            <w:vAlign w:val="bottom"/>
            <w:shd w:val="clear" w:color="auto" w:fill="307CC0"/>
          </w:tcPr>
          <w:p>
            <w:pPr>
              <w:jc w:val="right"/>
              <w:ind w:right="98"/>
              <w:spacing w:after="0"/>
              <w:rPr>
                <w:sz w:val="20"/>
                <w:szCs w:val="20"/>
                <w:color w:val="auto"/>
              </w:rPr>
            </w:pPr>
            <w:r>
              <w:rPr>
                <w:rFonts w:ascii="Arial" w:cs="Arial" w:eastAsia="Arial" w:hAnsi="Arial"/>
                <w:sz w:val="13"/>
                <w:szCs w:val="13"/>
                <w:b w:val="1"/>
                <w:bCs w:val="1"/>
                <w:color w:val="FFFFFF"/>
              </w:rPr>
              <w:t>Weight</w:t>
            </w:r>
          </w:p>
        </w:tc>
        <w:tc>
          <w:tcPr>
            <w:tcW w:w="140" w:type="dxa"/>
            <w:vAlign w:val="bottom"/>
            <w:shd w:val="clear" w:color="auto" w:fill="307CC0"/>
          </w:tcPr>
          <w:p>
            <w:pPr>
              <w:spacing w:after="0"/>
              <w:rPr>
                <w:sz w:val="13"/>
                <w:szCs w:val="13"/>
                <w:color w:val="auto"/>
              </w:rPr>
            </w:pPr>
          </w:p>
        </w:tc>
        <w:tc>
          <w:tcPr>
            <w:tcW w:w="920" w:type="dxa"/>
            <w:vAlign w:val="bottom"/>
            <w:shd w:val="clear" w:color="auto" w:fill="307CC0"/>
          </w:tcPr>
          <w:p>
            <w:pPr>
              <w:jc w:val="right"/>
              <w:ind w:right="178"/>
              <w:spacing w:after="0"/>
              <w:rPr>
                <w:sz w:val="20"/>
                <w:szCs w:val="20"/>
                <w:color w:val="auto"/>
              </w:rPr>
            </w:pPr>
            <w:r>
              <w:rPr>
                <w:rFonts w:ascii="Arial" w:cs="Arial" w:eastAsia="Arial" w:hAnsi="Arial"/>
                <w:sz w:val="13"/>
                <w:szCs w:val="13"/>
                <w:b w:val="1"/>
                <w:bCs w:val="1"/>
                <w:color w:val="FFFFFF"/>
              </w:rPr>
              <w:t>Threshold</w:t>
            </w:r>
          </w:p>
        </w:tc>
        <w:tc>
          <w:tcPr>
            <w:tcW w:w="140" w:type="dxa"/>
            <w:vAlign w:val="bottom"/>
            <w:shd w:val="clear" w:color="auto" w:fill="307CC0"/>
          </w:tcPr>
          <w:p>
            <w:pPr>
              <w:spacing w:after="0"/>
              <w:rPr>
                <w:sz w:val="13"/>
                <w:szCs w:val="13"/>
                <w:color w:val="auto"/>
              </w:rPr>
            </w:pPr>
          </w:p>
        </w:tc>
        <w:tc>
          <w:tcPr>
            <w:tcW w:w="920" w:type="dxa"/>
            <w:vAlign w:val="bottom"/>
            <w:shd w:val="clear" w:color="auto" w:fill="307CC0"/>
          </w:tcPr>
          <w:p>
            <w:pPr>
              <w:jc w:val="right"/>
              <w:ind w:right="298"/>
              <w:spacing w:after="0"/>
              <w:rPr>
                <w:sz w:val="20"/>
                <w:szCs w:val="20"/>
                <w:color w:val="auto"/>
              </w:rPr>
            </w:pPr>
            <w:r>
              <w:rPr>
                <w:rFonts w:ascii="Arial" w:cs="Arial" w:eastAsia="Arial" w:hAnsi="Arial"/>
                <w:sz w:val="13"/>
                <w:szCs w:val="13"/>
                <w:b w:val="1"/>
                <w:bCs w:val="1"/>
                <w:color w:val="FFFFFF"/>
              </w:rPr>
              <w:t>Target</w:t>
            </w:r>
          </w:p>
        </w:tc>
        <w:tc>
          <w:tcPr>
            <w:tcW w:w="140" w:type="dxa"/>
            <w:vAlign w:val="bottom"/>
            <w:shd w:val="clear" w:color="auto" w:fill="307CC0"/>
          </w:tcPr>
          <w:p>
            <w:pPr>
              <w:spacing w:after="0"/>
              <w:rPr>
                <w:sz w:val="13"/>
                <w:szCs w:val="13"/>
                <w:color w:val="auto"/>
              </w:rPr>
            </w:pPr>
          </w:p>
        </w:tc>
        <w:tc>
          <w:tcPr>
            <w:tcW w:w="920" w:type="dxa"/>
            <w:vAlign w:val="bottom"/>
            <w:shd w:val="clear" w:color="auto" w:fill="307CC0"/>
          </w:tcPr>
          <w:p>
            <w:pPr>
              <w:jc w:val="right"/>
              <w:ind w:right="278"/>
              <w:spacing w:after="0"/>
              <w:rPr>
                <w:sz w:val="20"/>
                <w:szCs w:val="20"/>
                <w:color w:val="auto"/>
              </w:rPr>
            </w:pPr>
            <w:r>
              <w:rPr>
                <w:rFonts w:ascii="Arial" w:cs="Arial" w:eastAsia="Arial" w:hAnsi="Arial"/>
                <w:sz w:val="13"/>
                <w:szCs w:val="13"/>
                <w:b w:val="1"/>
                <w:bCs w:val="1"/>
                <w:color w:val="FFFFFF"/>
              </w:rPr>
              <w:t>Stretch</w:t>
            </w:r>
          </w:p>
        </w:tc>
        <w:tc>
          <w:tcPr>
            <w:tcW w:w="140" w:type="dxa"/>
            <w:vAlign w:val="bottom"/>
            <w:shd w:val="clear" w:color="auto" w:fill="307CC0"/>
          </w:tcPr>
          <w:p>
            <w:pPr>
              <w:spacing w:after="0"/>
              <w:rPr>
                <w:sz w:val="13"/>
                <w:szCs w:val="13"/>
                <w:color w:val="auto"/>
              </w:rPr>
            </w:pPr>
          </w:p>
        </w:tc>
        <w:tc>
          <w:tcPr>
            <w:tcW w:w="920" w:type="dxa"/>
            <w:vAlign w:val="bottom"/>
            <w:shd w:val="clear" w:color="auto" w:fill="307CC0"/>
          </w:tcPr>
          <w:p>
            <w:pPr>
              <w:jc w:val="right"/>
              <w:ind w:right="238"/>
              <w:spacing w:after="0"/>
              <w:rPr>
                <w:sz w:val="20"/>
                <w:szCs w:val="20"/>
                <w:color w:val="auto"/>
              </w:rPr>
            </w:pPr>
            <w:r>
              <w:rPr>
                <w:rFonts w:ascii="Arial" w:cs="Arial" w:eastAsia="Arial" w:hAnsi="Arial"/>
                <w:sz w:val="13"/>
                <w:szCs w:val="13"/>
                <w:b w:val="1"/>
                <w:bCs w:val="1"/>
                <w:color w:val="FFFFFF"/>
              </w:rPr>
              <w:t>Superior</w:t>
            </w:r>
          </w:p>
        </w:tc>
        <w:tc>
          <w:tcPr>
            <w:tcW w:w="140" w:type="dxa"/>
            <w:vAlign w:val="bottom"/>
            <w:shd w:val="clear" w:color="auto" w:fill="307CC0"/>
          </w:tcPr>
          <w:p>
            <w:pPr>
              <w:spacing w:after="0"/>
              <w:rPr>
                <w:sz w:val="13"/>
                <w:szCs w:val="13"/>
                <w:color w:val="auto"/>
              </w:rPr>
            </w:pPr>
          </w:p>
        </w:tc>
        <w:tc>
          <w:tcPr>
            <w:tcW w:w="780" w:type="dxa"/>
            <w:vAlign w:val="bottom"/>
            <w:shd w:val="clear" w:color="auto" w:fill="307CC0"/>
          </w:tcPr>
          <w:p>
            <w:pPr>
              <w:jc w:val="right"/>
              <w:ind w:right="238"/>
              <w:spacing w:after="0"/>
              <w:rPr>
                <w:sz w:val="20"/>
                <w:szCs w:val="20"/>
                <w:color w:val="auto"/>
              </w:rPr>
            </w:pPr>
            <w:r>
              <w:rPr>
                <w:rFonts w:ascii="Arial" w:cs="Arial" w:eastAsia="Arial" w:hAnsi="Arial"/>
                <w:sz w:val="13"/>
                <w:szCs w:val="13"/>
                <w:b w:val="1"/>
                <w:bCs w:val="1"/>
                <w:color w:val="FFFFFF"/>
              </w:rPr>
              <w:t>Actual</w:t>
            </w:r>
          </w:p>
        </w:tc>
        <w:tc>
          <w:tcPr>
            <w:tcW w:w="740" w:type="dxa"/>
            <w:vAlign w:val="bottom"/>
            <w:shd w:val="clear" w:color="auto" w:fill="307CC0"/>
          </w:tcPr>
          <w:p>
            <w:pPr>
              <w:spacing w:after="0"/>
              <w:rPr>
                <w:sz w:val="13"/>
                <w:szCs w:val="13"/>
                <w:color w:val="auto"/>
              </w:rPr>
            </w:pPr>
          </w:p>
        </w:tc>
      </w:tr>
      <w:tr>
        <w:trPr>
          <w:trHeight w:val="185"/>
        </w:trPr>
        <w:tc>
          <w:tcPr>
            <w:tcW w:w="252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Objective</w:t>
            </w:r>
          </w:p>
        </w:tc>
        <w:tc>
          <w:tcPr>
            <w:tcW w:w="740" w:type="dxa"/>
            <w:vAlign w:val="bottom"/>
            <w:shd w:val="clear" w:color="auto" w:fill="307CC0"/>
          </w:tcPr>
          <w:p>
            <w:pPr>
              <w:jc w:val="right"/>
              <w:ind w:right="198"/>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307CC0"/>
          </w:tcPr>
          <w:p>
            <w:pPr>
              <w:spacing w:after="0"/>
              <w:rPr>
                <w:sz w:val="16"/>
                <w:szCs w:val="16"/>
                <w:color w:val="auto"/>
              </w:rPr>
            </w:pPr>
          </w:p>
        </w:tc>
        <w:tc>
          <w:tcPr>
            <w:tcW w:w="920" w:type="dxa"/>
            <w:vAlign w:val="bottom"/>
            <w:shd w:val="clear" w:color="auto" w:fill="307CC0"/>
          </w:tcPr>
          <w:p>
            <w:pPr>
              <w:jc w:val="right"/>
              <w:ind w:right="358"/>
              <w:spacing w:after="0"/>
              <w:rPr>
                <w:sz w:val="20"/>
                <w:szCs w:val="20"/>
                <w:color w:val="auto"/>
              </w:rPr>
            </w:pPr>
            <w:r>
              <w:rPr>
                <w:rFonts w:ascii="Arial" w:cs="Arial" w:eastAsia="Arial" w:hAnsi="Arial"/>
                <w:sz w:val="13"/>
                <w:szCs w:val="13"/>
                <w:b w:val="1"/>
                <w:bCs w:val="1"/>
                <w:color w:val="FFFFFF"/>
              </w:rPr>
              <w:t>50%</w:t>
            </w:r>
          </w:p>
        </w:tc>
        <w:tc>
          <w:tcPr>
            <w:tcW w:w="140" w:type="dxa"/>
            <w:vAlign w:val="bottom"/>
            <w:shd w:val="clear" w:color="auto" w:fill="307CC0"/>
          </w:tcPr>
          <w:p>
            <w:pPr>
              <w:spacing w:after="0"/>
              <w:rPr>
                <w:sz w:val="16"/>
                <w:szCs w:val="16"/>
                <w:color w:val="auto"/>
              </w:rPr>
            </w:pPr>
          </w:p>
        </w:tc>
        <w:tc>
          <w:tcPr>
            <w:tcW w:w="920" w:type="dxa"/>
            <w:vAlign w:val="bottom"/>
            <w:shd w:val="clear" w:color="auto" w:fill="307CC0"/>
          </w:tcPr>
          <w:p>
            <w:pPr>
              <w:jc w:val="right"/>
              <w:ind w:right="338"/>
              <w:spacing w:after="0"/>
              <w:rPr>
                <w:sz w:val="20"/>
                <w:szCs w:val="20"/>
                <w:color w:val="auto"/>
              </w:rPr>
            </w:pPr>
            <w:r>
              <w:rPr>
                <w:rFonts w:ascii="Arial" w:cs="Arial" w:eastAsia="Arial" w:hAnsi="Arial"/>
                <w:sz w:val="13"/>
                <w:szCs w:val="13"/>
                <w:b w:val="1"/>
                <w:bCs w:val="1"/>
                <w:color w:val="FFFFFF"/>
              </w:rPr>
              <w:t>100%</w:t>
            </w:r>
          </w:p>
        </w:tc>
        <w:tc>
          <w:tcPr>
            <w:tcW w:w="140" w:type="dxa"/>
            <w:vAlign w:val="bottom"/>
            <w:shd w:val="clear" w:color="auto" w:fill="307CC0"/>
          </w:tcPr>
          <w:p>
            <w:pPr>
              <w:spacing w:after="0"/>
              <w:rPr>
                <w:sz w:val="16"/>
                <w:szCs w:val="16"/>
                <w:color w:val="auto"/>
              </w:rPr>
            </w:pPr>
          </w:p>
        </w:tc>
        <w:tc>
          <w:tcPr>
            <w:tcW w:w="920" w:type="dxa"/>
            <w:vAlign w:val="bottom"/>
            <w:shd w:val="clear" w:color="auto" w:fill="307CC0"/>
          </w:tcPr>
          <w:p>
            <w:pPr>
              <w:jc w:val="right"/>
              <w:ind w:right="338"/>
              <w:spacing w:after="0"/>
              <w:rPr>
                <w:sz w:val="20"/>
                <w:szCs w:val="20"/>
                <w:color w:val="auto"/>
              </w:rPr>
            </w:pPr>
            <w:r>
              <w:rPr>
                <w:rFonts w:ascii="Arial" w:cs="Arial" w:eastAsia="Arial" w:hAnsi="Arial"/>
                <w:sz w:val="13"/>
                <w:szCs w:val="13"/>
                <w:b w:val="1"/>
                <w:bCs w:val="1"/>
                <w:color w:val="FFFFFF"/>
              </w:rPr>
              <w:t>150%</w:t>
            </w:r>
          </w:p>
        </w:tc>
        <w:tc>
          <w:tcPr>
            <w:tcW w:w="140" w:type="dxa"/>
            <w:vAlign w:val="bottom"/>
            <w:shd w:val="clear" w:color="auto" w:fill="307CC0"/>
          </w:tcPr>
          <w:p>
            <w:pPr>
              <w:spacing w:after="0"/>
              <w:rPr>
                <w:sz w:val="16"/>
                <w:szCs w:val="16"/>
                <w:color w:val="auto"/>
              </w:rPr>
            </w:pPr>
          </w:p>
        </w:tc>
        <w:tc>
          <w:tcPr>
            <w:tcW w:w="920" w:type="dxa"/>
            <w:vAlign w:val="bottom"/>
            <w:shd w:val="clear" w:color="auto" w:fill="307CC0"/>
          </w:tcPr>
          <w:p>
            <w:pPr>
              <w:jc w:val="right"/>
              <w:ind w:right="338"/>
              <w:spacing w:after="0"/>
              <w:rPr>
                <w:sz w:val="20"/>
                <w:szCs w:val="20"/>
                <w:color w:val="auto"/>
              </w:rPr>
            </w:pPr>
            <w:r>
              <w:rPr>
                <w:rFonts w:ascii="Arial" w:cs="Arial" w:eastAsia="Arial" w:hAnsi="Arial"/>
                <w:sz w:val="13"/>
                <w:szCs w:val="13"/>
                <w:b w:val="1"/>
                <w:bCs w:val="1"/>
                <w:color w:val="FFFFFF"/>
              </w:rPr>
              <w:t>200%</w:t>
            </w:r>
          </w:p>
        </w:tc>
        <w:tc>
          <w:tcPr>
            <w:tcW w:w="140" w:type="dxa"/>
            <w:vAlign w:val="bottom"/>
            <w:shd w:val="clear" w:color="auto" w:fill="307CC0"/>
          </w:tcPr>
          <w:p>
            <w:pPr>
              <w:spacing w:after="0"/>
              <w:rPr>
                <w:sz w:val="16"/>
                <w:szCs w:val="16"/>
                <w:color w:val="auto"/>
              </w:rPr>
            </w:pPr>
          </w:p>
        </w:tc>
        <w:tc>
          <w:tcPr>
            <w:tcW w:w="780" w:type="dxa"/>
            <w:vAlign w:val="bottom"/>
            <w:shd w:val="clear" w:color="auto" w:fill="307CC0"/>
          </w:tcPr>
          <w:p>
            <w:pPr>
              <w:jc w:val="right"/>
              <w:ind w:right="238"/>
              <w:spacing w:after="0"/>
              <w:rPr>
                <w:sz w:val="20"/>
                <w:szCs w:val="20"/>
                <w:color w:val="auto"/>
              </w:rPr>
            </w:pPr>
            <w:r>
              <w:rPr>
                <w:rFonts w:ascii="Arial" w:cs="Arial" w:eastAsia="Arial" w:hAnsi="Arial"/>
                <w:sz w:val="13"/>
                <w:szCs w:val="13"/>
                <w:b w:val="1"/>
                <w:bCs w:val="1"/>
                <w:color w:val="FFFFFF"/>
              </w:rPr>
              <w:t>Result</w:t>
            </w:r>
          </w:p>
        </w:tc>
        <w:tc>
          <w:tcPr>
            <w:tcW w:w="740" w:type="dxa"/>
            <w:vAlign w:val="bottom"/>
            <w:shd w:val="clear" w:color="auto" w:fill="307CC0"/>
          </w:tcPr>
          <w:p>
            <w:pPr>
              <w:jc w:val="right"/>
              <w:ind w:right="36"/>
              <w:spacing w:after="0"/>
              <w:rPr>
                <w:sz w:val="20"/>
                <w:szCs w:val="20"/>
                <w:color w:val="auto"/>
              </w:rPr>
            </w:pPr>
            <w:r>
              <w:rPr>
                <w:rFonts w:ascii="Arial" w:cs="Arial" w:eastAsia="Arial" w:hAnsi="Arial"/>
                <w:sz w:val="13"/>
                <w:szCs w:val="13"/>
                <w:b w:val="1"/>
                <w:bCs w:val="1"/>
                <w:color w:val="FFFFFF"/>
              </w:rPr>
              <w:t>Payout %</w:t>
            </w:r>
          </w:p>
        </w:tc>
      </w:tr>
      <w:tr>
        <w:trPr>
          <w:trHeight w:val="220"/>
        </w:trPr>
        <w:tc>
          <w:tcPr>
            <w:tcW w:w="25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Safety Audits</w:t>
            </w:r>
          </w:p>
        </w:tc>
        <w:tc>
          <w:tcPr>
            <w:tcW w:w="7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307CC0"/>
            </w:tcBorders>
            <w:shd w:val="clear" w:color="auto" w:fill="CCEEFF"/>
          </w:tcPr>
          <w:p>
            <w:pPr>
              <w:spacing w:after="0"/>
              <w:rPr>
                <w:sz w:val="19"/>
                <w:szCs w:val="19"/>
                <w:color w:val="auto"/>
              </w:rPr>
            </w:pPr>
          </w:p>
        </w:tc>
        <w:tc>
          <w:tcPr>
            <w:tcW w:w="920" w:type="dxa"/>
            <w:vAlign w:val="bottom"/>
            <w:tcBorders>
              <w:bottom w:val="single" w:sz="8" w:color="307CC0"/>
            </w:tcBorders>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307CC0"/>
            </w:tcBorders>
            <w:shd w:val="clear" w:color="auto" w:fill="CCEEFF"/>
          </w:tcPr>
          <w:p>
            <w:pPr>
              <w:spacing w:after="0"/>
              <w:rPr>
                <w:sz w:val="19"/>
                <w:szCs w:val="19"/>
                <w:color w:val="auto"/>
              </w:rPr>
            </w:pPr>
          </w:p>
        </w:tc>
        <w:tc>
          <w:tcPr>
            <w:tcW w:w="920" w:type="dxa"/>
            <w:vAlign w:val="bottom"/>
            <w:tcBorders>
              <w:bottom w:val="single" w:sz="8" w:color="307CC0"/>
            </w:tcBorders>
            <w:shd w:val="clear" w:color="auto" w:fill="CCEEFF"/>
          </w:tcPr>
          <w:p>
            <w:pPr>
              <w:jc w:val="right"/>
              <w:ind w:right="118"/>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307CC0"/>
            </w:tcBorders>
            <w:shd w:val="clear" w:color="auto" w:fill="CCEEFF"/>
          </w:tcPr>
          <w:p>
            <w:pPr>
              <w:spacing w:after="0"/>
              <w:rPr>
                <w:sz w:val="19"/>
                <w:szCs w:val="19"/>
                <w:color w:val="auto"/>
              </w:rPr>
            </w:pPr>
          </w:p>
        </w:tc>
        <w:tc>
          <w:tcPr>
            <w:tcW w:w="920" w:type="dxa"/>
            <w:vAlign w:val="bottom"/>
            <w:tcBorders>
              <w:bottom w:val="single" w:sz="8" w:color="307CC0"/>
            </w:tcBorders>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307CC0"/>
            </w:tcBorders>
            <w:shd w:val="clear" w:color="auto" w:fill="CCEEFF"/>
          </w:tcPr>
          <w:p>
            <w:pPr>
              <w:spacing w:after="0"/>
              <w:rPr>
                <w:sz w:val="19"/>
                <w:szCs w:val="19"/>
                <w:color w:val="auto"/>
              </w:rPr>
            </w:pPr>
          </w:p>
        </w:tc>
        <w:tc>
          <w:tcPr>
            <w:tcW w:w="920" w:type="dxa"/>
            <w:vAlign w:val="bottom"/>
            <w:tcBorders>
              <w:bottom w:val="single" w:sz="8" w:color="307CC0"/>
            </w:tcBorders>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307CC0"/>
            </w:tcBorders>
            <w:shd w:val="clear" w:color="auto" w:fill="CCEEFF"/>
          </w:tcPr>
          <w:p>
            <w:pPr>
              <w:spacing w:after="0"/>
              <w:rPr>
                <w:sz w:val="19"/>
                <w:szCs w:val="19"/>
                <w:color w:val="auto"/>
              </w:rPr>
            </w:pPr>
          </w:p>
        </w:tc>
        <w:tc>
          <w:tcPr>
            <w:tcW w:w="780" w:type="dxa"/>
            <w:vAlign w:val="bottom"/>
            <w:tcBorders>
              <w:bottom w:val="single" w:sz="8" w:color="307CC0"/>
            </w:tcBorders>
            <w:shd w:val="clear" w:color="auto" w:fill="CCEEFF"/>
          </w:tcPr>
          <w:p>
            <w:pPr>
              <w:jc w:val="right"/>
              <w:ind w:right="118"/>
              <w:spacing w:after="0"/>
              <w:rPr>
                <w:sz w:val="20"/>
                <w:szCs w:val="20"/>
                <w:color w:val="auto"/>
              </w:rPr>
            </w:pPr>
            <w:r>
              <w:rPr>
                <w:rFonts w:ascii="Arial" w:cs="Arial" w:eastAsia="Arial" w:hAnsi="Arial"/>
                <w:sz w:val="17"/>
                <w:szCs w:val="17"/>
                <w:color w:val="auto"/>
              </w:rPr>
              <w:t>2</w:t>
            </w:r>
          </w:p>
        </w:tc>
        <w:tc>
          <w:tcPr>
            <w:tcW w:w="7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3"/>
        </w:trPr>
        <w:tc>
          <w:tcPr>
            <w:tcW w:w="252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SAIDI</w:t>
            </w:r>
          </w:p>
        </w:tc>
        <w:tc>
          <w:tcPr>
            <w:tcW w:w="7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15%</w:t>
            </w: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121.79</w:t>
            </w: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103.64</w:t>
            </w: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100.14</w:t>
            </w: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96.00</w:t>
            </w:r>
          </w:p>
        </w:tc>
        <w:tc>
          <w:tcPr>
            <w:tcW w:w="140" w:type="dxa"/>
            <w:vAlign w:val="bottom"/>
            <w:tcBorders>
              <w:bottom w:val="single" w:sz="8" w:color="307CC0"/>
            </w:tcBorders>
            <w:shd w:val="clear" w:color="auto" w:fill="D6E7FF"/>
          </w:tcPr>
          <w:p>
            <w:pPr>
              <w:spacing w:after="0"/>
              <w:rPr>
                <w:sz w:val="18"/>
                <w:szCs w:val="18"/>
                <w:color w:val="auto"/>
              </w:rPr>
            </w:pPr>
          </w:p>
        </w:tc>
        <w:tc>
          <w:tcPr>
            <w:tcW w:w="78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102.91</w:t>
            </w:r>
          </w:p>
        </w:tc>
        <w:tc>
          <w:tcPr>
            <w:tcW w:w="7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110.4%</w:t>
            </w:r>
          </w:p>
        </w:tc>
      </w:tr>
      <w:tr>
        <w:trPr>
          <w:trHeight w:val="213"/>
        </w:trPr>
        <w:tc>
          <w:tcPr>
            <w:tcW w:w="25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Generation Availability – Coal</w:t>
            </w:r>
          </w:p>
        </w:tc>
        <w:tc>
          <w:tcPr>
            <w:tcW w:w="7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40" w:type="dxa"/>
            <w:vAlign w:val="bottom"/>
            <w:tcBorders>
              <w:bottom w:val="single" w:sz="8" w:color="307CC0"/>
            </w:tcBorders>
            <w:shd w:val="clear" w:color="auto" w:fill="CCEEFF"/>
          </w:tcPr>
          <w:p>
            <w:pPr>
              <w:spacing w:after="0"/>
              <w:rPr>
                <w:sz w:val="18"/>
                <w:szCs w:val="18"/>
                <w:color w:val="auto"/>
              </w:rPr>
            </w:pPr>
          </w:p>
        </w:tc>
        <w:tc>
          <w:tcPr>
            <w:tcW w:w="7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7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140.8%</w:t>
            </w:r>
          </w:p>
        </w:tc>
      </w:tr>
      <w:tr>
        <w:trPr>
          <w:trHeight w:val="199"/>
        </w:trPr>
        <w:tc>
          <w:tcPr>
            <w:tcW w:w="2520" w:type="dxa"/>
            <w:vAlign w:val="bottom"/>
            <w:shd w:val="clear" w:color="auto" w:fill="D6E7FF"/>
          </w:tcPr>
          <w:p>
            <w:pPr>
              <w:ind w:left="40"/>
              <w:spacing w:after="0"/>
              <w:rPr>
                <w:sz w:val="20"/>
                <w:szCs w:val="20"/>
                <w:color w:val="auto"/>
              </w:rPr>
            </w:pPr>
            <w:r>
              <w:rPr>
                <w:rFonts w:ascii="Arial" w:cs="Arial" w:eastAsia="Arial" w:hAnsi="Arial"/>
                <w:sz w:val="17"/>
                <w:szCs w:val="17"/>
                <w:color w:val="auto"/>
              </w:rPr>
              <w:t>Generation Availability –</w:t>
            </w:r>
          </w:p>
        </w:tc>
        <w:tc>
          <w:tcPr>
            <w:tcW w:w="7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D6E7FF"/>
          </w:tcPr>
          <w:p>
            <w:pPr>
              <w:spacing w:after="0"/>
              <w:rPr>
                <w:sz w:val="17"/>
                <w:szCs w:val="17"/>
                <w:color w:val="auto"/>
              </w:rPr>
            </w:pPr>
          </w:p>
        </w:tc>
        <w:tc>
          <w:tcPr>
            <w:tcW w:w="920" w:type="dxa"/>
            <w:vAlign w:val="bottom"/>
            <w:shd w:val="clear" w:color="auto" w:fill="D6E7FF"/>
          </w:tcPr>
          <w:p>
            <w:pPr>
              <w:jc w:val="right"/>
              <w:spacing w:after="0"/>
              <w:rPr>
                <w:sz w:val="20"/>
                <w:szCs w:val="20"/>
                <w:color w:val="auto"/>
              </w:rPr>
            </w:pPr>
            <w:r>
              <w:rPr>
                <w:rFonts w:ascii="Arial" w:cs="Arial" w:eastAsia="Arial" w:hAnsi="Arial"/>
                <w:sz w:val="17"/>
                <w:szCs w:val="17"/>
                <w:color w:val="auto"/>
              </w:rPr>
              <w:t>78.8%</w:t>
            </w:r>
          </w:p>
        </w:tc>
        <w:tc>
          <w:tcPr>
            <w:tcW w:w="140" w:type="dxa"/>
            <w:vAlign w:val="bottom"/>
            <w:shd w:val="clear" w:color="auto" w:fill="D6E7FF"/>
          </w:tcPr>
          <w:p>
            <w:pPr>
              <w:spacing w:after="0"/>
              <w:rPr>
                <w:sz w:val="17"/>
                <w:szCs w:val="17"/>
                <w:color w:val="auto"/>
              </w:rPr>
            </w:pPr>
          </w:p>
        </w:tc>
        <w:tc>
          <w:tcPr>
            <w:tcW w:w="920" w:type="dxa"/>
            <w:vAlign w:val="bottom"/>
            <w:shd w:val="clear" w:color="auto" w:fill="D6E7FF"/>
          </w:tcPr>
          <w:p>
            <w:pPr>
              <w:jc w:val="right"/>
              <w:spacing w:after="0"/>
              <w:rPr>
                <w:sz w:val="20"/>
                <w:szCs w:val="20"/>
                <w:color w:val="auto"/>
              </w:rPr>
            </w:pPr>
            <w:r>
              <w:rPr>
                <w:rFonts w:ascii="Arial" w:cs="Arial" w:eastAsia="Arial" w:hAnsi="Arial"/>
                <w:sz w:val="17"/>
                <w:szCs w:val="17"/>
                <w:color w:val="auto"/>
              </w:rPr>
              <w:t>83.9%</w:t>
            </w:r>
          </w:p>
        </w:tc>
        <w:tc>
          <w:tcPr>
            <w:tcW w:w="140" w:type="dxa"/>
            <w:vAlign w:val="bottom"/>
            <w:shd w:val="clear" w:color="auto" w:fill="D6E7FF"/>
          </w:tcPr>
          <w:p>
            <w:pPr>
              <w:spacing w:after="0"/>
              <w:rPr>
                <w:sz w:val="17"/>
                <w:szCs w:val="17"/>
                <w:color w:val="auto"/>
              </w:rPr>
            </w:pPr>
          </w:p>
        </w:tc>
        <w:tc>
          <w:tcPr>
            <w:tcW w:w="920" w:type="dxa"/>
            <w:vAlign w:val="bottom"/>
            <w:shd w:val="clear" w:color="auto" w:fill="D6E7FF"/>
          </w:tcPr>
          <w:p>
            <w:pPr>
              <w:jc w:val="right"/>
              <w:spacing w:after="0"/>
              <w:rPr>
                <w:sz w:val="20"/>
                <w:szCs w:val="20"/>
                <w:color w:val="auto"/>
              </w:rPr>
            </w:pPr>
            <w:r>
              <w:rPr>
                <w:rFonts w:ascii="Arial" w:cs="Arial" w:eastAsia="Arial" w:hAnsi="Arial"/>
                <w:sz w:val="17"/>
                <w:szCs w:val="17"/>
                <w:color w:val="auto"/>
              </w:rPr>
              <w:t>85.5%</w:t>
            </w:r>
          </w:p>
        </w:tc>
        <w:tc>
          <w:tcPr>
            <w:tcW w:w="140" w:type="dxa"/>
            <w:vAlign w:val="bottom"/>
            <w:shd w:val="clear" w:color="auto" w:fill="D6E7FF"/>
          </w:tcPr>
          <w:p>
            <w:pPr>
              <w:spacing w:after="0"/>
              <w:rPr>
                <w:sz w:val="17"/>
                <w:szCs w:val="17"/>
                <w:color w:val="auto"/>
              </w:rPr>
            </w:pPr>
          </w:p>
        </w:tc>
        <w:tc>
          <w:tcPr>
            <w:tcW w:w="920" w:type="dxa"/>
            <w:vAlign w:val="bottom"/>
            <w:shd w:val="clear" w:color="auto" w:fill="D6E7FF"/>
          </w:tcPr>
          <w:p>
            <w:pPr>
              <w:jc w:val="right"/>
              <w:spacing w:after="0"/>
              <w:rPr>
                <w:sz w:val="20"/>
                <w:szCs w:val="20"/>
                <w:color w:val="auto"/>
              </w:rPr>
            </w:pPr>
            <w:r>
              <w:rPr>
                <w:rFonts w:ascii="Arial" w:cs="Arial" w:eastAsia="Arial" w:hAnsi="Arial"/>
                <w:sz w:val="17"/>
                <w:szCs w:val="17"/>
                <w:color w:val="auto"/>
              </w:rPr>
              <w:t>86.4%</w:t>
            </w:r>
          </w:p>
        </w:tc>
        <w:tc>
          <w:tcPr>
            <w:tcW w:w="140" w:type="dxa"/>
            <w:vAlign w:val="bottom"/>
            <w:shd w:val="clear" w:color="auto" w:fill="D6E7FF"/>
          </w:tcPr>
          <w:p>
            <w:pPr>
              <w:spacing w:after="0"/>
              <w:rPr>
                <w:sz w:val="17"/>
                <w:szCs w:val="17"/>
                <w:color w:val="auto"/>
              </w:rPr>
            </w:pPr>
          </w:p>
        </w:tc>
        <w:tc>
          <w:tcPr>
            <w:tcW w:w="780" w:type="dxa"/>
            <w:vAlign w:val="bottom"/>
            <w:shd w:val="clear" w:color="auto" w:fill="D6E7FF"/>
          </w:tcPr>
          <w:p>
            <w:pPr>
              <w:jc w:val="right"/>
              <w:spacing w:after="0"/>
              <w:rPr>
                <w:sz w:val="20"/>
                <w:szCs w:val="20"/>
                <w:color w:val="auto"/>
              </w:rPr>
            </w:pPr>
            <w:r>
              <w:rPr>
                <w:rFonts w:ascii="Arial" w:cs="Arial" w:eastAsia="Arial" w:hAnsi="Arial"/>
                <w:sz w:val="17"/>
                <w:szCs w:val="17"/>
                <w:color w:val="auto"/>
              </w:rPr>
              <w:t>87.2%</w:t>
            </w:r>
          </w:p>
        </w:tc>
        <w:tc>
          <w:tcPr>
            <w:tcW w:w="7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200.0%</w:t>
            </w:r>
          </w:p>
        </w:tc>
      </w:tr>
      <w:tr>
        <w:trPr>
          <w:trHeight w:val="208"/>
        </w:trPr>
        <w:tc>
          <w:tcPr>
            <w:tcW w:w="252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Nuclear</w:t>
            </w:r>
          </w:p>
        </w:tc>
        <w:tc>
          <w:tcPr>
            <w:tcW w:w="74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780" w:type="dxa"/>
            <w:vAlign w:val="bottom"/>
            <w:tcBorders>
              <w:bottom w:val="single" w:sz="8" w:color="307CC0"/>
            </w:tcBorders>
            <w:shd w:val="clear" w:color="auto" w:fill="D6E7FF"/>
          </w:tcPr>
          <w:p>
            <w:pPr>
              <w:spacing w:after="0"/>
              <w:rPr>
                <w:sz w:val="18"/>
                <w:szCs w:val="18"/>
                <w:color w:val="auto"/>
              </w:rPr>
            </w:pPr>
          </w:p>
        </w:tc>
        <w:tc>
          <w:tcPr>
            <w:tcW w:w="740" w:type="dxa"/>
            <w:vAlign w:val="bottom"/>
            <w:tcBorders>
              <w:bottom w:val="single" w:sz="8" w:color="307CC0"/>
            </w:tcBorders>
            <w:shd w:val="clear" w:color="auto" w:fill="D6E7FF"/>
          </w:tcPr>
          <w:p>
            <w:pPr>
              <w:spacing w:after="0"/>
              <w:rPr>
                <w:sz w:val="18"/>
                <w:szCs w:val="18"/>
                <w:color w:val="auto"/>
              </w:rPr>
            </w:pPr>
          </w:p>
        </w:tc>
      </w:tr>
      <w:tr>
        <w:trPr>
          <w:trHeight w:val="213"/>
        </w:trPr>
        <w:tc>
          <w:tcPr>
            <w:tcW w:w="25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Start Reliability – Gas / Oil</w:t>
            </w:r>
          </w:p>
        </w:tc>
        <w:tc>
          <w:tcPr>
            <w:tcW w:w="7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140" w:type="dxa"/>
            <w:vAlign w:val="bottom"/>
            <w:tcBorders>
              <w:bottom w:val="single" w:sz="8" w:color="307CC0"/>
            </w:tcBorders>
            <w:shd w:val="clear" w:color="auto" w:fill="CCEEFF"/>
          </w:tcPr>
          <w:p>
            <w:pPr>
              <w:spacing w:after="0"/>
              <w:rPr>
                <w:sz w:val="18"/>
                <w:szCs w:val="18"/>
                <w:color w:val="auto"/>
              </w:rPr>
            </w:pPr>
          </w:p>
        </w:tc>
        <w:tc>
          <w:tcPr>
            <w:tcW w:w="7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7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r>
      <w:tr>
        <w:trPr>
          <w:trHeight w:val="213"/>
        </w:trPr>
        <w:tc>
          <w:tcPr>
            <w:tcW w:w="252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Customer Satisfaction (Westar)</w:t>
            </w:r>
          </w:p>
        </w:tc>
        <w:tc>
          <w:tcPr>
            <w:tcW w:w="7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5%</w:t>
            </w: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15/16</w:t>
            </w: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12/16</w:t>
            </w: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8/16</w:t>
            </w:r>
          </w:p>
        </w:tc>
        <w:tc>
          <w:tcPr>
            <w:tcW w:w="140" w:type="dxa"/>
            <w:vAlign w:val="bottom"/>
            <w:tcBorders>
              <w:bottom w:val="single" w:sz="8" w:color="307CC0"/>
            </w:tcBorders>
            <w:shd w:val="clear" w:color="auto" w:fill="D6E7FF"/>
          </w:tcPr>
          <w:p>
            <w:pPr>
              <w:spacing w:after="0"/>
              <w:rPr>
                <w:sz w:val="18"/>
                <w:szCs w:val="18"/>
                <w:color w:val="auto"/>
              </w:rPr>
            </w:pPr>
          </w:p>
        </w:tc>
        <w:tc>
          <w:tcPr>
            <w:tcW w:w="780" w:type="dxa"/>
            <w:vAlign w:val="bottom"/>
            <w:tcBorders>
              <w:bottom w:val="single" w:sz="8" w:color="307CC0"/>
            </w:tcBorders>
            <w:shd w:val="clear" w:color="auto" w:fill="D6E7FF"/>
          </w:tcPr>
          <w:p>
            <w:pPr>
              <w:jc w:val="right"/>
              <w:ind w:right="118"/>
              <w:spacing w:after="0"/>
              <w:rPr>
                <w:sz w:val="20"/>
                <w:szCs w:val="20"/>
                <w:color w:val="auto"/>
              </w:rPr>
            </w:pPr>
            <w:r>
              <w:rPr>
                <w:rFonts w:ascii="Arial" w:cs="Arial" w:eastAsia="Arial" w:hAnsi="Arial"/>
                <w:sz w:val="17"/>
                <w:szCs w:val="17"/>
                <w:color w:val="auto"/>
              </w:rPr>
              <w:t>13/16</w:t>
            </w:r>
          </w:p>
        </w:tc>
        <w:tc>
          <w:tcPr>
            <w:tcW w:w="7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125.0%</w:t>
            </w:r>
          </w:p>
        </w:tc>
      </w:tr>
      <w:tr>
        <w:trPr>
          <w:trHeight w:val="199"/>
        </w:trPr>
        <w:tc>
          <w:tcPr>
            <w:tcW w:w="25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Customer Satisfaction (Great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14/16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12/16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8/16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16/16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r>
      <w:tr>
        <w:trPr>
          <w:trHeight w:val="208"/>
        </w:trPr>
        <w:tc>
          <w:tcPr>
            <w:tcW w:w="25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Plains)</w:t>
            </w:r>
          </w:p>
        </w:tc>
        <w:tc>
          <w:tcPr>
            <w:tcW w:w="74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780" w:type="dxa"/>
            <w:vAlign w:val="bottom"/>
            <w:tcBorders>
              <w:bottom w:val="single" w:sz="8" w:color="307CC0"/>
            </w:tcBorders>
            <w:shd w:val="clear" w:color="auto" w:fill="CCEEFF"/>
          </w:tcPr>
          <w:p>
            <w:pPr>
              <w:spacing w:after="0"/>
              <w:rPr>
                <w:sz w:val="18"/>
                <w:szCs w:val="18"/>
                <w:color w:val="auto"/>
              </w:rPr>
            </w:pPr>
          </w:p>
        </w:tc>
        <w:tc>
          <w:tcPr>
            <w:tcW w:w="740" w:type="dxa"/>
            <w:vAlign w:val="bottom"/>
            <w:tcBorders>
              <w:bottom w:val="single" w:sz="8" w:color="307CC0"/>
            </w:tcBorders>
            <w:shd w:val="clear" w:color="auto" w:fill="CCEEFF"/>
          </w:tcPr>
          <w:p>
            <w:pPr>
              <w:spacing w:after="0"/>
              <w:rPr>
                <w:sz w:val="18"/>
                <w:szCs w:val="18"/>
                <w:color w:val="auto"/>
              </w:rPr>
            </w:pPr>
          </w:p>
        </w:tc>
      </w:tr>
      <w:tr>
        <w:trPr>
          <w:trHeight w:val="199"/>
        </w:trPr>
        <w:tc>
          <w:tcPr>
            <w:tcW w:w="2520" w:type="dxa"/>
            <w:vAlign w:val="bottom"/>
            <w:shd w:val="clear" w:color="auto" w:fill="D6E7FF"/>
          </w:tcPr>
          <w:p>
            <w:pPr>
              <w:ind w:left="40"/>
              <w:spacing w:after="0"/>
              <w:rPr>
                <w:sz w:val="20"/>
                <w:szCs w:val="20"/>
                <w:color w:val="auto"/>
              </w:rPr>
            </w:pPr>
            <w:r>
              <w:rPr>
                <w:rFonts w:ascii="Arial" w:cs="Arial" w:eastAsia="Arial" w:hAnsi="Arial"/>
                <w:sz w:val="17"/>
                <w:szCs w:val="17"/>
                <w:color w:val="auto"/>
              </w:rPr>
              <w:t>Adjusted Earnings Per Share</w:t>
            </w:r>
          </w:p>
        </w:tc>
        <w:tc>
          <w:tcPr>
            <w:tcW w:w="7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D6E7FF"/>
          </w:tcPr>
          <w:p>
            <w:pPr>
              <w:jc w:val="right"/>
              <w:ind w:right="118"/>
              <w:spacing w:after="0"/>
              <w:rPr>
                <w:sz w:val="20"/>
                <w:szCs w:val="20"/>
                <w:color w:val="auto"/>
              </w:rPr>
            </w:pPr>
            <w:r>
              <w:rPr>
                <w:rFonts w:ascii="Arial" w:cs="Arial" w:eastAsia="Arial" w:hAnsi="Arial"/>
                <w:sz w:val="17"/>
                <w:szCs w:val="17"/>
                <w:color w:val="auto"/>
              </w:rPr>
              <w:t>2.80</w:t>
            </w:r>
          </w:p>
        </w:tc>
        <w:tc>
          <w:tcPr>
            <w:tcW w:w="1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D6E7FF"/>
          </w:tcPr>
          <w:p>
            <w:pPr>
              <w:jc w:val="right"/>
              <w:ind w:right="118"/>
              <w:spacing w:after="0"/>
              <w:rPr>
                <w:sz w:val="20"/>
                <w:szCs w:val="20"/>
                <w:color w:val="auto"/>
              </w:rPr>
            </w:pPr>
            <w:r>
              <w:rPr>
                <w:rFonts w:ascii="Arial" w:cs="Arial" w:eastAsia="Arial" w:hAnsi="Arial"/>
                <w:sz w:val="17"/>
                <w:szCs w:val="17"/>
                <w:color w:val="auto"/>
              </w:rPr>
              <w:t>2.90</w:t>
            </w:r>
          </w:p>
        </w:tc>
        <w:tc>
          <w:tcPr>
            <w:tcW w:w="1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D6E7FF"/>
          </w:tcPr>
          <w:p>
            <w:pPr>
              <w:jc w:val="right"/>
              <w:ind w:right="118"/>
              <w:spacing w:after="0"/>
              <w:rPr>
                <w:sz w:val="20"/>
                <w:szCs w:val="20"/>
                <w:color w:val="auto"/>
              </w:rPr>
            </w:pPr>
            <w:r>
              <w:rPr>
                <w:rFonts w:ascii="Arial" w:cs="Arial" w:eastAsia="Arial" w:hAnsi="Arial"/>
                <w:sz w:val="17"/>
                <w:szCs w:val="17"/>
                <w:color w:val="auto"/>
              </w:rPr>
              <w:t>2.95</w:t>
            </w:r>
          </w:p>
        </w:tc>
        <w:tc>
          <w:tcPr>
            <w:tcW w:w="1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D6E7FF"/>
          </w:tcPr>
          <w:p>
            <w:pPr>
              <w:jc w:val="right"/>
              <w:ind w:right="118"/>
              <w:spacing w:after="0"/>
              <w:rPr>
                <w:sz w:val="20"/>
                <w:szCs w:val="20"/>
                <w:color w:val="auto"/>
              </w:rPr>
            </w:pPr>
            <w:r>
              <w:rPr>
                <w:rFonts w:ascii="Arial" w:cs="Arial" w:eastAsia="Arial" w:hAnsi="Arial"/>
                <w:sz w:val="17"/>
                <w:szCs w:val="17"/>
                <w:color w:val="auto"/>
              </w:rPr>
              <w:t>3.00</w:t>
            </w:r>
          </w:p>
        </w:tc>
        <w:tc>
          <w:tcPr>
            <w:tcW w:w="1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D6E7FF"/>
          </w:tcPr>
          <w:p>
            <w:pPr>
              <w:jc w:val="right"/>
              <w:ind w:right="118"/>
              <w:spacing w:after="0"/>
              <w:rPr>
                <w:sz w:val="20"/>
                <w:szCs w:val="20"/>
                <w:color w:val="auto"/>
              </w:rPr>
            </w:pPr>
            <w:r>
              <w:rPr>
                <w:rFonts w:ascii="Arial" w:cs="Arial" w:eastAsia="Arial" w:hAnsi="Arial"/>
                <w:sz w:val="17"/>
                <w:szCs w:val="17"/>
                <w:color w:val="auto"/>
              </w:rPr>
              <w:t>2.91</w:t>
            </w:r>
          </w:p>
        </w:tc>
        <w:tc>
          <w:tcPr>
            <w:tcW w:w="740" w:type="dxa"/>
            <w:vAlign w:val="bottom"/>
            <w:shd w:val="clear" w:color="auto" w:fill="D6E7FF"/>
          </w:tcPr>
          <w:p>
            <w:pPr>
              <w:jc w:val="right"/>
              <w:spacing w:after="0"/>
              <w:rPr>
                <w:sz w:val="20"/>
                <w:szCs w:val="20"/>
                <w:color w:val="auto"/>
              </w:rPr>
            </w:pPr>
            <w:r>
              <w:rPr>
                <w:rFonts w:ascii="Arial" w:cs="Arial" w:eastAsia="Arial" w:hAnsi="Arial"/>
                <w:sz w:val="17"/>
                <w:szCs w:val="17"/>
                <w:color w:val="auto"/>
              </w:rPr>
              <w:t>110.0%</w:t>
            </w:r>
          </w:p>
        </w:tc>
      </w:tr>
      <w:tr>
        <w:trPr>
          <w:trHeight w:val="208"/>
        </w:trPr>
        <w:tc>
          <w:tcPr>
            <w:tcW w:w="252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for Incentive Compensation</w:t>
            </w:r>
          </w:p>
        </w:tc>
        <w:tc>
          <w:tcPr>
            <w:tcW w:w="74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780" w:type="dxa"/>
            <w:vAlign w:val="bottom"/>
            <w:tcBorders>
              <w:bottom w:val="single" w:sz="8" w:color="307CC0"/>
            </w:tcBorders>
            <w:shd w:val="clear" w:color="auto" w:fill="D6E7FF"/>
          </w:tcPr>
          <w:p>
            <w:pPr>
              <w:spacing w:after="0"/>
              <w:rPr>
                <w:sz w:val="18"/>
                <w:szCs w:val="18"/>
                <w:color w:val="auto"/>
              </w:rPr>
            </w:pPr>
          </w:p>
        </w:tc>
        <w:tc>
          <w:tcPr>
            <w:tcW w:w="740" w:type="dxa"/>
            <w:vAlign w:val="bottom"/>
            <w:tcBorders>
              <w:bottom w:val="single" w:sz="8" w:color="307CC0"/>
            </w:tcBorders>
            <w:shd w:val="clear" w:color="auto" w:fill="D6E7FF"/>
          </w:tcPr>
          <w:p>
            <w:pPr>
              <w:spacing w:after="0"/>
              <w:rPr>
                <w:sz w:val="18"/>
                <w:szCs w:val="18"/>
                <w:color w:val="auto"/>
              </w:rPr>
            </w:pPr>
          </w:p>
        </w:tc>
      </w:tr>
      <w:tr>
        <w:trPr>
          <w:trHeight w:val="199"/>
        </w:trPr>
        <w:tc>
          <w:tcPr>
            <w:tcW w:w="2520" w:type="dxa"/>
            <w:vAlign w:val="bottom"/>
            <w:shd w:val="clear" w:color="auto" w:fill="CCEEFF"/>
          </w:tcPr>
          <w:p>
            <w:pPr>
              <w:ind w:left="40"/>
              <w:spacing w:after="0"/>
              <w:rPr>
                <w:sz w:val="20"/>
                <w:szCs w:val="20"/>
                <w:color w:val="auto"/>
              </w:rPr>
            </w:pPr>
            <w:r>
              <w:rPr>
                <w:rFonts w:ascii="Arial" w:cs="Arial" w:eastAsia="Arial" w:hAnsi="Arial"/>
                <w:sz w:val="17"/>
                <w:szCs w:val="17"/>
                <w:color w:val="auto"/>
              </w:rPr>
              <w:t>Adjusted NFOM for Incentive</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w w:val="98"/>
              </w:rPr>
              <w:t>1,202.7M</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w w:val="98"/>
              </w:rPr>
              <w:t>1,173.4M</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w w:val="98"/>
              </w:rPr>
              <w:t>1,158.7M</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w w:val="98"/>
              </w:rPr>
              <w:t>1,144.1M</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w w:val="98"/>
              </w:rPr>
              <w:t>1,159.3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r>
      <w:tr>
        <w:trPr>
          <w:trHeight w:val="208"/>
        </w:trPr>
        <w:tc>
          <w:tcPr>
            <w:tcW w:w="25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Compensation</w:t>
            </w:r>
          </w:p>
        </w:tc>
        <w:tc>
          <w:tcPr>
            <w:tcW w:w="74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c>
          <w:tcPr>
            <w:tcW w:w="140" w:type="dxa"/>
            <w:vAlign w:val="bottom"/>
            <w:tcBorders>
              <w:bottom w:val="single" w:sz="8" w:color="307CC0"/>
            </w:tcBorders>
            <w:shd w:val="clear" w:color="auto" w:fill="CCEEFF"/>
          </w:tcPr>
          <w:p>
            <w:pPr>
              <w:spacing w:after="0"/>
              <w:rPr>
                <w:sz w:val="18"/>
                <w:szCs w:val="18"/>
                <w:color w:val="auto"/>
              </w:rPr>
            </w:pPr>
          </w:p>
        </w:tc>
        <w:tc>
          <w:tcPr>
            <w:tcW w:w="780" w:type="dxa"/>
            <w:vAlign w:val="bottom"/>
            <w:tcBorders>
              <w:bottom w:val="single" w:sz="8" w:color="307CC0"/>
            </w:tcBorders>
            <w:shd w:val="clear" w:color="auto" w:fill="CCEEFF"/>
          </w:tcPr>
          <w:p>
            <w:pPr>
              <w:spacing w:after="0"/>
              <w:rPr>
                <w:sz w:val="18"/>
                <w:szCs w:val="18"/>
                <w:color w:val="auto"/>
              </w:rPr>
            </w:pPr>
          </w:p>
        </w:tc>
        <w:tc>
          <w:tcPr>
            <w:tcW w:w="740" w:type="dxa"/>
            <w:vAlign w:val="bottom"/>
            <w:tcBorders>
              <w:bottom w:val="single" w:sz="8" w:color="307CC0"/>
            </w:tcBorders>
            <w:shd w:val="clear" w:color="auto" w:fill="CCEEFF"/>
          </w:tcPr>
          <w:p>
            <w:pPr>
              <w:spacing w:after="0"/>
              <w:rPr>
                <w:sz w:val="18"/>
                <w:szCs w:val="18"/>
                <w:color w:val="auto"/>
              </w:rPr>
            </w:pPr>
          </w:p>
        </w:tc>
      </w:tr>
      <w:tr>
        <w:trPr>
          <w:trHeight w:val="213"/>
        </w:trPr>
        <w:tc>
          <w:tcPr>
            <w:tcW w:w="252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b w:val="1"/>
                <w:bCs w:val="1"/>
                <w:color w:val="auto"/>
              </w:rPr>
              <w:t>Weighted Achievement %</w:t>
            </w:r>
          </w:p>
        </w:tc>
        <w:tc>
          <w:tcPr>
            <w:tcW w:w="74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c>
          <w:tcPr>
            <w:tcW w:w="140" w:type="dxa"/>
            <w:vAlign w:val="bottom"/>
            <w:tcBorders>
              <w:bottom w:val="single" w:sz="8" w:color="307CC0"/>
            </w:tcBorders>
            <w:shd w:val="clear" w:color="auto" w:fill="D6E7FF"/>
          </w:tcPr>
          <w:p>
            <w:pPr>
              <w:spacing w:after="0"/>
              <w:rPr>
                <w:sz w:val="18"/>
                <w:szCs w:val="18"/>
                <w:color w:val="auto"/>
              </w:rPr>
            </w:pPr>
          </w:p>
        </w:tc>
        <w:tc>
          <w:tcPr>
            <w:tcW w:w="780" w:type="dxa"/>
            <w:vAlign w:val="bottom"/>
            <w:tcBorders>
              <w:bottom w:val="single" w:sz="8" w:color="307CC0"/>
            </w:tcBorders>
            <w:shd w:val="clear" w:color="auto" w:fill="D6E7FF"/>
          </w:tcPr>
          <w:p>
            <w:pPr>
              <w:spacing w:after="0"/>
              <w:rPr>
                <w:sz w:val="18"/>
                <w:szCs w:val="18"/>
                <w:color w:val="auto"/>
              </w:rPr>
            </w:pPr>
          </w:p>
        </w:tc>
        <w:tc>
          <w:tcPr>
            <w:tcW w:w="7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-1976755</wp:posOffset>
            </wp:positionV>
            <wp:extent cx="5808980" cy="147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-1681480</wp:posOffset>
            </wp:positionV>
            <wp:extent cx="5808980" cy="147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-1263015</wp:posOffset>
            </wp:positionV>
            <wp:extent cx="5808980" cy="147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-967740</wp:posOffset>
            </wp:positionV>
            <wp:extent cx="5808980" cy="270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08980" cy="2705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-426085</wp:posOffset>
            </wp:positionV>
            <wp:extent cx="5808980" cy="270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08980" cy="270510"/>
                    </a:xfrm>
                    <a:prstGeom prst="rect">
                      <a:avLst/>
                    </a:prstGeom>
                    <a:noFill/>
                  </pic:spPr>
                </pic:pic>
              </a:graphicData>
            </a:graphic>
          </wp:anchor>
        </w:drawing>
      </w:r>
    </w:p>
    <w:p>
      <w:pPr>
        <w:spacing w:after="0" w:line="65"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i w:val="1"/>
          <w:iCs w:val="1"/>
          <w:u w:val="single" w:color="auto"/>
          <w:color w:val="auto"/>
        </w:rPr>
        <w:t>Safety</w:t>
      </w:r>
      <w:r>
        <w:rPr>
          <w:rFonts w:ascii="Arial" w:cs="Arial" w:eastAsia="Arial" w:hAnsi="Arial"/>
          <w:sz w:val="17"/>
          <w:szCs w:val="17"/>
          <w:color w:val="auto"/>
        </w:rPr>
        <w:t>. Safety is a core part of the Company’s “people first” values. To incentivize maintaining a safety-conscious</w:t>
      </w:r>
      <w:r>
        <w:rPr>
          <w:rFonts w:ascii="Arial" w:cs="Arial" w:eastAsia="Arial" w:hAnsi="Arial"/>
          <w:sz w:val="17"/>
          <w:szCs w:val="17"/>
          <w:i w:val="1"/>
          <w:iCs w:val="1"/>
          <w:color w:val="auto"/>
        </w:rPr>
        <w:t xml:space="preserve"> </w:t>
      </w:r>
      <w:r>
        <w:rPr>
          <w:rFonts w:ascii="Arial" w:cs="Arial" w:eastAsia="Arial" w:hAnsi="Arial"/>
          <w:sz w:val="17"/>
          <w:szCs w:val="17"/>
          <w:color w:val="auto"/>
        </w:rPr>
        <w:t>work environment and addressing situations where safety can be improved, the short-term incentive plan objective was based on the number of safety audits that were completed per month and that have 95% of related correction plans completed within 45 days of completion of the audit (or a plan to achieve compliance with the audit). In 2019, to reflect the belief that officer short-term incentive compensation should not vary based on the relative level of safety, the Committee established a single “all or none” metric whereby achievement of less than the metric results in no payout for the objective, and achievement of the metric (or greater) results in 100% payout for the metric. The target was set at 2 safety audits per month, which was the “stretch” performance goal for 2018 that was met by the Company. The Company met this goal in 2019, resulting in a 100% payout for this metric.</w:t>
      </w:r>
    </w:p>
    <w:p>
      <w:pPr>
        <w:spacing w:after="0" w:line="73" w:lineRule="exact"/>
        <w:rPr>
          <w:sz w:val="20"/>
          <w:szCs w:val="20"/>
          <w:color w:val="auto"/>
        </w:rPr>
      </w:pPr>
    </w:p>
    <w:p>
      <w:pPr>
        <w:jc w:val="both"/>
        <w:ind w:left="20" w:firstLine="172"/>
        <w:spacing w:after="0" w:line="263" w:lineRule="auto"/>
        <w:rPr>
          <w:sz w:val="20"/>
          <w:szCs w:val="20"/>
          <w:color w:val="auto"/>
        </w:rPr>
      </w:pPr>
      <w:r>
        <w:rPr>
          <w:rFonts w:ascii="Arial" w:cs="Arial" w:eastAsia="Arial" w:hAnsi="Arial"/>
          <w:sz w:val="17"/>
          <w:szCs w:val="17"/>
          <w:i w:val="1"/>
          <w:iCs w:val="1"/>
          <w:u w:val="single" w:color="auto"/>
          <w:color w:val="auto"/>
        </w:rPr>
        <w:t>SAIDI</w:t>
      </w:r>
      <w:r>
        <w:rPr>
          <w:rFonts w:ascii="Arial" w:cs="Arial" w:eastAsia="Arial" w:hAnsi="Arial"/>
          <w:sz w:val="17"/>
          <w:szCs w:val="17"/>
          <w:color w:val="auto"/>
        </w:rPr>
        <w:t>. System Average Interruption Duration Index (“SAIDI”) is an objective system reliability metric created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Institute of Electrical and Electronics Engineers that measures, in minutes, the average outage duration for each customer that experienced an outage. The Committee used a probabilistic analysis to set performance levels, with the target goal as the mathematical mean of historical results. Due in part to grid resiliency work completed by the Company, the Company achieved a SAIDI of 102.91 minutes, resulting in a 110.4% payout for this metric.</w:t>
      </w:r>
    </w:p>
    <w:p>
      <w:pPr>
        <w:spacing w:after="0" w:line="66" w:lineRule="exact"/>
        <w:rPr>
          <w:sz w:val="20"/>
          <w:szCs w:val="20"/>
          <w:color w:val="auto"/>
        </w:rPr>
      </w:pPr>
    </w:p>
    <w:p>
      <w:pPr>
        <w:jc w:val="both"/>
        <w:ind w:left="20" w:firstLine="172"/>
        <w:spacing w:after="0" w:line="259" w:lineRule="auto"/>
        <w:rPr>
          <w:sz w:val="20"/>
          <w:szCs w:val="20"/>
          <w:color w:val="auto"/>
        </w:rPr>
      </w:pPr>
      <w:r>
        <w:rPr>
          <w:rFonts w:ascii="Arial" w:cs="Arial" w:eastAsia="Arial" w:hAnsi="Arial"/>
          <w:sz w:val="17"/>
          <w:szCs w:val="17"/>
          <w:i w:val="1"/>
          <w:iCs w:val="1"/>
          <w:u w:val="single" w:color="auto"/>
          <w:color w:val="auto"/>
        </w:rPr>
        <w:t>Generation Availability</w:t>
      </w:r>
      <w:r>
        <w:rPr>
          <w:rFonts w:ascii="Arial" w:cs="Arial" w:eastAsia="Arial" w:hAnsi="Arial"/>
          <w:sz w:val="17"/>
          <w:szCs w:val="17"/>
          <w:color w:val="auto"/>
        </w:rPr>
        <w:t>. Coal and nuclear generation are typically referred to as “baseload” generation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historically, sought to operate at full capacity as the primary source for generating electricity. Equivalent Availability measures the percentage of the year the Company’s coal-fired and nuclear base-load generation fleet is available for operating at full capacity. Gas and oil generation have historically been more variable and are impacted by demand, outages and other factors. As a result, the ability to efficiently start gas and oil generation plants is viewed favorably. The Company calculates Equivalent Availability and Start Reliability consistent with North American Electric Reliability Corporation (“NERC”), reporting standards. Higher Equivalent Availability and Start Reliability indicates better performance.</w:t>
      </w:r>
    </w:p>
    <w:p>
      <w:pPr>
        <w:spacing w:after="0" w:line="281" w:lineRule="exact"/>
        <w:rPr>
          <w:sz w:val="20"/>
          <w:szCs w:val="20"/>
          <w:color w:val="auto"/>
        </w:rPr>
      </w:pPr>
    </w:p>
    <w:p>
      <w:pPr>
        <w:jc w:val="both"/>
        <w:ind w:left="180" w:firstLine="344"/>
        <w:spacing w:after="0" w:line="215" w:lineRule="auto"/>
        <w:rPr>
          <w:sz w:val="20"/>
          <w:szCs w:val="20"/>
          <w:color w:val="auto"/>
        </w:rPr>
      </w:pPr>
      <w:r>
        <w:rPr>
          <w:rFonts w:ascii="Arial" w:cs="Arial" w:eastAsia="Arial" w:hAnsi="Arial"/>
          <w:sz w:val="17"/>
          <w:szCs w:val="17"/>
          <w:i w:val="1"/>
          <w:iCs w:val="1"/>
          <w:u w:val="single" w:color="auto"/>
          <w:color w:val="auto"/>
        </w:rPr>
        <w:t>Coal</w:t>
      </w:r>
      <w:r>
        <w:rPr>
          <w:rFonts w:ascii="Arial" w:cs="Arial" w:eastAsia="Arial" w:hAnsi="Arial"/>
          <w:sz w:val="17"/>
          <w:szCs w:val="17"/>
          <w:color w:val="auto"/>
        </w:rPr>
        <w:t>. The Committee set performance goals for coal generation based on an average of the preceding 10 years</w:t>
      </w:r>
      <w:r>
        <w:rPr>
          <w:rFonts w:ascii="Arial" w:cs="Arial" w:eastAsia="Arial" w:hAnsi="Arial"/>
          <w:sz w:val="17"/>
          <w:szCs w:val="17"/>
          <w:i w:val="1"/>
          <w:iCs w:val="1"/>
          <w:color w:val="auto"/>
        </w:rPr>
        <w:t xml:space="preserve"> </w:t>
      </w:r>
      <w:r>
        <w:rPr>
          <w:rFonts w:ascii="Arial" w:cs="Arial" w:eastAsia="Arial" w:hAnsi="Arial"/>
          <w:sz w:val="17"/>
          <w:szCs w:val="17"/>
          <w:color w:val="auto"/>
        </w:rPr>
        <w:t>of availability weighted by generation plant capacity. Target was set at the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Coal unit availability was 88.3%, resulting in a payout of 140.8%.</w:t>
      </w:r>
    </w:p>
    <w:p>
      <w:pPr>
        <w:spacing w:after="0" w:line="85" w:lineRule="exact"/>
        <w:rPr>
          <w:sz w:val="20"/>
          <w:szCs w:val="20"/>
          <w:color w:val="auto"/>
        </w:rPr>
      </w:pPr>
    </w:p>
    <w:p>
      <w:pPr>
        <w:jc w:val="both"/>
        <w:ind w:left="180" w:firstLine="344"/>
        <w:spacing w:after="0" w:line="263" w:lineRule="auto"/>
        <w:rPr>
          <w:sz w:val="20"/>
          <w:szCs w:val="20"/>
          <w:color w:val="auto"/>
        </w:rPr>
      </w:pPr>
      <w:r>
        <w:rPr>
          <w:rFonts w:ascii="Arial" w:cs="Arial" w:eastAsia="Arial" w:hAnsi="Arial"/>
          <w:sz w:val="17"/>
          <w:szCs w:val="17"/>
          <w:i w:val="1"/>
          <w:iCs w:val="1"/>
          <w:u w:val="single" w:color="auto"/>
          <w:color w:val="auto"/>
        </w:rPr>
        <w:t>Nuclear</w:t>
      </w:r>
      <w:r>
        <w:rPr>
          <w:rFonts w:ascii="Arial" w:cs="Arial" w:eastAsia="Arial" w:hAnsi="Arial"/>
          <w:sz w:val="17"/>
          <w:szCs w:val="17"/>
          <w:color w:val="auto"/>
        </w:rPr>
        <w:t>. Target for our Wolf Creek nuclear generating station was set at 2019 availability projected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which was set based on the average preceding 10 years of availability and factored in a mandatory outage scheduled in 2019 for refueling and maintenance. As a result, target took into account historical performance and incentivized management to successfully plan and execute the outage. Driven largely by successful management of the planned outage, nuclear availability was 87.2%, resulting in a payout of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119380</wp:posOffset>
            </wp:positionV>
            <wp:extent cx="5808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2" w:lineRule="exact"/>
        <w:rPr>
          <w:sz w:val="20"/>
          <w:szCs w:val="20"/>
          <w:color w:val="auto"/>
        </w:rPr>
      </w:pPr>
    </w:p>
    <w:p>
      <w:pPr>
        <w:ind w:left="540"/>
        <w:spacing w:after="0"/>
        <w:tabs>
          <w:tab w:leader="none" w:pos="350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both"/>
        <w:ind w:left="160" w:firstLine="344"/>
        <w:spacing w:after="0" w:line="258" w:lineRule="auto"/>
        <w:rPr>
          <w:sz w:val="20"/>
          <w:szCs w:val="20"/>
          <w:color w:val="auto"/>
        </w:rPr>
      </w:pPr>
      <w:r>
        <w:rPr>
          <w:rFonts w:ascii="Arial" w:cs="Arial" w:eastAsia="Arial" w:hAnsi="Arial"/>
          <w:sz w:val="17"/>
          <w:szCs w:val="17"/>
          <w:i w:val="1"/>
          <w:iCs w:val="1"/>
          <w:u w:val="single" w:color="auto"/>
          <w:color w:val="auto"/>
        </w:rPr>
        <w:t>Gas /Oil</w:t>
      </w:r>
      <w:r>
        <w:rPr>
          <w:rFonts w:ascii="Arial" w:cs="Arial" w:eastAsia="Arial" w:hAnsi="Arial"/>
          <w:sz w:val="17"/>
          <w:szCs w:val="17"/>
          <w:color w:val="auto"/>
        </w:rPr>
        <w:t>. Due to the variable and event-driven nature of gas and oil generation, historical averages of start</w:t>
      </w:r>
      <w:r>
        <w:rPr>
          <w:rFonts w:ascii="Arial" w:cs="Arial" w:eastAsia="Arial" w:hAnsi="Arial"/>
          <w:sz w:val="17"/>
          <w:szCs w:val="17"/>
          <w:i w:val="1"/>
          <w:iCs w:val="1"/>
          <w:color w:val="auto"/>
        </w:rPr>
        <w:t xml:space="preserve"> </w:t>
      </w:r>
      <w:r>
        <w:rPr>
          <w:rFonts w:ascii="Arial" w:cs="Arial" w:eastAsia="Arial" w:hAnsi="Arial"/>
          <w:sz w:val="17"/>
          <w:szCs w:val="17"/>
          <w:color w:val="auto"/>
        </w:rPr>
        <w:t>reliability are generally less indicative of future performance. In addition, the generation market has undergone dramatic changes in the last decade and all generation is being dispatched in different ways than has historically been done. For example, and in general, we now seek to bid our gas and oil generation to meet “next day” electricity demand when we deem it in our economic interest to do so, taking into account the price at which we can sell the generation and the personnel and maintenance expenses we incur to do so. In light of the changes in the generation markets, and the age of the Company’s gas and oil plants, the Committee evaluated seven years of start reliability, and set target at a level that was consistent with historical averages. Gas and oil unit start reliability was 99.2%, resulting in a payout of 200%.</w:t>
      </w:r>
    </w:p>
    <w:p>
      <w:pPr>
        <w:spacing w:after="0" w:line="283"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i w:val="1"/>
          <w:iCs w:val="1"/>
          <w:u w:val="single" w:color="auto"/>
          <w:color w:val="auto"/>
        </w:rPr>
        <w:t>Customer Satisfaction</w:t>
      </w:r>
      <w:r>
        <w:rPr>
          <w:rFonts w:ascii="Arial" w:cs="Arial" w:eastAsia="Arial" w:hAnsi="Arial"/>
          <w:sz w:val="17"/>
          <w:szCs w:val="17"/>
          <w:color w:val="auto"/>
        </w:rPr>
        <w:t>. Customer satisfaction was evaluated based on results of the J.D. Power Residential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Index. Due to the comparative nature of the survey, legacy company results were tracked separately. “Target” was set at a level that required each legacy company to improve one rank from 2018 survey results. Failure to improve customer satisfaction from 2018 would result in no payout for this metric. On a blended basis, customer satisfaction achieved above the target level of performance for Westar Energy, but below the target level of performance, for Great Plains Energy resulting in a payout of 63%.</w:t>
      </w:r>
    </w:p>
    <w:p>
      <w:pPr>
        <w:spacing w:after="0" w:line="68"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i w:val="1"/>
          <w:iCs w:val="1"/>
          <w:u w:val="single" w:color="auto"/>
          <w:color w:val="auto"/>
        </w:rPr>
        <w:t>Adjusted Earnings Per Share for Incentive Compensation</w:t>
      </w:r>
      <w:r>
        <w:rPr>
          <w:rFonts w:ascii="Arial" w:cs="Arial" w:eastAsia="Arial" w:hAnsi="Arial"/>
          <w:sz w:val="17"/>
          <w:szCs w:val="17"/>
          <w:color w:val="auto"/>
        </w:rPr>
        <w:t>. Due to the importance of delivering earnings growth,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weighted 25% of the short-term incentive plan on the achievement of earnings per share goals. The goals established for 2019 were consistent with the Company’s publicly-disclosed earnings guidance. “Threshold” was set at the bottom of the range, target was set at the mid-point of this range and “superior” was set at the upper end of the range, with “stretch” being set at the mid-point between “target” and “superior.” Adjusted earnings per share for incentive compensation in 2019 was $2.91, resulting in a payout of 110%.</w:t>
      </w:r>
    </w:p>
    <w:p>
      <w:pPr>
        <w:spacing w:after="0" w:line="86"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Adjusted earnings per share for incentive compensation is a financial measure that is not calculated in accordance with GAAP. Adjusted earnings per share for incentive compensation is defined as earnings per share without (1) rebranding costs, (2) voluntary severance expenses, (3) the amount of incentive compensation expense above or below the amount of budget and (4) the tax benefits attributable to these costs. See Appendix A to this proxy statement for a reconciliation of this measure to earnings per share, the most directly comparable measure computed in accordance with GAAP.</w:t>
      </w:r>
    </w:p>
    <w:p>
      <w:pPr>
        <w:spacing w:after="0" w:line="279"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i w:val="1"/>
          <w:iCs w:val="1"/>
          <w:u w:val="single" w:color="auto"/>
          <w:color w:val="auto"/>
        </w:rPr>
        <w:t>Total Adjusted Non-Fuel Operating and Maintenance Expense for Incentive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are fully-integrated regulated electric utilities, and prices are generally set by regulators. The Company’s regulators generally allow the Company to recover in prices fuel costs and prudently-incurred capital expenses. Accordingly, non-fuel operating and maintenance expenses, which are variable, impact the Company’s financial results. In connection with integration planning, and as part of the regulatory approval process related to the merger, Great Plains Energy and Westar Energy projected non-fuel operating and maintenance expense savings that would, if plans were achieved, be realized over several years. These same savings were utilized by the boards of directors of each company in analyzing the financial viability of the merger and were presented to shareholders in connection with seeking approval of the merger. Due to the importance of these savings, the Company weighted 25% of the short-term incentive plan on achieving these savings.</w:t>
      </w:r>
    </w:p>
    <w:p>
      <w:pPr>
        <w:spacing w:after="0" w:line="96"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Adjusted non-fuel operating and maintenance expense for incentive compensation is a financial measure that is not calculated in accordance with GAAP. Adjusted non-fuel operating and maintenance expense for incentive compensation, as used by the Company, is defined as non-fuel operating and maintenance expense less (1) rebranding costs, (2) lease expense that management expected to incur related to an interest in one of the Company’s generating stations that was previously owned by an unaffiliated third-party, (3) severance expenses and (4) incentive compensation.</w:t>
      </w:r>
    </w:p>
    <w:p>
      <w:pPr>
        <w:spacing w:after="0" w:line="297"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The target amount of adjusted non-fuel operating and maintenance expense reflects the 2019 budget that was reflective of the target announced in connection with the merger. Actual adjusted non-fuel operating and maintenance expense for incentive compensation resulted in a 148% payout for this metric. See Appendix A to this proxy statement for a reconciliation of this measure to operating and maintenance expense, the most directly comparable measure computed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5808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9" w:lineRule="exact"/>
        <w:rPr>
          <w:sz w:val="20"/>
          <w:szCs w:val="20"/>
          <w:color w:val="auto"/>
        </w:rPr>
      </w:pPr>
    </w:p>
    <w:p>
      <w:pPr>
        <w:ind w:left="520"/>
        <w:spacing w:after="0"/>
        <w:tabs>
          <w:tab w:leader="none" w:pos="348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Targets and awards earned by each NEO for the 2019 short-term incentive plan are shown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80" w:type="dxa"/>
            <w:vAlign w:val="bottom"/>
            <w:shd w:val="clear" w:color="auto" w:fill="307CC0"/>
          </w:tcPr>
          <w:p>
            <w:pPr>
              <w:spacing w:after="0"/>
              <w:rPr>
                <w:sz w:val="13"/>
                <w:szCs w:val="13"/>
                <w:color w:val="auto"/>
              </w:rPr>
            </w:pPr>
          </w:p>
        </w:tc>
        <w:tc>
          <w:tcPr>
            <w:tcW w:w="320" w:type="dxa"/>
            <w:vAlign w:val="bottom"/>
            <w:shd w:val="clear" w:color="auto" w:fill="307CC0"/>
          </w:tcPr>
          <w:p>
            <w:pPr>
              <w:spacing w:after="0"/>
              <w:rPr>
                <w:sz w:val="13"/>
                <w:szCs w:val="13"/>
                <w:color w:val="auto"/>
              </w:rPr>
            </w:pPr>
          </w:p>
        </w:tc>
        <w:tc>
          <w:tcPr>
            <w:tcW w:w="1060" w:type="dxa"/>
            <w:vAlign w:val="bottom"/>
            <w:shd w:val="clear" w:color="auto" w:fill="307CC0"/>
          </w:tcPr>
          <w:p>
            <w:pPr>
              <w:spacing w:after="0"/>
              <w:rPr>
                <w:sz w:val="13"/>
                <w:szCs w:val="13"/>
                <w:color w:val="auto"/>
              </w:rPr>
            </w:pPr>
          </w:p>
        </w:tc>
        <w:tc>
          <w:tcPr>
            <w:tcW w:w="1720" w:type="dxa"/>
            <w:vAlign w:val="bottom"/>
            <w:shd w:val="clear" w:color="auto" w:fill="307CC0"/>
          </w:tcPr>
          <w:p>
            <w:pPr>
              <w:jc w:val="center"/>
              <w:ind w:right="3"/>
              <w:spacing w:after="0"/>
              <w:rPr>
                <w:sz w:val="20"/>
                <w:szCs w:val="20"/>
                <w:color w:val="auto"/>
              </w:rPr>
            </w:pPr>
            <w:r>
              <w:rPr>
                <w:rFonts w:ascii="Arial" w:cs="Arial" w:eastAsia="Arial" w:hAnsi="Arial"/>
                <w:sz w:val="13"/>
                <w:szCs w:val="13"/>
                <w:b w:val="1"/>
                <w:bCs w:val="1"/>
                <w:color w:val="FFFFFF"/>
                <w:w w:val="96"/>
              </w:rPr>
              <w:t>2019</w:t>
            </w:r>
          </w:p>
        </w:tc>
        <w:tc>
          <w:tcPr>
            <w:tcW w:w="1400" w:type="dxa"/>
            <w:vAlign w:val="bottom"/>
            <w:shd w:val="clear" w:color="auto" w:fill="307CC0"/>
          </w:tcPr>
          <w:p>
            <w:pPr>
              <w:jc w:val="right"/>
              <w:ind w:right="423"/>
              <w:spacing w:after="0"/>
              <w:rPr>
                <w:sz w:val="20"/>
                <w:szCs w:val="20"/>
                <w:color w:val="auto"/>
              </w:rPr>
            </w:pPr>
            <w:r>
              <w:rPr>
                <w:rFonts w:ascii="Arial" w:cs="Arial" w:eastAsia="Arial" w:hAnsi="Arial"/>
                <w:sz w:val="13"/>
                <w:szCs w:val="13"/>
                <w:b w:val="1"/>
                <w:bCs w:val="1"/>
                <w:color w:val="FFFFFF"/>
              </w:rPr>
              <w:t>2019</w:t>
            </w:r>
          </w:p>
        </w:tc>
        <w:tc>
          <w:tcPr>
            <w:tcW w:w="360" w:type="dxa"/>
            <w:vAlign w:val="bottom"/>
            <w:shd w:val="clear" w:color="auto" w:fill="307CC0"/>
          </w:tcPr>
          <w:p>
            <w:pPr>
              <w:spacing w:after="0"/>
              <w:rPr>
                <w:sz w:val="13"/>
                <w:szCs w:val="13"/>
                <w:color w:val="auto"/>
              </w:rPr>
            </w:pPr>
          </w:p>
        </w:tc>
        <w:tc>
          <w:tcPr>
            <w:tcW w:w="1420" w:type="dxa"/>
            <w:vAlign w:val="bottom"/>
            <w:shd w:val="clear" w:color="auto" w:fill="307CC0"/>
          </w:tcPr>
          <w:p>
            <w:pPr>
              <w:spacing w:after="0"/>
              <w:rPr>
                <w:sz w:val="13"/>
                <w:szCs w:val="13"/>
                <w:color w:val="auto"/>
              </w:rPr>
            </w:pPr>
          </w:p>
        </w:tc>
      </w:tr>
      <w:tr>
        <w:trPr>
          <w:trHeight w:val="142"/>
        </w:trPr>
        <w:tc>
          <w:tcPr>
            <w:tcW w:w="2880" w:type="dxa"/>
            <w:vAlign w:val="bottom"/>
            <w:shd w:val="clear" w:color="auto" w:fill="307CC0"/>
          </w:tcPr>
          <w:p>
            <w:pPr>
              <w:spacing w:after="0"/>
              <w:rPr>
                <w:sz w:val="12"/>
                <w:szCs w:val="12"/>
                <w:color w:val="auto"/>
              </w:rPr>
            </w:pPr>
          </w:p>
        </w:tc>
        <w:tc>
          <w:tcPr>
            <w:tcW w:w="320" w:type="dxa"/>
            <w:vAlign w:val="bottom"/>
            <w:shd w:val="clear" w:color="auto" w:fill="307CC0"/>
          </w:tcPr>
          <w:p>
            <w:pPr>
              <w:spacing w:after="0"/>
              <w:rPr>
                <w:sz w:val="12"/>
                <w:szCs w:val="12"/>
                <w:color w:val="auto"/>
              </w:rPr>
            </w:pPr>
          </w:p>
        </w:tc>
        <w:tc>
          <w:tcPr>
            <w:tcW w:w="1060" w:type="dxa"/>
            <w:vAlign w:val="bottom"/>
            <w:shd w:val="clear" w:color="auto" w:fill="307CC0"/>
          </w:tcPr>
          <w:p>
            <w:pPr>
              <w:spacing w:after="0"/>
              <w:rPr>
                <w:sz w:val="12"/>
                <w:szCs w:val="12"/>
                <w:color w:val="auto"/>
              </w:rPr>
            </w:pPr>
          </w:p>
        </w:tc>
        <w:tc>
          <w:tcPr>
            <w:tcW w:w="1720" w:type="dxa"/>
            <w:vAlign w:val="bottom"/>
            <w:shd w:val="clear" w:color="auto" w:fill="307CC0"/>
          </w:tcPr>
          <w:p>
            <w:pPr>
              <w:jc w:val="center"/>
              <w:ind w:right="3"/>
              <w:spacing w:after="0" w:line="143" w:lineRule="exact"/>
              <w:rPr>
                <w:sz w:val="20"/>
                <w:szCs w:val="20"/>
                <w:color w:val="auto"/>
              </w:rPr>
            </w:pPr>
            <w:r>
              <w:rPr>
                <w:rFonts w:ascii="Arial" w:cs="Arial" w:eastAsia="Arial" w:hAnsi="Arial"/>
                <w:sz w:val="13"/>
                <w:szCs w:val="13"/>
                <w:b w:val="1"/>
                <w:bCs w:val="1"/>
                <w:color w:val="FFFFFF"/>
              </w:rPr>
              <w:t>Incentive Award</w:t>
            </w:r>
          </w:p>
        </w:tc>
        <w:tc>
          <w:tcPr>
            <w:tcW w:w="1400" w:type="dxa"/>
            <w:vAlign w:val="bottom"/>
            <w:shd w:val="clear" w:color="auto" w:fill="307CC0"/>
          </w:tcPr>
          <w:p>
            <w:pPr>
              <w:jc w:val="center"/>
              <w:ind w:left="63"/>
              <w:spacing w:after="0" w:line="143" w:lineRule="exact"/>
              <w:rPr>
                <w:sz w:val="20"/>
                <w:szCs w:val="20"/>
                <w:color w:val="auto"/>
              </w:rPr>
            </w:pPr>
            <w:r>
              <w:rPr>
                <w:rFonts w:ascii="Arial" w:cs="Arial" w:eastAsia="Arial" w:hAnsi="Arial"/>
                <w:sz w:val="13"/>
                <w:szCs w:val="13"/>
                <w:b w:val="1"/>
                <w:bCs w:val="1"/>
                <w:color w:val="FFFFFF"/>
                <w:w w:val="98"/>
              </w:rPr>
              <w:t>Actual Award</w:t>
            </w:r>
          </w:p>
        </w:tc>
        <w:tc>
          <w:tcPr>
            <w:tcW w:w="360" w:type="dxa"/>
            <w:vAlign w:val="bottom"/>
            <w:shd w:val="clear" w:color="auto" w:fill="307CC0"/>
          </w:tcPr>
          <w:p>
            <w:pPr>
              <w:spacing w:after="0"/>
              <w:rPr>
                <w:sz w:val="12"/>
                <w:szCs w:val="12"/>
                <w:color w:val="auto"/>
              </w:rPr>
            </w:pPr>
          </w:p>
        </w:tc>
        <w:tc>
          <w:tcPr>
            <w:tcW w:w="1420" w:type="dxa"/>
            <w:vAlign w:val="bottom"/>
            <w:shd w:val="clear" w:color="auto" w:fill="307CC0"/>
          </w:tcPr>
          <w:p>
            <w:pPr>
              <w:jc w:val="right"/>
              <w:ind w:right="562"/>
              <w:spacing w:after="0" w:line="143" w:lineRule="exact"/>
              <w:rPr>
                <w:sz w:val="20"/>
                <w:szCs w:val="20"/>
                <w:color w:val="auto"/>
              </w:rPr>
            </w:pPr>
            <w:r>
              <w:rPr>
                <w:rFonts w:ascii="Arial" w:cs="Arial" w:eastAsia="Arial" w:hAnsi="Arial"/>
                <w:sz w:val="13"/>
                <w:szCs w:val="13"/>
                <w:b w:val="1"/>
                <w:bCs w:val="1"/>
                <w:color w:val="FFFFFF"/>
              </w:rPr>
              <w:t>2019</w:t>
            </w:r>
          </w:p>
        </w:tc>
      </w:tr>
      <w:tr>
        <w:trPr>
          <w:trHeight w:val="142"/>
        </w:trPr>
        <w:tc>
          <w:tcPr>
            <w:tcW w:w="2880" w:type="dxa"/>
            <w:vAlign w:val="bottom"/>
            <w:shd w:val="clear" w:color="auto" w:fill="307CC0"/>
          </w:tcPr>
          <w:p>
            <w:pPr>
              <w:spacing w:after="0"/>
              <w:rPr>
                <w:sz w:val="12"/>
                <w:szCs w:val="12"/>
                <w:color w:val="auto"/>
              </w:rPr>
            </w:pPr>
          </w:p>
        </w:tc>
        <w:tc>
          <w:tcPr>
            <w:tcW w:w="320" w:type="dxa"/>
            <w:vAlign w:val="bottom"/>
            <w:shd w:val="clear" w:color="auto" w:fill="307CC0"/>
          </w:tcPr>
          <w:p>
            <w:pPr>
              <w:spacing w:after="0"/>
              <w:rPr>
                <w:sz w:val="12"/>
                <w:szCs w:val="12"/>
                <w:color w:val="auto"/>
              </w:rPr>
            </w:pPr>
          </w:p>
        </w:tc>
        <w:tc>
          <w:tcPr>
            <w:tcW w:w="1060" w:type="dxa"/>
            <w:vAlign w:val="bottom"/>
            <w:shd w:val="clear" w:color="auto" w:fill="307CC0"/>
          </w:tcPr>
          <w:p>
            <w:pPr>
              <w:jc w:val="right"/>
              <w:ind w:right="500"/>
              <w:spacing w:after="0" w:line="143" w:lineRule="exact"/>
              <w:rPr>
                <w:sz w:val="20"/>
                <w:szCs w:val="20"/>
                <w:color w:val="auto"/>
              </w:rPr>
            </w:pPr>
            <w:r>
              <w:rPr>
                <w:rFonts w:ascii="Arial" w:cs="Arial" w:eastAsia="Arial" w:hAnsi="Arial"/>
                <w:sz w:val="13"/>
                <w:szCs w:val="13"/>
                <w:b w:val="1"/>
                <w:bCs w:val="1"/>
                <w:color w:val="FFFFFF"/>
              </w:rPr>
              <w:t>Base</w:t>
            </w:r>
          </w:p>
        </w:tc>
        <w:tc>
          <w:tcPr>
            <w:tcW w:w="1720" w:type="dxa"/>
            <w:vAlign w:val="bottom"/>
            <w:shd w:val="clear" w:color="auto" w:fill="307CC0"/>
          </w:tcPr>
          <w:p>
            <w:pPr>
              <w:jc w:val="center"/>
              <w:ind w:right="3"/>
              <w:spacing w:after="0" w:line="143" w:lineRule="exact"/>
              <w:rPr>
                <w:sz w:val="20"/>
                <w:szCs w:val="20"/>
                <w:color w:val="auto"/>
              </w:rPr>
            </w:pPr>
            <w:r>
              <w:rPr>
                <w:rFonts w:ascii="Arial" w:cs="Arial" w:eastAsia="Arial" w:hAnsi="Arial"/>
                <w:sz w:val="13"/>
                <w:szCs w:val="13"/>
                <w:b w:val="1"/>
                <w:bCs w:val="1"/>
                <w:color w:val="FFFFFF"/>
                <w:w w:val="98"/>
              </w:rPr>
              <w:t>at Target (Percent of</w:t>
            </w:r>
          </w:p>
        </w:tc>
        <w:tc>
          <w:tcPr>
            <w:tcW w:w="1400" w:type="dxa"/>
            <w:vAlign w:val="bottom"/>
            <w:shd w:val="clear" w:color="auto" w:fill="307CC0"/>
          </w:tcPr>
          <w:p>
            <w:pPr>
              <w:jc w:val="center"/>
              <w:ind w:left="63"/>
              <w:spacing w:after="0" w:line="143" w:lineRule="exact"/>
              <w:rPr>
                <w:sz w:val="20"/>
                <w:szCs w:val="20"/>
                <w:color w:val="auto"/>
              </w:rPr>
            </w:pPr>
            <w:r>
              <w:rPr>
                <w:rFonts w:ascii="Arial" w:cs="Arial" w:eastAsia="Arial" w:hAnsi="Arial"/>
                <w:sz w:val="13"/>
                <w:szCs w:val="13"/>
                <w:b w:val="1"/>
                <w:bCs w:val="1"/>
                <w:color w:val="FFFFFF"/>
                <w:w w:val="99"/>
              </w:rPr>
              <w:t>As a Percent of</w:t>
            </w:r>
          </w:p>
        </w:tc>
        <w:tc>
          <w:tcPr>
            <w:tcW w:w="360" w:type="dxa"/>
            <w:vAlign w:val="bottom"/>
            <w:shd w:val="clear" w:color="auto" w:fill="307CC0"/>
          </w:tcPr>
          <w:p>
            <w:pPr>
              <w:spacing w:after="0"/>
              <w:rPr>
                <w:sz w:val="12"/>
                <w:szCs w:val="12"/>
                <w:color w:val="auto"/>
              </w:rPr>
            </w:pPr>
          </w:p>
        </w:tc>
        <w:tc>
          <w:tcPr>
            <w:tcW w:w="1420" w:type="dxa"/>
            <w:vAlign w:val="bottom"/>
            <w:shd w:val="clear" w:color="auto" w:fill="307CC0"/>
          </w:tcPr>
          <w:p>
            <w:pPr>
              <w:jc w:val="right"/>
              <w:ind w:right="142"/>
              <w:spacing w:after="0" w:line="143" w:lineRule="exact"/>
              <w:rPr>
                <w:sz w:val="20"/>
                <w:szCs w:val="20"/>
                <w:color w:val="auto"/>
              </w:rPr>
            </w:pPr>
            <w:r>
              <w:rPr>
                <w:rFonts w:ascii="Arial" w:cs="Arial" w:eastAsia="Arial" w:hAnsi="Arial"/>
                <w:sz w:val="13"/>
                <w:szCs w:val="13"/>
                <w:b w:val="1"/>
                <w:bCs w:val="1"/>
                <w:color w:val="FFFFFF"/>
              </w:rPr>
              <w:t>Actual Award Paid</w:t>
            </w:r>
          </w:p>
        </w:tc>
      </w:tr>
      <w:tr>
        <w:trPr>
          <w:trHeight w:val="185"/>
        </w:trPr>
        <w:tc>
          <w:tcPr>
            <w:tcW w:w="288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320" w:type="dxa"/>
            <w:vAlign w:val="bottom"/>
            <w:shd w:val="clear" w:color="auto" w:fill="307CC0"/>
          </w:tcPr>
          <w:p>
            <w:pPr>
              <w:spacing w:after="0"/>
              <w:rPr>
                <w:sz w:val="16"/>
                <w:szCs w:val="16"/>
                <w:color w:val="auto"/>
              </w:rPr>
            </w:pPr>
          </w:p>
        </w:tc>
        <w:tc>
          <w:tcPr>
            <w:tcW w:w="1060" w:type="dxa"/>
            <w:vAlign w:val="bottom"/>
            <w:shd w:val="clear" w:color="auto" w:fill="307CC0"/>
          </w:tcPr>
          <w:p>
            <w:pPr>
              <w:jc w:val="right"/>
              <w:ind w:right="460"/>
              <w:spacing w:after="0"/>
              <w:rPr>
                <w:sz w:val="20"/>
                <w:szCs w:val="20"/>
                <w:color w:val="auto"/>
              </w:rPr>
            </w:pPr>
            <w:r>
              <w:rPr>
                <w:rFonts w:ascii="Arial" w:cs="Arial" w:eastAsia="Arial" w:hAnsi="Arial"/>
                <w:sz w:val="13"/>
                <w:szCs w:val="13"/>
                <w:b w:val="1"/>
                <w:bCs w:val="1"/>
                <w:color w:val="FFFFFF"/>
              </w:rPr>
              <w:t>Salary</w:t>
            </w:r>
          </w:p>
        </w:tc>
        <w:tc>
          <w:tcPr>
            <w:tcW w:w="1720" w:type="dxa"/>
            <w:vAlign w:val="bottom"/>
            <w:shd w:val="clear" w:color="auto" w:fill="307CC0"/>
          </w:tcPr>
          <w:p>
            <w:pPr>
              <w:jc w:val="center"/>
              <w:ind w:right="3"/>
              <w:spacing w:after="0"/>
              <w:rPr>
                <w:sz w:val="20"/>
                <w:szCs w:val="20"/>
                <w:color w:val="auto"/>
              </w:rPr>
            </w:pPr>
            <w:r>
              <w:rPr>
                <w:rFonts w:ascii="Arial" w:cs="Arial" w:eastAsia="Arial" w:hAnsi="Arial"/>
                <w:sz w:val="13"/>
                <w:szCs w:val="13"/>
                <w:b w:val="1"/>
                <w:bCs w:val="1"/>
                <w:color w:val="FFFFFF"/>
                <w:w w:val="98"/>
              </w:rPr>
              <w:t>Annual Base Salary)</w:t>
            </w:r>
          </w:p>
        </w:tc>
        <w:tc>
          <w:tcPr>
            <w:tcW w:w="1400" w:type="dxa"/>
            <w:vAlign w:val="bottom"/>
            <w:shd w:val="clear" w:color="auto" w:fill="307CC0"/>
          </w:tcPr>
          <w:p>
            <w:pPr>
              <w:jc w:val="center"/>
              <w:ind w:left="43"/>
              <w:spacing w:after="0"/>
              <w:rPr>
                <w:sz w:val="20"/>
                <w:szCs w:val="20"/>
                <w:color w:val="auto"/>
              </w:rPr>
            </w:pPr>
            <w:r>
              <w:rPr>
                <w:rFonts w:ascii="Arial" w:cs="Arial" w:eastAsia="Arial" w:hAnsi="Arial"/>
                <w:sz w:val="13"/>
                <w:szCs w:val="13"/>
                <w:b w:val="1"/>
                <w:bCs w:val="1"/>
                <w:color w:val="FFFFFF"/>
                <w:w w:val="97"/>
              </w:rPr>
              <w:t>Target bonus</w:t>
            </w:r>
          </w:p>
        </w:tc>
        <w:tc>
          <w:tcPr>
            <w:tcW w:w="360" w:type="dxa"/>
            <w:vAlign w:val="bottom"/>
            <w:shd w:val="clear" w:color="auto" w:fill="307CC0"/>
          </w:tcPr>
          <w:p>
            <w:pPr>
              <w:spacing w:after="0"/>
              <w:rPr>
                <w:sz w:val="16"/>
                <w:szCs w:val="16"/>
                <w:color w:val="auto"/>
              </w:rPr>
            </w:pPr>
          </w:p>
        </w:tc>
        <w:tc>
          <w:tcPr>
            <w:tcW w:w="1420" w:type="dxa"/>
            <w:vAlign w:val="bottom"/>
            <w:shd w:val="clear" w:color="auto" w:fill="307CC0"/>
          </w:tcPr>
          <w:p>
            <w:pPr>
              <w:jc w:val="right"/>
              <w:ind w:right="642"/>
              <w:spacing w:after="0"/>
              <w:rPr>
                <w:sz w:val="20"/>
                <w:szCs w:val="20"/>
                <w:color w:val="auto"/>
              </w:rPr>
            </w:pPr>
            <w:r>
              <w:rPr>
                <w:rFonts w:ascii="Arial" w:cs="Arial" w:eastAsia="Arial" w:hAnsi="Arial"/>
                <w:sz w:val="13"/>
                <w:szCs w:val="13"/>
                <w:b w:val="1"/>
                <w:bCs w:val="1"/>
                <w:color w:val="FFFFFF"/>
              </w:rPr>
              <w:t>($)</w:t>
            </w:r>
          </w:p>
        </w:tc>
      </w:tr>
      <w:tr>
        <w:trPr>
          <w:trHeight w:val="188"/>
        </w:trPr>
        <w:tc>
          <w:tcPr>
            <w:tcW w:w="2880" w:type="dxa"/>
            <w:vAlign w:val="bottom"/>
            <w:shd w:val="clear" w:color="auto" w:fill="CCEEFF"/>
          </w:tcPr>
          <w:p>
            <w:pPr>
              <w:ind w:left="40"/>
              <w:spacing w:after="0" w:line="188" w:lineRule="exact"/>
              <w:rPr>
                <w:sz w:val="20"/>
                <w:szCs w:val="20"/>
                <w:color w:val="auto"/>
              </w:rPr>
            </w:pPr>
            <w:r>
              <w:rPr>
                <w:rFonts w:ascii="Arial" w:cs="Arial" w:eastAsia="Arial" w:hAnsi="Arial"/>
                <w:sz w:val="17"/>
                <w:szCs w:val="17"/>
                <w:color w:val="auto"/>
              </w:rPr>
              <w:t>Mr. Terry Bassham</w:t>
            </w:r>
          </w:p>
        </w:tc>
        <w:tc>
          <w:tcPr>
            <w:tcW w:w="320" w:type="dxa"/>
            <w:vAlign w:val="bottom"/>
            <w:shd w:val="clear" w:color="auto" w:fill="CCEEFF"/>
          </w:tcPr>
          <w:p>
            <w:pPr>
              <w:jc w:val="right"/>
              <w:ind w:right="54"/>
              <w:spacing w:after="0" w:line="188"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20"/>
              <w:spacing w:after="0" w:line="188" w:lineRule="exact"/>
              <w:rPr>
                <w:sz w:val="20"/>
                <w:szCs w:val="20"/>
                <w:color w:val="auto"/>
              </w:rPr>
            </w:pPr>
            <w:r>
              <w:rPr>
                <w:rFonts w:ascii="Arial" w:cs="Arial" w:eastAsia="Arial" w:hAnsi="Arial"/>
                <w:sz w:val="17"/>
                <w:szCs w:val="17"/>
                <w:color w:val="auto"/>
              </w:rPr>
              <w:t>950,000</w:t>
            </w:r>
          </w:p>
        </w:tc>
        <w:tc>
          <w:tcPr>
            <w:tcW w:w="1720" w:type="dxa"/>
            <w:vAlign w:val="bottom"/>
            <w:shd w:val="clear" w:color="auto" w:fill="CCEEFF"/>
          </w:tcPr>
          <w:p>
            <w:pPr>
              <w:jc w:val="center"/>
              <w:ind w:right="3"/>
              <w:spacing w:after="0" w:line="188" w:lineRule="exact"/>
              <w:rPr>
                <w:sz w:val="20"/>
                <w:szCs w:val="20"/>
                <w:color w:val="auto"/>
              </w:rPr>
            </w:pPr>
            <w:r>
              <w:rPr>
                <w:rFonts w:ascii="Arial" w:cs="Arial" w:eastAsia="Arial" w:hAnsi="Arial"/>
                <w:sz w:val="17"/>
                <w:szCs w:val="17"/>
                <w:color w:val="auto"/>
              </w:rPr>
              <w:t>100%</w:t>
            </w:r>
          </w:p>
        </w:tc>
        <w:tc>
          <w:tcPr>
            <w:tcW w:w="1400" w:type="dxa"/>
            <w:vAlign w:val="bottom"/>
            <w:shd w:val="clear" w:color="auto" w:fill="CCEEFF"/>
          </w:tcPr>
          <w:p>
            <w:pPr>
              <w:jc w:val="right"/>
              <w:ind w:right="263"/>
              <w:spacing w:after="0" w:line="188" w:lineRule="exact"/>
              <w:rPr>
                <w:sz w:val="20"/>
                <w:szCs w:val="20"/>
                <w:color w:val="auto"/>
              </w:rPr>
            </w:pPr>
            <w:r>
              <w:rPr>
                <w:rFonts w:ascii="Arial" w:cs="Arial" w:eastAsia="Arial" w:hAnsi="Arial"/>
                <w:sz w:val="17"/>
                <w:szCs w:val="17"/>
                <w:color w:val="auto"/>
              </w:rPr>
              <w:t>121.5%</w:t>
            </w:r>
          </w:p>
        </w:tc>
        <w:tc>
          <w:tcPr>
            <w:tcW w:w="36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2"/>
              <w:spacing w:after="0" w:line="188" w:lineRule="exact"/>
              <w:rPr>
                <w:sz w:val="20"/>
                <w:szCs w:val="20"/>
                <w:color w:val="auto"/>
              </w:rPr>
            </w:pPr>
            <w:r>
              <w:rPr>
                <w:rFonts w:ascii="Arial" w:cs="Arial" w:eastAsia="Arial" w:hAnsi="Arial"/>
                <w:sz w:val="17"/>
                <w:szCs w:val="17"/>
                <w:color w:val="auto"/>
              </w:rPr>
              <w:t>1,154,250</w:t>
            </w:r>
          </w:p>
        </w:tc>
      </w:tr>
      <w:tr>
        <w:trPr>
          <w:trHeight w:val="194"/>
        </w:trPr>
        <w:tc>
          <w:tcPr>
            <w:tcW w:w="288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i w:val="1"/>
                <w:iCs w:val="1"/>
                <w:color w:val="auto"/>
              </w:rPr>
              <w:t>President and Chief Executive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6"/>
        </w:trPr>
        <w:tc>
          <w:tcPr>
            <w:tcW w:w="288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Officer</w:t>
            </w:r>
          </w:p>
        </w:tc>
        <w:tc>
          <w:tcPr>
            <w:tcW w:w="320" w:type="dxa"/>
            <w:vAlign w:val="bottom"/>
            <w:tcBorders>
              <w:bottom w:val="single" w:sz="8" w:color="307CC0"/>
            </w:tcBorders>
            <w:shd w:val="clear" w:color="auto" w:fill="CCEEFF"/>
          </w:tcPr>
          <w:p>
            <w:pPr>
              <w:spacing w:after="0"/>
              <w:rPr>
                <w:sz w:val="19"/>
                <w:szCs w:val="19"/>
                <w:color w:val="auto"/>
              </w:rPr>
            </w:pPr>
          </w:p>
        </w:tc>
        <w:tc>
          <w:tcPr>
            <w:tcW w:w="1060" w:type="dxa"/>
            <w:vAlign w:val="bottom"/>
            <w:tcBorders>
              <w:bottom w:val="single" w:sz="8" w:color="307CC0"/>
            </w:tcBorders>
            <w:shd w:val="clear" w:color="auto" w:fill="CCEEFF"/>
          </w:tcPr>
          <w:p>
            <w:pPr>
              <w:spacing w:after="0"/>
              <w:rPr>
                <w:sz w:val="19"/>
                <w:szCs w:val="19"/>
                <w:color w:val="auto"/>
              </w:rPr>
            </w:pPr>
          </w:p>
        </w:tc>
        <w:tc>
          <w:tcPr>
            <w:tcW w:w="1720" w:type="dxa"/>
            <w:vAlign w:val="bottom"/>
            <w:tcBorders>
              <w:bottom w:val="single" w:sz="8" w:color="307CC0"/>
            </w:tcBorders>
            <w:shd w:val="clear" w:color="auto" w:fill="CCEEFF"/>
          </w:tcPr>
          <w:p>
            <w:pPr>
              <w:spacing w:after="0"/>
              <w:rPr>
                <w:sz w:val="19"/>
                <w:szCs w:val="19"/>
                <w:color w:val="auto"/>
              </w:rPr>
            </w:pPr>
          </w:p>
        </w:tc>
        <w:tc>
          <w:tcPr>
            <w:tcW w:w="1400" w:type="dxa"/>
            <w:vAlign w:val="bottom"/>
            <w:tcBorders>
              <w:bottom w:val="single" w:sz="8" w:color="307CC0"/>
            </w:tcBorders>
            <w:shd w:val="clear" w:color="auto" w:fill="CCEEFF"/>
          </w:tcPr>
          <w:p>
            <w:pPr>
              <w:spacing w:after="0"/>
              <w:rPr>
                <w:sz w:val="19"/>
                <w:szCs w:val="19"/>
                <w:color w:val="auto"/>
              </w:rPr>
            </w:pPr>
          </w:p>
        </w:tc>
        <w:tc>
          <w:tcPr>
            <w:tcW w:w="360" w:type="dxa"/>
            <w:vAlign w:val="bottom"/>
            <w:tcBorders>
              <w:bottom w:val="single" w:sz="8" w:color="307CC0"/>
            </w:tcBorders>
            <w:shd w:val="clear" w:color="auto" w:fill="CCEEFF"/>
          </w:tcPr>
          <w:p>
            <w:pPr>
              <w:spacing w:after="0"/>
              <w:rPr>
                <w:sz w:val="19"/>
                <w:szCs w:val="19"/>
                <w:color w:val="auto"/>
              </w:rPr>
            </w:pPr>
          </w:p>
        </w:tc>
        <w:tc>
          <w:tcPr>
            <w:tcW w:w="1420" w:type="dxa"/>
            <w:vAlign w:val="bottom"/>
            <w:tcBorders>
              <w:bottom w:val="single" w:sz="8" w:color="307CC0"/>
            </w:tcBorders>
            <w:shd w:val="clear" w:color="auto" w:fill="CCEEFF"/>
          </w:tcPr>
          <w:p>
            <w:pPr>
              <w:spacing w:after="0"/>
              <w:rPr>
                <w:sz w:val="19"/>
                <w:szCs w:val="19"/>
                <w:color w:val="auto"/>
              </w:rPr>
            </w:pPr>
          </w:p>
        </w:tc>
      </w:tr>
      <w:tr>
        <w:trPr>
          <w:trHeight w:val="181"/>
        </w:trPr>
        <w:tc>
          <w:tcPr>
            <w:tcW w:w="2880" w:type="dxa"/>
            <w:vAlign w:val="bottom"/>
            <w:shd w:val="clear" w:color="auto" w:fill="D6E7FF"/>
          </w:tcPr>
          <w:p>
            <w:pPr>
              <w:ind w:left="40"/>
              <w:spacing w:after="0" w:line="181" w:lineRule="exact"/>
              <w:rPr>
                <w:sz w:val="20"/>
                <w:szCs w:val="20"/>
                <w:color w:val="auto"/>
              </w:rPr>
            </w:pPr>
            <w:r>
              <w:rPr>
                <w:rFonts w:ascii="Arial" w:cs="Arial" w:eastAsia="Arial" w:hAnsi="Arial"/>
                <w:sz w:val="17"/>
                <w:szCs w:val="17"/>
                <w:color w:val="auto"/>
              </w:rPr>
              <w:t>Mr. Kevin E. Bryant</w:t>
            </w:r>
          </w:p>
        </w:tc>
        <w:tc>
          <w:tcPr>
            <w:tcW w:w="320" w:type="dxa"/>
            <w:vAlign w:val="bottom"/>
            <w:shd w:val="clear" w:color="auto" w:fill="D6E7FF"/>
          </w:tcPr>
          <w:p>
            <w:pPr>
              <w:jc w:val="right"/>
              <w:ind w:right="54"/>
              <w:spacing w:after="0" w:line="181" w:lineRule="exact"/>
              <w:rPr>
                <w:sz w:val="20"/>
                <w:szCs w:val="20"/>
                <w:color w:val="auto"/>
              </w:rPr>
            </w:pPr>
            <w:r>
              <w:rPr>
                <w:rFonts w:ascii="Arial" w:cs="Arial" w:eastAsia="Arial" w:hAnsi="Arial"/>
                <w:sz w:val="17"/>
                <w:szCs w:val="17"/>
                <w:color w:val="auto"/>
              </w:rPr>
              <w:t>$</w:t>
            </w:r>
          </w:p>
        </w:tc>
        <w:tc>
          <w:tcPr>
            <w:tcW w:w="1060" w:type="dxa"/>
            <w:vAlign w:val="bottom"/>
            <w:shd w:val="clear" w:color="auto" w:fill="D6E7FF"/>
          </w:tcPr>
          <w:p>
            <w:pPr>
              <w:jc w:val="right"/>
              <w:ind w:right="120"/>
              <w:spacing w:after="0" w:line="181" w:lineRule="exact"/>
              <w:rPr>
                <w:sz w:val="20"/>
                <w:szCs w:val="20"/>
                <w:color w:val="auto"/>
              </w:rPr>
            </w:pPr>
            <w:r>
              <w:rPr>
                <w:rFonts w:ascii="Arial" w:cs="Arial" w:eastAsia="Arial" w:hAnsi="Arial"/>
                <w:sz w:val="17"/>
                <w:szCs w:val="17"/>
                <w:color w:val="auto"/>
              </w:rPr>
              <w:t>520,000</w:t>
            </w:r>
          </w:p>
        </w:tc>
        <w:tc>
          <w:tcPr>
            <w:tcW w:w="1720" w:type="dxa"/>
            <w:vAlign w:val="bottom"/>
            <w:shd w:val="clear" w:color="auto" w:fill="D6E7FF"/>
          </w:tcPr>
          <w:p>
            <w:pPr>
              <w:jc w:val="center"/>
              <w:ind w:right="3"/>
              <w:spacing w:after="0" w:line="181" w:lineRule="exact"/>
              <w:rPr>
                <w:sz w:val="20"/>
                <w:szCs w:val="20"/>
                <w:color w:val="auto"/>
              </w:rPr>
            </w:pPr>
            <w:r>
              <w:rPr>
                <w:rFonts w:ascii="Arial" w:cs="Arial" w:eastAsia="Arial" w:hAnsi="Arial"/>
                <w:sz w:val="17"/>
                <w:szCs w:val="17"/>
                <w:color w:val="auto"/>
              </w:rPr>
              <w:t>80%</w:t>
            </w:r>
          </w:p>
        </w:tc>
        <w:tc>
          <w:tcPr>
            <w:tcW w:w="1400" w:type="dxa"/>
            <w:vAlign w:val="bottom"/>
            <w:shd w:val="clear" w:color="auto" w:fill="D6E7FF"/>
          </w:tcPr>
          <w:p>
            <w:pPr>
              <w:jc w:val="right"/>
              <w:ind w:right="263"/>
              <w:spacing w:after="0" w:line="181" w:lineRule="exact"/>
              <w:rPr>
                <w:sz w:val="20"/>
                <w:szCs w:val="20"/>
                <w:color w:val="auto"/>
              </w:rPr>
            </w:pPr>
            <w:r>
              <w:rPr>
                <w:rFonts w:ascii="Arial" w:cs="Arial" w:eastAsia="Arial" w:hAnsi="Arial"/>
                <w:sz w:val="17"/>
                <w:szCs w:val="17"/>
                <w:color w:val="auto"/>
              </w:rPr>
              <w:t>121.5%</w:t>
            </w:r>
          </w:p>
        </w:tc>
        <w:tc>
          <w:tcPr>
            <w:tcW w:w="360" w:type="dxa"/>
            <w:vAlign w:val="bottom"/>
            <w:shd w:val="clear" w:color="auto" w:fill="D6E7FF"/>
          </w:tcPr>
          <w:p>
            <w:pPr>
              <w:jc w:val="right"/>
              <w:spacing w:after="0" w:line="181" w:lineRule="exact"/>
              <w:rPr>
                <w:sz w:val="20"/>
                <w:szCs w:val="20"/>
                <w:color w:val="auto"/>
              </w:rPr>
            </w:pPr>
            <w:r>
              <w:rPr>
                <w:rFonts w:ascii="Arial" w:cs="Arial" w:eastAsia="Arial" w:hAnsi="Arial"/>
                <w:sz w:val="17"/>
                <w:szCs w:val="17"/>
                <w:color w:val="auto"/>
              </w:rPr>
              <w:t>$</w:t>
            </w:r>
          </w:p>
        </w:tc>
        <w:tc>
          <w:tcPr>
            <w:tcW w:w="1420" w:type="dxa"/>
            <w:vAlign w:val="bottom"/>
            <w:shd w:val="clear" w:color="auto" w:fill="D6E7FF"/>
          </w:tcPr>
          <w:p>
            <w:pPr>
              <w:jc w:val="right"/>
              <w:ind w:right="22"/>
              <w:spacing w:after="0" w:line="181" w:lineRule="exact"/>
              <w:rPr>
                <w:sz w:val="20"/>
                <w:szCs w:val="20"/>
                <w:color w:val="auto"/>
              </w:rPr>
            </w:pPr>
            <w:r>
              <w:rPr>
                <w:rFonts w:ascii="Arial" w:cs="Arial" w:eastAsia="Arial" w:hAnsi="Arial"/>
                <w:sz w:val="17"/>
                <w:szCs w:val="17"/>
                <w:color w:val="auto"/>
              </w:rPr>
              <w:t>505,440</w:t>
            </w:r>
          </w:p>
        </w:tc>
      </w:tr>
      <w:tr>
        <w:trPr>
          <w:trHeight w:val="194"/>
        </w:trPr>
        <w:tc>
          <w:tcPr>
            <w:tcW w:w="2880" w:type="dxa"/>
            <w:vAlign w:val="bottom"/>
            <w:shd w:val="clear" w:color="auto" w:fill="D6E7FF"/>
          </w:tcPr>
          <w:p>
            <w:pPr>
              <w:ind w:left="40"/>
              <w:spacing w:after="0" w:line="194" w:lineRule="exact"/>
              <w:rPr>
                <w:sz w:val="20"/>
                <w:szCs w:val="20"/>
                <w:color w:val="auto"/>
              </w:rPr>
            </w:pPr>
            <w:r>
              <w:rPr>
                <w:rFonts w:ascii="Arial" w:cs="Arial" w:eastAsia="Arial" w:hAnsi="Arial"/>
                <w:sz w:val="17"/>
                <w:szCs w:val="17"/>
                <w:i w:val="1"/>
                <w:iCs w:val="1"/>
                <w:color w:val="auto"/>
              </w:rPr>
              <w:t>Executive Vice President and Chief</w:t>
            </w:r>
          </w:p>
        </w:tc>
        <w:tc>
          <w:tcPr>
            <w:tcW w:w="320" w:type="dxa"/>
            <w:vAlign w:val="bottom"/>
            <w:shd w:val="clear" w:color="auto" w:fill="D6E7FF"/>
          </w:tcPr>
          <w:p>
            <w:pPr>
              <w:spacing w:after="0"/>
              <w:rPr>
                <w:sz w:val="16"/>
                <w:szCs w:val="16"/>
                <w:color w:val="auto"/>
              </w:rPr>
            </w:pPr>
          </w:p>
        </w:tc>
        <w:tc>
          <w:tcPr>
            <w:tcW w:w="1060" w:type="dxa"/>
            <w:vAlign w:val="bottom"/>
            <w:shd w:val="clear" w:color="auto" w:fill="D6E7FF"/>
          </w:tcPr>
          <w:p>
            <w:pPr>
              <w:spacing w:after="0"/>
              <w:rPr>
                <w:sz w:val="16"/>
                <w:szCs w:val="16"/>
                <w:color w:val="auto"/>
              </w:rPr>
            </w:pPr>
          </w:p>
        </w:tc>
        <w:tc>
          <w:tcPr>
            <w:tcW w:w="1720" w:type="dxa"/>
            <w:vAlign w:val="bottom"/>
            <w:shd w:val="clear" w:color="auto" w:fill="D6E7FF"/>
          </w:tcPr>
          <w:p>
            <w:pPr>
              <w:spacing w:after="0"/>
              <w:rPr>
                <w:sz w:val="16"/>
                <w:szCs w:val="16"/>
                <w:color w:val="auto"/>
              </w:rPr>
            </w:pPr>
          </w:p>
        </w:tc>
        <w:tc>
          <w:tcPr>
            <w:tcW w:w="1400" w:type="dxa"/>
            <w:vAlign w:val="bottom"/>
            <w:shd w:val="clear" w:color="auto" w:fill="D6E7FF"/>
          </w:tcPr>
          <w:p>
            <w:pPr>
              <w:spacing w:after="0"/>
              <w:rPr>
                <w:sz w:val="16"/>
                <w:szCs w:val="16"/>
                <w:color w:val="auto"/>
              </w:rPr>
            </w:pPr>
          </w:p>
        </w:tc>
        <w:tc>
          <w:tcPr>
            <w:tcW w:w="360" w:type="dxa"/>
            <w:vAlign w:val="bottom"/>
            <w:shd w:val="clear" w:color="auto" w:fill="D6E7FF"/>
          </w:tcPr>
          <w:p>
            <w:pPr>
              <w:spacing w:after="0"/>
              <w:rPr>
                <w:sz w:val="16"/>
                <w:szCs w:val="16"/>
                <w:color w:val="auto"/>
              </w:rPr>
            </w:pPr>
          </w:p>
        </w:tc>
        <w:tc>
          <w:tcPr>
            <w:tcW w:w="1420" w:type="dxa"/>
            <w:vAlign w:val="bottom"/>
            <w:shd w:val="clear" w:color="auto" w:fill="D6E7FF"/>
          </w:tcPr>
          <w:p>
            <w:pPr>
              <w:spacing w:after="0"/>
              <w:rPr>
                <w:sz w:val="16"/>
                <w:szCs w:val="16"/>
                <w:color w:val="auto"/>
              </w:rPr>
            </w:pPr>
          </w:p>
        </w:tc>
      </w:tr>
      <w:tr>
        <w:trPr>
          <w:trHeight w:val="226"/>
        </w:trPr>
        <w:tc>
          <w:tcPr>
            <w:tcW w:w="288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i w:val="1"/>
                <w:iCs w:val="1"/>
                <w:color w:val="auto"/>
              </w:rPr>
              <w:t>Operating Officer</w:t>
            </w:r>
          </w:p>
        </w:tc>
        <w:tc>
          <w:tcPr>
            <w:tcW w:w="320" w:type="dxa"/>
            <w:vAlign w:val="bottom"/>
            <w:tcBorders>
              <w:bottom w:val="single" w:sz="8" w:color="307CC0"/>
            </w:tcBorders>
            <w:shd w:val="clear" w:color="auto" w:fill="D6E7FF"/>
          </w:tcPr>
          <w:p>
            <w:pPr>
              <w:spacing w:after="0"/>
              <w:rPr>
                <w:sz w:val="19"/>
                <w:szCs w:val="19"/>
                <w:color w:val="auto"/>
              </w:rPr>
            </w:pPr>
          </w:p>
        </w:tc>
        <w:tc>
          <w:tcPr>
            <w:tcW w:w="1060" w:type="dxa"/>
            <w:vAlign w:val="bottom"/>
            <w:tcBorders>
              <w:bottom w:val="single" w:sz="8" w:color="307CC0"/>
            </w:tcBorders>
            <w:shd w:val="clear" w:color="auto" w:fill="D6E7FF"/>
          </w:tcPr>
          <w:p>
            <w:pPr>
              <w:spacing w:after="0"/>
              <w:rPr>
                <w:sz w:val="19"/>
                <w:szCs w:val="19"/>
                <w:color w:val="auto"/>
              </w:rPr>
            </w:pPr>
          </w:p>
        </w:tc>
        <w:tc>
          <w:tcPr>
            <w:tcW w:w="1720" w:type="dxa"/>
            <w:vAlign w:val="bottom"/>
            <w:tcBorders>
              <w:bottom w:val="single" w:sz="8" w:color="307CC0"/>
            </w:tcBorders>
            <w:shd w:val="clear" w:color="auto" w:fill="D6E7FF"/>
          </w:tcPr>
          <w:p>
            <w:pPr>
              <w:spacing w:after="0"/>
              <w:rPr>
                <w:sz w:val="19"/>
                <w:szCs w:val="19"/>
                <w:color w:val="auto"/>
              </w:rPr>
            </w:pPr>
          </w:p>
        </w:tc>
        <w:tc>
          <w:tcPr>
            <w:tcW w:w="1400" w:type="dxa"/>
            <w:vAlign w:val="bottom"/>
            <w:tcBorders>
              <w:bottom w:val="single" w:sz="8" w:color="307CC0"/>
            </w:tcBorders>
            <w:shd w:val="clear" w:color="auto" w:fill="D6E7FF"/>
          </w:tcPr>
          <w:p>
            <w:pPr>
              <w:spacing w:after="0"/>
              <w:rPr>
                <w:sz w:val="19"/>
                <w:szCs w:val="19"/>
                <w:color w:val="auto"/>
              </w:rPr>
            </w:pPr>
          </w:p>
        </w:tc>
        <w:tc>
          <w:tcPr>
            <w:tcW w:w="360" w:type="dxa"/>
            <w:vAlign w:val="bottom"/>
            <w:tcBorders>
              <w:bottom w:val="single" w:sz="8" w:color="307CC0"/>
            </w:tcBorders>
            <w:shd w:val="clear" w:color="auto" w:fill="D6E7FF"/>
          </w:tcPr>
          <w:p>
            <w:pPr>
              <w:spacing w:after="0"/>
              <w:rPr>
                <w:sz w:val="19"/>
                <w:szCs w:val="19"/>
                <w:color w:val="auto"/>
              </w:rPr>
            </w:pPr>
          </w:p>
        </w:tc>
        <w:tc>
          <w:tcPr>
            <w:tcW w:w="1420" w:type="dxa"/>
            <w:vAlign w:val="bottom"/>
            <w:tcBorders>
              <w:bottom w:val="single" w:sz="8" w:color="307CC0"/>
            </w:tcBorders>
            <w:shd w:val="clear" w:color="auto" w:fill="D6E7FF"/>
          </w:tcPr>
          <w:p>
            <w:pPr>
              <w:spacing w:after="0"/>
              <w:rPr>
                <w:sz w:val="19"/>
                <w:szCs w:val="19"/>
                <w:color w:val="auto"/>
              </w:rPr>
            </w:pPr>
          </w:p>
        </w:tc>
      </w:tr>
      <w:tr>
        <w:trPr>
          <w:trHeight w:val="181"/>
        </w:trPr>
        <w:tc>
          <w:tcPr>
            <w:tcW w:w="2880" w:type="dxa"/>
            <w:vAlign w:val="bottom"/>
            <w:shd w:val="clear" w:color="auto" w:fill="CCEEFF"/>
          </w:tcPr>
          <w:p>
            <w:pPr>
              <w:ind w:left="40"/>
              <w:spacing w:after="0" w:line="181" w:lineRule="exact"/>
              <w:rPr>
                <w:sz w:val="20"/>
                <w:szCs w:val="20"/>
                <w:color w:val="auto"/>
              </w:rPr>
            </w:pPr>
            <w:r>
              <w:rPr>
                <w:rFonts w:ascii="Arial" w:cs="Arial" w:eastAsia="Arial" w:hAnsi="Arial"/>
                <w:sz w:val="17"/>
                <w:szCs w:val="17"/>
                <w:color w:val="auto"/>
              </w:rPr>
              <w:t>Mr. Greg A. Greenwood</w:t>
            </w:r>
          </w:p>
        </w:tc>
        <w:tc>
          <w:tcPr>
            <w:tcW w:w="320" w:type="dxa"/>
            <w:vAlign w:val="bottom"/>
            <w:shd w:val="clear" w:color="auto" w:fill="CCEEFF"/>
          </w:tcPr>
          <w:p>
            <w:pPr>
              <w:jc w:val="right"/>
              <w:ind w:right="54"/>
              <w:spacing w:after="0" w:line="181"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20"/>
              <w:spacing w:after="0" w:line="181" w:lineRule="exact"/>
              <w:rPr>
                <w:sz w:val="20"/>
                <w:szCs w:val="20"/>
                <w:color w:val="auto"/>
              </w:rPr>
            </w:pPr>
            <w:r>
              <w:rPr>
                <w:rFonts w:ascii="Arial" w:cs="Arial" w:eastAsia="Arial" w:hAnsi="Arial"/>
                <w:sz w:val="17"/>
                <w:szCs w:val="17"/>
                <w:color w:val="auto"/>
              </w:rPr>
              <w:t>520,000</w:t>
            </w:r>
          </w:p>
        </w:tc>
        <w:tc>
          <w:tcPr>
            <w:tcW w:w="1720" w:type="dxa"/>
            <w:vAlign w:val="bottom"/>
            <w:shd w:val="clear" w:color="auto" w:fill="CCEEFF"/>
          </w:tcPr>
          <w:p>
            <w:pPr>
              <w:jc w:val="center"/>
              <w:ind w:right="3"/>
              <w:spacing w:after="0" w:line="181" w:lineRule="exact"/>
              <w:rPr>
                <w:sz w:val="20"/>
                <w:szCs w:val="20"/>
                <w:color w:val="auto"/>
              </w:rPr>
            </w:pPr>
            <w:r>
              <w:rPr>
                <w:rFonts w:ascii="Arial" w:cs="Arial" w:eastAsia="Arial" w:hAnsi="Arial"/>
                <w:sz w:val="17"/>
                <w:szCs w:val="17"/>
                <w:color w:val="auto"/>
              </w:rPr>
              <w:t>80%</w:t>
            </w:r>
          </w:p>
        </w:tc>
        <w:tc>
          <w:tcPr>
            <w:tcW w:w="1400" w:type="dxa"/>
            <w:vAlign w:val="bottom"/>
            <w:shd w:val="clear" w:color="auto" w:fill="CCEEFF"/>
          </w:tcPr>
          <w:p>
            <w:pPr>
              <w:jc w:val="right"/>
              <w:ind w:right="263"/>
              <w:spacing w:after="0" w:line="181" w:lineRule="exact"/>
              <w:rPr>
                <w:sz w:val="20"/>
                <w:szCs w:val="20"/>
                <w:color w:val="auto"/>
              </w:rPr>
            </w:pPr>
            <w:r>
              <w:rPr>
                <w:rFonts w:ascii="Arial" w:cs="Arial" w:eastAsia="Arial" w:hAnsi="Arial"/>
                <w:sz w:val="17"/>
                <w:szCs w:val="17"/>
                <w:color w:val="auto"/>
              </w:rPr>
              <w:t>121.5%</w:t>
            </w:r>
          </w:p>
        </w:tc>
        <w:tc>
          <w:tcPr>
            <w:tcW w:w="3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2"/>
              <w:spacing w:after="0" w:line="181" w:lineRule="exact"/>
              <w:rPr>
                <w:sz w:val="20"/>
                <w:szCs w:val="20"/>
                <w:color w:val="auto"/>
              </w:rPr>
            </w:pPr>
            <w:r>
              <w:rPr>
                <w:rFonts w:ascii="Arial" w:cs="Arial" w:eastAsia="Arial" w:hAnsi="Arial"/>
                <w:sz w:val="17"/>
                <w:szCs w:val="17"/>
                <w:color w:val="auto"/>
              </w:rPr>
              <w:t>505,440</w:t>
            </w:r>
          </w:p>
        </w:tc>
      </w:tr>
      <w:tr>
        <w:trPr>
          <w:trHeight w:val="194"/>
        </w:trPr>
        <w:tc>
          <w:tcPr>
            <w:tcW w:w="288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i w:val="1"/>
                <w:iCs w:val="1"/>
                <w:color w:val="auto"/>
              </w:rPr>
              <w:t>Executive Vice President −</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94"/>
        </w:trPr>
        <w:tc>
          <w:tcPr>
            <w:tcW w:w="288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i w:val="1"/>
                <w:iCs w:val="1"/>
                <w:color w:val="auto"/>
              </w:rPr>
              <w:t>Strategy and Chief Administrative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6"/>
        </w:trPr>
        <w:tc>
          <w:tcPr>
            <w:tcW w:w="288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Officer</w:t>
            </w:r>
          </w:p>
        </w:tc>
        <w:tc>
          <w:tcPr>
            <w:tcW w:w="320" w:type="dxa"/>
            <w:vAlign w:val="bottom"/>
            <w:tcBorders>
              <w:bottom w:val="single" w:sz="8" w:color="307CC0"/>
            </w:tcBorders>
            <w:shd w:val="clear" w:color="auto" w:fill="CCEEFF"/>
          </w:tcPr>
          <w:p>
            <w:pPr>
              <w:spacing w:after="0"/>
              <w:rPr>
                <w:sz w:val="19"/>
                <w:szCs w:val="19"/>
                <w:color w:val="auto"/>
              </w:rPr>
            </w:pPr>
          </w:p>
        </w:tc>
        <w:tc>
          <w:tcPr>
            <w:tcW w:w="1060" w:type="dxa"/>
            <w:vAlign w:val="bottom"/>
            <w:tcBorders>
              <w:bottom w:val="single" w:sz="8" w:color="307CC0"/>
            </w:tcBorders>
            <w:shd w:val="clear" w:color="auto" w:fill="CCEEFF"/>
          </w:tcPr>
          <w:p>
            <w:pPr>
              <w:spacing w:after="0"/>
              <w:rPr>
                <w:sz w:val="19"/>
                <w:szCs w:val="19"/>
                <w:color w:val="auto"/>
              </w:rPr>
            </w:pPr>
          </w:p>
        </w:tc>
        <w:tc>
          <w:tcPr>
            <w:tcW w:w="1720" w:type="dxa"/>
            <w:vAlign w:val="bottom"/>
            <w:tcBorders>
              <w:bottom w:val="single" w:sz="8" w:color="307CC0"/>
            </w:tcBorders>
            <w:shd w:val="clear" w:color="auto" w:fill="CCEEFF"/>
          </w:tcPr>
          <w:p>
            <w:pPr>
              <w:spacing w:after="0"/>
              <w:rPr>
                <w:sz w:val="19"/>
                <w:szCs w:val="19"/>
                <w:color w:val="auto"/>
              </w:rPr>
            </w:pPr>
          </w:p>
        </w:tc>
        <w:tc>
          <w:tcPr>
            <w:tcW w:w="1400" w:type="dxa"/>
            <w:vAlign w:val="bottom"/>
            <w:tcBorders>
              <w:bottom w:val="single" w:sz="8" w:color="307CC0"/>
            </w:tcBorders>
            <w:shd w:val="clear" w:color="auto" w:fill="CCEEFF"/>
          </w:tcPr>
          <w:p>
            <w:pPr>
              <w:spacing w:after="0"/>
              <w:rPr>
                <w:sz w:val="19"/>
                <w:szCs w:val="19"/>
                <w:color w:val="auto"/>
              </w:rPr>
            </w:pPr>
          </w:p>
        </w:tc>
        <w:tc>
          <w:tcPr>
            <w:tcW w:w="360" w:type="dxa"/>
            <w:vAlign w:val="bottom"/>
            <w:tcBorders>
              <w:bottom w:val="single" w:sz="8" w:color="307CC0"/>
            </w:tcBorders>
            <w:shd w:val="clear" w:color="auto" w:fill="CCEEFF"/>
          </w:tcPr>
          <w:p>
            <w:pPr>
              <w:spacing w:after="0"/>
              <w:rPr>
                <w:sz w:val="19"/>
                <w:szCs w:val="19"/>
                <w:color w:val="auto"/>
              </w:rPr>
            </w:pPr>
          </w:p>
        </w:tc>
        <w:tc>
          <w:tcPr>
            <w:tcW w:w="1420" w:type="dxa"/>
            <w:vAlign w:val="bottom"/>
            <w:tcBorders>
              <w:bottom w:val="single" w:sz="8" w:color="307CC0"/>
            </w:tcBorders>
            <w:shd w:val="clear" w:color="auto" w:fill="CCEEFF"/>
          </w:tcPr>
          <w:p>
            <w:pPr>
              <w:spacing w:after="0"/>
              <w:rPr>
                <w:sz w:val="19"/>
                <w:szCs w:val="19"/>
                <w:color w:val="auto"/>
              </w:rPr>
            </w:pPr>
          </w:p>
        </w:tc>
      </w:tr>
      <w:tr>
        <w:trPr>
          <w:trHeight w:val="181"/>
        </w:trPr>
        <w:tc>
          <w:tcPr>
            <w:tcW w:w="2880" w:type="dxa"/>
            <w:vAlign w:val="bottom"/>
            <w:shd w:val="clear" w:color="auto" w:fill="D6E7FF"/>
          </w:tcPr>
          <w:p>
            <w:pPr>
              <w:ind w:left="40"/>
              <w:spacing w:after="0" w:line="181" w:lineRule="exact"/>
              <w:rPr>
                <w:sz w:val="20"/>
                <w:szCs w:val="20"/>
                <w:color w:val="auto"/>
              </w:rPr>
            </w:pPr>
            <w:r>
              <w:rPr>
                <w:rFonts w:ascii="Arial" w:cs="Arial" w:eastAsia="Arial" w:hAnsi="Arial"/>
                <w:sz w:val="17"/>
                <w:szCs w:val="17"/>
                <w:color w:val="auto"/>
              </w:rPr>
              <w:t>Mr. Anthony D. Somma</w:t>
            </w:r>
          </w:p>
        </w:tc>
        <w:tc>
          <w:tcPr>
            <w:tcW w:w="320" w:type="dxa"/>
            <w:vAlign w:val="bottom"/>
            <w:shd w:val="clear" w:color="auto" w:fill="D6E7FF"/>
          </w:tcPr>
          <w:p>
            <w:pPr>
              <w:jc w:val="right"/>
              <w:ind w:right="54"/>
              <w:spacing w:after="0" w:line="181" w:lineRule="exact"/>
              <w:rPr>
                <w:sz w:val="20"/>
                <w:szCs w:val="20"/>
                <w:color w:val="auto"/>
              </w:rPr>
            </w:pPr>
            <w:r>
              <w:rPr>
                <w:rFonts w:ascii="Arial" w:cs="Arial" w:eastAsia="Arial" w:hAnsi="Arial"/>
                <w:sz w:val="17"/>
                <w:szCs w:val="17"/>
                <w:color w:val="auto"/>
              </w:rPr>
              <w:t>$</w:t>
            </w:r>
          </w:p>
        </w:tc>
        <w:tc>
          <w:tcPr>
            <w:tcW w:w="1060" w:type="dxa"/>
            <w:vAlign w:val="bottom"/>
            <w:shd w:val="clear" w:color="auto" w:fill="D6E7FF"/>
          </w:tcPr>
          <w:p>
            <w:pPr>
              <w:jc w:val="right"/>
              <w:ind w:right="120"/>
              <w:spacing w:after="0" w:line="181" w:lineRule="exact"/>
              <w:rPr>
                <w:sz w:val="20"/>
                <w:szCs w:val="20"/>
                <w:color w:val="auto"/>
              </w:rPr>
            </w:pPr>
            <w:r>
              <w:rPr>
                <w:rFonts w:ascii="Arial" w:cs="Arial" w:eastAsia="Arial" w:hAnsi="Arial"/>
                <w:sz w:val="17"/>
                <w:szCs w:val="17"/>
                <w:color w:val="auto"/>
              </w:rPr>
              <w:t>495,000</w:t>
            </w:r>
          </w:p>
        </w:tc>
        <w:tc>
          <w:tcPr>
            <w:tcW w:w="1720" w:type="dxa"/>
            <w:vAlign w:val="bottom"/>
            <w:shd w:val="clear" w:color="auto" w:fill="D6E7FF"/>
          </w:tcPr>
          <w:p>
            <w:pPr>
              <w:jc w:val="center"/>
              <w:ind w:right="3"/>
              <w:spacing w:after="0" w:line="181" w:lineRule="exact"/>
              <w:rPr>
                <w:sz w:val="20"/>
                <w:szCs w:val="20"/>
                <w:color w:val="auto"/>
              </w:rPr>
            </w:pPr>
            <w:r>
              <w:rPr>
                <w:rFonts w:ascii="Arial" w:cs="Arial" w:eastAsia="Arial" w:hAnsi="Arial"/>
                <w:sz w:val="17"/>
                <w:szCs w:val="17"/>
                <w:color w:val="auto"/>
              </w:rPr>
              <w:t>80%</w:t>
            </w:r>
          </w:p>
        </w:tc>
        <w:tc>
          <w:tcPr>
            <w:tcW w:w="1400" w:type="dxa"/>
            <w:vAlign w:val="bottom"/>
            <w:shd w:val="clear" w:color="auto" w:fill="D6E7FF"/>
          </w:tcPr>
          <w:p>
            <w:pPr>
              <w:jc w:val="right"/>
              <w:ind w:right="263"/>
              <w:spacing w:after="0" w:line="181" w:lineRule="exact"/>
              <w:rPr>
                <w:sz w:val="20"/>
                <w:szCs w:val="20"/>
                <w:color w:val="auto"/>
              </w:rPr>
            </w:pPr>
            <w:r>
              <w:rPr>
                <w:rFonts w:ascii="Arial" w:cs="Arial" w:eastAsia="Arial" w:hAnsi="Arial"/>
                <w:sz w:val="17"/>
                <w:szCs w:val="17"/>
                <w:color w:val="auto"/>
              </w:rPr>
              <w:t>121.5%</w:t>
            </w:r>
          </w:p>
        </w:tc>
        <w:tc>
          <w:tcPr>
            <w:tcW w:w="360" w:type="dxa"/>
            <w:vAlign w:val="bottom"/>
            <w:shd w:val="clear" w:color="auto" w:fill="D6E7FF"/>
          </w:tcPr>
          <w:p>
            <w:pPr>
              <w:jc w:val="right"/>
              <w:spacing w:after="0" w:line="181" w:lineRule="exact"/>
              <w:rPr>
                <w:sz w:val="20"/>
                <w:szCs w:val="20"/>
                <w:color w:val="auto"/>
              </w:rPr>
            </w:pPr>
            <w:r>
              <w:rPr>
                <w:rFonts w:ascii="Arial" w:cs="Arial" w:eastAsia="Arial" w:hAnsi="Arial"/>
                <w:sz w:val="17"/>
                <w:szCs w:val="17"/>
                <w:color w:val="auto"/>
              </w:rPr>
              <w:t>$</w:t>
            </w:r>
          </w:p>
        </w:tc>
        <w:tc>
          <w:tcPr>
            <w:tcW w:w="1420" w:type="dxa"/>
            <w:vAlign w:val="bottom"/>
            <w:shd w:val="clear" w:color="auto" w:fill="D6E7FF"/>
          </w:tcPr>
          <w:p>
            <w:pPr>
              <w:jc w:val="right"/>
              <w:ind w:right="22"/>
              <w:spacing w:after="0" w:line="181" w:lineRule="exact"/>
              <w:rPr>
                <w:sz w:val="20"/>
                <w:szCs w:val="20"/>
                <w:color w:val="auto"/>
              </w:rPr>
            </w:pPr>
            <w:r>
              <w:rPr>
                <w:rFonts w:ascii="Arial" w:cs="Arial" w:eastAsia="Arial" w:hAnsi="Arial"/>
                <w:sz w:val="17"/>
                <w:szCs w:val="17"/>
                <w:color w:val="auto"/>
              </w:rPr>
              <w:t>481,140</w:t>
            </w:r>
          </w:p>
        </w:tc>
      </w:tr>
      <w:tr>
        <w:trPr>
          <w:trHeight w:val="194"/>
        </w:trPr>
        <w:tc>
          <w:tcPr>
            <w:tcW w:w="2880" w:type="dxa"/>
            <w:vAlign w:val="bottom"/>
            <w:shd w:val="clear" w:color="auto" w:fill="D6E7FF"/>
          </w:tcPr>
          <w:p>
            <w:pPr>
              <w:ind w:left="40"/>
              <w:spacing w:after="0" w:line="194" w:lineRule="exact"/>
              <w:rPr>
                <w:sz w:val="20"/>
                <w:szCs w:val="20"/>
                <w:color w:val="auto"/>
              </w:rPr>
            </w:pPr>
            <w:r>
              <w:rPr>
                <w:rFonts w:ascii="Arial" w:cs="Arial" w:eastAsia="Arial" w:hAnsi="Arial"/>
                <w:sz w:val="17"/>
                <w:szCs w:val="17"/>
                <w:i w:val="1"/>
                <w:iCs w:val="1"/>
                <w:color w:val="auto"/>
              </w:rPr>
              <w:t>Executive Vice President and Chief</w:t>
            </w:r>
          </w:p>
        </w:tc>
        <w:tc>
          <w:tcPr>
            <w:tcW w:w="320" w:type="dxa"/>
            <w:vAlign w:val="bottom"/>
            <w:shd w:val="clear" w:color="auto" w:fill="D6E7FF"/>
          </w:tcPr>
          <w:p>
            <w:pPr>
              <w:spacing w:after="0"/>
              <w:rPr>
                <w:sz w:val="16"/>
                <w:szCs w:val="16"/>
                <w:color w:val="auto"/>
              </w:rPr>
            </w:pPr>
          </w:p>
        </w:tc>
        <w:tc>
          <w:tcPr>
            <w:tcW w:w="1060" w:type="dxa"/>
            <w:vAlign w:val="bottom"/>
            <w:shd w:val="clear" w:color="auto" w:fill="D6E7FF"/>
          </w:tcPr>
          <w:p>
            <w:pPr>
              <w:spacing w:after="0"/>
              <w:rPr>
                <w:sz w:val="16"/>
                <w:szCs w:val="16"/>
                <w:color w:val="auto"/>
              </w:rPr>
            </w:pPr>
          </w:p>
        </w:tc>
        <w:tc>
          <w:tcPr>
            <w:tcW w:w="1720" w:type="dxa"/>
            <w:vAlign w:val="bottom"/>
            <w:shd w:val="clear" w:color="auto" w:fill="D6E7FF"/>
          </w:tcPr>
          <w:p>
            <w:pPr>
              <w:spacing w:after="0"/>
              <w:rPr>
                <w:sz w:val="16"/>
                <w:szCs w:val="16"/>
                <w:color w:val="auto"/>
              </w:rPr>
            </w:pPr>
          </w:p>
        </w:tc>
        <w:tc>
          <w:tcPr>
            <w:tcW w:w="1400" w:type="dxa"/>
            <w:vAlign w:val="bottom"/>
            <w:shd w:val="clear" w:color="auto" w:fill="D6E7FF"/>
          </w:tcPr>
          <w:p>
            <w:pPr>
              <w:spacing w:after="0"/>
              <w:rPr>
                <w:sz w:val="16"/>
                <w:szCs w:val="16"/>
                <w:color w:val="auto"/>
              </w:rPr>
            </w:pPr>
          </w:p>
        </w:tc>
        <w:tc>
          <w:tcPr>
            <w:tcW w:w="360" w:type="dxa"/>
            <w:vAlign w:val="bottom"/>
            <w:shd w:val="clear" w:color="auto" w:fill="D6E7FF"/>
          </w:tcPr>
          <w:p>
            <w:pPr>
              <w:spacing w:after="0"/>
              <w:rPr>
                <w:sz w:val="16"/>
                <w:szCs w:val="16"/>
                <w:color w:val="auto"/>
              </w:rPr>
            </w:pPr>
          </w:p>
        </w:tc>
        <w:tc>
          <w:tcPr>
            <w:tcW w:w="1420" w:type="dxa"/>
            <w:vAlign w:val="bottom"/>
            <w:shd w:val="clear" w:color="auto" w:fill="D6E7FF"/>
          </w:tcPr>
          <w:p>
            <w:pPr>
              <w:spacing w:after="0"/>
              <w:rPr>
                <w:sz w:val="16"/>
                <w:szCs w:val="16"/>
                <w:color w:val="auto"/>
              </w:rPr>
            </w:pPr>
          </w:p>
        </w:tc>
      </w:tr>
      <w:tr>
        <w:trPr>
          <w:trHeight w:val="226"/>
        </w:trPr>
        <w:tc>
          <w:tcPr>
            <w:tcW w:w="288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i w:val="1"/>
                <w:iCs w:val="1"/>
                <w:color w:val="auto"/>
              </w:rPr>
              <w:t>Financial Officer</w:t>
            </w:r>
          </w:p>
        </w:tc>
        <w:tc>
          <w:tcPr>
            <w:tcW w:w="320" w:type="dxa"/>
            <w:vAlign w:val="bottom"/>
            <w:tcBorders>
              <w:bottom w:val="single" w:sz="8" w:color="307CC0"/>
            </w:tcBorders>
            <w:shd w:val="clear" w:color="auto" w:fill="D6E7FF"/>
          </w:tcPr>
          <w:p>
            <w:pPr>
              <w:spacing w:after="0"/>
              <w:rPr>
                <w:sz w:val="19"/>
                <w:szCs w:val="19"/>
                <w:color w:val="auto"/>
              </w:rPr>
            </w:pPr>
          </w:p>
        </w:tc>
        <w:tc>
          <w:tcPr>
            <w:tcW w:w="1060" w:type="dxa"/>
            <w:vAlign w:val="bottom"/>
            <w:tcBorders>
              <w:bottom w:val="single" w:sz="8" w:color="307CC0"/>
            </w:tcBorders>
            <w:shd w:val="clear" w:color="auto" w:fill="D6E7FF"/>
          </w:tcPr>
          <w:p>
            <w:pPr>
              <w:spacing w:after="0"/>
              <w:rPr>
                <w:sz w:val="19"/>
                <w:szCs w:val="19"/>
                <w:color w:val="auto"/>
              </w:rPr>
            </w:pPr>
          </w:p>
        </w:tc>
        <w:tc>
          <w:tcPr>
            <w:tcW w:w="1720" w:type="dxa"/>
            <w:vAlign w:val="bottom"/>
            <w:tcBorders>
              <w:bottom w:val="single" w:sz="8" w:color="307CC0"/>
            </w:tcBorders>
            <w:shd w:val="clear" w:color="auto" w:fill="D6E7FF"/>
          </w:tcPr>
          <w:p>
            <w:pPr>
              <w:spacing w:after="0"/>
              <w:rPr>
                <w:sz w:val="19"/>
                <w:szCs w:val="19"/>
                <w:color w:val="auto"/>
              </w:rPr>
            </w:pPr>
          </w:p>
        </w:tc>
        <w:tc>
          <w:tcPr>
            <w:tcW w:w="1400" w:type="dxa"/>
            <w:vAlign w:val="bottom"/>
            <w:tcBorders>
              <w:bottom w:val="single" w:sz="8" w:color="307CC0"/>
            </w:tcBorders>
            <w:shd w:val="clear" w:color="auto" w:fill="D6E7FF"/>
          </w:tcPr>
          <w:p>
            <w:pPr>
              <w:spacing w:after="0"/>
              <w:rPr>
                <w:sz w:val="19"/>
                <w:szCs w:val="19"/>
                <w:color w:val="auto"/>
              </w:rPr>
            </w:pPr>
          </w:p>
        </w:tc>
        <w:tc>
          <w:tcPr>
            <w:tcW w:w="360" w:type="dxa"/>
            <w:vAlign w:val="bottom"/>
            <w:tcBorders>
              <w:bottom w:val="single" w:sz="8" w:color="307CC0"/>
            </w:tcBorders>
            <w:shd w:val="clear" w:color="auto" w:fill="D6E7FF"/>
          </w:tcPr>
          <w:p>
            <w:pPr>
              <w:spacing w:after="0"/>
              <w:rPr>
                <w:sz w:val="19"/>
                <w:szCs w:val="19"/>
                <w:color w:val="auto"/>
              </w:rPr>
            </w:pPr>
          </w:p>
        </w:tc>
        <w:tc>
          <w:tcPr>
            <w:tcW w:w="1420" w:type="dxa"/>
            <w:vAlign w:val="bottom"/>
            <w:tcBorders>
              <w:bottom w:val="single" w:sz="8" w:color="307CC0"/>
            </w:tcBorders>
            <w:shd w:val="clear" w:color="auto" w:fill="D6E7FF"/>
          </w:tcPr>
          <w:p>
            <w:pPr>
              <w:spacing w:after="0"/>
              <w:rPr>
                <w:sz w:val="19"/>
                <w:szCs w:val="19"/>
                <w:color w:val="auto"/>
              </w:rPr>
            </w:pPr>
          </w:p>
        </w:tc>
      </w:tr>
      <w:tr>
        <w:trPr>
          <w:trHeight w:val="181"/>
        </w:trPr>
        <w:tc>
          <w:tcPr>
            <w:tcW w:w="2880" w:type="dxa"/>
            <w:vAlign w:val="bottom"/>
            <w:shd w:val="clear" w:color="auto" w:fill="CCEEFF"/>
          </w:tcPr>
          <w:p>
            <w:pPr>
              <w:ind w:left="40"/>
              <w:spacing w:after="0" w:line="181" w:lineRule="exact"/>
              <w:rPr>
                <w:sz w:val="20"/>
                <w:szCs w:val="20"/>
                <w:color w:val="auto"/>
              </w:rPr>
            </w:pPr>
            <w:r>
              <w:rPr>
                <w:rFonts w:ascii="Arial" w:cs="Arial" w:eastAsia="Arial" w:hAnsi="Arial"/>
                <w:sz w:val="17"/>
                <w:szCs w:val="17"/>
                <w:color w:val="auto"/>
              </w:rPr>
              <w:t>Ms. Heather A. Humphrey</w:t>
            </w:r>
          </w:p>
        </w:tc>
        <w:tc>
          <w:tcPr>
            <w:tcW w:w="320" w:type="dxa"/>
            <w:vAlign w:val="bottom"/>
            <w:shd w:val="clear" w:color="auto" w:fill="CCEEFF"/>
          </w:tcPr>
          <w:p>
            <w:pPr>
              <w:jc w:val="right"/>
              <w:ind w:right="54"/>
              <w:spacing w:after="0" w:line="181"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20"/>
              <w:spacing w:after="0" w:line="181" w:lineRule="exact"/>
              <w:rPr>
                <w:sz w:val="20"/>
                <w:szCs w:val="20"/>
                <w:color w:val="auto"/>
              </w:rPr>
            </w:pPr>
            <w:r>
              <w:rPr>
                <w:rFonts w:ascii="Arial" w:cs="Arial" w:eastAsia="Arial" w:hAnsi="Arial"/>
                <w:sz w:val="17"/>
                <w:szCs w:val="17"/>
                <w:color w:val="auto"/>
              </w:rPr>
              <w:t>484,000</w:t>
            </w:r>
          </w:p>
        </w:tc>
        <w:tc>
          <w:tcPr>
            <w:tcW w:w="1720" w:type="dxa"/>
            <w:vAlign w:val="bottom"/>
            <w:shd w:val="clear" w:color="auto" w:fill="CCEEFF"/>
          </w:tcPr>
          <w:p>
            <w:pPr>
              <w:jc w:val="center"/>
              <w:ind w:right="3"/>
              <w:spacing w:after="0" w:line="181" w:lineRule="exact"/>
              <w:rPr>
                <w:sz w:val="20"/>
                <w:szCs w:val="20"/>
                <w:color w:val="auto"/>
              </w:rPr>
            </w:pPr>
            <w:r>
              <w:rPr>
                <w:rFonts w:ascii="Arial" w:cs="Arial" w:eastAsia="Arial" w:hAnsi="Arial"/>
                <w:sz w:val="17"/>
                <w:szCs w:val="17"/>
                <w:color w:val="auto"/>
              </w:rPr>
              <w:t>65%</w:t>
            </w:r>
          </w:p>
        </w:tc>
        <w:tc>
          <w:tcPr>
            <w:tcW w:w="1400" w:type="dxa"/>
            <w:vAlign w:val="bottom"/>
            <w:shd w:val="clear" w:color="auto" w:fill="CCEEFF"/>
          </w:tcPr>
          <w:p>
            <w:pPr>
              <w:jc w:val="right"/>
              <w:ind w:right="263"/>
              <w:spacing w:after="0" w:line="181" w:lineRule="exact"/>
              <w:rPr>
                <w:sz w:val="20"/>
                <w:szCs w:val="20"/>
                <w:color w:val="auto"/>
              </w:rPr>
            </w:pPr>
            <w:r>
              <w:rPr>
                <w:rFonts w:ascii="Arial" w:cs="Arial" w:eastAsia="Arial" w:hAnsi="Arial"/>
                <w:sz w:val="17"/>
                <w:szCs w:val="17"/>
                <w:color w:val="auto"/>
              </w:rPr>
              <w:t>121.5%</w:t>
            </w:r>
          </w:p>
        </w:tc>
        <w:tc>
          <w:tcPr>
            <w:tcW w:w="3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2"/>
              <w:spacing w:after="0" w:line="181" w:lineRule="exact"/>
              <w:rPr>
                <w:sz w:val="20"/>
                <w:szCs w:val="20"/>
                <w:color w:val="auto"/>
              </w:rPr>
            </w:pPr>
            <w:r>
              <w:rPr>
                <w:rFonts w:ascii="Arial" w:cs="Arial" w:eastAsia="Arial" w:hAnsi="Arial"/>
                <w:sz w:val="17"/>
                <w:szCs w:val="17"/>
                <w:color w:val="auto"/>
              </w:rPr>
              <w:t>382,239</w:t>
            </w:r>
          </w:p>
        </w:tc>
      </w:tr>
      <w:tr>
        <w:trPr>
          <w:trHeight w:val="194"/>
        </w:trPr>
        <w:tc>
          <w:tcPr>
            <w:tcW w:w="288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i w:val="1"/>
                <w:iCs w:val="1"/>
                <w:color w:val="auto"/>
              </w:rPr>
              <w:t>Senior Vice President, General</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6"/>
        </w:trPr>
        <w:tc>
          <w:tcPr>
            <w:tcW w:w="288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Counsel and Corporate Secretary</w:t>
            </w:r>
          </w:p>
        </w:tc>
        <w:tc>
          <w:tcPr>
            <w:tcW w:w="320" w:type="dxa"/>
            <w:vAlign w:val="bottom"/>
            <w:tcBorders>
              <w:bottom w:val="single" w:sz="8" w:color="307CC0"/>
            </w:tcBorders>
            <w:shd w:val="clear" w:color="auto" w:fill="CCEEFF"/>
          </w:tcPr>
          <w:p>
            <w:pPr>
              <w:spacing w:after="0"/>
              <w:rPr>
                <w:sz w:val="19"/>
                <w:szCs w:val="19"/>
                <w:color w:val="auto"/>
              </w:rPr>
            </w:pPr>
          </w:p>
        </w:tc>
        <w:tc>
          <w:tcPr>
            <w:tcW w:w="1060" w:type="dxa"/>
            <w:vAlign w:val="bottom"/>
            <w:tcBorders>
              <w:bottom w:val="single" w:sz="8" w:color="307CC0"/>
            </w:tcBorders>
            <w:shd w:val="clear" w:color="auto" w:fill="CCEEFF"/>
          </w:tcPr>
          <w:p>
            <w:pPr>
              <w:spacing w:after="0"/>
              <w:rPr>
                <w:sz w:val="19"/>
                <w:szCs w:val="19"/>
                <w:color w:val="auto"/>
              </w:rPr>
            </w:pPr>
          </w:p>
        </w:tc>
        <w:tc>
          <w:tcPr>
            <w:tcW w:w="1720" w:type="dxa"/>
            <w:vAlign w:val="bottom"/>
            <w:tcBorders>
              <w:bottom w:val="single" w:sz="8" w:color="307CC0"/>
            </w:tcBorders>
            <w:shd w:val="clear" w:color="auto" w:fill="CCEEFF"/>
          </w:tcPr>
          <w:p>
            <w:pPr>
              <w:spacing w:after="0"/>
              <w:rPr>
                <w:sz w:val="19"/>
                <w:szCs w:val="19"/>
                <w:color w:val="auto"/>
              </w:rPr>
            </w:pPr>
          </w:p>
        </w:tc>
        <w:tc>
          <w:tcPr>
            <w:tcW w:w="1400" w:type="dxa"/>
            <w:vAlign w:val="bottom"/>
            <w:tcBorders>
              <w:bottom w:val="single" w:sz="8" w:color="307CC0"/>
            </w:tcBorders>
            <w:shd w:val="clear" w:color="auto" w:fill="CCEEFF"/>
          </w:tcPr>
          <w:p>
            <w:pPr>
              <w:spacing w:after="0"/>
              <w:rPr>
                <w:sz w:val="19"/>
                <w:szCs w:val="19"/>
                <w:color w:val="auto"/>
              </w:rPr>
            </w:pPr>
          </w:p>
        </w:tc>
        <w:tc>
          <w:tcPr>
            <w:tcW w:w="360" w:type="dxa"/>
            <w:vAlign w:val="bottom"/>
            <w:tcBorders>
              <w:bottom w:val="single" w:sz="8" w:color="307CC0"/>
            </w:tcBorders>
            <w:shd w:val="clear" w:color="auto" w:fill="CCEEFF"/>
          </w:tcPr>
          <w:p>
            <w:pPr>
              <w:spacing w:after="0"/>
              <w:rPr>
                <w:sz w:val="19"/>
                <w:szCs w:val="19"/>
                <w:color w:val="auto"/>
              </w:rPr>
            </w:pPr>
          </w:p>
        </w:tc>
        <w:tc>
          <w:tcPr>
            <w:tcW w:w="1420" w:type="dxa"/>
            <w:vAlign w:val="bottom"/>
            <w:tcBorders>
              <w:bottom w:val="single" w:sz="8" w:color="307CC0"/>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-2099945</wp:posOffset>
            </wp:positionV>
            <wp:extent cx="5808980" cy="393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08980" cy="3937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-1311910</wp:posOffset>
            </wp:positionV>
            <wp:extent cx="5808980" cy="516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08980" cy="516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-401320</wp:posOffset>
            </wp:positionV>
            <wp:extent cx="5808980" cy="393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08980" cy="393700"/>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Discretionary Cash or Stock Awards</w:t>
      </w:r>
    </w:p>
    <w:p>
      <w:pPr>
        <w:spacing w:after="0" w:line="122" w:lineRule="exact"/>
        <w:rPr>
          <w:sz w:val="20"/>
          <w:szCs w:val="20"/>
          <w:color w:val="auto"/>
        </w:rPr>
      </w:pPr>
    </w:p>
    <w:p>
      <w:pPr>
        <w:jc w:val="both"/>
        <w:ind w:left="20" w:firstLine="172"/>
        <w:spacing w:after="0" w:line="269" w:lineRule="auto"/>
        <w:rPr>
          <w:sz w:val="20"/>
          <w:szCs w:val="20"/>
          <w:color w:val="auto"/>
        </w:rPr>
      </w:pPr>
      <w:r>
        <w:rPr>
          <w:rFonts w:ascii="Arial" w:cs="Arial" w:eastAsia="Arial" w:hAnsi="Arial"/>
          <w:sz w:val="17"/>
          <w:szCs w:val="17"/>
          <w:color w:val="auto"/>
        </w:rPr>
        <w:t>From time to time, the Committee may grant a discretionary cash or stock award to an NEO or other officer for special accomplishments or achievements. We did not provide discretionary cash or stock awards to our NEOs in 2019.</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General</w:t>
      </w:r>
    </w:p>
    <w:p>
      <w:pPr>
        <w:spacing w:after="0" w:line="120" w:lineRule="exact"/>
        <w:rPr>
          <w:sz w:val="20"/>
          <w:szCs w:val="20"/>
          <w:color w:val="auto"/>
        </w:rPr>
      </w:pPr>
    </w:p>
    <w:p>
      <w:pPr>
        <w:jc w:val="both"/>
        <w:ind w:left="20" w:firstLine="172"/>
        <w:spacing w:after="0" w:line="261" w:lineRule="auto"/>
        <w:rPr>
          <w:sz w:val="20"/>
          <w:szCs w:val="20"/>
          <w:color w:val="auto"/>
        </w:rPr>
      </w:pPr>
      <w:r>
        <w:rPr>
          <w:rFonts w:ascii="Arial" w:cs="Arial" w:eastAsia="Arial" w:hAnsi="Arial"/>
          <w:sz w:val="17"/>
          <w:szCs w:val="17"/>
          <w:color w:val="auto"/>
        </w:rPr>
        <w:t>The Committee approves long-term incentive compensation for our officers who are in positions to make positive contributions to our long-term performance and to create shareholder value. The Committee believes restricted share units accomplish our executive compensation program objectives because they:</w:t>
      </w:r>
    </w:p>
    <w:p>
      <w:pPr>
        <w:spacing w:after="0" w:line="86" w:lineRule="exact"/>
        <w:rPr>
          <w:sz w:val="20"/>
          <w:szCs w:val="20"/>
          <w:color w:val="auto"/>
        </w:rPr>
      </w:pPr>
    </w:p>
    <w:p>
      <w:pPr>
        <w:ind w:left="520" w:hanging="342"/>
        <w:spacing w:after="0"/>
        <w:tabs>
          <w:tab w:leader="none" w:pos="520" w:val="left"/>
        </w:tabs>
        <w:numPr>
          <w:ilvl w:val="0"/>
          <w:numId w:val="31"/>
        </w:numPr>
        <w:rPr>
          <w:rFonts w:ascii="Arial" w:cs="Arial" w:eastAsia="Arial" w:hAnsi="Arial"/>
          <w:sz w:val="17"/>
          <w:szCs w:val="17"/>
          <w:color w:val="307CC0"/>
        </w:rPr>
      </w:pPr>
      <w:r>
        <w:rPr>
          <w:rFonts w:ascii="Arial" w:cs="Arial" w:eastAsia="Arial" w:hAnsi="Arial"/>
          <w:sz w:val="17"/>
          <w:szCs w:val="17"/>
          <w:color w:val="auto"/>
        </w:rPr>
        <w:t>align the interests of management directly with those of our shareholders;</w:t>
      </w:r>
    </w:p>
    <w:p>
      <w:pPr>
        <w:spacing w:after="0" w:line="101" w:lineRule="exact"/>
        <w:rPr>
          <w:rFonts w:ascii="Arial" w:cs="Arial" w:eastAsia="Arial" w:hAnsi="Arial"/>
          <w:sz w:val="17"/>
          <w:szCs w:val="17"/>
          <w:color w:val="307CC0"/>
        </w:rPr>
      </w:pPr>
    </w:p>
    <w:p>
      <w:pPr>
        <w:ind w:left="520" w:hanging="342"/>
        <w:spacing w:after="0" w:line="253" w:lineRule="auto"/>
        <w:tabs>
          <w:tab w:leader="none" w:pos="520" w:val="left"/>
        </w:tabs>
        <w:numPr>
          <w:ilvl w:val="0"/>
          <w:numId w:val="31"/>
        </w:numPr>
        <w:rPr>
          <w:rFonts w:ascii="Arial" w:cs="Arial" w:eastAsia="Arial" w:hAnsi="Arial"/>
          <w:sz w:val="17"/>
          <w:szCs w:val="17"/>
          <w:color w:val="307CC0"/>
        </w:rPr>
      </w:pPr>
      <w:r>
        <w:rPr>
          <w:rFonts w:ascii="Arial" w:cs="Arial" w:eastAsia="Arial" w:hAnsi="Arial"/>
          <w:sz w:val="17"/>
          <w:szCs w:val="17"/>
          <w:color w:val="auto"/>
        </w:rPr>
        <w:t>focus management’s efforts on performance that will create long-term shareholder value and sustain increases in the price of our common stock and our ability to pay dividends;</w:t>
      </w:r>
    </w:p>
    <w:p>
      <w:pPr>
        <w:spacing w:after="0" w:line="78" w:lineRule="exact"/>
        <w:rPr>
          <w:rFonts w:ascii="Arial" w:cs="Arial" w:eastAsia="Arial" w:hAnsi="Arial"/>
          <w:sz w:val="17"/>
          <w:szCs w:val="17"/>
          <w:color w:val="307CC0"/>
        </w:rPr>
      </w:pPr>
    </w:p>
    <w:p>
      <w:pPr>
        <w:ind w:left="520" w:hanging="342"/>
        <w:spacing w:after="0"/>
        <w:tabs>
          <w:tab w:leader="none" w:pos="520" w:val="left"/>
        </w:tabs>
        <w:numPr>
          <w:ilvl w:val="0"/>
          <w:numId w:val="31"/>
        </w:numPr>
        <w:rPr>
          <w:rFonts w:ascii="Arial" w:cs="Arial" w:eastAsia="Arial" w:hAnsi="Arial"/>
          <w:sz w:val="17"/>
          <w:szCs w:val="17"/>
          <w:color w:val="307CC0"/>
        </w:rPr>
      </w:pPr>
      <w:r>
        <w:rPr>
          <w:rFonts w:ascii="Arial" w:cs="Arial" w:eastAsia="Arial" w:hAnsi="Arial"/>
          <w:sz w:val="17"/>
          <w:szCs w:val="17"/>
          <w:color w:val="auto"/>
        </w:rPr>
        <w:t>provide a competitive long-term incentive opportunity; and</w:t>
      </w:r>
    </w:p>
    <w:p>
      <w:pPr>
        <w:spacing w:after="0" w:line="101" w:lineRule="exact"/>
        <w:rPr>
          <w:rFonts w:ascii="Arial" w:cs="Arial" w:eastAsia="Arial" w:hAnsi="Arial"/>
          <w:sz w:val="17"/>
          <w:szCs w:val="17"/>
          <w:color w:val="307CC0"/>
        </w:rPr>
      </w:pPr>
    </w:p>
    <w:p>
      <w:pPr>
        <w:ind w:left="520" w:hanging="342"/>
        <w:spacing w:after="0" w:line="253" w:lineRule="auto"/>
        <w:tabs>
          <w:tab w:leader="none" w:pos="520" w:val="left"/>
        </w:tabs>
        <w:numPr>
          <w:ilvl w:val="0"/>
          <w:numId w:val="31"/>
        </w:numPr>
        <w:rPr>
          <w:rFonts w:ascii="Arial" w:cs="Arial" w:eastAsia="Arial" w:hAnsi="Arial"/>
          <w:sz w:val="17"/>
          <w:szCs w:val="17"/>
          <w:color w:val="307CC0"/>
        </w:rPr>
      </w:pPr>
      <w:r>
        <w:rPr>
          <w:rFonts w:ascii="Arial" w:cs="Arial" w:eastAsia="Arial" w:hAnsi="Arial"/>
          <w:sz w:val="17"/>
          <w:szCs w:val="17"/>
          <w:color w:val="auto"/>
        </w:rPr>
        <w:t>provide a retention incentive for key employees because the restricted share units vest over time and will be forfeited in whole or in part if an officer’s employment terminates prior to vesting.</w:t>
      </w:r>
    </w:p>
    <w:p>
      <w:pPr>
        <w:spacing w:after="0" w:line="79" w:lineRule="exact"/>
        <w:rPr>
          <w:sz w:val="20"/>
          <w:szCs w:val="20"/>
          <w:color w:val="auto"/>
        </w:rPr>
      </w:pPr>
    </w:p>
    <w:p>
      <w:pPr>
        <w:jc w:val="both"/>
        <w:ind w:left="20" w:firstLine="172"/>
        <w:spacing w:after="0" w:line="261" w:lineRule="auto"/>
        <w:rPr>
          <w:sz w:val="20"/>
          <w:szCs w:val="20"/>
          <w:color w:val="auto"/>
        </w:rPr>
      </w:pPr>
      <w:r>
        <w:rPr>
          <w:rFonts w:ascii="Arial" w:cs="Arial" w:eastAsia="Arial" w:hAnsi="Arial"/>
          <w:sz w:val="17"/>
          <w:szCs w:val="17"/>
          <w:color w:val="auto"/>
        </w:rPr>
        <w:t>Equity awards, which are made under our shareholder-approved LTIP, are generally targeted near the median range of awards granted to officers at our peer group companies. While our NEOs are eligible for equity awards under the LTIP, none of them have any right to be granted awards.</w:t>
      </w:r>
    </w:p>
    <w:p>
      <w:pPr>
        <w:spacing w:after="0" w:line="86"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The Committee grants equity incentives effective generally the first business day in March of each year and uses a mix of time-based restricted stock units and performance-based restricted stock units that are paid solely on the basis of the attainment of performance goals. Units generally “cliff” vest in three years from the respective dates of grant, subject to satisfaction of the award terms, such as continued employment through the vesting. Dividend equivalents on the number of performance-based units actually earned are paid in cash at the same time as the vesting of the earned performance-based units, if any. Dividends accrued on all time-based units are reinvested during the vesting period (and, in turn, forfeited if the time-based unit is forfeited), and are subject to the same restrictions as the associated restricted stock unit.</w:t>
      </w:r>
    </w:p>
    <w:p>
      <w:pPr>
        <w:spacing w:after="0" w:line="298"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Performance-based units can be earned at the end of the performance period from 0% to 200% of the target amount, depending on actual performance. Performance results for a goal that are below threshold will result in a zero payment for that goal. The performance period begins on January 1 of the grant year and ends on December 31 of the second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123190</wp:posOffset>
            </wp:positionV>
            <wp:extent cx="5808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8" w:lineRule="exact"/>
        <w:rPr>
          <w:sz w:val="20"/>
          <w:szCs w:val="20"/>
          <w:color w:val="auto"/>
        </w:rPr>
      </w:pPr>
    </w:p>
    <w:p>
      <w:pPr>
        <w:ind w:left="540"/>
        <w:spacing w:after="0"/>
        <w:tabs>
          <w:tab w:leader="none" w:pos="350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left="20"/>
        <w:spacing w:after="0" w:line="261" w:lineRule="auto"/>
        <w:rPr>
          <w:sz w:val="20"/>
          <w:szCs w:val="20"/>
          <w:color w:val="auto"/>
        </w:rPr>
      </w:pPr>
      <w:r>
        <w:rPr>
          <w:rFonts w:ascii="Arial" w:cs="Arial" w:eastAsia="Arial" w:hAnsi="Arial"/>
          <w:sz w:val="17"/>
          <w:szCs w:val="17"/>
          <w:color w:val="auto"/>
        </w:rPr>
        <w:t>following the grant year. Performace is measured on a calendar year basis to align with Evergy’s fiscal year. Accordingly, at the end of any given calendar year, the performance objective related to performance-based units may be satisfied, but the performance-based units will not vest, if at all, until the following March, subject to satisfaction of the award terms.</w:t>
      </w:r>
    </w:p>
    <w:p>
      <w:pPr>
        <w:spacing w:after="0" w:line="293"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The performance objective for 2019 performance-based restricted stock units was total shareholder return of Evergy relative to the companies included in the EEI index of electric utility companies over the applicable three-year period. Specific performance targets, as shown below, were set with interpolation between the targets. To appropriately balance actual performance against relative performance to the EEI index, any payout for the applicable period would be capped at target (100%) if actual total shareholder return performance was negative.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60" w:type="dxa"/>
            <w:vAlign w:val="bottom"/>
            <w:shd w:val="clear" w:color="auto" w:fill="307CC0"/>
          </w:tcPr>
          <w:p>
            <w:pPr>
              <w:spacing w:after="0"/>
              <w:rPr>
                <w:sz w:val="13"/>
                <w:szCs w:val="13"/>
                <w:color w:val="auto"/>
              </w:rPr>
            </w:pPr>
          </w:p>
        </w:tc>
        <w:tc>
          <w:tcPr>
            <w:tcW w:w="11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Weighting</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13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Target</w:t>
            </w:r>
          </w:p>
        </w:tc>
        <w:tc>
          <w:tcPr>
            <w:tcW w:w="13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Stretch</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Superior</w:t>
            </w:r>
          </w:p>
        </w:tc>
      </w:tr>
      <w:tr>
        <w:trPr>
          <w:trHeight w:val="185"/>
        </w:trPr>
        <w:tc>
          <w:tcPr>
            <w:tcW w:w="286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Performance Share Objective</w:t>
            </w:r>
          </w:p>
        </w:tc>
        <w:tc>
          <w:tcPr>
            <w:tcW w:w="11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(Percent)</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7"/>
              </w:rPr>
              <w:t>(50%)</w:t>
            </w:r>
          </w:p>
        </w:tc>
        <w:tc>
          <w:tcPr>
            <w:tcW w:w="13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(100%)</w:t>
            </w:r>
          </w:p>
        </w:tc>
        <w:tc>
          <w:tcPr>
            <w:tcW w:w="13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5"/>
              </w:rPr>
              <w:t>(150%)</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(200%)</w:t>
            </w:r>
          </w:p>
        </w:tc>
      </w:tr>
      <w:tr>
        <w:trPr>
          <w:trHeight w:val="206"/>
        </w:trPr>
        <w:tc>
          <w:tcPr>
            <w:tcW w:w="2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Three Year TSR versus EEI Index</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100%</w:t>
            </w:r>
          </w:p>
        </w:tc>
        <w:tc>
          <w:tcPr>
            <w:tcW w:w="1280" w:type="dxa"/>
            <w:vAlign w:val="bottom"/>
            <w:shd w:val="clear" w:color="auto" w:fill="CCEEFF"/>
          </w:tcPr>
          <w:p>
            <w:pPr>
              <w:jc w:val="center"/>
              <w:spacing w:after="0" w:line="205" w:lineRule="exact"/>
              <w:rPr>
                <w:sz w:val="20"/>
                <w:szCs w:val="20"/>
                <w:color w:val="auto"/>
              </w:rPr>
            </w:pPr>
            <w:r>
              <w:rPr>
                <w:rFonts w:ascii="Arial" w:cs="Arial" w:eastAsia="Arial" w:hAnsi="Arial"/>
                <w:sz w:val="15"/>
                <w:szCs w:val="15"/>
                <w:color w:val="auto"/>
              </w:rPr>
              <w:t>30</w:t>
            </w:r>
            <w:r>
              <w:rPr>
                <w:rFonts w:ascii="Arial" w:cs="Arial" w:eastAsia="Arial" w:hAnsi="Arial"/>
                <w:sz w:val="23"/>
                <w:szCs w:val="23"/>
                <w:color w:val="auto"/>
                <w:vertAlign w:val="superscript"/>
              </w:rPr>
              <w:t>th</w:t>
            </w:r>
          </w:p>
        </w:tc>
        <w:tc>
          <w:tcPr>
            <w:tcW w:w="1300" w:type="dxa"/>
            <w:vAlign w:val="bottom"/>
            <w:shd w:val="clear" w:color="auto" w:fill="CCEEFF"/>
          </w:tcPr>
          <w:p>
            <w:pPr>
              <w:jc w:val="center"/>
              <w:spacing w:after="0" w:line="205" w:lineRule="exact"/>
              <w:rPr>
                <w:sz w:val="20"/>
                <w:szCs w:val="20"/>
                <w:color w:val="auto"/>
              </w:rPr>
            </w:pPr>
            <w:r>
              <w:rPr>
                <w:rFonts w:ascii="Arial" w:cs="Arial" w:eastAsia="Arial" w:hAnsi="Arial"/>
                <w:sz w:val="15"/>
                <w:szCs w:val="15"/>
                <w:color w:val="auto"/>
              </w:rPr>
              <w:t>50</w:t>
            </w:r>
            <w:r>
              <w:rPr>
                <w:rFonts w:ascii="Arial" w:cs="Arial" w:eastAsia="Arial" w:hAnsi="Arial"/>
                <w:sz w:val="23"/>
                <w:szCs w:val="23"/>
                <w:color w:val="auto"/>
                <w:vertAlign w:val="superscript"/>
              </w:rPr>
              <w:t>th</w:t>
            </w:r>
          </w:p>
        </w:tc>
        <w:tc>
          <w:tcPr>
            <w:tcW w:w="1320" w:type="dxa"/>
            <w:vAlign w:val="bottom"/>
            <w:shd w:val="clear" w:color="auto" w:fill="CCEEFF"/>
          </w:tcPr>
          <w:p>
            <w:pPr>
              <w:jc w:val="center"/>
              <w:spacing w:after="0" w:line="205" w:lineRule="exact"/>
              <w:rPr>
                <w:sz w:val="20"/>
                <w:szCs w:val="20"/>
                <w:color w:val="auto"/>
              </w:rPr>
            </w:pPr>
            <w:r>
              <w:rPr>
                <w:rFonts w:ascii="Arial" w:cs="Arial" w:eastAsia="Arial" w:hAnsi="Arial"/>
                <w:sz w:val="15"/>
                <w:szCs w:val="15"/>
                <w:color w:val="auto"/>
              </w:rPr>
              <w:t>70</w:t>
            </w:r>
            <w:r>
              <w:rPr>
                <w:rFonts w:ascii="Arial" w:cs="Arial" w:eastAsia="Arial" w:hAnsi="Arial"/>
                <w:sz w:val="23"/>
                <w:szCs w:val="23"/>
                <w:color w:val="auto"/>
                <w:vertAlign w:val="superscript"/>
              </w:rPr>
              <w:t>th</w:t>
            </w:r>
          </w:p>
        </w:tc>
        <w:tc>
          <w:tcPr>
            <w:tcW w:w="1280" w:type="dxa"/>
            <w:vAlign w:val="bottom"/>
            <w:shd w:val="clear" w:color="auto" w:fill="CCEEFF"/>
          </w:tcPr>
          <w:p>
            <w:pPr>
              <w:jc w:val="center"/>
              <w:spacing w:after="0" w:line="205" w:lineRule="exact"/>
              <w:rPr>
                <w:sz w:val="20"/>
                <w:szCs w:val="20"/>
                <w:color w:val="auto"/>
              </w:rPr>
            </w:pPr>
            <w:r>
              <w:rPr>
                <w:rFonts w:ascii="Arial" w:cs="Arial" w:eastAsia="Arial" w:hAnsi="Arial"/>
                <w:sz w:val="15"/>
                <w:szCs w:val="15"/>
                <w:color w:val="auto"/>
              </w:rPr>
              <w:t>90</w:t>
            </w:r>
            <w:r>
              <w:rPr>
                <w:rFonts w:ascii="Arial" w:cs="Arial" w:eastAsia="Arial" w:hAnsi="Arial"/>
                <w:sz w:val="23"/>
                <w:szCs w:val="23"/>
                <w:color w:val="auto"/>
                <w:vertAlign w:val="superscript"/>
              </w:rPr>
              <w:t>th</w:t>
            </w:r>
          </w:p>
        </w:tc>
      </w:tr>
      <w:tr>
        <w:trPr>
          <w:trHeight w:val="208"/>
        </w:trPr>
        <w:tc>
          <w:tcPr>
            <w:tcW w:w="2860" w:type="dxa"/>
            <w:vAlign w:val="bottom"/>
            <w:tcBorders>
              <w:bottom w:val="single" w:sz="8" w:color="307CC0"/>
            </w:tcBorders>
            <w:shd w:val="clear" w:color="auto" w:fill="CCEEFF"/>
          </w:tcPr>
          <w:p>
            <w:pPr>
              <w:spacing w:after="0"/>
              <w:rPr>
                <w:sz w:val="18"/>
                <w:szCs w:val="18"/>
                <w:color w:val="auto"/>
              </w:rPr>
            </w:pPr>
          </w:p>
        </w:tc>
        <w:tc>
          <w:tcPr>
            <w:tcW w:w="1120" w:type="dxa"/>
            <w:vAlign w:val="bottom"/>
            <w:tcBorders>
              <w:bottom w:val="single" w:sz="8" w:color="307CC0"/>
            </w:tcBorders>
            <w:shd w:val="clear" w:color="auto" w:fill="CCEEFF"/>
          </w:tcPr>
          <w:p>
            <w:pPr>
              <w:spacing w:after="0"/>
              <w:rPr>
                <w:sz w:val="18"/>
                <w:szCs w:val="18"/>
                <w:color w:val="auto"/>
              </w:rPr>
            </w:pPr>
          </w:p>
        </w:tc>
        <w:tc>
          <w:tcPr>
            <w:tcW w:w="12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Percentile</w:t>
            </w:r>
          </w:p>
        </w:tc>
        <w:tc>
          <w:tcPr>
            <w:tcW w:w="130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Percentile</w:t>
            </w:r>
          </w:p>
        </w:tc>
        <w:tc>
          <w:tcPr>
            <w:tcW w:w="13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Percentile</w:t>
            </w:r>
          </w:p>
        </w:tc>
        <w:tc>
          <w:tcPr>
            <w:tcW w:w="12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Percentile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-278130</wp:posOffset>
            </wp:positionV>
            <wp:extent cx="5808980" cy="270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08980" cy="270510"/>
                    </a:xfrm>
                    <a:prstGeom prst="rect">
                      <a:avLst/>
                    </a:prstGeom>
                    <a:noFill/>
                  </pic:spPr>
                </pic:pic>
              </a:graphicData>
            </a:graphic>
          </wp:anchor>
        </w:drawing>
      </w:r>
    </w:p>
    <w:p>
      <w:pPr>
        <w:spacing w:after="0" w:line="83"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Targets and equity incentives granted to each NEO in 2019 are shown below. For 2019, 25% of the named executive officers’ long-term incentive was in the form of time-based restricted share units and, to incentivize performance and align the named executive officers’ interests with those of shareholders, 75% was in the form of performance-based restricted share units.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20" w:type="dxa"/>
            <w:vAlign w:val="bottom"/>
            <w:shd w:val="clear" w:color="auto" w:fill="307CC0"/>
          </w:tcPr>
          <w:p>
            <w:pPr>
              <w:spacing w:after="0"/>
              <w:rPr>
                <w:sz w:val="13"/>
                <w:szCs w:val="13"/>
                <w:color w:val="auto"/>
              </w:rPr>
            </w:pPr>
          </w:p>
        </w:tc>
        <w:tc>
          <w:tcPr>
            <w:tcW w:w="960" w:type="dxa"/>
            <w:vAlign w:val="bottom"/>
            <w:shd w:val="clear" w:color="auto" w:fill="307CC0"/>
          </w:tcPr>
          <w:p>
            <w:pPr>
              <w:spacing w:after="0"/>
              <w:rPr>
                <w:sz w:val="13"/>
                <w:szCs w:val="13"/>
                <w:color w:val="auto"/>
              </w:rPr>
            </w:pPr>
          </w:p>
        </w:tc>
        <w:tc>
          <w:tcPr>
            <w:tcW w:w="200" w:type="dxa"/>
            <w:vAlign w:val="bottom"/>
            <w:shd w:val="clear" w:color="auto" w:fill="307CC0"/>
          </w:tcPr>
          <w:p>
            <w:pPr>
              <w:spacing w:after="0"/>
              <w:rPr>
                <w:sz w:val="13"/>
                <w:szCs w:val="13"/>
                <w:color w:val="auto"/>
              </w:rPr>
            </w:pPr>
          </w:p>
        </w:tc>
        <w:tc>
          <w:tcPr>
            <w:tcW w:w="880" w:type="dxa"/>
            <w:vAlign w:val="bottom"/>
            <w:shd w:val="clear" w:color="auto" w:fill="307CC0"/>
          </w:tcPr>
          <w:p>
            <w:pPr>
              <w:spacing w:after="0"/>
              <w:rPr>
                <w:sz w:val="13"/>
                <w:szCs w:val="13"/>
                <w:color w:val="auto"/>
              </w:rPr>
            </w:pPr>
          </w:p>
        </w:tc>
        <w:tc>
          <w:tcPr>
            <w:tcW w:w="180" w:type="dxa"/>
            <w:vAlign w:val="bottom"/>
            <w:shd w:val="clear" w:color="auto" w:fill="307CC0"/>
          </w:tcPr>
          <w:p>
            <w:pPr>
              <w:spacing w:after="0"/>
              <w:rPr>
                <w:sz w:val="13"/>
                <w:szCs w:val="13"/>
                <w:color w:val="auto"/>
              </w:rPr>
            </w:pPr>
          </w:p>
        </w:tc>
        <w:tc>
          <w:tcPr>
            <w:tcW w:w="840" w:type="dxa"/>
            <w:vAlign w:val="bottom"/>
            <w:shd w:val="clear" w:color="auto" w:fill="307CC0"/>
          </w:tcPr>
          <w:p>
            <w:pPr>
              <w:spacing w:after="0"/>
              <w:rPr>
                <w:sz w:val="13"/>
                <w:szCs w:val="13"/>
                <w:color w:val="auto"/>
              </w:rPr>
            </w:pPr>
          </w:p>
        </w:tc>
        <w:tc>
          <w:tcPr>
            <w:tcW w:w="780" w:type="dxa"/>
            <w:vAlign w:val="bottom"/>
            <w:shd w:val="clear" w:color="auto" w:fill="307CC0"/>
          </w:tcPr>
          <w:p>
            <w:pPr>
              <w:spacing w:after="0"/>
              <w:rPr>
                <w:sz w:val="13"/>
                <w:szCs w:val="13"/>
                <w:color w:val="auto"/>
              </w:rPr>
            </w:pPr>
          </w:p>
        </w:tc>
        <w:tc>
          <w:tcPr>
            <w:tcW w:w="2200" w:type="dxa"/>
            <w:vAlign w:val="bottom"/>
            <w:gridSpan w:val="3"/>
            <w:shd w:val="clear" w:color="auto" w:fill="307CC0"/>
          </w:tcPr>
          <w:p>
            <w:pPr>
              <w:jc w:val="right"/>
              <w:ind w:right="37"/>
              <w:spacing w:after="0"/>
              <w:rPr>
                <w:sz w:val="20"/>
                <w:szCs w:val="20"/>
                <w:color w:val="auto"/>
              </w:rPr>
            </w:pPr>
            <w:r>
              <w:rPr>
                <w:rFonts w:ascii="Arial" w:cs="Arial" w:eastAsia="Arial" w:hAnsi="Arial"/>
                <w:sz w:val="13"/>
                <w:szCs w:val="13"/>
                <w:b w:val="1"/>
                <w:bCs w:val="1"/>
                <w:color w:val="FFFFFF"/>
              </w:rPr>
              <w:t>2019 Performance-Based RSUs</w:t>
            </w:r>
          </w:p>
        </w:tc>
      </w:tr>
      <w:tr>
        <w:trPr>
          <w:trHeight w:val="171"/>
        </w:trPr>
        <w:tc>
          <w:tcPr>
            <w:tcW w:w="3120" w:type="dxa"/>
            <w:vAlign w:val="bottom"/>
            <w:shd w:val="clear" w:color="auto" w:fill="307CC0"/>
          </w:tcPr>
          <w:p>
            <w:pPr>
              <w:spacing w:after="0"/>
              <w:rPr>
                <w:sz w:val="14"/>
                <w:szCs w:val="14"/>
                <w:color w:val="auto"/>
              </w:rPr>
            </w:pPr>
          </w:p>
        </w:tc>
        <w:tc>
          <w:tcPr>
            <w:tcW w:w="2040" w:type="dxa"/>
            <w:vAlign w:val="bottom"/>
            <w:gridSpan w:val="3"/>
            <w:shd w:val="clear" w:color="auto" w:fill="307CC0"/>
          </w:tcPr>
          <w:p>
            <w:pPr>
              <w:jc w:val="right"/>
              <w:ind w:right="237"/>
              <w:spacing w:after="0"/>
              <w:rPr>
                <w:sz w:val="20"/>
                <w:szCs w:val="20"/>
                <w:color w:val="auto"/>
              </w:rPr>
            </w:pPr>
            <w:r>
              <w:rPr>
                <w:rFonts w:ascii="Arial" w:cs="Arial" w:eastAsia="Arial" w:hAnsi="Arial"/>
                <w:sz w:val="13"/>
                <w:szCs w:val="13"/>
                <w:b w:val="1"/>
                <w:bCs w:val="1"/>
                <w:color w:val="FFFFFF"/>
              </w:rPr>
              <w:t>2019 Equity Incentives</w:t>
            </w:r>
          </w:p>
        </w:tc>
        <w:tc>
          <w:tcPr>
            <w:tcW w:w="180" w:type="dxa"/>
            <w:vAlign w:val="bottom"/>
            <w:shd w:val="clear" w:color="auto" w:fill="307CC0"/>
          </w:tcPr>
          <w:p>
            <w:pPr>
              <w:spacing w:after="0"/>
              <w:rPr>
                <w:sz w:val="14"/>
                <w:szCs w:val="14"/>
                <w:color w:val="auto"/>
              </w:rPr>
            </w:pPr>
          </w:p>
        </w:tc>
        <w:tc>
          <w:tcPr>
            <w:tcW w:w="1620" w:type="dxa"/>
            <w:vAlign w:val="bottom"/>
            <w:gridSpan w:val="2"/>
            <w:shd w:val="clear" w:color="auto" w:fill="307CC0"/>
          </w:tcPr>
          <w:p>
            <w:pPr>
              <w:spacing w:after="0"/>
              <w:rPr>
                <w:sz w:val="20"/>
                <w:szCs w:val="20"/>
                <w:color w:val="auto"/>
              </w:rPr>
            </w:pPr>
            <w:r>
              <w:rPr>
                <w:rFonts w:ascii="Arial" w:cs="Arial" w:eastAsia="Arial" w:hAnsi="Arial"/>
                <w:sz w:val="13"/>
                <w:szCs w:val="13"/>
                <w:b w:val="1"/>
                <w:bCs w:val="1"/>
                <w:color w:val="FFFFFF"/>
              </w:rPr>
              <w:t>2019 Time-Based RSUs</w:t>
            </w:r>
          </w:p>
        </w:tc>
        <w:tc>
          <w:tcPr>
            <w:tcW w:w="300" w:type="dxa"/>
            <w:vAlign w:val="bottom"/>
            <w:shd w:val="clear" w:color="auto" w:fill="307CC0"/>
          </w:tcPr>
          <w:p>
            <w:pPr>
              <w:spacing w:after="0"/>
              <w:rPr>
                <w:sz w:val="14"/>
                <w:szCs w:val="14"/>
                <w:color w:val="auto"/>
              </w:rPr>
            </w:pPr>
          </w:p>
        </w:tc>
        <w:tc>
          <w:tcPr>
            <w:tcW w:w="1120" w:type="dxa"/>
            <w:vAlign w:val="bottom"/>
            <w:shd w:val="clear" w:color="auto" w:fill="307CC0"/>
          </w:tcPr>
          <w:p>
            <w:pPr>
              <w:jc w:val="right"/>
              <w:spacing w:after="0"/>
              <w:rPr>
                <w:sz w:val="20"/>
                <w:szCs w:val="20"/>
                <w:color w:val="auto"/>
              </w:rPr>
            </w:pPr>
            <w:r>
              <w:rPr>
                <w:rFonts w:ascii="Arial" w:cs="Arial" w:eastAsia="Arial" w:hAnsi="Arial"/>
                <w:sz w:val="13"/>
                <w:szCs w:val="13"/>
                <w:b w:val="1"/>
                <w:bCs w:val="1"/>
                <w:color w:val="FFFFFF"/>
              </w:rPr>
              <w:t>(Target)</w:t>
            </w:r>
          </w:p>
        </w:tc>
        <w:tc>
          <w:tcPr>
            <w:tcW w:w="780" w:type="dxa"/>
            <w:vAlign w:val="bottom"/>
            <w:shd w:val="clear" w:color="auto" w:fill="307CC0"/>
          </w:tcPr>
          <w:p>
            <w:pPr>
              <w:spacing w:after="0"/>
              <w:rPr>
                <w:sz w:val="14"/>
                <w:szCs w:val="14"/>
                <w:color w:val="auto"/>
              </w:rPr>
            </w:pPr>
          </w:p>
        </w:tc>
      </w:tr>
      <w:tr>
        <w:trPr>
          <w:trHeight w:val="195"/>
        </w:trPr>
        <w:tc>
          <w:tcPr>
            <w:tcW w:w="312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960" w:type="dxa"/>
            <w:vAlign w:val="bottom"/>
            <w:shd w:val="clear" w:color="auto" w:fill="307CC0"/>
          </w:tcPr>
          <w:p>
            <w:pPr>
              <w:jc w:val="right"/>
              <w:ind w:right="60"/>
              <w:spacing w:after="0"/>
              <w:rPr>
                <w:sz w:val="20"/>
                <w:szCs w:val="20"/>
                <w:color w:val="auto"/>
              </w:rPr>
            </w:pPr>
            <w:r>
              <w:rPr>
                <w:rFonts w:ascii="Arial" w:cs="Arial" w:eastAsia="Arial" w:hAnsi="Arial"/>
                <w:sz w:val="13"/>
                <w:szCs w:val="13"/>
                <w:b w:val="1"/>
                <w:bCs w:val="1"/>
                <w:color w:val="FFFFFF"/>
              </w:rPr>
              <w:t>% of Salary</w:t>
            </w:r>
          </w:p>
        </w:tc>
        <w:tc>
          <w:tcPr>
            <w:tcW w:w="200" w:type="dxa"/>
            <w:vAlign w:val="bottom"/>
            <w:shd w:val="clear" w:color="auto" w:fill="307CC0"/>
          </w:tcPr>
          <w:p>
            <w:pPr>
              <w:spacing w:after="0"/>
              <w:rPr>
                <w:sz w:val="16"/>
                <w:szCs w:val="16"/>
                <w:color w:val="auto"/>
              </w:rPr>
            </w:pPr>
          </w:p>
        </w:tc>
        <w:tc>
          <w:tcPr>
            <w:tcW w:w="880" w:type="dxa"/>
            <w:vAlign w:val="bottom"/>
            <w:shd w:val="clear" w:color="auto" w:fill="307CC0"/>
          </w:tcPr>
          <w:p>
            <w:pPr>
              <w:jc w:val="right"/>
              <w:ind w:right="237"/>
              <w:spacing w:after="0"/>
              <w:rPr>
                <w:sz w:val="20"/>
                <w:szCs w:val="20"/>
                <w:color w:val="auto"/>
              </w:rPr>
            </w:pPr>
            <w:r>
              <w:rPr>
                <w:rFonts w:ascii="Arial" w:cs="Arial" w:eastAsia="Arial" w:hAnsi="Arial"/>
                <w:sz w:val="13"/>
                <w:szCs w:val="13"/>
                <w:b w:val="1"/>
                <w:bCs w:val="1"/>
                <w:color w:val="FFFFFF"/>
              </w:rPr>
              <w:t>Dollars</w:t>
            </w:r>
          </w:p>
        </w:tc>
        <w:tc>
          <w:tcPr>
            <w:tcW w:w="180" w:type="dxa"/>
            <w:vAlign w:val="bottom"/>
            <w:shd w:val="clear" w:color="auto" w:fill="307CC0"/>
          </w:tcPr>
          <w:p>
            <w:pPr>
              <w:spacing w:after="0"/>
              <w:rPr>
                <w:sz w:val="16"/>
                <w:szCs w:val="16"/>
                <w:color w:val="auto"/>
              </w:rPr>
            </w:pPr>
          </w:p>
        </w:tc>
        <w:tc>
          <w:tcPr>
            <w:tcW w:w="840" w:type="dxa"/>
            <w:vAlign w:val="bottom"/>
            <w:shd w:val="clear" w:color="auto" w:fill="307CC0"/>
          </w:tcPr>
          <w:p>
            <w:pPr>
              <w:ind w:left="100"/>
              <w:spacing w:after="0"/>
              <w:rPr>
                <w:sz w:val="20"/>
                <w:szCs w:val="20"/>
                <w:color w:val="auto"/>
              </w:rPr>
            </w:pPr>
            <w:r>
              <w:rPr>
                <w:rFonts w:ascii="Arial" w:cs="Arial" w:eastAsia="Arial" w:hAnsi="Arial"/>
                <w:sz w:val="13"/>
                <w:szCs w:val="13"/>
                <w:b w:val="1"/>
                <w:bCs w:val="1"/>
                <w:color w:val="FFFFFF"/>
              </w:rPr>
              <w:t>Dollars</w:t>
            </w:r>
          </w:p>
        </w:tc>
        <w:tc>
          <w:tcPr>
            <w:tcW w:w="780" w:type="dxa"/>
            <w:vAlign w:val="bottom"/>
            <w:shd w:val="clear" w:color="auto" w:fill="307CC0"/>
          </w:tcPr>
          <w:p>
            <w:pPr>
              <w:jc w:val="right"/>
              <w:ind w:right="57"/>
              <w:spacing w:after="0"/>
              <w:rPr>
                <w:sz w:val="20"/>
                <w:szCs w:val="20"/>
                <w:color w:val="auto"/>
              </w:rPr>
            </w:pPr>
            <w:r>
              <w:rPr>
                <w:rFonts w:ascii="Arial" w:cs="Arial" w:eastAsia="Arial" w:hAnsi="Arial"/>
                <w:sz w:val="13"/>
                <w:szCs w:val="13"/>
                <w:b w:val="1"/>
                <w:bCs w:val="1"/>
                <w:color w:val="FFFFFF"/>
              </w:rPr>
              <w:t>Units (1)</w:t>
            </w:r>
          </w:p>
        </w:tc>
        <w:tc>
          <w:tcPr>
            <w:tcW w:w="300" w:type="dxa"/>
            <w:vAlign w:val="bottom"/>
            <w:shd w:val="clear" w:color="auto" w:fill="307CC0"/>
          </w:tcPr>
          <w:p>
            <w:pPr>
              <w:spacing w:after="0"/>
              <w:rPr>
                <w:sz w:val="16"/>
                <w:szCs w:val="16"/>
                <w:color w:val="auto"/>
              </w:rPr>
            </w:pPr>
          </w:p>
        </w:tc>
        <w:tc>
          <w:tcPr>
            <w:tcW w:w="1120" w:type="dxa"/>
            <w:vAlign w:val="bottom"/>
            <w:shd w:val="clear" w:color="auto" w:fill="307CC0"/>
          </w:tcPr>
          <w:p>
            <w:pPr>
              <w:jc w:val="right"/>
              <w:ind w:right="480"/>
              <w:spacing w:after="0"/>
              <w:rPr>
                <w:sz w:val="20"/>
                <w:szCs w:val="20"/>
                <w:color w:val="auto"/>
              </w:rPr>
            </w:pPr>
            <w:r>
              <w:rPr>
                <w:rFonts w:ascii="Arial" w:cs="Arial" w:eastAsia="Arial" w:hAnsi="Arial"/>
                <w:sz w:val="13"/>
                <w:szCs w:val="13"/>
                <w:b w:val="1"/>
                <w:bCs w:val="1"/>
                <w:color w:val="FFFFFF"/>
              </w:rPr>
              <w:t>Dollars</w:t>
            </w:r>
          </w:p>
        </w:tc>
        <w:tc>
          <w:tcPr>
            <w:tcW w:w="780" w:type="dxa"/>
            <w:vAlign w:val="bottom"/>
            <w:shd w:val="clear" w:color="auto" w:fill="307CC0"/>
          </w:tcPr>
          <w:p>
            <w:pPr>
              <w:jc w:val="right"/>
              <w:ind w:right="97"/>
              <w:spacing w:after="0"/>
              <w:rPr>
                <w:sz w:val="20"/>
                <w:szCs w:val="20"/>
                <w:color w:val="auto"/>
              </w:rPr>
            </w:pPr>
            <w:r>
              <w:rPr>
                <w:rFonts w:ascii="Arial" w:cs="Arial" w:eastAsia="Arial" w:hAnsi="Arial"/>
                <w:sz w:val="13"/>
                <w:szCs w:val="13"/>
                <w:b w:val="1"/>
                <w:bCs w:val="1"/>
                <w:color w:val="FFFFFF"/>
              </w:rPr>
              <w:t>Units (1)</w:t>
            </w:r>
          </w:p>
        </w:tc>
      </w:tr>
      <w:tr>
        <w:trPr>
          <w:trHeight w:val="220"/>
        </w:trPr>
        <w:tc>
          <w:tcPr>
            <w:tcW w:w="31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Mr. Bassham</w:t>
            </w:r>
          </w:p>
        </w:tc>
        <w:tc>
          <w:tcPr>
            <w:tcW w:w="9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20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3,800,000</w:t>
            </w:r>
          </w:p>
        </w:tc>
        <w:tc>
          <w:tcPr>
            <w:tcW w:w="1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CCEEFF"/>
          </w:tcPr>
          <w:p>
            <w:pPr>
              <w:ind w:left="100"/>
              <w:spacing w:after="0"/>
              <w:rPr>
                <w:sz w:val="20"/>
                <w:szCs w:val="20"/>
                <w:color w:val="auto"/>
              </w:rPr>
            </w:pPr>
            <w:r>
              <w:rPr>
                <w:rFonts w:ascii="Arial" w:cs="Arial" w:eastAsia="Arial" w:hAnsi="Arial"/>
                <w:sz w:val="17"/>
                <w:szCs w:val="17"/>
                <w:color w:val="auto"/>
              </w:rPr>
              <w:t>950,000</w:t>
            </w:r>
          </w:p>
        </w:tc>
        <w:tc>
          <w:tcPr>
            <w:tcW w:w="7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16,501</w:t>
            </w:r>
          </w:p>
        </w:tc>
        <w:tc>
          <w:tcPr>
            <w:tcW w:w="30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307CC0"/>
            </w:tcBorders>
            <w:shd w:val="clear" w:color="auto" w:fill="CCEEFF"/>
          </w:tcPr>
          <w:p>
            <w:pPr>
              <w:jc w:val="right"/>
              <w:ind w:right="140"/>
              <w:spacing w:after="0"/>
              <w:rPr>
                <w:sz w:val="20"/>
                <w:szCs w:val="20"/>
                <w:color w:val="auto"/>
              </w:rPr>
            </w:pPr>
            <w:r>
              <w:rPr>
                <w:rFonts w:ascii="Arial" w:cs="Arial" w:eastAsia="Arial" w:hAnsi="Arial"/>
                <w:sz w:val="17"/>
                <w:szCs w:val="17"/>
                <w:color w:val="auto"/>
              </w:rPr>
              <w:t>2,850,000</w:t>
            </w:r>
          </w:p>
        </w:tc>
        <w:tc>
          <w:tcPr>
            <w:tcW w:w="78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49,502</w:t>
            </w:r>
          </w:p>
        </w:tc>
      </w:tr>
      <w:tr>
        <w:trPr>
          <w:trHeight w:val="213"/>
        </w:trPr>
        <w:tc>
          <w:tcPr>
            <w:tcW w:w="312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Mr. Bryant</w:t>
            </w:r>
          </w:p>
        </w:tc>
        <w:tc>
          <w:tcPr>
            <w:tcW w:w="9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150%</w:t>
            </w:r>
          </w:p>
        </w:tc>
        <w:tc>
          <w:tcPr>
            <w:tcW w:w="20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780,000</w:t>
            </w:r>
          </w:p>
        </w:tc>
        <w:tc>
          <w:tcPr>
            <w:tcW w:w="1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D6E7FF"/>
          </w:tcPr>
          <w:p>
            <w:pPr>
              <w:ind w:left="100"/>
              <w:spacing w:after="0"/>
              <w:rPr>
                <w:sz w:val="20"/>
                <w:szCs w:val="20"/>
                <w:color w:val="auto"/>
              </w:rPr>
            </w:pPr>
            <w:r>
              <w:rPr>
                <w:rFonts w:ascii="Arial" w:cs="Arial" w:eastAsia="Arial" w:hAnsi="Arial"/>
                <w:sz w:val="17"/>
                <w:szCs w:val="17"/>
                <w:color w:val="auto"/>
              </w:rPr>
              <w:t>195,000</w:t>
            </w:r>
          </w:p>
        </w:tc>
        <w:tc>
          <w:tcPr>
            <w:tcW w:w="7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3,387</w:t>
            </w:r>
          </w:p>
        </w:tc>
        <w:tc>
          <w:tcPr>
            <w:tcW w:w="30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307CC0"/>
            </w:tcBorders>
            <w:shd w:val="clear" w:color="auto" w:fill="D6E7FF"/>
          </w:tcPr>
          <w:p>
            <w:pPr>
              <w:jc w:val="right"/>
              <w:ind w:right="140"/>
              <w:spacing w:after="0"/>
              <w:rPr>
                <w:sz w:val="20"/>
                <w:szCs w:val="20"/>
                <w:color w:val="auto"/>
              </w:rPr>
            </w:pPr>
            <w:r>
              <w:rPr>
                <w:rFonts w:ascii="Arial" w:cs="Arial" w:eastAsia="Arial" w:hAnsi="Arial"/>
                <w:sz w:val="17"/>
                <w:szCs w:val="17"/>
                <w:color w:val="auto"/>
              </w:rPr>
              <w:t>585,000</w:t>
            </w:r>
          </w:p>
        </w:tc>
        <w:tc>
          <w:tcPr>
            <w:tcW w:w="78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10,161</w:t>
            </w:r>
          </w:p>
        </w:tc>
      </w:tr>
      <w:tr>
        <w:trPr>
          <w:trHeight w:val="213"/>
        </w:trPr>
        <w:tc>
          <w:tcPr>
            <w:tcW w:w="31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Mr. Greenwood</w:t>
            </w:r>
          </w:p>
        </w:tc>
        <w:tc>
          <w:tcPr>
            <w:tcW w:w="9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0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780,000</w:t>
            </w:r>
          </w:p>
        </w:tc>
        <w:tc>
          <w:tcPr>
            <w:tcW w:w="1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CCEEFF"/>
          </w:tcPr>
          <w:p>
            <w:pPr>
              <w:ind w:left="100"/>
              <w:spacing w:after="0"/>
              <w:rPr>
                <w:sz w:val="20"/>
                <w:szCs w:val="20"/>
                <w:color w:val="auto"/>
              </w:rPr>
            </w:pPr>
            <w:r>
              <w:rPr>
                <w:rFonts w:ascii="Arial" w:cs="Arial" w:eastAsia="Arial" w:hAnsi="Arial"/>
                <w:sz w:val="17"/>
                <w:szCs w:val="17"/>
                <w:color w:val="auto"/>
              </w:rPr>
              <w:t>195,000</w:t>
            </w:r>
          </w:p>
        </w:tc>
        <w:tc>
          <w:tcPr>
            <w:tcW w:w="7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c>
          <w:tcPr>
            <w:tcW w:w="30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307CC0"/>
            </w:tcBorders>
            <w:shd w:val="clear" w:color="auto" w:fill="CCEEFF"/>
          </w:tcPr>
          <w:p>
            <w:pPr>
              <w:jc w:val="right"/>
              <w:ind w:right="140"/>
              <w:spacing w:after="0"/>
              <w:rPr>
                <w:sz w:val="20"/>
                <w:szCs w:val="20"/>
                <w:color w:val="auto"/>
              </w:rPr>
            </w:pPr>
            <w:r>
              <w:rPr>
                <w:rFonts w:ascii="Arial" w:cs="Arial" w:eastAsia="Arial" w:hAnsi="Arial"/>
                <w:sz w:val="17"/>
                <w:szCs w:val="17"/>
                <w:color w:val="auto"/>
              </w:rPr>
              <w:t>585,000</w:t>
            </w:r>
          </w:p>
        </w:tc>
        <w:tc>
          <w:tcPr>
            <w:tcW w:w="78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10,161</w:t>
            </w:r>
          </w:p>
        </w:tc>
      </w:tr>
      <w:tr>
        <w:trPr>
          <w:trHeight w:val="213"/>
        </w:trPr>
        <w:tc>
          <w:tcPr>
            <w:tcW w:w="312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Mr. Somma</w:t>
            </w:r>
          </w:p>
        </w:tc>
        <w:tc>
          <w:tcPr>
            <w:tcW w:w="9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150%</w:t>
            </w:r>
          </w:p>
        </w:tc>
        <w:tc>
          <w:tcPr>
            <w:tcW w:w="20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742,500</w:t>
            </w:r>
          </w:p>
        </w:tc>
        <w:tc>
          <w:tcPr>
            <w:tcW w:w="1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D6E7FF"/>
          </w:tcPr>
          <w:p>
            <w:pPr>
              <w:ind w:left="100"/>
              <w:spacing w:after="0"/>
              <w:rPr>
                <w:sz w:val="20"/>
                <w:szCs w:val="20"/>
                <w:color w:val="auto"/>
              </w:rPr>
            </w:pPr>
            <w:r>
              <w:rPr>
                <w:rFonts w:ascii="Arial" w:cs="Arial" w:eastAsia="Arial" w:hAnsi="Arial"/>
                <w:sz w:val="17"/>
                <w:szCs w:val="17"/>
                <w:color w:val="auto"/>
              </w:rPr>
              <w:t>185,625</w:t>
            </w:r>
          </w:p>
        </w:tc>
        <w:tc>
          <w:tcPr>
            <w:tcW w:w="7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3,225</w:t>
            </w:r>
          </w:p>
        </w:tc>
        <w:tc>
          <w:tcPr>
            <w:tcW w:w="30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307CC0"/>
            </w:tcBorders>
            <w:shd w:val="clear" w:color="auto" w:fill="D6E7FF"/>
          </w:tcPr>
          <w:p>
            <w:pPr>
              <w:jc w:val="right"/>
              <w:ind w:right="140"/>
              <w:spacing w:after="0"/>
              <w:rPr>
                <w:sz w:val="20"/>
                <w:szCs w:val="20"/>
                <w:color w:val="auto"/>
              </w:rPr>
            </w:pPr>
            <w:r>
              <w:rPr>
                <w:rFonts w:ascii="Arial" w:cs="Arial" w:eastAsia="Arial" w:hAnsi="Arial"/>
                <w:sz w:val="17"/>
                <w:szCs w:val="17"/>
                <w:color w:val="auto"/>
              </w:rPr>
              <w:t>556,875</w:t>
            </w:r>
          </w:p>
        </w:tc>
        <w:tc>
          <w:tcPr>
            <w:tcW w:w="78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9,673</w:t>
            </w:r>
          </w:p>
        </w:tc>
      </w:tr>
      <w:tr>
        <w:trPr>
          <w:trHeight w:val="213"/>
        </w:trPr>
        <w:tc>
          <w:tcPr>
            <w:tcW w:w="31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Ms. Humphrey</w:t>
            </w:r>
          </w:p>
        </w:tc>
        <w:tc>
          <w:tcPr>
            <w:tcW w:w="9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0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629,200</w:t>
            </w:r>
          </w:p>
        </w:tc>
        <w:tc>
          <w:tcPr>
            <w:tcW w:w="1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307CC0"/>
            </w:tcBorders>
            <w:shd w:val="clear" w:color="auto" w:fill="CCEEFF"/>
          </w:tcPr>
          <w:p>
            <w:pPr>
              <w:ind w:left="100"/>
              <w:spacing w:after="0"/>
              <w:rPr>
                <w:sz w:val="20"/>
                <w:szCs w:val="20"/>
                <w:color w:val="auto"/>
              </w:rPr>
            </w:pPr>
            <w:r>
              <w:rPr>
                <w:rFonts w:ascii="Arial" w:cs="Arial" w:eastAsia="Arial" w:hAnsi="Arial"/>
                <w:sz w:val="17"/>
                <w:szCs w:val="17"/>
                <w:color w:val="auto"/>
              </w:rPr>
              <w:t>157,300</w:t>
            </w:r>
          </w:p>
        </w:tc>
        <w:tc>
          <w:tcPr>
            <w:tcW w:w="7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2,733</w:t>
            </w:r>
          </w:p>
        </w:tc>
        <w:tc>
          <w:tcPr>
            <w:tcW w:w="30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307CC0"/>
            </w:tcBorders>
            <w:shd w:val="clear" w:color="auto" w:fill="CCEEFF"/>
          </w:tcPr>
          <w:p>
            <w:pPr>
              <w:jc w:val="right"/>
              <w:ind w:right="140"/>
              <w:spacing w:after="0"/>
              <w:rPr>
                <w:sz w:val="20"/>
                <w:szCs w:val="20"/>
                <w:color w:val="auto"/>
              </w:rPr>
            </w:pPr>
            <w:r>
              <w:rPr>
                <w:rFonts w:ascii="Arial" w:cs="Arial" w:eastAsia="Arial" w:hAnsi="Arial"/>
                <w:sz w:val="17"/>
                <w:szCs w:val="17"/>
                <w:color w:val="auto"/>
              </w:rPr>
              <w:t>471,900</w:t>
            </w:r>
          </w:p>
        </w:tc>
        <w:tc>
          <w:tcPr>
            <w:tcW w:w="78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8,197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-746125</wp:posOffset>
            </wp:positionV>
            <wp:extent cx="5808980" cy="147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-450850</wp:posOffset>
            </wp:positionV>
            <wp:extent cx="5808980" cy="147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-154940</wp:posOffset>
            </wp:positionV>
            <wp:extent cx="5808980" cy="147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88" w:lineRule="exact"/>
        <w:rPr>
          <w:sz w:val="20"/>
          <w:szCs w:val="20"/>
          <w:color w:val="auto"/>
        </w:rPr>
      </w:pPr>
    </w:p>
    <w:p>
      <w:pPr>
        <w:ind w:left="340" w:right="20" w:hanging="330"/>
        <w:spacing w:after="0" w:line="215" w:lineRule="auto"/>
        <w:tabs>
          <w:tab w:leader="none" w:pos="340" w:val="left"/>
        </w:tabs>
        <w:numPr>
          <w:ilvl w:val="0"/>
          <w:numId w:val="32"/>
        </w:numPr>
        <w:rPr>
          <w:rFonts w:ascii="Arial" w:cs="Arial" w:eastAsia="Arial" w:hAnsi="Arial"/>
          <w:sz w:val="17"/>
          <w:szCs w:val="17"/>
          <w:color w:val="auto"/>
          <w:vertAlign w:val="superscript"/>
        </w:rPr>
      </w:pPr>
      <w:r>
        <w:rPr>
          <w:rFonts w:ascii="Arial" w:cs="Arial" w:eastAsia="Arial" w:hAnsi="Arial"/>
          <w:sz w:val="14"/>
          <w:szCs w:val="14"/>
          <w:color w:val="auto"/>
        </w:rPr>
        <w:t>The number of units is calculated using the average closing price of our common stock for the calendar month immediately preceding the grant date that occurs on or around the first business day in March, or $57.57 per share.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2017 Performance Shares</w:t>
      </w:r>
    </w:p>
    <w:p>
      <w:pPr>
        <w:spacing w:after="0" w:line="120"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In early 2017, performance shares were awarded by Great Plains Energy for the 2017 to 2019 performance period. The performance objective for the 2017 performance shares was the same as the performance objective for the 2019 performance-based restricted stock units described above - total shareholder return relative to the companies included in the EEI index of electric utility companies over the three-year performance period. Payouts for the 2017 performance shares are earned according to the following schedule: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60" w:type="dxa"/>
            <w:vAlign w:val="bottom"/>
            <w:shd w:val="clear" w:color="auto" w:fill="307CC0"/>
          </w:tcPr>
          <w:p>
            <w:pPr>
              <w:spacing w:after="0"/>
              <w:rPr>
                <w:sz w:val="13"/>
                <w:szCs w:val="13"/>
                <w:color w:val="auto"/>
              </w:rPr>
            </w:pPr>
          </w:p>
        </w:tc>
        <w:tc>
          <w:tcPr>
            <w:tcW w:w="11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Weighting</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13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Target</w:t>
            </w:r>
          </w:p>
        </w:tc>
        <w:tc>
          <w:tcPr>
            <w:tcW w:w="13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Stretch</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Superior</w:t>
            </w:r>
          </w:p>
        </w:tc>
      </w:tr>
      <w:tr>
        <w:trPr>
          <w:trHeight w:val="185"/>
        </w:trPr>
        <w:tc>
          <w:tcPr>
            <w:tcW w:w="286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Performance Share Objective</w:t>
            </w:r>
          </w:p>
        </w:tc>
        <w:tc>
          <w:tcPr>
            <w:tcW w:w="11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(Percent)</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7"/>
              </w:rPr>
              <w:t>(50%)</w:t>
            </w:r>
          </w:p>
        </w:tc>
        <w:tc>
          <w:tcPr>
            <w:tcW w:w="13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(100%)</w:t>
            </w:r>
          </w:p>
        </w:tc>
        <w:tc>
          <w:tcPr>
            <w:tcW w:w="13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5"/>
              </w:rPr>
              <w:t>(150%)</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(200%)</w:t>
            </w:r>
          </w:p>
        </w:tc>
      </w:tr>
      <w:tr>
        <w:trPr>
          <w:trHeight w:val="206"/>
        </w:trPr>
        <w:tc>
          <w:tcPr>
            <w:tcW w:w="2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Three Year TSR versus EEI Index</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100%</w:t>
            </w:r>
          </w:p>
        </w:tc>
        <w:tc>
          <w:tcPr>
            <w:tcW w:w="1280" w:type="dxa"/>
            <w:vAlign w:val="bottom"/>
            <w:shd w:val="clear" w:color="auto" w:fill="CCEEFF"/>
          </w:tcPr>
          <w:p>
            <w:pPr>
              <w:jc w:val="center"/>
              <w:spacing w:after="0" w:line="205" w:lineRule="exact"/>
              <w:rPr>
                <w:sz w:val="20"/>
                <w:szCs w:val="20"/>
                <w:color w:val="auto"/>
              </w:rPr>
            </w:pPr>
            <w:r>
              <w:rPr>
                <w:rFonts w:ascii="Arial" w:cs="Arial" w:eastAsia="Arial" w:hAnsi="Arial"/>
                <w:sz w:val="15"/>
                <w:szCs w:val="15"/>
                <w:color w:val="auto"/>
              </w:rPr>
              <w:t>30</w:t>
            </w:r>
            <w:r>
              <w:rPr>
                <w:rFonts w:ascii="Arial" w:cs="Arial" w:eastAsia="Arial" w:hAnsi="Arial"/>
                <w:sz w:val="23"/>
                <w:szCs w:val="23"/>
                <w:color w:val="auto"/>
                <w:vertAlign w:val="superscript"/>
              </w:rPr>
              <w:t>th</w:t>
            </w:r>
          </w:p>
        </w:tc>
        <w:tc>
          <w:tcPr>
            <w:tcW w:w="1300" w:type="dxa"/>
            <w:vAlign w:val="bottom"/>
            <w:shd w:val="clear" w:color="auto" w:fill="CCEEFF"/>
          </w:tcPr>
          <w:p>
            <w:pPr>
              <w:jc w:val="center"/>
              <w:spacing w:after="0" w:line="205" w:lineRule="exact"/>
              <w:rPr>
                <w:sz w:val="20"/>
                <w:szCs w:val="20"/>
                <w:color w:val="auto"/>
              </w:rPr>
            </w:pPr>
            <w:r>
              <w:rPr>
                <w:rFonts w:ascii="Arial" w:cs="Arial" w:eastAsia="Arial" w:hAnsi="Arial"/>
                <w:sz w:val="15"/>
                <w:szCs w:val="15"/>
                <w:color w:val="auto"/>
              </w:rPr>
              <w:t>50</w:t>
            </w:r>
            <w:r>
              <w:rPr>
                <w:rFonts w:ascii="Arial" w:cs="Arial" w:eastAsia="Arial" w:hAnsi="Arial"/>
                <w:sz w:val="23"/>
                <w:szCs w:val="23"/>
                <w:color w:val="auto"/>
                <w:vertAlign w:val="superscript"/>
              </w:rPr>
              <w:t>th</w:t>
            </w:r>
          </w:p>
        </w:tc>
        <w:tc>
          <w:tcPr>
            <w:tcW w:w="1320" w:type="dxa"/>
            <w:vAlign w:val="bottom"/>
            <w:shd w:val="clear" w:color="auto" w:fill="CCEEFF"/>
          </w:tcPr>
          <w:p>
            <w:pPr>
              <w:jc w:val="center"/>
              <w:spacing w:after="0" w:line="205" w:lineRule="exact"/>
              <w:rPr>
                <w:sz w:val="20"/>
                <w:szCs w:val="20"/>
                <w:color w:val="auto"/>
              </w:rPr>
            </w:pPr>
            <w:r>
              <w:rPr>
                <w:rFonts w:ascii="Arial" w:cs="Arial" w:eastAsia="Arial" w:hAnsi="Arial"/>
                <w:sz w:val="15"/>
                <w:szCs w:val="15"/>
                <w:color w:val="auto"/>
              </w:rPr>
              <w:t>70</w:t>
            </w:r>
            <w:r>
              <w:rPr>
                <w:rFonts w:ascii="Arial" w:cs="Arial" w:eastAsia="Arial" w:hAnsi="Arial"/>
                <w:sz w:val="23"/>
                <w:szCs w:val="23"/>
                <w:color w:val="auto"/>
                <w:vertAlign w:val="superscript"/>
              </w:rPr>
              <w:t>th</w:t>
            </w:r>
          </w:p>
        </w:tc>
        <w:tc>
          <w:tcPr>
            <w:tcW w:w="1280" w:type="dxa"/>
            <w:vAlign w:val="bottom"/>
            <w:shd w:val="clear" w:color="auto" w:fill="CCEEFF"/>
          </w:tcPr>
          <w:p>
            <w:pPr>
              <w:jc w:val="center"/>
              <w:spacing w:after="0" w:line="205" w:lineRule="exact"/>
              <w:rPr>
                <w:sz w:val="20"/>
                <w:szCs w:val="20"/>
                <w:color w:val="auto"/>
              </w:rPr>
            </w:pPr>
            <w:r>
              <w:rPr>
                <w:rFonts w:ascii="Arial" w:cs="Arial" w:eastAsia="Arial" w:hAnsi="Arial"/>
                <w:sz w:val="15"/>
                <w:szCs w:val="15"/>
                <w:color w:val="auto"/>
              </w:rPr>
              <w:t>90</w:t>
            </w:r>
            <w:r>
              <w:rPr>
                <w:rFonts w:ascii="Arial" w:cs="Arial" w:eastAsia="Arial" w:hAnsi="Arial"/>
                <w:sz w:val="23"/>
                <w:szCs w:val="23"/>
                <w:color w:val="auto"/>
                <w:vertAlign w:val="superscript"/>
              </w:rPr>
              <w:t>th</w:t>
            </w:r>
          </w:p>
        </w:tc>
      </w:tr>
      <w:tr>
        <w:trPr>
          <w:trHeight w:val="208"/>
        </w:trPr>
        <w:tc>
          <w:tcPr>
            <w:tcW w:w="2860" w:type="dxa"/>
            <w:vAlign w:val="bottom"/>
            <w:tcBorders>
              <w:bottom w:val="single" w:sz="8" w:color="307CC0"/>
            </w:tcBorders>
            <w:shd w:val="clear" w:color="auto" w:fill="CCEEFF"/>
          </w:tcPr>
          <w:p>
            <w:pPr>
              <w:spacing w:after="0"/>
              <w:rPr>
                <w:sz w:val="18"/>
                <w:szCs w:val="18"/>
                <w:color w:val="auto"/>
              </w:rPr>
            </w:pPr>
          </w:p>
        </w:tc>
        <w:tc>
          <w:tcPr>
            <w:tcW w:w="1120" w:type="dxa"/>
            <w:vAlign w:val="bottom"/>
            <w:tcBorders>
              <w:bottom w:val="single" w:sz="8" w:color="307CC0"/>
            </w:tcBorders>
            <w:shd w:val="clear" w:color="auto" w:fill="CCEEFF"/>
          </w:tcPr>
          <w:p>
            <w:pPr>
              <w:spacing w:after="0"/>
              <w:rPr>
                <w:sz w:val="18"/>
                <w:szCs w:val="18"/>
                <w:color w:val="auto"/>
              </w:rPr>
            </w:pPr>
          </w:p>
        </w:tc>
        <w:tc>
          <w:tcPr>
            <w:tcW w:w="12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Percentile</w:t>
            </w:r>
          </w:p>
        </w:tc>
        <w:tc>
          <w:tcPr>
            <w:tcW w:w="130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Percentile</w:t>
            </w:r>
          </w:p>
        </w:tc>
        <w:tc>
          <w:tcPr>
            <w:tcW w:w="13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Percentile</w:t>
            </w:r>
          </w:p>
        </w:tc>
        <w:tc>
          <w:tcPr>
            <w:tcW w:w="128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rPr>
              <w:t>Percentile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-278130</wp:posOffset>
            </wp:positionV>
            <wp:extent cx="5808980" cy="270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08980" cy="270510"/>
                    </a:xfrm>
                    <a:prstGeom prst="rect">
                      <a:avLst/>
                    </a:prstGeom>
                    <a:noFill/>
                  </pic:spPr>
                </pic:pic>
              </a:graphicData>
            </a:graphic>
          </wp:anchor>
        </w:drawing>
      </w:r>
    </w:p>
    <w:p>
      <w:pPr>
        <w:spacing w:after="0" w:line="83"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The 2017 performance shares were adjusted in 2018 to reflect the fact that, as part of the merger, each share of Great Plains Energy common stock was converted into 0.5981 shares of Evergy common stock. In addition, the Committee determined that in connection with the merger, performance for a pro rata portion of the performance shares (47.5%) would be measured and “locked in” based on the total shareholder return of Great Plains Energy common stock relative to the companies in the EEI index of electric utility companies from the beginning of the performance period up to the closing of the merger. The remainder of the award (52.5%) was subject to the total shareholder return of Evergy common stock relative to the companies in the EEI index of electric utility companies from the closing of the merger until the end of the performance period.</w:t>
      </w:r>
    </w:p>
    <w:p>
      <w:pPr>
        <w:spacing w:after="0" w:line="89" w:lineRule="exact"/>
        <w:rPr>
          <w:sz w:val="20"/>
          <w:szCs w:val="20"/>
          <w:color w:val="auto"/>
        </w:rPr>
      </w:pPr>
    </w:p>
    <w:p>
      <w:pPr>
        <w:jc w:val="both"/>
        <w:ind w:left="20" w:firstLine="172"/>
        <w:spacing w:after="0" w:line="201" w:lineRule="auto"/>
        <w:rPr>
          <w:sz w:val="20"/>
          <w:szCs w:val="20"/>
          <w:color w:val="auto"/>
        </w:rPr>
      </w:pPr>
      <w:r>
        <w:rPr>
          <w:rFonts w:ascii="Arial" w:cs="Arial" w:eastAsia="Arial" w:hAnsi="Arial"/>
          <w:sz w:val="17"/>
          <w:szCs w:val="17"/>
          <w:color w:val="auto"/>
        </w:rPr>
        <w:t>Great Plains Energy’s total shareholder return for the period from January 1, 2017 through June 4, 2018 ranked at the 86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companies in the EEI index, resulting in a payout of 189.3% of target for that portion of the award. Evergy’s total shareholder return for the period from June 5, 2018 through December 31, 2019 ranked at the 33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percentile of the companies in the EEI index, resulting in a payout of 58.3% of target for this portion of the award. In total, a payout equal to 120.5% of target number of shares granted was earned for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133985</wp:posOffset>
            </wp:positionV>
            <wp:extent cx="58089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5" w:lineRule="exact"/>
        <w:rPr>
          <w:sz w:val="20"/>
          <w:szCs w:val="20"/>
          <w:color w:val="auto"/>
        </w:rPr>
      </w:pPr>
    </w:p>
    <w:p>
      <w:pPr>
        <w:ind w:left="540"/>
        <w:spacing w:after="0"/>
        <w:tabs>
          <w:tab w:leader="none" w:pos="350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left="20" w:firstLine="172"/>
        <w:spacing w:after="0" w:line="261" w:lineRule="auto"/>
        <w:rPr>
          <w:sz w:val="20"/>
          <w:szCs w:val="20"/>
          <w:color w:val="auto"/>
        </w:rPr>
      </w:pPr>
      <w:r>
        <w:rPr>
          <w:rFonts w:ascii="Arial" w:cs="Arial" w:eastAsia="Arial" w:hAnsi="Arial"/>
          <w:sz w:val="17"/>
          <w:szCs w:val="17"/>
          <w:color w:val="auto"/>
        </w:rPr>
        <w:t>As a result, in March 2020, Mr. Bassham, Mr. Bryant and Ms. Humphrey earned the number of shares noted in the table below. Mr. Somma and Mr. Greenwood were not executive officers of Great Plains Energy and therefore did not receive a payout in connection with the vesting of the 2017 performance shares.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80" w:type="dxa"/>
            <w:vAlign w:val="bottom"/>
            <w:shd w:val="clear" w:color="auto" w:fill="307CC0"/>
          </w:tcPr>
          <w:p>
            <w:pPr>
              <w:spacing w:after="0"/>
              <w:rPr>
                <w:sz w:val="13"/>
                <w:szCs w:val="13"/>
                <w:color w:val="auto"/>
              </w:rPr>
            </w:pPr>
          </w:p>
        </w:tc>
        <w:tc>
          <w:tcPr>
            <w:tcW w:w="560" w:type="dxa"/>
            <w:vAlign w:val="bottom"/>
            <w:shd w:val="clear" w:color="auto" w:fill="307CC0"/>
          </w:tcPr>
          <w:p>
            <w:pPr>
              <w:spacing w:after="0"/>
              <w:rPr>
                <w:sz w:val="13"/>
                <w:szCs w:val="13"/>
                <w:color w:val="auto"/>
              </w:rPr>
            </w:pPr>
          </w:p>
        </w:tc>
        <w:tc>
          <w:tcPr>
            <w:tcW w:w="1280" w:type="dxa"/>
            <w:vAlign w:val="bottom"/>
            <w:shd w:val="clear" w:color="auto" w:fill="307CC0"/>
          </w:tcPr>
          <w:p>
            <w:pPr>
              <w:jc w:val="center"/>
              <w:ind w:right="5"/>
              <w:spacing w:after="0"/>
              <w:rPr>
                <w:sz w:val="20"/>
                <w:szCs w:val="20"/>
                <w:color w:val="auto"/>
              </w:rPr>
            </w:pPr>
            <w:r>
              <w:rPr>
                <w:rFonts w:ascii="Arial" w:cs="Arial" w:eastAsia="Arial" w:hAnsi="Arial"/>
                <w:sz w:val="13"/>
                <w:szCs w:val="13"/>
                <w:b w:val="1"/>
                <w:bCs w:val="1"/>
                <w:color w:val="FFFFFF"/>
              </w:rPr>
              <w:t>Target</w:t>
            </w:r>
          </w:p>
        </w:tc>
        <w:tc>
          <w:tcPr>
            <w:tcW w:w="1120" w:type="dxa"/>
            <w:vAlign w:val="bottom"/>
            <w:shd w:val="clear" w:color="auto" w:fill="307CC0"/>
          </w:tcPr>
          <w:p>
            <w:pPr>
              <w:spacing w:after="0"/>
              <w:rPr>
                <w:sz w:val="13"/>
                <w:szCs w:val="13"/>
                <w:color w:val="auto"/>
              </w:rPr>
            </w:pPr>
          </w:p>
        </w:tc>
        <w:tc>
          <w:tcPr>
            <w:tcW w:w="1180" w:type="dxa"/>
            <w:vAlign w:val="bottom"/>
            <w:shd w:val="clear" w:color="auto" w:fill="307CC0"/>
          </w:tcPr>
          <w:p>
            <w:pPr>
              <w:jc w:val="center"/>
              <w:ind w:right="65"/>
              <w:spacing w:after="0"/>
              <w:rPr>
                <w:sz w:val="20"/>
                <w:szCs w:val="20"/>
                <w:color w:val="auto"/>
              </w:rPr>
            </w:pPr>
            <w:r>
              <w:rPr>
                <w:rFonts w:ascii="Arial" w:cs="Arial" w:eastAsia="Arial" w:hAnsi="Arial"/>
                <w:sz w:val="13"/>
                <w:szCs w:val="13"/>
                <w:b w:val="1"/>
                <w:bCs w:val="1"/>
                <w:color w:val="FFFFFF"/>
              </w:rPr>
              <w:t>Adjusted</w:t>
            </w:r>
          </w:p>
        </w:tc>
        <w:tc>
          <w:tcPr>
            <w:tcW w:w="1100" w:type="dxa"/>
            <w:vAlign w:val="bottom"/>
            <w:shd w:val="clear" w:color="auto" w:fill="307CC0"/>
          </w:tcPr>
          <w:p>
            <w:pPr>
              <w:spacing w:after="0"/>
              <w:rPr>
                <w:sz w:val="13"/>
                <w:szCs w:val="13"/>
                <w:color w:val="auto"/>
              </w:rPr>
            </w:pPr>
          </w:p>
        </w:tc>
        <w:tc>
          <w:tcPr>
            <w:tcW w:w="240" w:type="dxa"/>
            <w:vAlign w:val="bottom"/>
            <w:shd w:val="clear" w:color="auto" w:fill="307CC0"/>
          </w:tcPr>
          <w:p>
            <w:pPr>
              <w:spacing w:after="0"/>
              <w:rPr>
                <w:sz w:val="13"/>
                <w:szCs w:val="13"/>
                <w:color w:val="auto"/>
              </w:rPr>
            </w:pPr>
          </w:p>
        </w:tc>
        <w:tc>
          <w:tcPr>
            <w:tcW w:w="1120" w:type="dxa"/>
            <w:vAlign w:val="bottom"/>
            <w:shd w:val="clear" w:color="auto" w:fill="307CC0"/>
          </w:tcPr>
          <w:p>
            <w:pPr>
              <w:jc w:val="center"/>
              <w:ind w:right="145"/>
              <w:spacing w:after="0"/>
              <w:rPr>
                <w:sz w:val="20"/>
                <w:szCs w:val="20"/>
                <w:color w:val="auto"/>
              </w:rPr>
            </w:pPr>
            <w:r>
              <w:rPr>
                <w:rFonts w:ascii="Arial" w:cs="Arial" w:eastAsia="Arial" w:hAnsi="Arial"/>
                <w:sz w:val="13"/>
                <w:szCs w:val="13"/>
                <w:b w:val="1"/>
                <w:bCs w:val="1"/>
                <w:color w:val="FFFFFF"/>
                <w:w w:val="97"/>
              </w:rPr>
              <w:t>Value</w:t>
            </w:r>
          </w:p>
        </w:tc>
        <w:tc>
          <w:tcPr>
            <w:tcW w:w="260" w:type="dxa"/>
            <w:vAlign w:val="bottom"/>
            <w:shd w:val="clear" w:color="auto" w:fill="307CC0"/>
          </w:tcPr>
          <w:p>
            <w:pPr>
              <w:spacing w:after="0"/>
              <w:rPr>
                <w:sz w:val="13"/>
                <w:szCs w:val="13"/>
                <w:color w:val="auto"/>
              </w:rPr>
            </w:pPr>
          </w:p>
        </w:tc>
        <w:tc>
          <w:tcPr>
            <w:tcW w:w="920" w:type="dxa"/>
            <w:vAlign w:val="bottom"/>
            <w:shd w:val="clear" w:color="auto" w:fill="307CC0"/>
          </w:tcPr>
          <w:p>
            <w:pPr>
              <w:jc w:val="center"/>
              <w:ind w:right="85"/>
              <w:spacing w:after="0"/>
              <w:rPr>
                <w:sz w:val="20"/>
                <w:szCs w:val="20"/>
                <w:color w:val="auto"/>
              </w:rPr>
            </w:pPr>
            <w:r>
              <w:rPr>
                <w:rFonts w:ascii="Arial" w:cs="Arial" w:eastAsia="Arial" w:hAnsi="Arial"/>
                <w:sz w:val="13"/>
                <w:szCs w:val="13"/>
                <w:b w:val="1"/>
                <w:bCs w:val="1"/>
                <w:color w:val="FFFFFF"/>
                <w:w w:val="99"/>
              </w:rPr>
              <w:t>Accrued</w:t>
            </w:r>
          </w:p>
        </w:tc>
      </w:tr>
      <w:tr>
        <w:trPr>
          <w:trHeight w:val="142"/>
        </w:trPr>
        <w:tc>
          <w:tcPr>
            <w:tcW w:w="1380" w:type="dxa"/>
            <w:vAlign w:val="bottom"/>
            <w:shd w:val="clear" w:color="auto" w:fill="307CC0"/>
          </w:tcPr>
          <w:p>
            <w:pPr>
              <w:spacing w:after="0"/>
              <w:rPr>
                <w:sz w:val="12"/>
                <w:szCs w:val="12"/>
                <w:color w:val="auto"/>
              </w:rPr>
            </w:pPr>
          </w:p>
        </w:tc>
        <w:tc>
          <w:tcPr>
            <w:tcW w:w="560" w:type="dxa"/>
            <w:vAlign w:val="bottom"/>
            <w:shd w:val="clear" w:color="auto" w:fill="307CC0"/>
          </w:tcPr>
          <w:p>
            <w:pPr>
              <w:spacing w:after="0"/>
              <w:rPr>
                <w:sz w:val="12"/>
                <w:szCs w:val="12"/>
                <w:color w:val="auto"/>
              </w:rPr>
            </w:pPr>
          </w:p>
        </w:tc>
        <w:tc>
          <w:tcPr>
            <w:tcW w:w="1280" w:type="dxa"/>
            <w:vAlign w:val="bottom"/>
            <w:shd w:val="clear" w:color="auto" w:fill="307CC0"/>
          </w:tcPr>
          <w:p>
            <w:pPr>
              <w:jc w:val="center"/>
              <w:ind w:right="5"/>
              <w:spacing w:after="0" w:line="143" w:lineRule="exact"/>
              <w:rPr>
                <w:sz w:val="20"/>
                <w:szCs w:val="20"/>
                <w:color w:val="auto"/>
              </w:rPr>
            </w:pPr>
            <w:r>
              <w:rPr>
                <w:rFonts w:ascii="Arial" w:cs="Arial" w:eastAsia="Arial" w:hAnsi="Arial"/>
                <w:sz w:val="13"/>
                <w:szCs w:val="13"/>
                <w:b w:val="1"/>
                <w:bCs w:val="1"/>
                <w:color w:val="FFFFFF"/>
                <w:w w:val="99"/>
              </w:rPr>
              <w:t>Amount at</w:t>
            </w:r>
          </w:p>
        </w:tc>
        <w:tc>
          <w:tcPr>
            <w:tcW w:w="1120" w:type="dxa"/>
            <w:vAlign w:val="bottom"/>
            <w:shd w:val="clear" w:color="auto" w:fill="307CC0"/>
          </w:tcPr>
          <w:p>
            <w:pPr>
              <w:jc w:val="right"/>
              <w:ind w:right="242"/>
              <w:spacing w:after="0" w:line="143" w:lineRule="exact"/>
              <w:rPr>
                <w:sz w:val="20"/>
                <w:szCs w:val="20"/>
                <w:color w:val="auto"/>
              </w:rPr>
            </w:pPr>
            <w:r>
              <w:rPr>
                <w:rFonts w:ascii="Arial" w:cs="Arial" w:eastAsia="Arial" w:hAnsi="Arial"/>
                <w:sz w:val="13"/>
                <w:szCs w:val="13"/>
                <w:b w:val="1"/>
                <w:bCs w:val="1"/>
                <w:color w:val="FFFFFF"/>
              </w:rPr>
              <w:t>Exchange</w:t>
            </w:r>
          </w:p>
        </w:tc>
        <w:tc>
          <w:tcPr>
            <w:tcW w:w="1180" w:type="dxa"/>
            <w:vAlign w:val="bottom"/>
            <w:shd w:val="clear" w:color="auto" w:fill="307CC0"/>
          </w:tcPr>
          <w:p>
            <w:pPr>
              <w:jc w:val="center"/>
              <w:ind w:right="65"/>
              <w:spacing w:after="0" w:line="143" w:lineRule="exact"/>
              <w:rPr>
                <w:sz w:val="20"/>
                <w:szCs w:val="20"/>
                <w:color w:val="auto"/>
              </w:rPr>
            </w:pPr>
            <w:r>
              <w:rPr>
                <w:rFonts w:ascii="Arial" w:cs="Arial" w:eastAsia="Arial" w:hAnsi="Arial"/>
                <w:sz w:val="13"/>
                <w:szCs w:val="13"/>
                <w:b w:val="1"/>
                <w:bCs w:val="1"/>
                <w:color w:val="FFFFFF"/>
              </w:rPr>
              <w:t>Target</w:t>
            </w:r>
          </w:p>
        </w:tc>
        <w:tc>
          <w:tcPr>
            <w:tcW w:w="1100" w:type="dxa"/>
            <w:vAlign w:val="bottom"/>
            <w:shd w:val="clear" w:color="auto" w:fill="307CC0"/>
          </w:tcPr>
          <w:p>
            <w:pPr>
              <w:jc w:val="right"/>
              <w:ind w:right="302"/>
              <w:spacing w:after="0" w:line="143" w:lineRule="exact"/>
              <w:rPr>
                <w:sz w:val="20"/>
                <w:szCs w:val="20"/>
                <w:color w:val="auto"/>
              </w:rPr>
            </w:pPr>
            <w:r>
              <w:rPr>
                <w:rFonts w:ascii="Arial" w:cs="Arial" w:eastAsia="Arial" w:hAnsi="Arial"/>
                <w:sz w:val="13"/>
                <w:szCs w:val="13"/>
                <w:b w:val="1"/>
                <w:bCs w:val="1"/>
                <w:color w:val="FFFFFF"/>
              </w:rPr>
              <w:t>Vested</w:t>
            </w:r>
          </w:p>
        </w:tc>
        <w:tc>
          <w:tcPr>
            <w:tcW w:w="240" w:type="dxa"/>
            <w:vAlign w:val="bottom"/>
            <w:shd w:val="clear" w:color="auto" w:fill="307CC0"/>
          </w:tcPr>
          <w:p>
            <w:pPr>
              <w:spacing w:after="0"/>
              <w:rPr>
                <w:sz w:val="12"/>
                <w:szCs w:val="12"/>
                <w:color w:val="auto"/>
              </w:rPr>
            </w:pPr>
          </w:p>
        </w:tc>
        <w:tc>
          <w:tcPr>
            <w:tcW w:w="1120" w:type="dxa"/>
            <w:vAlign w:val="bottom"/>
            <w:shd w:val="clear" w:color="auto" w:fill="307CC0"/>
          </w:tcPr>
          <w:p>
            <w:pPr>
              <w:jc w:val="center"/>
              <w:ind w:right="165"/>
              <w:spacing w:after="0" w:line="143" w:lineRule="exact"/>
              <w:rPr>
                <w:sz w:val="20"/>
                <w:szCs w:val="20"/>
                <w:color w:val="auto"/>
              </w:rPr>
            </w:pPr>
            <w:r>
              <w:rPr>
                <w:rFonts w:ascii="Arial" w:cs="Arial" w:eastAsia="Arial" w:hAnsi="Arial"/>
                <w:sz w:val="13"/>
                <w:szCs w:val="13"/>
                <w:b w:val="1"/>
                <w:bCs w:val="1"/>
                <w:color w:val="FFFFFF"/>
                <w:w w:val="99"/>
              </w:rPr>
              <w:t>Realized on</w:t>
            </w:r>
          </w:p>
        </w:tc>
        <w:tc>
          <w:tcPr>
            <w:tcW w:w="260" w:type="dxa"/>
            <w:vAlign w:val="bottom"/>
            <w:shd w:val="clear" w:color="auto" w:fill="307CC0"/>
          </w:tcPr>
          <w:p>
            <w:pPr>
              <w:spacing w:after="0"/>
              <w:rPr>
                <w:sz w:val="12"/>
                <w:szCs w:val="12"/>
                <w:color w:val="auto"/>
              </w:rPr>
            </w:pPr>
          </w:p>
        </w:tc>
        <w:tc>
          <w:tcPr>
            <w:tcW w:w="920" w:type="dxa"/>
            <w:vAlign w:val="bottom"/>
            <w:shd w:val="clear" w:color="auto" w:fill="307CC0"/>
          </w:tcPr>
          <w:p>
            <w:pPr>
              <w:jc w:val="center"/>
              <w:ind w:right="105"/>
              <w:spacing w:after="0" w:line="143" w:lineRule="exact"/>
              <w:rPr>
                <w:sz w:val="20"/>
                <w:szCs w:val="20"/>
                <w:color w:val="auto"/>
              </w:rPr>
            </w:pPr>
            <w:r>
              <w:rPr>
                <w:rFonts w:ascii="Arial" w:cs="Arial" w:eastAsia="Arial" w:hAnsi="Arial"/>
                <w:sz w:val="13"/>
                <w:szCs w:val="13"/>
                <w:b w:val="1"/>
                <w:bCs w:val="1"/>
                <w:color w:val="FFFFFF"/>
                <w:w w:val="99"/>
              </w:rPr>
              <w:t>Dividends</w:t>
            </w:r>
          </w:p>
        </w:tc>
      </w:tr>
      <w:tr>
        <w:trPr>
          <w:trHeight w:val="185"/>
        </w:trPr>
        <w:tc>
          <w:tcPr>
            <w:tcW w:w="1940" w:type="dxa"/>
            <w:vAlign w:val="bottom"/>
            <w:gridSpan w:val="2"/>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Grant (#)</w:t>
            </w:r>
          </w:p>
        </w:tc>
        <w:tc>
          <w:tcPr>
            <w:tcW w:w="1120" w:type="dxa"/>
            <w:vAlign w:val="bottom"/>
            <w:shd w:val="clear" w:color="auto" w:fill="307CC0"/>
          </w:tcPr>
          <w:p>
            <w:pPr>
              <w:jc w:val="right"/>
              <w:ind w:right="382"/>
              <w:spacing w:after="0"/>
              <w:rPr>
                <w:sz w:val="20"/>
                <w:szCs w:val="20"/>
                <w:color w:val="auto"/>
              </w:rPr>
            </w:pPr>
            <w:r>
              <w:rPr>
                <w:rFonts w:ascii="Arial" w:cs="Arial" w:eastAsia="Arial" w:hAnsi="Arial"/>
                <w:sz w:val="13"/>
                <w:szCs w:val="13"/>
                <w:b w:val="1"/>
                <w:bCs w:val="1"/>
                <w:color w:val="FFFFFF"/>
              </w:rPr>
              <w:t>Ratio</w:t>
            </w:r>
          </w:p>
        </w:tc>
        <w:tc>
          <w:tcPr>
            <w:tcW w:w="1180" w:type="dxa"/>
            <w:vAlign w:val="bottom"/>
            <w:shd w:val="clear" w:color="auto" w:fill="307CC0"/>
          </w:tcPr>
          <w:p>
            <w:pPr>
              <w:jc w:val="center"/>
              <w:ind w:right="65"/>
              <w:spacing w:after="0"/>
              <w:rPr>
                <w:sz w:val="20"/>
                <w:szCs w:val="20"/>
                <w:color w:val="auto"/>
              </w:rPr>
            </w:pPr>
            <w:r>
              <w:rPr>
                <w:rFonts w:ascii="Arial" w:cs="Arial" w:eastAsia="Arial" w:hAnsi="Arial"/>
                <w:sz w:val="13"/>
                <w:szCs w:val="13"/>
                <w:b w:val="1"/>
                <w:bCs w:val="1"/>
                <w:color w:val="FFFFFF"/>
                <w:w w:val="99"/>
              </w:rPr>
              <w:t>Amount (#)</w:t>
            </w:r>
          </w:p>
        </w:tc>
        <w:tc>
          <w:tcPr>
            <w:tcW w:w="1100" w:type="dxa"/>
            <w:vAlign w:val="bottom"/>
            <w:shd w:val="clear" w:color="auto" w:fill="307CC0"/>
          </w:tcPr>
          <w:p>
            <w:pPr>
              <w:jc w:val="right"/>
              <w:ind w:right="162"/>
              <w:spacing w:after="0"/>
              <w:rPr>
                <w:sz w:val="20"/>
                <w:szCs w:val="20"/>
                <w:color w:val="auto"/>
              </w:rPr>
            </w:pPr>
            <w:r>
              <w:rPr>
                <w:rFonts w:ascii="Arial" w:cs="Arial" w:eastAsia="Arial" w:hAnsi="Arial"/>
                <w:sz w:val="13"/>
                <w:szCs w:val="13"/>
                <w:b w:val="1"/>
                <w:bCs w:val="1"/>
                <w:color w:val="FFFFFF"/>
              </w:rPr>
              <w:t>Amount (#)</w:t>
            </w:r>
          </w:p>
        </w:tc>
        <w:tc>
          <w:tcPr>
            <w:tcW w:w="240" w:type="dxa"/>
            <w:vAlign w:val="bottom"/>
            <w:shd w:val="clear" w:color="auto" w:fill="307CC0"/>
          </w:tcPr>
          <w:p>
            <w:pPr>
              <w:spacing w:after="0"/>
              <w:rPr>
                <w:sz w:val="16"/>
                <w:szCs w:val="16"/>
                <w:color w:val="auto"/>
              </w:rPr>
            </w:pPr>
          </w:p>
        </w:tc>
        <w:tc>
          <w:tcPr>
            <w:tcW w:w="1120" w:type="dxa"/>
            <w:vAlign w:val="bottom"/>
            <w:shd w:val="clear" w:color="auto" w:fill="307CC0"/>
          </w:tcPr>
          <w:p>
            <w:pPr>
              <w:jc w:val="center"/>
              <w:ind w:right="165"/>
              <w:spacing w:after="0"/>
              <w:rPr>
                <w:sz w:val="20"/>
                <w:szCs w:val="20"/>
                <w:color w:val="auto"/>
              </w:rPr>
            </w:pPr>
            <w:r>
              <w:rPr>
                <w:rFonts w:ascii="Arial" w:cs="Arial" w:eastAsia="Arial" w:hAnsi="Arial"/>
                <w:sz w:val="13"/>
                <w:szCs w:val="13"/>
                <w:b w:val="1"/>
                <w:bCs w:val="1"/>
                <w:color w:val="FFFFFF"/>
                <w:w w:val="97"/>
              </w:rPr>
              <w:t>Vesting ($)(1)</w:t>
            </w:r>
          </w:p>
        </w:tc>
        <w:tc>
          <w:tcPr>
            <w:tcW w:w="260" w:type="dxa"/>
            <w:vAlign w:val="bottom"/>
            <w:shd w:val="clear" w:color="auto" w:fill="307CC0"/>
          </w:tcPr>
          <w:p>
            <w:pPr>
              <w:spacing w:after="0"/>
              <w:rPr>
                <w:sz w:val="16"/>
                <w:szCs w:val="16"/>
                <w:color w:val="auto"/>
              </w:rPr>
            </w:pPr>
          </w:p>
        </w:tc>
        <w:tc>
          <w:tcPr>
            <w:tcW w:w="920" w:type="dxa"/>
            <w:vAlign w:val="bottom"/>
            <w:shd w:val="clear" w:color="auto" w:fill="307CC0"/>
          </w:tcPr>
          <w:p>
            <w:pPr>
              <w:jc w:val="center"/>
              <w:ind w:right="85"/>
              <w:spacing w:after="0"/>
              <w:rPr>
                <w:sz w:val="20"/>
                <w:szCs w:val="20"/>
                <w:color w:val="auto"/>
              </w:rPr>
            </w:pPr>
            <w:r>
              <w:rPr>
                <w:rFonts w:ascii="Arial" w:cs="Arial" w:eastAsia="Arial" w:hAnsi="Arial"/>
                <w:sz w:val="13"/>
                <w:szCs w:val="13"/>
                <w:b w:val="1"/>
                <w:bCs w:val="1"/>
                <w:color w:val="FFFFFF"/>
              </w:rPr>
              <w:t>($)</w:t>
            </w:r>
          </w:p>
        </w:tc>
      </w:tr>
      <w:tr>
        <w:trPr>
          <w:trHeight w:val="220"/>
        </w:trPr>
        <w:tc>
          <w:tcPr>
            <w:tcW w:w="194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Mr. Bassham</w:t>
            </w:r>
          </w:p>
        </w:tc>
        <w:tc>
          <w:tcPr>
            <w:tcW w:w="1280" w:type="dxa"/>
            <w:vAlign w:val="bottom"/>
            <w:tcBorders>
              <w:bottom w:val="single" w:sz="8" w:color="307CC0"/>
            </w:tcBorders>
            <w:shd w:val="clear" w:color="auto" w:fill="CCEEFF"/>
          </w:tcPr>
          <w:p>
            <w:pPr>
              <w:jc w:val="right"/>
              <w:ind w:right="105"/>
              <w:spacing w:after="0"/>
              <w:rPr>
                <w:sz w:val="20"/>
                <w:szCs w:val="20"/>
                <w:color w:val="auto"/>
              </w:rPr>
            </w:pPr>
            <w:r>
              <w:rPr>
                <w:rFonts w:ascii="Arial" w:cs="Arial" w:eastAsia="Arial" w:hAnsi="Arial"/>
                <w:sz w:val="17"/>
                <w:szCs w:val="17"/>
                <w:color w:val="auto"/>
              </w:rPr>
              <w:t>61,640</w:t>
            </w:r>
          </w:p>
        </w:tc>
        <w:tc>
          <w:tcPr>
            <w:tcW w:w="1120" w:type="dxa"/>
            <w:vAlign w:val="bottom"/>
            <w:tcBorders>
              <w:bottom w:val="single" w:sz="8" w:color="307CC0"/>
            </w:tcBorders>
            <w:shd w:val="clear" w:color="auto" w:fill="CCEEFF"/>
          </w:tcPr>
          <w:p>
            <w:pPr>
              <w:jc w:val="right"/>
              <w:ind w:right="82"/>
              <w:spacing w:after="0"/>
              <w:rPr>
                <w:sz w:val="20"/>
                <w:szCs w:val="20"/>
                <w:color w:val="auto"/>
              </w:rPr>
            </w:pPr>
            <w:r>
              <w:rPr>
                <w:rFonts w:ascii="Arial" w:cs="Arial" w:eastAsia="Arial" w:hAnsi="Arial"/>
                <w:sz w:val="17"/>
                <w:szCs w:val="17"/>
                <w:color w:val="auto"/>
              </w:rPr>
              <w:t>0.5981</w:t>
            </w:r>
          </w:p>
        </w:tc>
        <w:tc>
          <w:tcPr>
            <w:tcW w:w="1180" w:type="dxa"/>
            <w:vAlign w:val="bottom"/>
            <w:tcBorders>
              <w:bottom w:val="single" w:sz="8" w:color="307CC0"/>
            </w:tcBorders>
            <w:shd w:val="clear" w:color="auto" w:fill="CCEEFF"/>
          </w:tcPr>
          <w:p>
            <w:pPr>
              <w:jc w:val="right"/>
              <w:ind w:right="85"/>
              <w:spacing w:after="0"/>
              <w:rPr>
                <w:sz w:val="20"/>
                <w:szCs w:val="20"/>
                <w:color w:val="auto"/>
              </w:rPr>
            </w:pPr>
            <w:r>
              <w:rPr>
                <w:rFonts w:ascii="Arial" w:cs="Arial" w:eastAsia="Arial" w:hAnsi="Arial"/>
                <w:sz w:val="17"/>
                <w:szCs w:val="17"/>
                <w:color w:val="auto"/>
              </w:rPr>
              <w:t>36,867</w:t>
            </w:r>
          </w:p>
        </w:tc>
        <w:tc>
          <w:tcPr>
            <w:tcW w:w="1100" w:type="dxa"/>
            <w:vAlign w:val="bottom"/>
            <w:tcBorders>
              <w:bottom w:val="single" w:sz="8" w:color="307CC0"/>
            </w:tcBorders>
            <w:shd w:val="clear" w:color="auto" w:fill="CCEEFF"/>
          </w:tcPr>
          <w:p>
            <w:pPr>
              <w:jc w:val="right"/>
              <w:ind w:right="2"/>
              <w:spacing w:after="0"/>
              <w:rPr>
                <w:sz w:val="20"/>
                <w:szCs w:val="20"/>
                <w:color w:val="auto"/>
              </w:rPr>
            </w:pPr>
            <w:r>
              <w:rPr>
                <w:rFonts w:ascii="Arial" w:cs="Arial" w:eastAsia="Arial" w:hAnsi="Arial"/>
                <w:sz w:val="17"/>
                <w:szCs w:val="17"/>
                <w:color w:val="auto"/>
              </w:rPr>
              <w:t>44,425</w:t>
            </w:r>
          </w:p>
        </w:tc>
        <w:tc>
          <w:tcPr>
            <w:tcW w:w="2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307CC0"/>
            </w:tcBorders>
            <w:shd w:val="clear" w:color="auto" w:fill="CCEEFF"/>
          </w:tcPr>
          <w:p>
            <w:pPr>
              <w:jc w:val="right"/>
              <w:ind w:right="5"/>
              <w:spacing w:after="0"/>
              <w:rPr>
                <w:sz w:val="20"/>
                <w:szCs w:val="20"/>
                <w:color w:val="auto"/>
              </w:rPr>
            </w:pPr>
            <w:r>
              <w:rPr>
                <w:rFonts w:ascii="Arial" w:cs="Arial" w:eastAsia="Arial" w:hAnsi="Arial"/>
                <w:sz w:val="17"/>
                <w:szCs w:val="17"/>
                <w:color w:val="auto"/>
              </w:rPr>
              <w:t>2,891,623</w:t>
            </w:r>
          </w:p>
        </w:tc>
        <w:tc>
          <w:tcPr>
            <w:tcW w:w="2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307CC0"/>
            </w:tcBorders>
            <w:shd w:val="clear" w:color="auto" w:fill="CCEEFF"/>
          </w:tcPr>
          <w:p>
            <w:pPr>
              <w:jc w:val="right"/>
              <w:ind w:right="25"/>
              <w:spacing w:after="0"/>
              <w:rPr>
                <w:sz w:val="20"/>
                <w:szCs w:val="20"/>
                <w:color w:val="auto"/>
              </w:rPr>
            </w:pPr>
            <w:r>
              <w:rPr>
                <w:rFonts w:ascii="Arial" w:cs="Arial" w:eastAsia="Arial" w:hAnsi="Arial"/>
                <w:sz w:val="17"/>
                <w:szCs w:val="17"/>
                <w:color w:val="auto"/>
              </w:rPr>
              <w:t>249,837</w:t>
            </w:r>
          </w:p>
        </w:tc>
      </w:tr>
      <w:tr>
        <w:trPr>
          <w:trHeight w:val="213"/>
        </w:trPr>
        <w:tc>
          <w:tcPr>
            <w:tcW w:w="1940" w:type="dxa"/>
            <w:vAlign w:val="bottom"/>
            <w:tcBorders>
              <w:bottom w:val="single" w:sz="8" w:color="307CC0"/>
            </w:tcBorders>
            <w:gridSpan w:val="2"/>
            <w:shd w:val="clear" w:color="auto" w:fill="D6E7FF"/>
          </w:tcPr>
          <w:p>
            <w:pPr>
              <w:ind w:left="40"/>
              <w:spacing w:after="0"/>
              <w:rPr>
                <w:sz w:val="20"/>
                <w:szCs w:val="20"/>
                <w:color w:val="auto"/>
              </w:rPr>
            </w:pPr>
            <w:r>
              <w:rPr>
                <w:rFonts w:ascii="Arial" w:cs="Arial" w:eastAsia="Arial" w:hAnsi="Arial"/>
                <w:sz w:val="17"/>
                <w:szCs w:val="17"/>
                <w:color w:val="auto"/>
              </w:rPr>
              <w:t>Mr. Bryant</w:t>
            </w:r>
          </w:p>
        </w:tc>
        <w:tc>
          <w:tcPr>
            <w:tcW w:w="1280" w:type="dxa"/>
            <w:vAlign w:val="bottom"/>
            <w:tcBorders>
              <w:bottom w:val="single" w:sz="8" w:color="307CC0"/>
            </w:tcBorders>
            <w:shd w:val="clear" w:color="auto" w:fill="D6E7FF"/>
          </w:tcPr>
          <w:p>
            <w:pPr>
              <w:jc w:val="right"/>
              <w:ind w:right="105"/>
              <w:spacing w:after="0"/>
              <w:rPr>
                <w:sz w:val="20"/>
                <w:szCs w:val="20"/>
                <w:color w:val="auto"/>
              </w:rPr>
            </w:pPr>
            <w:r>
              <w:rPr>
                <w:rFonts w:ascii="Arial" w:cs="Arial" w:eastAsia="Arial" w:hAnsi="Arial"/>
                <w:sz w:val="17"/>
                <w:szCs w:val="17"/>
                <w:color w:val="auto"/>
              </w:rPr>
              <w:t>17,979</w:t>
            </w:r>
          </w:p>
        </w:tc>
        <w:tc>
          <w:tcPr>
            <w:tcW w:w="1120" w:type="dxa"/>
            <w:vAlign w:val="bottom"/>
            <w:tcBorders>
              <w:bottom w:val="single" w:sz="8" w:color="307CC0"/>
            </w:tcBorders>
            <w:shd w:val="clear" w:color="auto" w:fill="D6E7FF"/>
          </w:tcPr>
          <w:p>
            <w:pPr>
              <w:jc w:val="right"/>
              <w:ind w:right="82"/>
              <w:spacing w:after="0"/>
              <w:rPr>
                <w:sz w:val="20"/>
                <w:szCs w:val="20"/>
                <w:color w:val="auto"/>
              </w:rPr>
            </w:pPr>
            <w:r>
              <w:rPr>
                <w:rFonts w:ascii="Arial" w:cs="Arial" w:eastAsia="Arial" w:hAnsi="Arial"/>
                <w:sz w:val="17"/>
                <w:szCs w:val="17"/>
                <w:color w:val="auto"/>
              </w:rPr>
              <w:t>0.5981</w:t>
            </w:r>
          </w:p>
        </w:tc>
        <w:tc>
          <w:tcPr>
            <w:tcW w:w="1180" w:type="dxa"/>
            <w:vAlign w:val="bottom"/>
            <w:tcBorders>
              <w:bottom w:val="single" w:sz="8" w:color="307CC0"/>
            </w:tcBorders>
            <w:shd w:val="clear" w:color="auto" w:fill="D6E7FF"/>
          </w:tcPr>
          <w:p>
            <w:pPr>
              <w:jc w:val="right"/>
              <w:ind w:right="85"/>
              <w:spacing w:after="0"/>
              <w:rPr>
                <w:sz w:val="20"/>
                <w:szCs w:val="20"/>
                <w:color w:val="auto"/>
              </w:rPr>
            </w:pPr>
            <w:r>
              <w:rPr>
                <w:rFonts w:ascii="Arial" w:cs="Arial" w:eastAsia="Arial" w:hAnsi="Arial"/>
                <w:sz w:val="17"/>
                <w:szCs w:val="17"/>
                <w:color w:val="auto"/>
              </w:rPr>
              <w:t>10,753</w:t>
            </w:r>
          </w:p>
        </w:tc>
        <w:tc>
          <w:tcPr>
            <w:tcW w:w="1100" w:type="dxa"/>
            <w:vAlign w:val="bottom"/>
            <w:tcBorders>
              <w:bottom w:val="single" w:sz="8" w:color="307CC0"/>
            </w:tcBorders>
            <w:shd w:val="clear" w:color="auto" w:fill="D6E7FF"/>
          </w:tcPr>
          <w:p>
            <w:pPr>
              <w:jc w:val="right"/>
              <w:ind w:right="2"/>
              <w:spacing w:after="0"/>
              <w:rPr>
                <w:sz w:val="20"/>
                <w:szCs w:val="20"/>
                <w:color w:val="auto"/>
              </w:rPr>
            </w:pPr>
            <w:r>
              <w:rPr>
                <w:rFonts w:ascii="Arial" w:cs="Arial" w:eastAsia="Arial" w:hAnsi="Arial"/>
                <w:sz w:val="17"/>
                <w:szCs w:val="17"/>
                <w:color w:val="auto"/>
              </w:rPr>
              <w:t>12,957</w:t>
            </w:r>
          </w:p>
        </w:tc>
        <w:tc>
          <w:tcPr>
            <w:tcW w:w="2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307CC0"/>
            </w:tcBorders>
            <w:shd w:val="clear" w:color="auto" w:fill="D6E7FF"/>
          </w:tcPr>
          <w:p>
            <w:pPr>
              <w:jc w:val="right"/>
              <w:ind w:right="5"/>
              <w:spacing w:after="0"/>
              <w:rPr>
                <w:sz w:val="20"/>
                <w:szCs w:val="20"/>
                <w:color w:val="auto"/>
              </w:rPr>
            </w:pPr>
            <w:r>
              <w:rPr>
                <w:rFonts w:ascii="Arial" w:cs="Arial" w:eastAsia="Arial" w:hAnsi="Arial"/>
                <w:sz w:val="17"/>
                <w:szCs w:val="17"/>
                <w:color w:val="auto"/>
              </w:rPr>
              <w:t>843,371</w:t>
            </w:r>
          </w:p>
        </w:tc>
        <w:tc>
          <w:tcPr>
            <w:tcW w:w="2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307CC0"/>
            </w:tcBorders>
            <w:shd w:val="clear" w:color="auto" w:fill="D6E7FF"/>
          </w:tcPr>
          <w:p>
            <w:pPr>
              <w:jc w:val="right"/>
              <w:ind w:right="25"/>
              <w:spacing w:after="0"/>
              <w:rPr>
                <w:sz w:val="20"/>
                <w:szCs w:val="20"/>
                <w:color w:val="auto"/>
              </w:rPr>
            </w:pPr>
            <w:r>
              <w:rPr>
                <w:rFonts w:ascii="Arial" w:cs="Arial" w:eastAsia="Arial" w:hAnsi="Arial"/>
                <w:sz w:val="17"/>
                <w:szCs w:val="17"/>
                <w:color w:val="auto"/>
              </w:rPr>
              <w:t>72,868</w:t>
            </w:r>
          </w:p>
        </w:tc>
      </w:tr>
      <w:tr>
        <w:trPr>
          <w:trHeight w:val="213"/>
        </w:trPr>
        <w:tc>
          <w:tcPr>
            <w:tcW w:w="194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Ms. Humphrey</w:t>
            </w:r>
          </w:p>
        </w:tc>
        <w:tc>
          <w:tcPr>
            <w:tcW w:w="1280" w:type="dxa"/>
            <w:vAlign w:val="bottom"/>
            <w:tcBorders>
              <w:bottom w:val="single" w:sz="8" w:color="307CC0"/>
            </w:tcBorders>
            <w:shd w:val="clear" w:color="auto" w:fill="CCEEFF"/>
          </w:tcPr>
          <w:p>
            <w:pPr>
              <w:jc w:val="right"/>
              <w:ind w:right="105"/>
              <w:spacing w:after="0"/>
              <w:rPr>
                <w:sz w:val="20"/>
                <w:szCs w:val="20"/>
                <w:color w:val="auto"/>
              </w:rPr>
            </w:pPr>
            <w:r>
              <w:rPr>
                <w:rFonts w:ascii="Arial" w:cs="Arial" w:eastAsia="Arial" w:hAnsi="Arial"/>
                <w:sz w:val="17"/>
                <w:szCs w:val="17"/>
                <w:color w:val="auto"/>
              </w:rPr>
              <w:t>12,858</w:t>
            </w:r>
          </w:p>
        </w:tc>
        <w:tc>
          <w:tcPr>
            <w:tcW w:w="1120" w:type="dxa"/>
            <w:vAlign w:val="bottom"/>
            <w:tcBorders>
              <w:bottom w:val="single" w:sz="8" w:color="307CC0"/>
            </w:tcBorders>
            <w:shd w:val="clear" w:color="auto" w:fill="CCEEFF"/>
          </w:tcPr>
          <w:p>
            <w:pPr>
              <w:jc w:val="right"/>
              <w:ind w:right="82"/>
              <w:spacing w:after="0"/>
              <w:rPr>
                <w:sz w:val="20"/>
                <w:szCs w:val="20"/>
                <w:color w:val="auto"/>
              </w:rPr>
            </w:pPr>
            <w:r>
              <w:rPr>
                <w:rFonts w:ascii="Arial" w:cs="Arial" w:eastAsia="Arial" w:hAnsi="Arial"/>
                <w:sz w:val="17"/>
                <w:szCs w:val="17"/>
                <w:color w:val="auto"/>
              </w:rPr>
              <w:t>0.5981</w:t>
            </w:r>
          </w:p>
        </w:tc>
        <w:tc>
          <w:tcPr>
            <w:tcW w:w="1180" w:type="dxa"/>
            <w:vAlign w:val="bottom"/>
            <w:tcBorders>
              <w:bottom w:val="single" w:sz="8" w:color="307CC0"/>
            </w:tcBorders>
            <w:shd w:val="clear" w:color="auto" w:fill="CCEEFF"/>
          </w:tcPr>
          <w:p>
            <w:pPr>
              <w:jc w:val="right"/>
              <w:ind w:right="85"/>
              <w:spacing w:after="0"/>
              <w:rPr>
                <w:sz w:val="20"/>
                <w:szCs w:val="20"/>
                <w:color w:val="auto"/>
              </w:rPr>
            </w:pPr>
            <w:r>
              <w:rPr>
                <w:rFonts w:ascii="Arial" w:cs="Arial" w:eastAsia="Arial" w:hAnsi="Arial"/>
                <w:sz w:val="17"/>
                <w:szCs w:val="17"/>
                <w:color w:val="auto"/>
              </w:rPr>
              <w:t>7,690</w:t>
            </w:r>
          </w:p>
        </w:tc>
        <w:tc>
          <w:tcPr>
            <w:tcW w:w="1100" w:type="dxa"/>
            <w:vAlign w:val="bottom"/>
            <w:tcBorders>
              <w:bottom w:val="single" w:sz="8" w:color="307CC0"/>
            </w:tcBorders>
            <w:shd w:val="clear" w:color="auto" w:fill="CCEEFF"/>
          </w:tcPr>
          <w:p>
            <w:pPr>
              <w:jc w:val="right"/>
              <w:ind w:right="2"/>
              <w:spacing w:after="0"/>
              <w:rPr>
                <w:sz w:val="20"/>
                <w:szCs w:val="20"/>
                <w:color w:val="auto"/>
              </w:rPr>
            </w:pPr>
            <w:r>
              <w:rPr>
                <w:rFonts w:ascii="Arial" w:cs="Arial" w:eastAsia="Arial" w:hAnsi="Arial"/>
                <w:sz w:val="17"/>
                <w:szCs w:val="17"/>
                <w:color w:val="auto"/>
              </w:rPr>
              <w:t>9,266</w:t>
            </w:r>
          </w:p>
        </w:tc>
        <w:tc>
          <w:tcPr>
            <w:tcW w:w="2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307CC0"/>
            </w:tcBorders>
            <w:shd w:val="clear" w:color="auto" w:fill="CCEEFF"/>
          </w:tcPr>
          <w:p>
            <w:pPr>
              <w:jc w:val="right"/>
              <w:ind w:right="5"/>
              <w:spacing w:after="0"/>
              <w:rPr>
                <w:sz w:val="20"/>
                <w:szCs w:val="20"/>
                <w:color w:val="auto"/>
              </w:rPr>
            </w:pPr>
            <w:r>
              <w:rPr>
                <w:rFonts w:ascii="Arial" w:cs="Arial" w:eastAsia="Arial" w:hAnsi="Arial"/>
                <w:sz w:val="17"/>
                <w:szCs w:val="17"/>
                <w:color w:val="auto"/>
              </w:rPr>
              <w:t>603,124</w:t>
            </w:r>
          </w:p>
        </w:tc>
        <w:tc>
          <w:tcPr>
            <w:tcW w:w="2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307CC0"/>
            </w:tcBorders>
            <w:shd w:val="clear" w:color="auto" w:fill="CCEEFF"/>
          </w:tcPr>
          <w:p>
            <w:pPr>
              <w:jc w:val="right"/>
              <w:ind w:right="25"/>
              <w:spacing w:after="0"/>
              <w:rPr>
                <w:sz w:val="20"/>
                <w:szCs w:val="20"/>
                <w:color w:val="auto"/>
              </w:rPr>
            </w:pPr>
            <w:r>
              <w:rPr>
                <w:rFonts w:ascii="Arial" w:cs="Arial" w:eastAsia="Arial" w:hAnsi="Arial"/>
                <w:sz w:val="17"/>
                <w:szCs w:val="17"/>
                <w:color w:val="auto"/>
              </w:rPr>
              <w:t>52,110</w:t>
            </w:r>
          </w:p>
        </w:tc>
      </w:tr>
      <w:tr>
        <w:trPr>
          <w:trHeight w:val="174"/>
        </w:trPr>
        <w:tc>
          <w:tcPr>
            <w:tcW w:w="13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-573405</wp:posOffset>
            </wp:positionV>
            <wp:extent cx="5808980" cy="147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-278130</wp:posOffset>
            </wp:positionV>
            <wp:extent cx="5808980" cy="147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88" w:lineRule="exact"/>
        <w:rPr>
          <w:sz w:val="20"/>
          <w:szCs w:val="20"/>
          <w:color w:val="auto"/>
        </w:rPr>
      </w:pPr>
    </w:p>
    <w:p>
      <w:pPr>
        <w:ind w:left="340" w:hanging="330"/>
        <w:spacing w:after="0" w:line="238"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the closing price per share of Evergy common stock on December 31, 2019, or $65.09, which was the last day of the performance period.</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Deferred Compensation</w:t>
      </w:r>
    </w:p>
    <w:p>
      <w:pPr>
        <w:spacing w:after="0" w:line="122" w:lineRule="exact"/>
        <w:rPr>
          <w:sz w:val="20"/>
          <w:szCs w:val="20"/>
          <w:color w:val="auto"/>
        </w:rPr>
      </w:pPr>
    </w:p>
    <w:p>
      <w:pPr>
        <w:jc w:val="both"/>
        <w:ind w:left="20" w:firstLine="172"/>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The Company’s DCP allows all officers, including NEOs, to defer the receipt of up to 50% of base salary and 100% of any cash incentive award. The earnings rate on deferral amounts is annually determined by the Committee and based on the Company’s weighted average cost of capital. A detailed discussion of the DCP begins on page </w:t>
      </w:r>
      <w:hyperlink w:anchor="page52">
        <w:r>
          <w:rPr>
            <w:rFonts w:ascii="Arial" w:cs="Arial" w:eastAsia="Arial" w:hAnsi="Arial"/>
            <w:sz w:val="17"/>
            <w:szCs w:val="17"/>
            <w:u w:val="single" w:color="auto"/>
            <w:color w:val="0000EE"/>
          </w:rPr>
          <w:t>48</w:t>
        </w:r>
      </w:hyperlink>
      <w:r>
        <w:rPr>
          <w:rFonts w:ascii="Arial" w:cs="Arial" w:eastAsia="Arial" w:hAnsi="Arial"/>
          <w:sz w:val="17"/>
          <w:szCs w:val="17"/>
          <w:color w:val="auto"/>
        </w:rPr>
        <w: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Retirement Benefits</w:t>
      </w:r>
    </w:p>
    <w:p>
      <w:pPr>
        <w:spacing w:after="0" w:line="122" w:lineRule="exact"/>
        <w:rPr>
          <w:sz w:val="20"/>
          <w:szCs w:val="20"/>
          <w:color w:val="auto"/>
        </w:rPr>
      </w:pPr>
    </w:p>
    <w:p>
      <w:pPr>
        <w:jc w:val="both"/>
        <w:ind w:left="20" w:right="20" w:firstLine="172"/>
        <w:spacing w:after="0" w:line="261" w:lineRule="auto"/>
        <w:rPr>
          <w:sz w:val="20"/>
          <w:szCs w:val="20"/>
          <w:color w:val="auto"/>
        </w:rPr>
      </w:pPr>
      <w:r>
        <w:rPr>
          <w:rFonts w:ascii="Arial" w:cs="Arial" w:eastAsia="Arial" w:hAnsi="Arial"/>
          <w:sz w:val="17"/>
          <w:szCs w:val="17"/>
          <w:color w:val="auto"/>
        </w:rPr>
        <w:t>Our officers, including our NEOs, participate in one of our tax-qualified, noncontributory defined benefit plans, and participate in other retirement plans depending on whether they were previously an officer of Great Plains Energy or Westar Energy.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Legacy Great Plains Energy Officers</w:t>
      </w:r>
    </w:p>
    <w:p>
      <w:pPr>
        <w:spacing w:after="0" w:line="120"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Officers that were officers of Great Plains Energy participate in a defined benefit plan sponsored by KCP&amp;L (the “KCP&amp;L Pension Plan”), which was available to all KCP&amp;L non-union employees hired or rehired on or before December 31, 2013. Benefits under the KCP&amp;L Pension Plan are based on each employee’s years of service and the average annual base salary over a specified period.</w:t>
      </w:r>
    </w:p>
    <w:p>
      <w:pPr>
        <w:spacing w:after="0" w:line="90"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Evergy also has an unfunded Supplemental Executive Retirement Plan (“KCP&amp;L SERP”) for executives who were formerly officers of Great Plains Energy. This unfunded plan provides the difference between the amount that would have been payable under the KCP&amp;L Pension Plan in the absence of Internal Revenue Service tax code limitations and the amount actually payable under the KCP&amp;L Pension Plan. It also provides a slightly higher benefit accrual rate than the KCP&amp;L Pension Plan.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Legacy Westar Energy Officers</w:t>
      </w:r>
    </w:p>
    <w:p>
      <w:pPr>
        <w:spacing w:after="0" w:line="120" w:lineRule="exact"/>
        <w:rPr>
          <w:sz w:val="20"/>
          <w:szCs w:val="20"/>
          <w:color w:val="auto"/>
        </w:rPr>
      </w:pPr>
    </w:p>
    <w:p>
      <w:pPr>
        <w:jc w:val="both"/>
        <w:ind w:left="20" w:right="20" w:firstLine="172"/>
        <w:spacing w:after="0" w:line="268" w:lineRule="auto"/>
        <w:rPr>
          <w:sz w:val="20"/>
          <w:szCs w:val="20"/>
          <w:color w:val="auto"/>
        </w:rPr>
      </w:pPr>
      <w:r>
        <w:rPr>
          <w:rFonts w:ascii="Arial" w:cs="Arial" w:eastAsia="Arial" w:hAnsi="Arial"/>
          <w:sz w:val="17"/>
          <w:szCs w:val="17"/>
          <w:color w:val="auto"/>
        </w:rPr>
        <w:t>Officers who were officers of Westar Energy participate in a defined benefit plan sponsored by Westar Energy (the “Westar Pension Plan”), which was available to all Westar Energy employees hired or rehired on or before May 30, 2018.</w:t>
      </w:r>
    </w:p>
    <w:p>
      <w:pPr>
        <w:spacing w:after="0" w:line="287"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Officers who were officers of Westar Energy also participate in a Retirement Benefit Restoration Plan (the “Westar Restoration Plan”). This unfunded plan provides the difference between the amount that would have been payable under the Westar Pension Plan in the absence of Internal Revenue Service tax code limitations and the amount actually payable under the Westar Pension Plan.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Change-in-Control Severance Agreements</w:t>
      </w:r>
    </w:p>
    <w:p>
      <w:pPr>
        <w:spacing w:after="0" w:line="122" w:lineRule="exact"/>
        <w:rPr>
          <w:sz w:val="20"/>
          <w:szCs w:val="20"/>
          <w:color w:val="auto"/>
        </w:rPr>
      </w:pPr>
    </w:p>
    <w:p>
      <w:pPr>
        <w:jc w:val="both"/>
        <w:ind w:left="20" w:firstLine="172"/>
        <w:spacing w:after="0" w:line="255" w:lineRule="auto"/>
        <w:rPr>
          <w:sz w:val="20"/>
          <w:szCs w:val="20"/>
          <w:color w:val="auto"/>
        </w:rPr>
      </w:pPr>
      <w:r>
        <w:rPr>
          <w:rFonts w:ascii="Arial" w:cs="Arial" w:eastAsia="Arial" w:hAnsi="Arial"/>
          <w:sz w:val="17"/>
          <w:szCs w:val="17"/>
          <w:color w:val="auto"/>
        </w:rPr>
        <w:t>The Committee believes that change-in-control severance agreements help ensure the continued service, dedication and objectivity of our officers, including our NEOs, in the event of a transaction that would result in a change-in-control of the Company. These agreements support the objective assessment and execution of potential changes in Evergy’s strategy and enhance retention by reducing concerns about employment continuity. We believe these change-in-control arrangements also create incentives for our officer team to build shareholder value and to obtain the highest value possible should we engage in a transaction, despite the risk of losing employment and potentially not having the opportunity to otherwise vest in equity awards. These agreements provide for payments and other benefits if the officer’s employment terminates for a qualifying event or circumstance, such as being terminated without “Cause” or leaving employment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808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93" w:lineRule="exact"/>
        <w:rPr>
          <w:sz w:val="20"/>
          <w:szCs w:val="20"/>
          <w:color w:val="auto"/>
        </w:rPr>
      </w:pPr>
    </w:p>
    <w:p>
      <w:pPr>
        <w:ind w:left="540"/>
        <w:spacing w:after="0"/>
        <w:tabs>
          <w:tab w:leader="none" w:pos="350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“Good Reason,” as these terms are defined in the agreements. All the agreements require a double trigger so that both a change-in-control and a termination (actual or constructive) of the executive’s employment must occur to trigger benefits. The new agreements do not provide for a “gross up” payment to cover any excise taxes that could be payable in connection with payments and benefits received under the agreement.</w:t>
      </w:r>
    </w:p>
    <w:p>
      <w:pPr>
        <w:spacing w:after="0" w:line="90" w:lineRule="exact"/>
        <w:rPr>
          <w:sz w:val="20"/>
          <w:szCs w:val="20"/>
          <w:color w:val="auto"/>
        </w:rPr>
      </w:pPr>
    </w:p>
    <w:p>
      <w:pPr>
        <w:jc w:val="both"/>
        <w:ind w:firstLine="172"/>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Additional information, including a quantification of benefits that would have been received by NEOs had termination occurred on December 31, 2019, is found under the heading “Potential Payments Upon Termination or Change-in-Control” starting on page </w:t>
      </w:r>
      <w:hyperlink w:anchor="page53">
        <w:r>
          <w:rPr>
            <w:rFonts w:ascii="Arial" w:cs="Arial" w:eastAsia="Arial" w:hAnsi="Arial"/>
            <w:sz w:val="17"/>
            <w:szCs w:val="17"/>
            <w:u w:val="single" w:color="auto"/>
            <w:color w:val="0000EE"/>
          </w:rPr>
          <w:t>49</w:t>
        </w:r>
      </w:hyperlink>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Employment Agreements</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None of the Company’s executive officers, including the NEOs, have a written employment agreement.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Perquisites and Generally Available Employee Benefits</w:t>
      </w:r>
    </w:p>
    <w:p>
      <w:pPr>
        <w:spacing w:after="0" w:line="122" w:lineRule="exact"/>
        <w:rPr>
          <w:sz w:val="20"/>
          <w:szCs w:val="20"/>
          <w:color w:val="auto"/>
        </w:rPr>
      </w:pPr>
    </w:p>
    <w:p>
      <w:pPr>
        <w:jc w:val="both"/>
        <w:ind w:firstLine="172"/>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Our NEOs are eligible to receive modest perquisites provided by or paid for by Evergy. These perquisites are generally consistent with those offered to executives at our peer group companies, and the Committee believes that they are important for retention and recruitment. The Committee also believes that Evergy, in general, benefits from these perquisites because the perquisites help promote the financial and physical health of our NEOs, thereby allowing them to focus on their jobs. As shown in the Summary Compensation Table on page </w:t>
      </w:r>
      <w:hyperlink w:anchor="page45">
        <w:r>
          <w:rPr>
            <w:rFonts w:ascii="Arial" w:cs="Arial" w:eastAsia="Arial" w:hAnsi="Arial"/>
            <w:sz w:val="17"/>
            <w:szCs w:val="17"/>
            <w:u w:val="single" w:color="auto"/>
            <w:color w:val="0000EE"/>
          </w:rPr>
          <w:t>41,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all NEOs are eligible for comprehensive financial planning services and executive health physicals. The NEOs are also eligible for employment benefits that are generally available to all employees, such as participation in a 401(k) plan and medical and life insurance.</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Committee Consideration of Compensation Program Risk</w:t>
      </w:r>
    </w:p>
    <w:p>
      <w:pPr>
        <w:spacing w:after="0" w:line="122"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The Committee reviewed an analysis conducted by Meridian that analyzed the risks associated with Evergy’s compensation programs, including those for executive officers. This analysis concluded that the risks associated with Evergy’s compensation programs are not likely to have a material adverse effect on Evergy, and instead encourage overall balanced performance that supports sustainable shareholder value. Among the items the Committee considered were:</w:t>
      </w:r>
    </w:p>
    <w:p>
      <w:pPr>
        <w:spacing w:after="0" w:line="90" w:lineRule="exact"/>
        <w:rPr>
          <w:sz w:val="20"/>
          <w:szCs w:val="20"/>
          <w:color w:val="auto"/>
        </w:rPr>
      </w:pPr>
    </w:p>
    <w:p>
      <w:pPr>
        <w:ind w:left="500" w:hanging="342"/>
        <w:spacing w:after="0" w:line="253"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The annual incentive plans for all employees (including officers) contain a diverse array of measures that focus on the fundamental aspects of our business.</w:t>
      </w:r>
    </w:p>
    <w:p>
      <w:pPr>
        <w:spacing w:after="0" w:line="78" w:lineRule="exact"/>
        <w:rPr>
          <w:rFonts w:ascii="Arial" w:cs="Arial" w:eastAsia="Arial" w:hAnsi="Arial"/>
          <w:sz w:val="17"/>
          <w:szCs w:val="17"/>
          <w:color w:val="307CC0"/>
        </w:rPr>
      </w:pPr>
    </w:p>
    <w:p>
      <w:pPr>
        <w:ind w:left="500" w:right="20" w:hanging="342"/>
        <w:spacing w:after="0" w:line="253"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The performance measures for all incentive compensation programs are directly tied to Evergy’s annual and long-term financial results and/or business plans.</w:t>
      </w:r>
    </w:p>
    <w:p>
      <w:pPr>
        <w:spacing w:after="0" w:line="78"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The maximum amount payable to non-officer employees under our annual incentive plan are modest and balanced.</w:t>
      </w:r>
    </w:p>
    <w:p>
      <w:pPr>
        <w:spacing w:after="0" w:line="78"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The officer compensation program design provides a balanced mix of cash and equity, annual and long-term incentives and diverse performance objectives.</w:t>
      </w:r>
    </w:p>
    <w:p>
      <w:pPr>
        <w:spacing w:after="0" w:line="78" w:lineRule="exact"/>
        <w:rPr>
          <w:rFonts w:ascii="Arial" w:cs="Arial" w:eastAsia="Arial" w:hAnsi="Arial"/>
          <w:sz w:val="17"/>
          <w:szCs w:val="17"/>
          <w:color w:val="307CC0"/>
        </w:rPr>
      </w:pPr>
    </w:p>
    <w:p>
      <w:pPr>
        <w:ind w:left="500" w:hanging="342"/>
        <w:spacing w:after="0"/>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Evergy currently does not grant stock options.</w:t>
      </w:r>
    </w:p>
    <w:p>
      <w:pPr>
        <w:spacing w:after="0" w:line="101"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Evergy (for non-officers) and the Committee (for officers) have the ability to adjust cash and equity incentive program payouts if the payouts are not justified by performance.</w:t>
      </w:r>
    </w:p>
    <w:p>
      <w:pPr>
        <w:spacing w:after="0" w:line="78"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Evergy has the ability to “clawback” officer annual incentive compensation and LTIP performance awards in the event of a restatement.</w:t>
      </w:r>
    </w:p>
    <w:p>
      <w:pPr>
        <w:spacing w:after="0" w:line="78" w:lineRule="exact"/>
        <w:rPr>
          <w:rFonts w:ascii="Arial" w:cs="Arial" w:eastAsia="Arial" w:hAnsi="Arial"/>
          <w:sz w:val="17"/>
          <w:szCs w:val="17"/>
          <w:color w:val="307CC0"/>
        </w:rPr>
      </w:pPr>
    </w:p>
    <w:p>
      <w:pPr>
        <w:ind w:left="500" w:hanging="342"/>
        <w:spacing w:after="0"/>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Officers are subject to share ownership and retention guidelines.</w:t>
      </w:r>
    </w:p>
    <w:p>
      <w:pPr>
        <w:spacing w:after="0" w:line="101" w:lineRule="exact"/>
        <w:rPr>
          <w:rFonts w:ascii="Arial" w:cs="Arial" w:eastAsia="Arial" w:hAnsi="Arial"/>
          <w:sz w:val="17"/>
          <w:szCs w:val="17"/>
          <w:color w:val="307CC0"/>
        </w:rPr>
      </w:pPr>
    </w:p>
    <w:p>
      <w:pPr>
        <w:jc w:val="both"/>
        <w:ind w:left="500" w:right="20" w:hanging="342"/>
        <w:spacing w:after="0" w:line="247"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The Board oversees Evergy’s enterprise risk management and mitigation programs, including the possible impacts of variables on the earnings of Evergy, which are important aspects of Evergy’s incentive compensation plans.</w:t>
      </w:r>
    </w:p>
    <w:p>
      <w:pPr>
        <w:spacing w:after="0" w:line="282" w:lineRule="exact"/>
        <w:rPr>
          <w:rFonts w:ascii="Arial" w:cs="Arial" w:eastAsia="Arial" w:hAnsi="Arial"/>
          <w:sz w:val="17"/>
          <w:szCs w:val="17"/>
          <w:color w:val="307CC0"/>
        </w:rPr>
      </w:pPr>
    </w:p>
    <w:p>
      <w:pPr>
        <w:ind w:left="500" w:right="20" w:hanging="342"/>
        <w:spacing w:after="0" w:line="253"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The officers’ annual incentive plan and LTIP performance grants have a “stretch” performance level to flatten the steepness of the performance payout curve and further reinforce the appropriate behavioral incentives.</w:t>
      </w:r>
    </w:p>
    <w:p>
      <w:pPr>
        <w:spacing w:after="0" w:line="78" w:lineRule="exact"/>
        <w:rPr>
          <w:rFonts w:ascii="Arial" w:cs="Arial" w:eastAsia="Arial" w:hAnsi="Arial"/>
          <w:sz w:val="17"/>
          <w:szCs w:val="17"/>
          <w:color w:val="307CC0"/>
        </w:rPr>
      </w:pPr>
    </w:p>
    <w:p>
      <w:pPr>
        <w:ind w:left="500" w:right="20" w:hanging="342"/>
        <w:spacing w:after="0" w:line="253" w:lineRule="auto"/>
        <w:tabs>
          <w:tab w:leader="none" w:pos="500" w:val="left"/>
        </w:tabs>
        <w:numPr>
          <w:ilvl w:val="0"/>
          <w:numId w:val="34"/>
        </w:numPr>
        <w:rPr>
          <w:rFonts w:ascii="Arial" w:cs="Arial" w:eastAsia="Arial" w:hAnsi="Arial"/>
          <w:sz w:val="17"/>
          <w:szCs w:val="17"/>
          <w:color w:val="307CC0"/>
        </w:rPr>
      </w:pPr>
      <w:r>
        <w:rPr>
          <w:rFonts w:ascii="Arial" w:cs="Arial" w:eastAsia="Arial" w:hAnsi="Arial"/>
          <w:sz w:val="17"/>
          <w:szCs w:val="17"/>
          <w:color w:val="auto"/>
        </w:rPr>
        <w:t>Under the LTIP, any payout is capped at target or 100 percent if total shareholder return performance is negative even if a greater award is prescribed by the performance objectives.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and Accounting Implications</w:t>
      </w:r>
    </w:p>
    <w:p>
      <w:pPr>
        <w:spacing w:after="0" w:line="122"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In addition to our executive compensation objectives and design principles, we consider tax and accounting implications when designing and administering our compensation programs. One such consideration is Internal Revenue Code Section 162(m), which limits our ability to deduct compensation paid to each covered officer for tax purposes to $1.0 million annually. Section 162(m) was amended and expanded under the federal tax bill enacted at the end of 2017. Beginning in 2018, covered officers include the principal executive officer, principal financial officer and next three highest paid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5808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p>
      <w:pPr>
        <w:spacing w:after="0" w:line="211" w:lineRule="exact"/>
        <w:rPr>
          <w:sz w:val="20"/>
          <w:szCs w:val="20"/>
          <w:color w:val="auto"/>
        </w:rPr>
      </w:pPr>
    </w:p>
    <w:p>
      <w:pPr>
        <w:ind w:left="520"/>
        <w:spacing w:after="0"/>
        <w:tabs>
          <w:tab w:leader="none" w:pos="348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executive officers. Additionally, compensation paid in 2018 and later years is generally subject to the deduction limits of Section 162(m), without an exception for performance-based compensation. This includes annual and long-term incentive awards paid and equity awards granted in 2018 and later years. Although the Committee considers tax deductibility in making its compensation decisions, the Committee does not believe that compensation decisions should be determined solely by how much compensation is deductible for federal income tax purposes. As a result, the Committee retains the discretion to authorize payments that may not be deductible. The Committee also considers the accounting consequences of its compensation decisions.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Governance Practice</w:t>
      </w:r>
    </w:p>
    <w:p>
      <w:pPr>
        <w:spacing w:after="0" w:line="122" w:lineRule="exact"/>
        <w:rPr>
          <w:sz w:val="20"/>
          <w:szCs w:val="20"/>
          <w:color w:val="auto"/>
        </w:rPr>
      </w:pPr>
    </w:p>
    <w:p>
      <w:pPr>
        <w:jc w:val="both"/>
        <w:ind w:firstLine="172"/>
        <w:spacing w:after="0" w:line="269" w:lineRule="auto"/>
        <w:rPr>
          <w:sz w:val="20"/>
          <w:szCs w:val="20"/>
          <w:color w:val="auto"/>
        </w:rPr>
      </w:pPr>
      <w:r>
        <w:rPr>
          <w:rFonts w:ascii="Arial" w:cs="Arial" w:eastAsia="Arial" w:hAnsi="Arial"/>
          <w:sz w:val="17"/>
          <w:szCs w:val="17"/>
          <w:color w:val="auto"/>
        </w:rPr>
        <w:t>We believe our 2019 executive compensation decisions demonstrate our commitment to paying for performance and are supplemented by sound compensation policies and practices, including:</w:t>
      </w:r>
    </w:p>
    <w:p>
      <w:pPr>
        <w:spacing w:after="0" w:line="79" w:lineRule="exact"/>
        <w:rPr>
          <w:sz w:val="20"/>
          <w:szCs w:val="20"/>
          <w:color w:val="auto"/>
        </w:rPr>
      </w:pPr>
    </w:p>
    <w:p>
      <w:pPr>
        <w:jc w:val="both"/>
        <w:ind w:left="500" w:right="20" w:hanging="342"/>
        <w:spacing w:after="0" w:line="24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Independent Committee</w:t>
      </w:r>
      <w:r>
        <w:rPr>
          <w:rFonts w:ascii="Arial" w:cs="Arial" w:eastAsia="Arial" w:hAnsi="Arial"/>
          <w:sz w:val="17"/>
          <w:szCs w:val="17"/>
          <w:color w:val="auto"/>
        </w:rPr>
        <w:t>. The Committee was comprised of six directors in 2019, each of whom is independent under the NYSE listing standards, including the enhanced independence standards for members of the compensation committee, a “non-employee director” under the Exchange Act and an “outside director” under Section 162(m) of the Internal Revenue Code.</w:t>
      </w:r>
    </w:p>
    <w:p>
      <w:pPr>
        <w:spacing w:after="0" w:line="86"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Independent Consultant</w:t>
      </w:r>
      <w:r>
        <w:rPr>
          <w:rFonts w:ascii="Arial" w:cs="Arial" w:eastAsia="Arial" w:hAnsi="Arial"/>
          <w:sz w:val="17"/>
          <w:szCs w:val="17"/>
          <w:color w:val="auto"/>
        </w:rPr>
        <w:t>. For 2019, the Committee directly retained Meridian, an independent compensation consultant, to evaluate, and provide advice with respect to, our executive compensation program.</w:t>
      </w:r>
    </w:p>
    <w:p>
      <w:pPr>
        <w:spacing w:after="0" w:line="78" w:lineRule="exact"/>
        <w:rPr>
          <w:rFonts w:ascii="Arial" w:cs="Arial" w:eastAsia="Arial" w:hAnsi="Arial"/>
          <w:sz w:val="17"/>
          <w:szCs w:val="17"/>
          <w:color w:val="307CC0"/>
        </w:rPr>
      </w:pPr>
    </w:p>
    <w:p>
      <w:pPr>
        <w:jc w:val="both"/>
        <w:ind w:left="500" w:right="20" w:hanging="342"/>
        <w:spacing w:after="0" w:line="245"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Executive Sessions</w:t>
      </w:r>
      <w:r>
        <w:rPr>
          <w:rFonts w:ascii="Arial" w:cs="Arial" w:eastAsia="Arial" w:hAnsi="Arial"/>
          <w:sz w:val="17"/>
          <w:szCs w:val="17"/>
          <w:color w:val="auto"/>
        </w:rPr>
        <w:t>. Time is allocated at each regular Committee meeting for the Committee to meet in executive session without the presence of management. The Committee at times will include its independent compensation consultant or other advisors for all or a part of these sessions.</w:t>
      </w:r>
    </w:p>
    <w:p>
      <w:pPr>
        <w:spacing w:after="0" w:line="86"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Board Oversight of Succession</w:t>
      </w:r>
      <w:r>
        <w:rPr>
          <w:rFonts w:ascii="Arial" w:cs="Arial" w:eastAsia="Arial" w:hAnsi="Arial"/>
          <w:sz w:val="17"/>
          <w:szCs w:val="17"/>
          <w:color w:val="auto"/>
        </w:rPr>
        <w:t>. Our Committee and Board regularly review succession plans for our executive officers, including our NEOs.</w:t>
      </w:r>
    </w:p>
    <w:p>
      <w:pPr>
        <w:spacing w:after="0" w:line="78" w:lineRule="exact"/>
        <w:rPr>
          <w:rFonts w:ascii="Arial" w:cs="Arial" w:eastAsia="Arial" w:hAnsi="Arial"/>
          <w:sz w:val="17"/>
          <w:szCs w:val="17"/>
          <w:color w:val="307CC0"/>
        </w:rPr>
      </w:pPr>
    </w:p>
    <w:p>
      <w:pPr>
        <w:jc w:val="both"/>
        <w:ind w:left="500" w:hanging="342"/>
        <w:spacing w:after="0" w:line="24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Stock Ownership Guidelines</w:t>
      </w:r>
      <w:r>
        <w:rPr>
          <w:rFonts w:ascii="Arial" w:cs="Arial" w:eastAsia="Arial" w:hAnsi="Arial"/>
          <w:sz w:val="17"/>
          <w:szCs w:val="17"/>
          <w:color w:val="auto"/>
        </w:rPr>
        <w:t>. We have significant stock ownership and holding guidelines for all of our executive officers. Our chief executive officer is expected to hold Evergy common stock equal to at least five times base salary. Other executive officers, including the other NEOs, are expected to hold Evergy common stock equal to either two or three times their base salaries, as applicable.</w:t>
      </w:r>
    </w:p>
    <w:p>
      <w:pPr>
        <w:spacing w:after="0" w:line="86"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Clawback Policy</w:t>
      </w:r>
      <w:r>
        <w:rPr>
          <w:rFonts w:ascii="Arial" w:cs="Arial" w:eastAsia="Arial" w:hAnsi="Arial"/>
          <w:sz w:val="17"/>
          <w:szCs w:val="17"/>
          <w:color w:val="auto"/>
        </w:rPr>
        <w:t>. We have the ability to recover cash incentive compensation and equity awards from senior executives in the event of a restatement of or other inaccuracy in our financial statements.</w:t>
      </w:r>
    </w:p>
    <w:p>
      <w:pPr>
        <w:spacing w:after="0" w:line="78"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Risk Assessment of Compensation Plans</w:t>
      </w:r>
      <w:r>
        <w:rPr>
          <w:rFonts w:ascii="Arial" w:cs="Arial" w:eastAsia="Arial" w:hAnsi="Arial"/>
          <w:sz w:val="17"/>
          <w:szCs w:val="17"/>
          <w:color w:val="auto"/>
        </w:rPr>
        <w:t>. We annually conduct or review a risk assessment to evaluate whether our compensation program creates any risks that may have a material adverse effect on us.</w:t>
      </w:r>
    </w:p>
    <w:p>
      <w:pPr>
        <w:spacing w:after="0" w:line="78" w:lineRule="exact"/>
        <w:rPr>
          <w:rFonts w:ascii="Arial" w:cs="Arial" w:eastAsia="Arial" w:hAnsi="Arial"/>
          <w:sz w:val="17"/>
          <w:szCs w:val="17"/>
          <w:color w:val="307CC0"/>
        </w:rPr>
      </w:pPr>
    </w:p>
    <w:p>
      <w:pPr>
        <w:jc w:val="both"/>
        <w:ind w:left="500" w:hanging="342"/>
        <w:spacing w:after="0" w:line="245"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“Double Trigger” Change-in-Control Agreements</w:t>
      </w:r>
      <w:r>
        <w:rPr>
          <w:rFonts w:ascii="Arial" w:cs="Arial" w:eastAsia="Arial" w:hAnsi="Arial"/>
          <w:sz w:val="17"/>
          <w:szCs w:val="17"/>
          <w:color w:val="auto"/>
        </w:rPr>
        <w:t>. Our Change-in-Control Severance Agreements have a “double trigger” that requires both a change-in-control and termination of employment prior to the payment of severance benefits, if any.</w:t>
      </w:r>
    </w:p>
    <w:p>
      <w:pPr>
        <w:spacing w:after="0" w:line="86"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No Tax “Gross-Ups” in Change-in-Control Agreements</w:t>
      </w:r>
      <w:r>
        <w:rPr>
          <w:rFonts w:ascii="Arial" w:cs="Arial" w:eastAsia="Arial" w:hAnsi="Arial"/>
          <w:sz w:val="17"/>
          <w:szCs w:val="17"/>
          <w:color w:val="auto"/>
        </w:rPr>
        <w:t>. The Change-in-Control Severance Agreements that govern future transactions do not contain any excise tax gross-up features.</w:t>
      </w:r>
    </w:p>
    <w:p>
      <w:pPr>
        <w:spacing w:after="0" w:line="78"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No Employment Contracts</w:t>
      </w:r>
      <w:r>
        <w:rPr>
          <w:rFonts w:ascii="Arial" w:cs="Arial" w:eastAsia="Arial" w:hAnsi="Arial"/>
          <w:sz w:val="17"/>
          <w:szCs w:val="17"/>
          <w:color w:val="auto"/>
        </w:rPr>
        <w:t>. We do not have employment contracts with any of our executive officers, including the NEOs.</w:t>
      </w:r>
    </w:p>
    <w:p>
      <w:pPr>
        <w:spacing w:after="0" w:line="78" w:lineRule="exact"/>
        <w:rPr>
          <w:rFonts w:ascii="Arial" w:cs="Arial" w:eastAsia="Arial" w:hAnsi="Arial"/>
          <w:sz w:val="17"/>
          <w:szCs w:val="17"/>
          <w:color w:val="307CC0"/>
        </w:rPr>
      </w:pPr>
    </w:p>
    <w:p>
      <w:pPr>
        <w:jc w:val="both"/>
        <w:ind w:left="500" w:hanging="342"/>
        <w:spacing w:after="0" w:line="24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Standardized Equity Grant Schedule</w:t>
      </w:r>
      <w:r>
        <w:rPr>
          <w:rFonts w:ascii="Arial" w:cs="Arial" w:eastAsia="Arial" w:hAnsi="Arial"/>
          <w:sz w:val="17"/>
          <w:szCs w:val="17"/>
          <w:color w:val="auto"/>
        </w:rPr>
        <w:t>. Our annual equity grants occur in early March, which is after we release financial results for the prior fiscal year. In addition, equity incentives that are expressed as a dollar target are converted into equity awards using an average closing price of our stock over the preceding month, which minimizes the ability to use equity grants for speculative purposes.</w:t>
      </w:r>
    </w:p>
    <w:p>
      <w:pPr>
        <w:spacing w:after="0" w:line="86" w:lineRule="exact"/>
        <w:rPr>
          <w:rFonts w:ascii="Arial" w:cs="Arial" w:eastAsia="Arial" w:hAnsi="Arial"/>
          <w:sz w:val="17"/>
          <w:szCs w:val="17"/>
          <w:color w:val="307CC0"/>
        </w:rPr>
      </w:pPr>
    </w:p>
    <w:p>
      <w:pPr>
        <w:jc w:val="both"/>
        <w:ind w:left="500" w:right="20" w:hanging="342"/>
        <w:spacing w:after="0" w:line="245"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No Dividend Payments for Unvested Awards</w:t>
      </w:r>
      <w:r>
        <w:rPr>
          <w:rFonts w:ascii="Arial" w:cs="Arial" w:eastAsia="Arial" w:hAnsi="Arial"/>
          <w:sz w:val="17"/>
          <w:szCs w:val="17"/>
          <w:color w:val="auto"/>
        </w:rPr>
        <w:t>. Dividends are not paid on unvested performance awards, unless and until such awards vest. In addition, for time-based equity incentives, dividends that are reinvested in the form of additional time-based equity incentives are forfeited if the incentive does not vest.</w:t>
      </w:r>
    </w:p>
    <w:p>
      <w:pPr>
        <w:spacing w:after="0" w:line="86" w:lineRule="exact"/>
        <w:rPr>
          <w:rFonts w:ascii="Arial" w:cs="Arial" w:eastAsia="Arial" w:hAnsi="Arial"/>
          <w:sz w:val="17"/>
          <w:szCs w:val="17"/>
          <w:color w:val="307CC0"/>
        </w:rPr>
      </w:pPr>
    </w:p>
    <w:p>
      <w:pPr>
        <w:ind w:left="500" w:hanging="342"/>
        <w:spacing w:after="0"/>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No Stock Options</w:t>
      </w:r>
      <w:r>
        <w:rPr>
          <w:rFonts w:ascii="Arial" w:cs="Arial" w:eastAsia="Arial" w:hAnsi="Arial"/>
          <w:sz w:val="17"/>
          <w:szCs w:val="17"/>
          <w:color w:val="auto"/>
        </w:rPr>
        <w:t>. We do not currently grant stock options.</w:t>
      </w:r>
    </w:p>
    <w:p>
      <w:pPr>
        <w:spacing w:after="0" w:line="101" w:lineRule="exact"/>
        <w:rPr>
          <w:rFonts w:ascii="Arial" w:cs="Arial" w:eastAsia="Arial" w:hAnsi="Arial"/>
          <w:sz w:val="17"/>
          <w:szCs w:val="17"/>
          <w:color w:val="307CC0"/>
        </w:rPr>
      </w:pPr>
    </w:p>
    <w:p>
      <w:pPr>
        <w:ind w:left="500" w:right="20" w:hanging="342"/>
        <w:spacing w:after="0" w:line="25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No Repricing or Backdating</w:t>
      </w:r>
      <w:r>
        <w:rPr>
          <w:rFonts w:ascii="Arial" w:cs="Arial" w:eastAsia="Arial" w:hAnsi="Arial"/>
          <w:sz w:val="17"/>
          <w:szCs w:val="17"/>
          <w:color w:val="auto"/>
        </w:rPr>
        <w:t>. If we were to grant stock options in the future, our LTIP prohibits the repricing of stock options without shareholder approval. We also do not backdate equity awards.</w:t>
      </w:r>
    </w:p>
    <w:p>
      <w:pPr>
        <w:spacing w:after="0" w:line="78"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Alignment with Shareholder Interests</w:t>
      </w:r>
      <w:r>
        <w:rPr>
          <w:rFonts w:ascii="Arial" w:cs="Arial" w:eastAsia="Arial" w:hAnsi="Arial"/>
          <w:sz w:val="17"/>
          <w:szCs w:val="17"/>
          <w:color w:val="auto"/>
        </w:rPr>
        <w:t>. A significant portion of each executive officer’s compensation depends on our performance in an effort to align the economic interests of our executive officers with our shareholders.</w:t>
      </w:r>
    </w:p>
    <w:p>
      <w:pPr>
        <w:spacing w:after="0" w:line="78" w:lineRule="exact"/>
        <w:rPr>
          <w:rFonts w:ascii="Arial" w:cs="Arial" w:eastAsia="Arial" w:hAnsi="Arial"/>
          <w:sz w:val="17"/>
          <w:szCs w:val="17"/>
          <w:color w:val="307CC0"/>
        </w:rPr>
      </w:pPr>
    </w:p>
    <w:p>
      <w:pPr>
        <w:jc w:val="both"/>
        <w:ind w:left="500" w:hanging="342"/>
        <w:spacing w:after="0" w:line="245" w:lineRule="auto"/>
        <w:tabs>
          <w:tab w:leader="none" w:pos="500" w:val="left"/>
        </w:tabs>
        <w:numPr>
          <w:ilvl w:val="0"/>
          <w:numId w:val="35"/>
        </w:numPr>
        <w:rPr>
          <w:rFonts w:ascii="Arial" w:cs="Arial" w:eastAsia="Arial" w:hAnsi="Arial"/>
          <w:sz w:val="17"/>
          <w:szCs w:val="17"/>
          <w:color w:val="307CC0"/>
        </w:rPr>
      </w:pPr>
      <w:r>
        <w:rPr>
          <w:rFonts w:ascii="Arial" w:cs="Arial" w:eastAsia="Arial" w:hAnsi="Arial"/>
          <w:sz w:val="17"/>
          <w:szCs w:val="17"/>
          <w:u w:val="single" w:color="auto"/>
          <w:color w:val="auto"/>
        </w:rPr>
        <w:t>Short Selling, Hedging and Pledging</w:t>
      </w:r>
      <w:r>
        <w:rPr>
          <w:rFonts w:ascii="Arial" w:cs="Arial" w:eastAsia="Arial" w:hAnsi="Arial"/>
          <w:sz w:val="17"/>
          <w:szCs w:val="17"/>
          <w:color w:val="auto"/>
        </w:rPr>
        <w:t>. Our insider trading policy prohibits all directors, executive officers and employees from engaging in short sales and hedging transactions relating to our common stock, and from pledging the same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5" w:lineRule="exact"/>
        <w:rPr>
          <w:sz w:val="20"/>
          <w:szCs w:val="20"/>
          <w:color w:val="auto"/>
        </w:rPr>
      </w:pPr>
    </w:p>
    <w:p>
      <w:pPr>
        <w:ind w:left="520"/>
        <w:spacing w:after="0"/>
        <w:tabs>
          <w:tab w:leader="none" w:pos="3480" w:val="left"/>
        </w:tabs>
        <w:rPr>
          <w:sz w:val="20"/>
          <w:szCs w:val="20"/>
          <w:color w:val="auto"/>
        </w:rPr>
      </w:pPr>
      <w:r>
        <w:rPr>
          <w:rFonts w:ascii="Arial" w:cs="Arial" w:eastAsia="Arial" w:hAnsi="Arial"/>
          <w:sz w:val="14"/>
          <w:szCs w:val="14"/>
          <w:b w:val="1"/>
          <w:bCs w:val="1"/>
          <w:color w:val="307CC0"/>
        </w:rPr>
        <w:t>Executive Summary of 2019 Compensation</w:t>
      </w:r>
      <w:r>
        <w:rPr>
          <w:sz w:val="20"/>
          <w:szCs w:val="20"/>
          <w:color w:val="auto"/>
        </w:rPr>
        <w:tab/>
      </w:r>
      <w:r>
        <w:rPr>
          <w:rFonts w:ascii="Arial" w:cs="Arial" w:eastAsia="Arial" w:hAnsi="Arial"/>
          <w:sz w:val="13"/>
          <w:szCs w:val="13"/>
          <w:b w:val="1"/>
          <w:bCs w:val="1"/>
          <w:color w:val="7F7F7F"/>
        </w:rPr>
        <w:t xml:space="preserve">Summary and Analysis of Executive Compensation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240030</wp:posOffset>
            </wp:positionV>
            <wp:extent cx="5808980" cy="2051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Compensation Committee Report</w:t>
      </w:r>
    </w:p>
    <w:p>
      <w:pPr>
        <w:spacing w:after="0" w:line="171"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The Compensation and Leadership Development Committee of the Board reviewed and discussed with management the Compensation Discussion and Analysis contained in this proxy statement and, based on these reviews and discussions, recommended to the Board that the Compensation Discussion and Analysis be included in this proxy statement and incorporated by reference into the Company’s Annual Report on Form 10-K for the fiscal year ended December 31, 2019.</w:t>
      </w:r>
    </w:p>
    <w:p>
      <w:pPr>
        <w:spacing w:after="0" w:line="30"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Compensation and Leadership Development</w:t>
      </w:r>
    </w:p>
    <w:p>
      <w:pPr>
        <w:spacing w:after="0" w:line="20"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Committee</w:t>
      </w:r>
    </w:p>
    <w:p>
      <w:pPr>
        <w:spacing w:after="0" w:line="242"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John J. Sherman, Chair</w:t>
      </w:r>
    </w:p>
    <w:p>
      <w:pPr>
        <w:ind w:left="4580"/>
        <w:spacing w:after="0" w:line="237" w:lineRule="auto"/>
        <w:rPr>
          <w:sz w:val="20"/>
          <w:szCs w:val="20"/>
          <w:color w:val="auto"/>
        </w:rPr>
      </w:pPr>
      <w:r>
        <w:rPr>
          <w:rFonts w:ascii="Arial" w:cs="Arial" w:eastAsia="Arial" w:hAnsi="Arial"/>
          <w:sz w:val="17"/>
          <w:szCs w:val="17"/>
          <w:color w:val="auto"/>
        </w:rPr>
        <w:t>Mollie Hale Carter</w:t>
      </w:r>
    </w:p>
    <w:p>
      <w:pPr>
        <w:ind w:left="4580"/>
        <w:spacing w:after="0"/>
        <w:rPr>
          <w:sz w:val="20"/>
          <w:szCs w:val="20"/>
          <w:color w:val="auto"/>
        </w:rPr>
      </w:pPr>
      <w:r>
        <w:rPr>
          <w:rFonts w:ascii="Arial" w:cs="Arial" w:eastAsia="Arial" w:hAnsi="Arial"/>
          <w:sz w:val="17"/>
          <w:szCs w:val="17"/>
          <w:color w:val="auto"/>
        </w:rPr>
        <w:t>Gary D. Forsee</w:t>
      </w:r>
    </w:p>
    <w:p>
      <w:pPr>
        <w:ind w:left="4580"/>
        <w:spacing w:after="0" w:line="237" w:lineRule="auto"/>
        <w:rPr>
          <w:sz w:val="20"/>
          <w:szCs w:val="20"/>
          <w:color w:val="auto"/>
        </w:rPr>
      </w:pPr>
      <w:r>
        <w:rPr>
          <w:rFonts w:ascii="Arial" w:cs="Arial" w:eastAsia="Arial" w:hAnsi="Arial"/>
          <w:sz w:val="17"/>
          <w:szCs w:val="17"/>
          <w:color w:val="auto"/>
        </w:rPr>
        <w:t>B. Anthony Isaac</w:t>
      </w:r>
    </w:p>
    <w:p>
      <w:pPr>
        <w:ind w:left="4580"/>
        <w:spacing w:after="0"/>
        <w:rPr>
          <w:sz w:val="20"/>
          <w:szCs w:val="20"/>
          <w:color w:val="auto"/>
        </w:rPr>
      </w:pPr>
      <w:r>
        <w:rPr>
          <w:rFonts w:ascii="Arial" w:cs="Arial" w:eastAsia="Arial" w:hAnsi="Arial"/>
          <w:sz w:val="17"/>
          <w:szCs w:val="17"/>
          <w:color w:val="auto"/>
        </w:rPr>
        <w:t>Sandra A.J. Lawrence</w:t>
      </w:r>
    </w:p>
    <w:p>
      <w:pPr>
        <w:ind w:left="4580"/>
        <w:spacing w:after="0"/>
        <w:rPr>
          <w:sz w:val="20"/>
          <w:szCs w:val="20"/>
          <w:color w:val="auto"/>
        </w:rPr>
      </w:pPr>
      <w:r>
        <w:rPr>
          <w:rFonts w:ascii="Arial" w:cs="Arial" w:eastAsia="Arial" w:hAnsi="Arial"/>
          <w:sz w:val="17"/>
          <w:szCs w:val="17"/>
          <w:color w:val="auto"/>
        </w:rPr>
        <w:t>Sandra J. Price</w:t>
      </w:r>
    </w:p>
    <w:p>
      <w:pPr>
        <w:spacing w:after="0" w:line="115"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Mr. Keglevic joined the Compensation and Leadership Development Committee of the Board on March 3, 2020 and did not participate in the review, discussion and recommendation with respect to the Compensation Discussion and Analysis, so his name was not included in the list of Committee members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4" w:lineRule="exact"/>
        <w:rPr>
          <w:sz w:val="20"/>
          <w:szCs w:val="20"/>
          <w:color w:val="auto"/>
        </w:rPr>
      </w:pPr>
    </w:p>
    <w:p>
      <w:pPr>
        <w:jc w:val="right"/>
        <w:spacing w:after="0"/>
        <w:tabs>
          <w:tab w:leader="none" w:pos="446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Compensation Committee Report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240030</wp:posOffset>
            </wp:positionV>
            <wp:extent cx="5808980" cy="2051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Executive Compensation Tables</w:t>
      </w:r>
    </w:p>
    <w:p>
      <w:pPr>
        <w:spacing w:after="0" w:line="171"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The following tables and narrative show the compensation awarded to and earned by our NEOs. The summary compensation table in 2017 and 2018 includes compensation awarded to and earned by our NEOs with their predecessor companies prior to completion of the merger. We have omitted the column entitled “Option Awards” because our NEOs did not receive option awards during the years presented.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Compensation Table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shd w:val="clear" w:color="auto" w:fill="307CC0"/>
          </w:tcPr>
          <w:p>
            <w:pPr>
              <w:spacing w:after="0"/>
              <w:rPr>
                <w:sz w:val="14"/>
                <w:szCs w:val="14"/>
                <w:color w:val="auto"/>
              </w:rPr>
            </w:pPr>
          </w:p>
        </w:tc>
        <w:tc>
          <w:tcPr>
            <w:tcW w:w="200" w:type="dxa"/>
            <w:vAlign w:val="bottom"/>
            <w:shd w:val="clear" w:color="auto" w:fill="307CC0"/>
          </w:tcPr>
          <w:p>
            <w:pPr>
              <w:spacing w:after="0"/>
              <w:rPr>
                <w:sz w:val="14"/>
                <w:szCs w:val="14"/>
                <w:color w:val="auto"/>
              </w:rPr>
            </w:pPr>
          </w:p>
        </w:tc>
        <w:tc>
          <w:tcPr>
            <w:tcW w:w="300" w:type="dxa"/>
            <w:vAlign w:val="bottom"/>
            <w:shd w:val="clear" w:color="auto" w:fill="307CC0"/>
          </w:tcPr>
          <w:p>
            <w:pPr>
              <w:spacing w:after="0"/>
              <w:rPr>
                <w:sz w:val="14"/>
                <w:szCs w:val="14"/>
                <w:color w:val="auto"/>
              </w:rPr>
            </w:pPr>
          </w:p>
        </w:tc>
        <w:tc>
          <w:tcPr>
            <w:tcW w:w="140" w:type="dxa"/>
            <w:vAlign w:val="bottom"/>
            <w:shd w:val="clear" w:color="auto" w:fill="307CC0"/>
          </w:tcPr>
          <w:p>
            <w:pPr>
              <w:spacing w:after="0"/>
              <w:rPr>
                <w:sz w:val="14"/>
                <w:szCs w:val="14"/>
                <w:color w:val="auto"/>
              </w:rPr>
            </w:pPr>
          </w:p>
        </w:tc>
        <w:tc>
          <w:tcPr>
            <w:tcW w:w="760" w:type="dxa"/>
            <w:vAlign w:val="bottom"/>
            <w:shd w:val="clear" w:color="auto" w:fill="307CC0"/>
          </w:tcPr>
          <w:p>
            <w:pPr>
              <w:spacing w:after="0"/>
              <w:rPr>
                <w:sz w:val="14"/>
                <w:szCs w:val="14"/>
                <w:color w:val="auto"/>
              </w:rPr>
            </w:pPr>
          </w:p>
        </w:tc>
        <w:tc>
          <w:tcPr>
            <w:tcW w:w="800" w:type="dxa"/>
            <w:vAlign w:val="bottom"/>
            <w:shd w:val="clear" w:color="auto" w:fill="307CC0"/>
          </w:tcPr>
          <w:p>
            <w:pPr>
              <w:spacing w:after="0"/>
              <w:rPr>
                <w:sz w:val="14"/>
                <w:szCs w:val="14"/>
                <w:color w:val="auto"/>
              </w:rPr>
            </w:pPr>
          </w:p>
        </w:tc>
        <w:tc>
          <w:tcPr>
            <w:tcW w:w="860" w:type="dxa"/>
            <w:vAlign w:val="bottom"/>
            <w:shd w:val="clear" w:color="auto" w:fill="307CC0"/>
          </w:tcPr>
          <w:p>
            <w:pPr>
              <w:spacing w:after="0"/>
              <w:rPr>
                <w:sz w:val="14"/>
                <w:szCs w:val="14"/>
                <w:color w:val="auto"/>
              </w:rPr>
            </w:pPr>
          </w:p>
        </w:tc>
        <w:tc>
          <w:tcPr>
            <w:tcW w:w="1180" w:type="dxa"/>
            <w:vAlign w:val="bottom"/>
            <w:shd w:val="clear" w:color="auto" w:fill="307CC0"/>
          </w:tcPr>
          <w:p>
            <w:pPr>
              <w:spacing w:after="0"/>
              <w:rPr>
                <w:sz w:val="14"/>
                <w:szCs w:val="14"/>
                <w:color w:val="auto"/>
              </w:rPr>
            </w:pPr>
          </w:p>
        </w:tc>
        <w:tc>
          <w:tcPr>
            <w:tcW w:w="1160" w:type="dxa"/>
            <w:vAlign w:val="bottom"/>
            <w:shd w:val="clear" w:color="auto" w:fill="307CC0"/>
          </w:tcPr>
          <w:p>
            <w:pPr>
              <w:jc w:val="center"/>
              <w:spacing w:after="0"/>
              <w:rPr>
                <w:sz w:val="20"/>
                <w:szCs w:val="20"/>
                <w:color w:val="auto"/>
              </w:rPr>
            </w:pPr>
            <w:r>
              <w:rPr>
                <w:rFonts w:ascii="Arial" w:cs="Arial" w:eastAsia="Arial" w:hAnsi="Arial"/>
                <w:sz w:val="14"/>
                <w:szCs w:val="14"/>
                <w:b w:val="1"/>
                <w:bCs w:val="1"/>
                <w:color w:val="FFFFFF"/>
                <w:w w:val="97"/>
              </w:rPr>
              <w:t>Change in</w:t>
            </w:r>
          </w:p>
        </w:tc>
        <w:tc>
          <w:tcPr>
            <w:tcW w:w="1220" w:type="dxa"/>
            <w:vAlign w:val="bottom"/>
            <w:shd w:val="clear" w:color="auto" w:fill="307CC0"/>
          </w:tcPr>
          <w:p>
            <w:pPr>
              <w:spacing w:after="0"/>
              <w:rPr>
                <w:sz w:val="14"/>
                <w:szCs w:val="14"/>
                <w:color w:val="auto"/>
              </w:rPr>
            </w:pPr>
          </w:p>
        </w:tc>
        <w:tc>
          <w:tcPr>
            <w:tcW w:w="860" w:type="dxa"/>
            <w:vAlign w:val="bottom"/>
            <w:shd w:val="clear" w:color="auto" w:fill="307CC0"/>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80" w:type="dxa"/>
            <w:vAlign w:val="bottom"/>
            <w:shd w:val="clear" w:color="auto" w:fill="307CC0"/>
          </w:tcPr>
          <w:p>
            <w:pPr>
              <w:spacing w:after="0"/>
              <w:rPr>
                <w:sz w:val="13"/>
                <w:szCs w:val="13"/>
                <w:color w:val="auto"/>
              </w:rPr>
            </w:pPr>
          </w:p>
        </w:tc>
        <w:tc>
          <w:tcPr>
            <w:tcW w:w="200" w:type="dxa"/>
            <w:vAlign w:val="bottom"/>
            <w:shd w:val="clear" w:color="auto" w:fill="307CC0"/>
          </w:tcPr>
          <w:p>
            <w:pPr>
              <w:spacing w:after="0"/>
              <w:rPr>
                <w:sz w:val="13"/>
                <w:szCs w:val="13"/>
                <w:color w:val="auto"/>
              </w:rPr>
            </w:pPr>
          </w:p>
        </w:tc>
        <w:tc>
          <w:tcPr>
            <w:tcW w:w="300" w:type="dxa"/>
            <w:vAlign w:val="bottom"/>
            <w:shd w:val="clear" w:color="auto" w:fill="307CC0"/>
          </w:tcPr>
          <w:p>
            <w:pPr>
              <w:spacing w:after="0"/>
              <w:rPr>
                <w:sz w:val="13"/>
                <w:szCs w:val="13"/>
                <w:color w:val="auto"/>
              </w:rPr>
            </w:pPr>
          </w:p>
        </w:tc>
        <w:tc>
          <w:tcPr>
            <w:tcW w:w="140" w:type="dxa"/>
            <w:vAlign w:val="bottom"/>
            <w:shd w:val="clear" w:color="auto" w:fill="307CC0"/>
          </w:tcPr>
          <w:p>
            <w:pPr>
              <w:spacing w:after="0"/>
              <w:rPr>
                <w:sz w:val="13"/>
                <w:szCs w:val="13"/>
                <w:color w:val="auto"/>
              </w:rPr>
            </w:pPr>
          </w:p>
        </w:tc>
        <w:tc>
          <w:tcPr>
            <w:tcW w:w="760" w:type="dxa"/>
            <w:vAlign w:val="bottom"/>
            <w:shd w:val="clear" w:color="auto" w:fill="307CC0"/>
          </w:tcPr>
          <w:p>
            <w:pPr>
              <w:spacing w:after="0"/>
              <w:rPr>
                <w:sz w:val="13"/>
                <w:szCs w:val="13"/>
                <w:color w:val="auto"/>
              </w:rPr>
            </w:pPr>
          </w:p>
        </w:tc>
        <w:tc>
          <w:tcPr>
            <w:tcW w:w="80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1180" w:type="dxa"/>
            <w:vAlign w:val="bottom"/>
            <w:shd w:val="clear" w:color="auto" w:fill="307CC0"/>
          </w:tcPr>
          <w:p>
            <w:pPr>
              <w:spacing w:after="0"/>
              <w:rPr>
                <w:sz w:val="13"/>
                <w:szCs w:val="13"/>
                <w:color w:val="auto"/>
              </w:rPr>
            </w:pPr>
          </w:p>
        </w:tc>
        <w:tc>
          <w:tcPr>
            <w:tcW w:w="116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9"/>
              </w:rPr>
              <w:t>Pension</w:t>
            </w:r>
          </w:p>
        </w:tc>
        <w:tc>
          <w:tcPr>
            <w:tcW w:w="122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shd w:val="clear" w:color="auto" w:fill="307CC0"/>
          </w:tcPr>
          <w:p>
            <w:pPr>
              <w:spacing w:after="0"/>
              <w:rPr>
                <w:sz w:val="13"/>
                <w:szCs w:val="13"/>
                <w:color w:val="auto"/>
              </w:rPr>
            </w:pPr>
          </w:p>
        </w:tc>
        <w:tc>
          <w:tcPr>
            <w:tcW w:w="200" w:type="dxa"/>
            <w:vAlign w:val="bottom"/>
            <w:shd w:val="clear" w:color="auto" w:fill="307CC0"/>
          </w:tcPr>
          <w:p>
            <w:pPr>
              <w:spacing w:after="0"/>
              <w:rPr>
                <w:sz w:val="13"/>
                <w:szCs w:val="13"/>
                <w:color w:val="auto"/>
              </w:rPr>
            </w:pPr>
          </w:p>
        </w:tc>
        <w:tc>
          <w:tcPr>
            <w:tcW w:w="300" w:type="dxa"/>
            <w:vAlign w:val="bottom"/>
            <w:shd w:val="clear" w:color="auto" w:fill="307CC0"/>
          </w:tcPr>
          <w:p>
            <w:pPr>
              <w:spacing w:after="0"/>
              <w:rPr>
                <w:sz w:val="13"/>
                <w:szCs w:val="13"/>
                <w:color w:val="auto"/>
              </w:rPr>
            </w:pPr>
          </w:p>
        </w:tc>
        <w:tc>
          <w:tcPr>
            <w:tcW w:w="140" w:type="dxa"/>
            <w:vAlign w:val="bottom"/>
            <w:shd w:val="clear" w:color="auto" w:fill="307CC0"/>
          </w:tcPr>
          <w:p>
            <w:pPr>
              <w:spacing w:after="0"/>
              <w:rPr>
                <w:sz w:val="13"/>
                <w:szCs w:val="13"/>
                <w:color w:val="auto"/>
              </w:rPr>
            </w:pPr>
          </w:p>
        </w:tc>
        <w:tc>
          <w:tcPr>
            <w:tcW w:w="760" w:type="dxa"/>
            <w:vAlign w:val="bottom"/>
            <w:shd w:val="clear" w:color="auto" w:fill="307CC0"/>
          </w:tcPr>
          <w:p>
            <w:pPr>
              <w:spacing w:after="0"/>
              <w:rPr>
                <w:sz w:val="13"/>
                <w:szCs w:val="13"/>
                <w:color w:val="auto"/>
              </w:rPr>
            </w:pPr>
          </w:p>
        </w:tc>
        <w:tc>
          <w:tcPr>
            <w:tcW w:w="80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1180" w:type="dxa"/>
            <w:vAlign w:val="bottom"/>
            <w:shd w:val="clear" w:color="auto" w:fill="307CC0"/>
          </w:tcPr>
          <w:p>
            <w:pPr>
              <w:spacing w:after="0"/>
              <w:rPr>
                <w:sz w:val="13"/>
                <w:szCs w:val="13"/>
                <w:color w:val="auto"/>
              </w:rPr>
            </w:pPr>
          </w:p>
        </w:tc>
        <w:tc>
          <w:tcPr>
            <w:tcW w:w="116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0"/>
              </w:rPr>
              <w:t>Value</w:t>
            </w:r>
          </w:p>
        </w:tc>
        <w:tc>
          <w:tcPr>
            <w:tcW w:w="122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shd w:val="clear" w:color="auto" w:fill="307CC0"/>
          </w:tcPr>
          <w:p>
            <w:pPr>
              <w:spacing w:after="0"/>
              <w:rPr>
                <w:sz w:val="13"/>
                <w:szCs w:val="13"/>
                <w:color w:val="auto"/>
              </w:rPr>
            </w:pPr>
          </w:p>
        </w:tc>
        <w:tc>
          <w:tcPr>
            <w:tcW w:w="200" w:type="dxa"/>
            <w:vAlign w:val="bottom"/>
            <w:shd w:val="clear" w:color="auto" w:fill="307CC0"/>
          </w:tcPr>
          <w:p>
            <w:pPr>
              <w:spacing w:after="0"/>
              <w:rPr>
                <w:sz w:val="13"/>
                <w:szCs w:val="13"/>
                <w:color w:val="auto"/>
              </w:rPr>
            </w:pPr>
          </w:p>
        </w:tc>
        <w:tc>
          <w:tcPr>
            <w:tcW w:w="300" w:type="dxa"/>
            <w:vAlign w:val="bottom"/>
            <w:shd w:val="clear" w:color="auto" w:fill="307CC0"/>
          </w:tcPr>
          <w:p>
            <w:pPr>
              <w:spacing w:after="0"/>
              <w:rPr>
                <w:sz w:val="13"/>
                <w:szCs w:val="13"/>
                <w:color w:val="auto"/>
              </w:rPr>
            </w:pPr>
          </w:p>
        </w:tc>
        <w:tc>
          <w:tcPr>
            <w:tcW w:w="140" w:type="dxa"/>
            <w:vAlign w:val="bottom"/>
            <w:shd w:val="clear" w:color="auto" w:fill="307CC0"/>
          </w:tcPr>
          <w:p>
            <w:pPr>
              <w:spacing w:after="0"/>
              <w:rPr>
                <w:sz w:val="13"/>
                <w:szCs w:val="13"/>
                <w:color w:val="auto"/>
              </w:rPr>
            </w:pPr>
          </w:p>
        </w:tc>
        <w:tc>
          <w:tcPr>
            <w:tcW w:w="760" w:type="dxa"/>
            <w:vAlign w:val="bottom"/>
            <w:shd w:val="clear" w:color="auto" w:fill="307CC0"/>
          </w:tcPr>
          <w:p>
            <w:pPr>
              <w:spacing w:after="0"/>
              <w:rPr>
                <w:sz w:val="13"/>
                <w:szCs w:val="13"/>
                <w:color w:val="auto"/>
              </w:rPr>
            </w:pPr>
          </w:p>
        </w:tc>
        <w:tc>
          <w:tcPr>
            <w:tcW w:w="80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1180" w:type="dxa"/>
            <w:vAlign w:val="bottom"/>
            <w:shd w:val="clear" w:color="auto" w:fill="307CC0"/>
          </w:tcPr>
          <w:p>
            <w:pPr>
              <w:spacing w:after="0"/>
              <w:rPr>
                <w:sz w:val="13"/>
                <w:szCs w:val="13"/>
                <w:color w:val="auto"/>
              </w:rPr>
            </w:pPr>
          </w:p>
        </w:tc>
        <w:tc>
          <w:tcPr>
            <w:tcW w:w="116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rPr>
              <w:t>and</w:t>
            </w:r>
          </w:p>
        </w:tc>
        <w:tc>
          <w:tcPr>
            <w:tcW w:w="122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shd w:val="clear" w:color="auto" w:fill="307CC0"/>
          </w:tcPr>
          <w:p>
            <w:pPr>
              <w:spacing w:after="0"/>
              <w:rPr>
                <w:sz w:val="13"/>
                <w:szCs w:val="13"/>
                <w:color w:val="auto"/>
              </w:rPr>
            </w:pPr>
          </w:p>
        </w:tc>
        <w:tc>
          <w:tcPr>
            <w:tcW w:w="200" w:type="dxa"/>
            <w:vAlign w:val="bottom"/>
            <w:shd w:val="clear" w:color="auto" w:fill="307CC0"/>
          </w:tcPr>
          <w:p>
            <w:pPr>
              <w:spacing w:after="0"/>
              <w:rPr>
                <w:sz w:val="13"/>
                <w:szCs w:val="13"/>
                <w:color w:val="auto"/>
              </w:rPr>
            </w:pPr>
          </w:p>
        </w:tc>
        <w:tc>
          <w:tcPr>
            <w:tcW w:w="300" w:type="dxa"/>
            <w:vAlign w:val="bottom"/>
            <w:shd w:val="clear" w:color="auto" w:fill="307CC0"/>
          </w:tcPr>
          <w:p>
            <w:pPr>
              <w:spacing w:after="0"/>
              <w:rPr>
                <w:sz w:val="13"/>
                <w:szCs w:val="13"/>
                <w:color w:val="auto"/>
              </w:rPr>
            </w:pPr>
          </w:p>
        </w:tc>
        <w:tc>
          <w:tcPr>
            <w:tcW w:w="140" w:type="dxa"/>
            <w:vAlign w:val="bottom"/>
            <w:shd w:val="clear" w:color="auto" w:fill="307CC0"/>
          </w:tcPr>
          <w:p>
            <w:pPr>
              <w:spacing w:after="0"/>
              <w:rPr>
                <w:sz w:val="13"/>
                <w:szCs w:val="13"/>
                <w:color w:val="auto"/>
              </w:rPr>
            </w:pPr>
          </w:p>
        </w:tc>
        <w:tc>
          <w:tcPr>
            <w:tcW w:w="760" w:type="dxa"/>
            <w:vAlign w:val="bottom"/>
            <w:shd w:val="clear" w:color="auto" w:fill="307CC0"/>
          </w:tcPr>
          <w:p>
            <w:pPr>
              <w:spacing w:after="0"/>
              <w:rPr>
                <w:sz w:val="13"/>
                <w:szCs w:val="13"/>
                <w:color w:val="auto"/>
              </w:rPr>
            </w:pPr>
          </w:p>
        </w:tc>
        <w:tc>
          <w:tcPr>
            <w:tcW w:w="80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1180" w:type="dxa"/>
            <w:vAlign w:val="bottom"/>
            <w:shd w:val="clear" w:color="auto" w:fill="307CC0"/>
          </w:tcPr>
          <w:p>
            <w:pPr>
              <w:spacing w:after="0"/>
              <w:rPr>
                <w:sz w:val="13"/>
                <w:szCs w:val="13"/>
                <w:color w:val="auto"/>
              </w:rPr>
            </w:pPr>
          </w:p>
        </w:tc>
        <w:tc>
          <w:tcPr>
            <w:tcW w:w="116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6"/>
              </w:rPr>
              <w:t>Nonqualified</w:t>
            </w:r>
          </w:p>
        </w:tc>
        <w:tc>
          <w:tcPr>
            <w:tcW w:w="122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shd w:val="clear" w:color="auto" w:fill="307CC0"/>
          </w:tcPr>
          <w:p>
            <w:pPr>
              <w:spacing w:after="0"/>
              <w:rPr>
                <w:sz w:val="13"/>
                <w:szCs w:val="13"/>
                <w:color w:val="auto"/>
              </w:rPr>
            </w:pPr>
          </w:p>
        </w:tc>
        <w:tc>
          <w:tcPr>
            <w:tcW w:w="200" w:type="dxa"/>
            <w:vAlign w:val="bottom"/>
            <w:shd w:val="clear" w:color="auto" w:fill="307CC0"/>
          </w:tcPr>
          <w:p>
            <w:pPr>
              <w:spacing w:after="0"/>
              <w:rPr>
                <w:sz w:val="13"/>
                <w:szCs w:val="13"/>
                <w:color w:val="auto"/>
              </w:rPr>
            </w:pPr>
          </w:p>
        </w:tc>
        <w:tc>
          <w:tcPr>
            <w:tcW w:w="300" w:type="dxa"/>
            <w:vAlign w:val="bottom"/>
            <w:shd w:val="clear" w:color="auto" w:fill="307CC0"/>
          </w:tcPr>
          <w:p>
            <w:pPr>
              <w:spacing w:after="0"/>
              <w:rPr>
                <w:sz w:val="13"/>
                <w:szCs w:val="13"/>
                <w:color w:val="auto"/>
              </w:rPr>
            </w:pPr>
          </w:p>
        </w:tc>
        <w:tc>
          <w:tcPr>
            <w:tcW w:w="140" w:type="dxa"/>
            <w:vAlign w:val="bottom"/>
            <w:shd w:val="clear" w:color="auto" w:fill="307CC0"/>
          </w:tcPr>
          <w:p>
            <w:pPr>
              <w:spacing w:after="0"/>
              <w:rPr>
                <w:sz w:val="13"/>
                <w:szCs w:val="13"/>
                <w:color w:val="auto"/>
              </w:rPr>
            </w:pPr>
          </w:p>
        </w:tc>
        <w:tc>
          <w:tcPr>
            <w:tcW w:w="760" w:type="dxa"/>
            <w:vAlign w:val="bottom"/>
            <w:shd w:val="clear" w:color="auto" w:fill="307CC0"/>
          </w:tcPr>
          <w:p>
            <w:pPr>
              <w:spacing w:after="0"/>
              <w:rPr>
                <w:sz w:val="13"/>
                <w:szCs w:val="13"/>
                <w:color w:val="auto"/>
              </w:rPr>
            </w:pPr>
          </w:p>
        </w:tc>
        <w:tc>
          <w:tcPr>
            <w:tcW w:w="80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118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9"/>
              </w:rPr>
              <w:t>Non-Equity</w:t>
            </w:r>
          </w:p>
        </w:tc>
        <w:tc>
          <w:tcPr>
            <w:tcW w:w="116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rPr>
              <w:t>Deferred</w:t>
            </w:r>
          </w:p>
        </w:tc>
        <w:tc>
          <w:tcPr>
            <w:tcW w:w="1220" w:type="dxa"/>
            <w:vAlign w:val="bottom"/>
            <w:shd w:val="clear" w:color="auto" w:fill="307CC0"/>
          </w:tcPr>
          <w:p>
            <w:pPr>
              <w:spacing w:after="0"/>
              <w:rPr>
                <w:sz w:val="13"/>
                <w:szCs w:val="13"/>
                <w:color w:val="auto"/>
              </w:rPr>
            </w:pPr>
          </w:p>
        </w:tc>
        <w:tc>
          <w:tcPr>
            <w:tcW w:w="86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80" w:type="dxa"/>
            <w:vAlign w:val="bottom"/>
            <w:shd w:val="clear" w:color="auto" w:fill="307CC0"/>
          </w:tcPr>
          <w:p>
            <w:pPr>
              <w:spacing w:after="0"/>
              <w:rPr>
                <w:sz w:val="13"/>
                <w:szCs w:val="13"/>
                <w:color w:val="auto"/>
              </w:rPr>
            </w:pPr>
          </w:p>
        </w:tc>
        <w:tc>
          <w:tcPr>
            <w:tcW w:w="200" w:type="dxa"/>
            <w:vAlign w:val="bottom"/>
            <w:shd w:val="clear" w:color="auto" w:fill="307CC0"/>
          </w:tcPr>
          <w:p>
            <w:pPr>
              <w:spacing w:after="0"/>
              <w:rPr>
                <w:sz w:val="13"/>
                <w:szCs w:val="13"/>
                <w:color w:val="auto"/>
              </w:rPr>
            </w:pPr>
          </w:p>
        </w:tc>
        <w:tc>
          <w:tcPr>
            <w:tcW w:w="300" w:type="dxa"/>
            <w:vAlign w:val="bottom"/>
            <w:shd w:val="clear" w:color="auto" w:fill="307CC0"/>
          </w:tcPr>
          <w:p>
            <w:pPr>
              <w:spacing w:after="0"/>
              <w:rPr>
                <w:sz w:val="13"/>
                <w:szCs w:val="13"/>
                <w:color w:val="auto"/>
              </w:rPr>
            </w:pPr>
          </w:p>
        </w:tc>
        <w:tc>
          <w:tcPr>
            <w:tcW w:w="140" w:type="dxa"/>
            <w:vAlign w:val="bottom"/>
            <w:shd w:val="clear" w:color="auto" w:fill="307CC0"/>
          </w:tcPr>
          <w:p>
            <w:pPr>
              <w:spacing w:after="0"/>
              <w:rPr>
                <w:sz w:val="13"/>
                <w:szCs w:val="13"/>
                <w:color w:val="auto"/>
              </w:rPr>
            </w:pPr>
          </w:p>
        </w:tc>
        <w:tc>
          <w:tcPr>
            <w:tcW w:w="760" w:type="dxa"/>
            <w:vAlign w:val="bottom"/>
            <w:shd w:val="clear" w:color="auto" w:fill="307CC0"/>
          </w:tcPr>
          <w:p>
            <w:pPr>
              <w:spacing w:after="0"/>
              <w:rPr>
                <w:sz w:val="13"/>
                <w:szCs w:val="13"/>
                <w:color w:val="auto"/>
              </w:rPr>
            </w:pPr>
          </w:p>
        </w:tc>
        <w:tc>
          <w:tcPr>
            <w:tcW w:w="800" w:type="dxa"/>
            <w:vAlign w:val="bottom"/>
            <w:shd w:val="clear" w:color="auto" w:fill="307CC0"/>
          </w:tcPr>
          <w:p>
            <w:pPr>
              <w:spacing w:after="0"/>
              <w:rPr>
                <w:sz w:val="13"/>
                <w:szCs w:val="13"/>
                <w:color w:val="auto"/>
              </w:rPr>
            </w:pPr>
          </w:p>
        </w:tc>
        <w:tc>
          <w:tcPr>
            <w:tcW w:w="860" w:type="dxa"/>
            <w:vAlign w:val="bottom"/>
            <w:shd w:val="clear" w:color="auto" w:fill="307CC0"/>
          </w:tcPr>
          <w:p>
            <w:pPr>
              <w:jc w:val="center"/>
              <w:ind w:right="11"/>
              <w:spacing w:after="0" w:line="155" w:lineRule="exact"/>
              <w:rPr>
                <w:sz w:val="20"/>
                <w:szCs w:val="20"/>
                <w:color w:val="auto"/>
              </w:rPr>
            </w:pPr>
            <w:r>
              <w:rPr>
                <w:rFonts w:ascii="Arial" w:cs="Arial" w:eastAsia="Arial" w:hAnsi="Arial"/>
                <w:sz w:val="14"/>
                <w:szCs w:val="14"/>
                <w:b w:val="1"/>
                <w:bCs w:val="1"/>
                <w:color w:val="FFFFFF"/>
                <w:w w:val="99"/>
              </w:rPr>
              <w:t>Stock</w:t>
            </w:r>
          </w:p>
        </w:tc>
        <w:tc>
          <w:tcPr>
            <w:tcW w:w="118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7"/>
              </w:rPr>
              <w:t>Incentive Plan</w:t>
            </w:r>
          </w:p>
        </w:tc>
        <w:tc>
          <w:tcPr>
            <w:tcW w:w="116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6"/>
              </w:rPr>
              <w:t>Compensation</w:t>
            </w:r>
          </w:p>
        </w:tc>
        <w:tc>
          <w:tcPr>
            <w:tcW w:w="122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8"/>
              </w:rPr>
              <w:t>All Other</w:t>
            </w:r>
          </w:p>
        </w:tc>
        <w:tc>
          <w:tcPr>
            <w:tcW w:w="86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680" w:type="dxa"/>
            <w:vAlign w:val="bottom"/>
            <w:shd w:val="clear" w:color="auto" w:fill="307CC0"/>
          </w:tcPr>
          <w:p>
            <w:pPr>
              <w:ind w:left="40"/>
              <w:spacing w:after="0" w:line="141" w:lineRule="exact"/>
              <w:rPr>
                <w:sz w:val="20"/>
                <w:szCs w:val="20"/>
                <w:color w:val="auto"/>
              </w:rPr>
            </w:pPr>
            <w:r>
              <w:rPr>
                <w:rFonts w:ascii="Arial" w:cs="Arial" w:eastAsia="Arial" w:hAnsi="Arial"/>
                <w:sz w:val="14"/>
                <w:szCs w:val="14"/>
                <w:b w:val="1"/>
                <w:bCs w:val="1"/>
                <w:color w:val="FFFFFF"/>
              </w:rPr>
              <w:t>Name and</w:t>
            </w:r>
          </w:p>
        </w:tc>
        <w:tc>
          <w:tcPr>
            <w:tcW w:w="200" w:type="dxa"/>
            <w:vAlign w:val="bottom"/>
            <w:shd w:val="clear" w:color="auto" w:fill="307CC0"/>
          </w:tcPr>
          <w:p>
            <w:pPr>
              <w:spacing w:after="0"/>
              <w:rPr>
                <w:sz w:val="12"/>
                <w:szCs w:val="12"/>
                <w:color w:val="auto"/>
              </w:rPr>
            </w:pPr>
          </w:p>
        </w:tc>
        <w:tc>
          <w:tcPr>
            <w:tcW w:w="300" w:type="dxa"/>
            <w:vAlign w:val="bottom"/>
            <w:shd w:val="clear" w:color="auto" w:fill="307CC0"/>
          </w:tcPr>
          <w:p>
            <w:pPr>
              <w:spacing w:after="0"/>
              <w:rPr>
                <w:sz w:val="12"/>
                <w:szCs w:val="12"/>
                <w:color w:val="auto"/>
              </w:rPr>
            </w:pPr>
          </w:p>
        </w:tc>
        <w:tc>
          <w:tcPr>
            <w:tcW w:w="140" w:type="dxa"/>
            <w:vAlign w:val="bottom"/>
            <w:shd w:val="clear" w:color="auto" w:fill="307CC0"/>
          </w:tcPr>
          <w:p>
            <w:pPr>
              <w:spacing w:after="0"/>
              <w:rPr>
                <w:sz w:val="12"/>
                <w:szCs w:val="12"/>
                <w:color w:val="auto"/>
              </w:rPr>
            </w:pPr>
          </w:p>
        </w:tc>
        <w:tc>
          <w:tcPr>
            <w:tcW w:w="760" w:type="dxa"/>
            <w:vAlign w:val="bottom"/>
            <w:shd w:val="clear" w:color="auto" w:fill="307CC0"/>
          </w:tcPr>
          <w:p>
            <w:pPr>
              <w:ind w:left="140"/>
              <w:spacing w:after="0" w:line="141" w:lineRule="exact"/>
              <w:rPr>
                <w:sz w:val="20"/>
                <w:szCs w:val="20"/>
                <w:color w:val="auto"/>
              </w:rPr>
            </w:pPr>
            <w:r>
              <w:rPr>
                <w:rFonts w:ascii="Arial" w:cs="Arial" w:eastAsia="Arial" w:hAnsi="Arial"/>
                <w:sz w:val="14"/>
                <w:szCs w:val="14"/>
                <w:b w:val="1"/>
                <w:bCs w:val="1"/>
                <w:color w:val="FFFFFF"/>
              </w:rPr>
              <w:t>Salary</w:t>
            </w:r>
          </w:p>
        </w:tc>
        <w:tc>
          <w:tcPr>
            <w:tcW w:w="800" w:type="dxa"/>
            <w:vAlign w:val="bottom"/>
            <w:shd w:val="clear" w:color="auto" w:fill="307CC0"/>
          </w:tcPr>
          <w:p>
            <w:pPr>
              <w:jc w:val="right"/>
              <w:ind w:right="171"/>
              <w:spacing w:after="0" w:line="141" w:lineRule="exact"/>
              <w:rPr>
                <w:sz w:val="20"/>
                <w:szCs w:val="20"/>
                <w:color w:val="auto"/>
              </w:rPr>
            </w:pPr>
            <w:r>
              <w:rPr>
                <w:rFonts w:ascii="Arial" w:cs="Arial" w:eastAsia="Arial" w:hAnsi="Arial"/>
                <w:sz w:val="14"/>
                <w:szCs w:val="14"/>
                <w:b w:val="1"/>
                <w:bCs w:val="1"/>
                <w:color w:val="FFFFFF"/>
              </w:rPr>
              <w:t>Bonus</w:t>
            </w:r>
          </w:p>
        </w:tc>
        <w:tc>
          <w:tcPr>
            <w:tcW w:w="860" w:type="dxa"/>
            <w:vAlign w:val="bottom"/>
            <w:shd w:val="clear" w:color="auto" w:fill="307CC0"/>
          </w:tcPr>
          <w:p>
            <w:pPr>
              <w:jc w:val="center"/>
              <w:ind w:right="11"/>
              <w:spacing w:after="0" w:line="141" w:lineRule="exact"/>
              <w:rPr>
                <w:sz w:val="20"/>
                <w:szCs w:val="20"/>
                <w:color w:val="auto"/>
              </w:rPr>
            </w:pPr>
            <w:r>
              <w:rPr>
                <w:rFonts w:ascii="Arial" w:cs="Arial" w:eastAsia="Arial" w:hAnsi="Arial"/>
                <w:sz w:val="14"/>
                <w:szCs w:val="14"/>
                <w:b w:val="1"/>
                <w:bCs w:val="1"/>
                <w:color w:val="FFFFFF"/>
                <w:w w:val="98"/>
              </w:rPr>
              <w:t>Awards</w:t>
            </w:r>
          </w:p>
        </w:tc>
        <w:tc>
          <w:tcPr>
            <w:tcW w:w="1180" w:type="dxa"/>
            <w:vAlign w:val="bottom"/>
            <w:shd w:val="clear" w:color="auto" w:fill="307CC0"/>
          </w:tcPr>
          <w:p>
            <w:pPr>
              <w:jc w:val="center"/>
              <w:spacing w:after="0" w:line="141" w:lineRule="exact"/>
              <w:rPr>
                <w:sz w:val="20"/>
                <w:szCs w:val="20"/>
                <w:color w:val="auto"/>
              </w:rPr>
            </w:pPr>
            <w:r>
              <w:rPr>
                <w:rFonts w:ascii="Arial" w:cs="Arial" w:eastAsia="Arial" w:hAnsi="Arial"/>
                <w:sz w:val="14"/>
                <w:szCs w:val="14"/>
                <w:b w:val="1"/>
                <w:bCs w:val="1"/>
                <w:color w:val="FFFFFF"/>
                <w:w w:val="98"/>
              </w:rPr>
              <w:t>Compensation</w:t>
            </w:r>
          </w:p>
        </w:tc>
        <w:tc>
          <w:tcPr>
            <w:tcW w:w="1160" w:type="dxa"/>
            <w:vAlign w:val="bottom"/>
            <w:shd w:val="clear" w:color="auto" w:fill="307CC0"/>
          </w:tcPr>
          <w:p>
            <w:pPr>
              <w:jc w:val="center"/>
              <w:spacing w:after="0" w:line="141" w:lineRule="exact"/>
              <w:rPr>
                <w:sz w:val="20"/>
                <w:szCs w:val="20"/>
                <w:color w:val="auto"/>
              </w:rPr>
            </w:pPr>
            <w:r>
              <w:rPr>
                <w:rFonts w:ascii="Arial" w:cs="Arial" w:eastAsia="Arial" w:hAnsi="Arial"/>
                <w:sz w:val="14"/>
                <w:szCs w:val="14"/>
                <w:b w:val="1"/>
                <w:bCs w:val="1"/>
                <w:color w:val="FFFFFF"/>
                <w:w w:val="96"/>
              </w:rPr>
              <w:t>Earnings</w:t>
            </w:r>
          </w:p>
        </w:tc>
        <w:tc>
          <w:tcPr>
            <w:tcW w:w="1220" w:type="dxa"/>
            <w:vAlign w:val="bottom"/>
            <w:shd w:val="clear" w:color="auto" w:fill="307CC0"/>
          </w:tcPr>
          <w:p>
            <w:pPr>
              <w:jc w:val="center"/>
              <w:spacing w:after="0" w:line="141" w:lineRule="exact"/>
              <w:rPr>
                <w:sz w:val="20"/>
                <w:szCs w:val="20"/>
                <w:color w:val="auto"/>
              </w:rPr>
            </w:pPr>
            <w:r>
              <w:rPr>
                <w:rFonts w:ascii="Arial" w:cs="Arial" w:eastAsia="Arial" w:hAnsi="Arial"/>
                <w:sz w:val="14"/>
                <w:szCs w:val="14"/>
                <w:b w:val="1"/>
                <w:bCs w:val="1"/>
                <w:color w:val="FFFFFF"/>
                <w:w w:val="98"/>
              </w:rPr>
              <w:t>Compensation</w:t>
            </w:r>
          </w:p>
        </w:tc>
        <w:tc>
          <w:tcPr>
            <w:tcW w:w="860" w:type="dxa"/>
            <w:vAlign w:val="bottom"/>
            <w:shd w:val="clear" w:color="auto" w:fill="307CC0"/>
          </w:tcPr>
          <w:p>
            <w:pPr>
              <w:jc w:val="right"/>
              <w:ind w:right="211"/>
              <w:spacing w:after="0" w:line="141"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7"/>
        </w:trPr>
        <w:tc>
          <w:tcPr>
            <w:tcW w:w="1680" w:type="dxa"/>
            <w:vAlign w:val="bottom"/>
            <w:shd w:val="clear" w:color="auto" w:fill="307CC0"/>
          </w:tcPr>
          <w:p>
            <w:pPr>
              <w:ind w:left="40"/>
              <w:spacing w:after="0"/>
              <w:rPr>
                <w:sz w:val="20"/>
                <w:szCs w:val="20"/>
                <w:color w:val="auto"/>
              </w:rPr>
            </w:pPr>
            <w:r>
              <w:rPr>
                <w:rFonts w:ascii="Arial" w:cs="Arial" w:eastAsia="Arial" w:hAnsi="Arial"/>
                <w:sz w:val="14"/>
                <w:szCs w:val="14"/>
                <w:b w:val="1"/>
                <w:bCs w:val="1"/>
                <w:color w:val="FFFFFF"/>
              </w:rPr>
              <w:t>Principal Position</w:t>
            </w:r>
          </w:p>
        </w:tc>
        <w:tc>
          <w:tcPr>
            <w:tcW w:w="640" w:type="dxa"/>
            <w:vAlign w:val="bottom"/>
            <w:gridSpan w:val="3"/>
            <w:shd w:val="clear" w:color="auto" w:fill="307CC0"/>
          </w:tcPr>
          <w:p>
            <w:pPr>
              <w:jc w:val="right"/>
              <w:ind w:right="200"/>
              <w:spacing w:after="0"/>
              <w:rPr>
                <w:sz w:val="20"/>
                <w:szCs w:val="20"/>
                <w:color w:val="auto"/>
              </w:rPr>
            </w:pPr>
            <w:r>
              <w:rPr>
                <w:rFonts w:ascii="Arial" w:cs="Arial" w:eastAsia="Arial" w:hAnsi="Arial"/>
                <w:sz w:val="14"/>
                <w:szCs w:val="14"/>
                <w:b w:val="1"/>
                <w:bCs w:val="1"/>
                <w:color w:val="FFFFFF"/>
              </w:rPr>
              <w:t>Year</w:t>
            </w:r>
          </w:p>
        </w:tc>
        <w:tc>
          <w:tcPr>
            <w:tcW w:w="760" w:type="dxa"/>
            <w:vAlign w:val="bottom"/>
            <w:shd w:val="clear" w:color="auto" w:fill="307CC0"/>
          </w:tcPr>
          <w:p>
            <w:pPr>
              <w:ind w:left="260"/>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307CC0"/>
          </w:tcPr>
          <w:p>
            <w:pPr>
              <w:jc w:val="right"/>
              <w:ind w:right="231"/>
              <w:spacing w:after="0" w:line="193"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2"/>
                <w:szCs w:val="22"/>
                <w:b w:val="1"/>
                <w:bCs w:val="1"/>
                <w:color w:val="FFFFFF"/>
                <w:vertAlign w:val="superscript"/>
              </w:rPr>
              <w:t>(1)</w:t>
            </w:r>
          </w:p>
        </w:tc>
        <w:tc>
          <w:tcPr>
            <w:tcW w:w="860" w:type="dxa"/>
            <w:vAlign w:val="bottom"/>
            <w:shd w:val="clear" w:color="auto" w:fill="307CC0"/>
          </w:tcPr>
          <w:p>
            <w:pPr>
              <w:jc w:val="center"/>
              <w:ind w:right="11"/>
              <w:spacing w:after="0" w:line="193" w:lineRule="exact"/>
              <w:rPr>
                <w:sz w:val="20"/>
                <w:szCs w:val="20"/>
                <w:color w:val="auto"/>
              </w:rPr>
            </w:pPr>
            <w:r>
              <w:rPr>
                <w:rFonts w:ascii="Arial" w:cs="Arial" w:eastAsia="Arial" w:hAnsi="Arial"/>
                <w:sz w:val="14"/>
                <w:szCs w:val="14"/>
                <w:b w:val="1"/>
                <w:bCs w:val="1"/>
                <w:color w:val="FFFFFF"/>
                <w:w w:val="85"/>
              </w:rPr>
              <w:t>($)</w:t>
            </w:r>
            <w:r>
              <w:rPr>
                <w:rFonts w:ascii="Arial" w:cs="Arial" w:eastAsia="Arial" w:hAnsi="Arial"/>
                <w:sz w:val="22"/>
                <w:szCs w:val="22"/>
                <w:b w:val="1"/>
                <w:bCs w:val="1"/>
                <w:color w:val="FFFFFF"/>
                <w:w w:val="85"/>
                <w:vertAlign w:val="superscript"/>
              </w:rPr>
              <w:t>(2)</w:t>
            </w:r>
          </w:p>
        </w:tc>
        <w:tc>
          <w:tcPr>
            <w:tcW w:w="1180" w:type="dxa"/>
            <w:vAlign w:val="bottom"/>
            <w:shd w:val="clear" w:color="auto" w:fill="307CC0"/>
          </w:tcPr>
          <w:p>
            <w:pPr>
              <w:jc w:val="center"/>
              <w:spacing w:after="0" w:line="193" w:lineRule="exact"/>
              <w:rPr>
                <w:sz w:val="20"/>
                <w:szCs w:val="20"/>
                <w:color w:val="auto"/>
              </w:rPr>
            </w:pPr>
            <w:r>
              <w:rPr>
                <w:rFonts w:ascii="Arial" w:cs="Arial" w:eastAsia="Arial" w:hAnsi="Arial"/>
                <w:sz w:val="14"/>
                <w:szCs w:val="14"/>
                <w:b w:val="1"/>
                <w:bCs w:val="1"/>
                <w:color w:val="FFFFFF"/>
                <w:w w:val="85"/>
              </w:rPr>
              <w:t>($)</w:t>
            </w:r>
            <w:r>
              <w:rPr>
                <w:rFonts w:ascii="Arial" w:cs="Arial" w:eastAsia="Arial" w:hAnsi="Arial"/>
                <w:sz w:val="22"/>
                <w:szCs w:val="22"/>
                <w:b w:val="1"/>
                <w:bCs w:val="1"/>
                <w:color w:val="FFFFFF"/>
                <w:w w:val="85"/>
                <w:vertAlign w:val="superscript"/>
              </w:rPr>
              <w:t>(3)</w:t>
            </w:r>
          </w:p>
        </w:tc>
        <w:tc>
          <w:tcPr>
            <w:tcW w:w="1160" w:type="dxa"/>
            <w:vAlign w:val="bottom"/>
            <w:shd w:val="clear" w:color="auto" w:fill="307CC0"/>
          </w:tcPr>
          <w:p>
            <w:pPr>
              <w:jc w:val="center"/>
              <w:spacing w:after="0" w:line="193" w:lineRule="exact"/>
              <w:rPr>
                <w:sz w:val="20"/>
                <w:szCs w:val="20"/>
                <w:color w:val="auto"/>
              </w:rPr>
            </w:pPr>
            <w:r>
              <w:rPr>
                <w:rFonts w:ascii="Arial" w:cs="Arial" w:eastAsia="Arial" w:hAnsi="Arial"/>
                <w:sz w:val="14"/>
                <w:szCs w:val="14"/>
                <w:b w:val="1"/>
                <w:bCs w:val="1"/>
                <w:color w:val="FFFFFF"/>
                <w:w w:val="85"/>
              </w:rPr>
              <w:t>($)</w:t>
            </w:r>
            <w:r>
              <w:rPr>
                <w:rFonts w:ascii="Arial" w:cs="Arial" w:eastAsia="Arial" w:hAnsi="Arial"/>
                <w:sz w:val="22"/>
                <w:szCs w:val="22"/>
                <w:b w:val="1"/>
                <w:bCs w:val="1"/>
                <w:color w:val="FFFFFF"/>
                <w:w w:val="85"/>
                <w:vertAlign w:val="superscript"/>
              </w:rPr>
              <w:t>(4)</w:t>
            </w:r>
          </w:p>
        </w:tc>
        <w:tc>
          <w:tcPr>
            <w:tcW w:w="1220" w:type="dxa"/>
            <w:vAlign w:val="bottom"/>
            <w:shd w:val="clear" w:color="auto" w:fill="307CC0"/>
          </w:tcPr>
          <w:p>
            <w:pPr>
              <w:jc w:val="center"/>
              <w:spacing w:after="0" w:line="193" w:lineRule="exact"/>
              <w:rPr>
                <w:sz w:val="20"/>
                <w:szCs w:val="20"/>
                <w:color w:val="auto"/>
              </w:rPr>
            </w:pPr>
            <w:r>
              <w:rPr>
                <w:rFonts w:ascii="Arial" w:cs="Arial" w:eastAsia="Arial" w:hAnsi="Arial"/>
                <w:sz w:val="14"/>
                <w:szCs w:val="14"/>
                <w:b w:val="1"/>
                <w:bCs w:val="1"/>
                <w:color w:val="FFFFFF"/>
                <w:w w:val="85"/>
              </w:rPr>
              <w:t>($)</w:t>
            </w:r>
            <w:r>
              <w:rPr>
                <w:rFonts w:ascii="Arial" w:cs="Arial" w:eastAsia="Arial" w:hAnsi="Arial"/>
                <w:sz w:val="22"/>
                <w:szCs w:val="22"/>
                <w:b w:val="1"/>
                <w:bCs w:val="1"/>
                <w:color w:val="FFFFFF"/>
                <w:w w:val="85"/>
                <w:vertAlign w:val="superscript"/>
              </w:rPr>
              <w:t>(5)</w:t>
            </w:r>
          </w:p>
        </w:tc>
        <w:tc>
          <w:tcPr>
            <w:tcW w:w="860" w:type="dxa"/>
            <w:vAlign w:val="bottom"/>
            <w:shd w:val="clear" w:color="auto" w:fill="307CC0"/>
          </w:tcPr>
          <w:p>
            <w:pPr>
              <w:jc w:val="right"/>
              <w:ind w:right="291"/>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6"/>
        </w:trPr>
        <w:tc>
          <w:tcPr>
            <w:tcW w:w="1680" w:type="dxa"/>
            <w:vAlign w:val="bottom"/>
            <w:tcBorders>
              <w:bottom w:val="single" w:sz="8" w:color="CCEEFF"/>
            </w:tcBorders>
            <w:shd w:val="clear" w:color="auto" w:fill="CCEEFF"/>
          </w:tcPr>
          <w:p>
            <w:pPr>
              <w:ind w:left="40"/>
              <w:spacing w:after="0" w:line="159" w:lineRule="exact"/>
              <w:rPr>
                <w:sz w:val="20"/>
                <w:szCs w:val="20"/>
                <w:color w:val="auto"/>
              </w:rPr>
            </w:pPr>
            <w:r>
              <w:rPr>
                <w:rFonts w:ascii="Arial" w:cs="Arial" w:eastAsia="Arial" w:hAnsi="Arial"/>
                <w:sz w:val="14"/>
                <w:szCs w:val="14"/>
                <w:i w:val="1"/>
                <w:iCs w:val="1"/>
                <w:color w:val="auto"/>
              </w:rPr>
              <w:t>Mr. Terry Bassham,</w:t>
            </w:r>
          </w:p>
        </w:tc>
        <w:tc>
          <w:tcPr>
            <w:tcW w:w="640" w:type="dxa"/>
            <w:vAlign w:val="bottom"/>
            <w:tcBorders>
              <w:bottom w:val="single" w:sz="8" w:color="CCEEFF"/>
            </w:tcBorders>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2019</w:t>
            </w:r>
          </w:p>
        </w:tc>
        <w:tc>
          <w:tcPr>
            <w:tcW w:w="760" w:type="dxa"/>
            <w:vAlign w:val="bottom"/>
            <w:tcBorders>
              <w:bottom w:val="single" w:sz="8" w:color="CCEEFF"/>
            </w:tcBorders>
            <w:shd w:val="clear" w:color="auto" w:fill="CCEEFF"/>
          </w:tcPr>
          <w:p>
            <w:pPr>
              <w:ind w:left="140"/>
              <w:spacing w:after="0" w:line="159" w:lineRule="exact"/>
              <w:rPr>
                <w:sz w:val="20"/>
                <w:szCs w:val="20"/>
                <w:color w:val="auto"/>
              </w:rPr>
            </w:pPr>
            <w:r>
              <w:rPr>
                <w:rFonts w:ascii="Arial" w:cs="Arial" w:eastAsia="Arial" w:hAnsi="Arial"/>
                <w:sz w:val="14"/>
                <w:szCs w:val="14"/>
                <w:color w:val="auto"/>
              </w:rPr>
              <w:t>950,000</w:t>
            </w:r>
          </w:p>
        </w:tc>
        <w:tc>
          <w:tcPr>
            <w:tcW w:w="800" w:type="dxa"/>
            <w:vAlign w:val="bottom"/>
            <w:tcBorders>
              <w:bottom w:val="single" w:sz="8" w:color="CCEEFF"/>
            </w:tcBorders>
            <w:shd w:val="clear" w:color="auto" w:fill="CCEEFF"/>
          </w:tcPr>
          <w:p>
            <w:pPr>
              <w:jc w:val="right"/>
              <w:ind w:right="71"/>
              <w:spacing w:after="0" w:line="15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1"/>
              <w:spacing w:after="0" w:line="159" w:lineRule="exact"/>
              <w:rPr>
                <w:sz w:val="20"/>
                <w:szCs w:val="20"/>
                <w:color w:val="auto"/>
              </w:rPr>
            </w:pPr>
            <w:r>
              <w:rPr>
                <w:rFonts w:ascii="Arial" w:cs="Arial" w:eastAsia="Arial" w:hAnsi="Arial"/>
                <w:sz w:val="14"/>
                <w:szCs w:val="14"/>
                <w:color w:val="auto"/>
              </w:rPr>
              <w:t>2,768,830</w:t>
            </w:r>
          </w:p>
        </w:tc>
        <w:tc>
          <w:tcPr>
            <w:tcW w:w="1180" w:type="dxa"/>
            <w:vAlign w:val="bottom"/>
            <w:tcBorders>
              <w:bottom w:val="single" w:sz="8" w:color="CCEEFF"/>
            </w:tcBorders>
            <w:shd w:val="clear" w:color="auto" w:fill="CCEEFF"/>
          </w:tcPr>
          <w:p>
            <w:pPr>
              <w:jc w:val="right"/>
              <w:ind w:right="31"/>
              <w:spacing w:after="0" w:line="159" w:lineRule="exact"/>
              <w:rPr>
                <w:sz w:val="20"/>
                <w:szCs w:val="20"/>
                <w:color w:val="auto"/>
              </w:rPr>
            </w:pPr>
            <w:r>
              <w:rPr>
                <w:rFonts w:ascii="Arial" w:cs="Arial" w:eastAsia="Arial" w:hAnsi="Arial"/>
                <w:sz w:val="14"/>
                <w:szCs w:val="14"/>
                <w:color w:val="auto"/>
              </w:rPr>
              <w:t>1,154,250</w:t>
            </w:r>
          </w:p>
        </w:tc>
        <w:tc>
          <w:tcPr>
            <w:tcW w:w="1160" w:type="dxa"/>
            <w:vAlign w:val="bottom"/>
            <w:tcBorders>
              <w:bottom w:val="single" w:sz="8" w:color="CCEEFF"/>
            </w:tcBorders>
            <w:shd w:val="clear" w:color="auto" w:fill="CCEEFF"/>
          </w:tcPr>
          <w:p>
            <w:pPr>
              <w:jc w:val="right"/>
              <w:ind w:right="31"/>
              <w:spacing w:after="0" w:line="159" w:lineRule="exact"/>
              <w:rPr>
                <w:sz w:val="20"/>
                <w:szCs w:val="20"/>
                <w:color w:val="auto"/>
              </w:rPr>
            </w:pPr>
            <w:r>
              <w:rPr>
                <w:rFonts w:ascii="Arial" w:cs="Arial" w:eastAsia="Arial" w:hAnsi="Arial"/>
                <w:sz w:val="14"/>
                <w:szCs w:val="14"/>
                <w:color w:val="auto"/>
              </w:rPr>
              <w:t>750,052</w:t>
            </w:r>
          </w:p>
        </w:tc>
        <w:tc>
          <w:tcPr>
            <w:tcW w:w="1220" w:type="dxa"/>
            <w:vAlign w:val="bottom"/>
            <w:tcBorders>
              <w:bottom w:val="single" w:sz="8" w:color="CCEEFF"/>
            </w:tcBorders>
            <w:shd w:val="clear" w:color="auto" w:fill="CCEEFF"/>
          </w:tcPr>
          <w:p>
            <w:pPr>
              <w:jc w:val="right"/>
              <w:ind w:right="71"/>
              <w:spacing w:after="0" w:line="159" w:lineRule="exact"/>
              <w:rPr>
                <w:sz w:val="20"/>
                <w:szCs w:val="20"/>
                <w:color w:val="auto"/>
              </w:rPr>
            </w:pPr>
            <w:r>
              <w:rPr>
                <w:rFonts w:ascii="Arial" w:cs="Arial" w:eastAsia="Arial" w:hAnsi="Arial"/>
                <w:sz w:val="14"/>
                <w:szCs w:val="14"/>
                <w:color w:val="auto"/>
              </w:rPr>
              <w:t>170,844</w:t>
            </w:r>
          </w:p>
        </w:tc>
        <w:tc>
          <w:tcPr>
            <w:tcW w:w="860" w:type="dxa"/>
            <w:vAlign w:val="bottom"/>
            <w:tcBorders>
              <w:bottom w:val="single" w:sz="8" w:color="CCEEFF"/>
            </w:tcBorders>
            <w:shd w:val="clear" w:color="auto" w:fill="CCEEFF"/>
          </w:tcPr>
          <w:p>
            <w:pPr>
              <w:jc w:val="right"/>
              <w:ind w:right="31"/>
              <w:spacing w:after="0" w:line="159" w:lineRule="exact"/>
              <w:rPr>
                <w:sz w:val="20"/>
                <w:szCs w:val="20"/>
                <w:color w:val="auto"/>
              </w:rPr>
            </w:pPr>
            <w:r>
              <w:rPr>
                <w:rFonts w:ascii="Arial" w:cs="Arial" w:eastAsia="Arial" w:hAnsi="Arial"/>
                <w:sz w:val="14"/>
                <w:szCs w:val="14"/>
                <w:color w:val="auto"/>
              </w:rPr>
              <w:t>5,793,975</w:t>
            </w:r>
          </w:p>
        </w:tc>
        <w:tc>
          <w:tcPr>
            <w:tcW w:w="0" w:type="dxa"/>
            <w:vAlign w:val="bottom"/>
          </w:tcPr>
          <w:p>
            <w:pPr>
              <w:spacing w:after="0"/>
              <w:rPr>
                <w:sz w:val="1"/>
                <w:szCs w:val="1"/>
                <w:color w:val="auto"/>
              </w:rPr>
            </w:pPr>
          </w:p>
        </w:tc>
      </w:tr>
      <w:tr>
        <w:trPr>
          <w:trHeight w:val="135"/>
        </w:trPr>
        <w:tc>
          <w:tcPr>
            <w:tcW w:w="1680" w:type="dxa"/>
            <w:vAlign w:val="bottom"/>
            <w:tcBorders>
              <w:top w:val="single" w:sz="8" w:color="CCEEFF"/>
            </w:tcBorders>
            <w:shd w:val="clear" w:color="auto" w:fill="CCEEFF"/>
          </w:tcPr>
          <w:p>
            <w:pPr>
              <w:ind w:left="40"/>
              <w:spacing w:after="0" w:line="135" w:lineRule="exact"/>
              <w:rPr>
                <w:sz w:val="20"/>
                <w:szCs w:val="20"/>
                <w:color w:val="auto"/>
              </w:rPr>
            </w:pPr>
            <w:r>
              <w:rPr>
                <w:rFonts w:ascii="Arial" w:cs="Arial" w:eastAsia="Arial" w:hAnsi="Arial"/>
                <w:sz w:val="14"/>
                <w:szCs w:val="14"/>
                <w:i w:val="1"/>
                <w:iCs w:val="1"/>
                <w:color w:val="auto"/>
              </w:rPr>
              <w:t>President and Chief</w:t>
            </w:r>
          </w:p>
        </w:tc>
        <w:tc>
          <w:tcPr>
            <w:tcW w:w="640" w:type="dxa"/>
            <w:vAlign w:val="bottom"/>
            <w:tcBorders>
              <w:top w:val="single" w:sz="8" w:color="307CC0"/>
            </w:tcBorders>
            <w:gridSpan w:val="3"/>
          </w:tcPr>
          <w:p>
            <w:pPr>
              <w:jc w:val="right"/>
              <w:ind w:right="140"/>
              <w:spacing w:after="0" w:line="135" w:lineRule="exact"/>
              <w:rPr>
                <w:sz w:val="20"/>
                <w:szCs w:val="20"/>
                <w:color w:val="auto"/>
              </w:rPr>
            </w:pPr>
            <w:r>
              <w:rPr>
                <w:rFonts w:ascii="Arial" w:cs="Arial" w:eastAsia="Arial" w:hAnsi="Arial"/>
                <w:sz w:val="14"/>
                <w:szCs w:val="14"/>
                <w:color w:val="auto"/>
              </w:rPr>
              <w:t>2018</w:t>
            </w:r>
          </w:p>
        </w:tc>
        <w:tc>
          <w:tcPr>
            <w:tcW w:w="760" w:type="dxa"/>
            <w:vAlign w:val="bottom"/>
            <w:tcBorders>
              <w:top w:val="single" w:sz="8" w:color="307CC0"/>
            </w:tcBorders>
          </w:tcPr>
          <w:p>
            <w:pPr>
              <w:ind w:left="140"/>
              <w:spacing w:after="0" w:line="135" w:lineRule="exact"/>
              <w:rPr>
                <w:sz w:val="20"/>
                <w:szCs w:val="20"/>
                <w:color w:val="auto"/>
              </w:rPr>
            </w:pPr>
            <w:r>
              <w:rPr>
                <w:rFonts w:ascii="Arial" w:cs="Arial" w:eastAsia="Arial" w:hAnsi="Arial"/>
                <w:sz w:val="14"/>
                <w:szCs w:val="14"/>
                <w:color w:val="auto"/>
              </w:rPr>
              <w:t>925,283</w:t>
            </w:r>
          </w:p>
        </w:tc>
        <w:tc>
          <w:tcPr>
            <w:tcW w:w="800" w:type="dxa"/>
            <w:vAlign w:val="bottom"/>
            <w:tcBorders>
              <w:top w:val="single" w:sz="8" w:color="307CC0"/>
            </w:tcBorders>
          </w:tcPr>
          <w:p>
            <w:pPr>
              <w:jc w:val="right"/>
              <w:ind w:right="71"/>
              <w:spacing w:after="0" w:line="135" w:lineRule="exact"/>
              <w:rPr>
                <w:sz w:val="20"/>
                <w:szCs w:val="20"/>
                <w:color w:val="auto"/>
              </w:rPr>
            </w:pPr>
            <w:r>
              <w:rPr>
                <w:rFonts w:ascii="Arial" w:cs="Arial" w:eastAsia="Arial" w:hAnsi="Arial"/>
                <w:sz w:val="14"/>
                <w:szCs w:val="14"/>
                <w:color w:val="auto"/>
              </w:rPr>
              <w:t>500,000</w:t>
            </w:r>
          </w:p>
        </w:tc>
        <w:tc>
          <w:tcPr>
            <w:tcW w:w="860" w:type="dxa"/>
            <w:vAlign w:val="bottom"/>
            <w:tcBorders>
              <w:top w:val="single" w:sz="8" w:color="307CC0"/>
            </w:tcBorders>
          </w:tcPr>
          <w:p>
            <w:pPr>
              <w:jc w:val="right"/>
              <w:ind w:right="31"/>
              <w:spacing w:after="0" w:line="135" w:lineRule="exact"/>
              <w:rPr>
                <w:sz w:val="20"/>
                <w:szCs w:val="20"/>
                <w:color w:val="auto"/>
              </w:rPr>
            </w:pPr>
            <w:r>
              <w:rPr>
                <w:rFonts w:ascii="Arial" w:cs="Arial" w:eastAsia="Arial" w:hAnsi="Arial"/>
                <w:sz w:val="14"/>
                <w:szCs w:val="14"/>
                <w:color w:val="auto"/>
              </w:rPr>
              <w:t>3,409,901</w:t>
            </w:r>
          </w:p>
        </w:tc>
        <w:tc>
          <w:tcPr>
            <w:tcW w:w="1180" w:type="dxa"/>
            <w:vAlign w:val="bottom"/>
            <w:tcBorders>
              <w:top w:val="single" w:sz="8" w:color="307CC0"/>
            </w:tcBorders>
          </w:tcPr>
          <w:p>
            <w:pPr>
              <w:jc w:val="right"/>
              <w:ind w:right="31"/>
              <w:spacing w:after="0" w:line="135" w:lineRule="exact"/>
              <w:rPr>
                <w:sz w:val="20"/>
                <w:szCs w:val="20"/>
                <w:color w:val="auto"/>
              </w:rPr>
            </w:pPr>
            <w:r>
              <w:rPr>
                <w:rFonts w:ascii="Arial" w:cs="Arial" w:eastAsia="Arial" w:hAnsi="Arial"/>
                <w:sz w:val="14"/>
                <w:szCs w:val="14"/>
                <w:color w:val="auto"/>
              </w:rPr>
              <w:t>1,425,460</w:t>
            </w:r>
          </w:p>
        </w:tc>
        <w:tc>
          <w:tcPr>
            <w:tcW w:w="1160" w:type="dxa"/>
            <w:vAlign w:val="bottom"/>
            <w:tcBorders>
              <w:top w:val="single" w:sz="8" w:color="307CC0"/>
            </w:tcBorders>
          </w:tcPr>
          <w:p>
            <w:pPr>
              <w:jc w:val="right"/>
              <w:ind w:right="31"/>
              <w:spacing w:after="0" w:line="135" w:lineRule="exact"/>
              <w:rPr>
                <w:sz w:val="20"/>
                <w:szCs w:val="20"/>
                <w:color w:val="auto"/>
              </w:rPr>
            </w:pPr>
            <w:r>
              <w:rPr>
                <w:rFonts w:ascii="Arial" w:cs="Arial" w:eastAsia="Arial" w:hAnsi="Arial"/>
                <w:sz w:val="14"/>
                <w:szCs w:val="14"/>
                <w:color w:val="auto"/>
              </w:rPr>
              <w:t>353,507</w:t>
            </w:r>
          </w:p>
        </w:tc>
        <w:tc>
          <w:tcPr>
            <w:tcW w:w="1220" w:type="dxa"/>
            <w:vAlign w:val="bottom"/>
            <w:tcBorders>
              <w:top w:val="single" w:sz="8" w:color="307CC0"/>
            </w:tcBorders>
          </w:tcPr>
          <w:p>
            <w:pPr>
              <w:jc w:val="right"/>
              <w:ind w:right="71"/>
              <w:spacing w:after="0" w:line="135" w:lineRule="exact"/>
              <w:rPr>
                <w:sz w:val="20"/>
                <w:szCs w:val="20"/>
                <w:color w:val="auto"/>
              </w:rPr>
            </w:pPr>
            <w:r>
              <w:rPr>
                <w:rFonts w:ascii="Arial" w:cs="Arial" w:eastAsia="Arial" w:hAnsi="Arial"/>
                <w:sz w:val="14"/>
                <w:szCs w:val="14"/>
                <w:color w:val="auto"/>
              </w:rPr>
              <w:t>229,193</w:t>
            </w:r>
          </w:p>
        </w:tc>
        <w:tc>
          <w:tcPr>
            <w:tcW w:w="860" w:type="dxa"/>
            <w:vAlign w:val="bottom"/>
            <w:tcBorders>
              <w:top w:val="single" w:sz="8" w:color="307CC0"/>
            </w:tcBorders>
          </w:tcPr>
          <w:p>
            <w:pPr>
              <w:jc w:val="right"/>
              <w:ind w:right="31"/>
              <w:spacing w:after="0" w:line="135" w:lineRule="exact"/>
              <w:rPr>
                <w:sz w:val="20"/>
                <w:szCs w:val="20"/>
                <w:color w:val="auto"/>
              </w:rPr>
            </w:pPr>
            <w:r>
              <w:rPr>
                <w:rFonts w:ascii="Arial" w:cs="Arial" w:eastAsia="Arial" w:hAnsi="Arial"/>
                <w:sz w:val="14"/>
                <w:szCs w:val="14"/>
                <w:color w:val="auto"/>
              </w:rPr>
              <w:t>6,843,344</w:t>
            </w:r>
          </w:p>
        </w:tc>
        <w:tc>
          <w:tcPr>
            <w:tcW w:w="0" w:type="dxa"/>
            <w:vAlign w:val="bottom"/>
          </w:tcPr>
          <w:p>
            <w:pPr>
              <w:spacing w:after="0"/>
              <w:rPr>
                <w:sz w:val="1"/>
                <w:szCs w:val="1"/>
                <w:color w:val="auto"/>
              </w:rPr>
            </w:pPr>
          </w:p>
        </w:tc>
      </w:tr>
      <w:tr>
        <w:trPr>
          <w:trHeight w:val="39"/>
        </w:trPr>
        <w:tc>
          <w:tcPr>
            <w:tcW w:w="168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4"/>
                <w:szCs w:val="14"/>
                <w:i w:val="1"/>
                <w:iCs w:val="1"/>
                <w:color w:val="auto"/>
              </w:rPr>
              <w:t>Executive Officer</w:t>
            </w:r>
          </w:p>
        </w:tc>
        <w:tc>
          <w:tcPr>
            <w:tcW w:w="200" w:type="dxa"/>
            <w:vAlign w:val="bottom"/>
            <w:tcBorders>
              <w:bottom w:val="single" w:sz="8" w:color="307CC0"/>
            </w:tcBorders>
          </w:tcPr>
          <w:p>
            <w:pPr>
              <w:spacing w:after="0"/>
              <w:rPr>
                <w:sz w:val="3"/>
                <w:szCs w:val="3"/>
                <w:color w:val="auto"/>
              </w:rPr>
            </w:pPr>
          </w:p>
        </w:tc>
        <w:tc>
          <w:tcPr>
            <w:tcW w:w="300" w:type="dxa"/>
            <w:vAlign w:val="bottom"/>
            <w:tcBorders>
              <w:bottom w:val="single" w:sz="8" w:color="307CC0"/>
            </w:tcBorders>
          </w:tcPr>
          <w:p>
            <w:pPr>
              <w:spacing w:after="0"/>
              <w:rPr>
                <w:sz w:val="3"/>
                <w:szCs w:val="3"/>
                <w:color w:val="auto"/>
              </w:rPr>
            </w:pPr>
          </w:p>
        </w:tc>
        <w:tc>
          <w:tcPr>
            <w:tcW w:w="140" w:type="dxa"/>
            <w:vAlign w:val="bottom"/>
            <w:tcBorders>
              <w:bottom w:val="single" w:sz="8" w:color="307CC0"/>
            </w:tcBorders>
          </w:tcPr>
          <w:p>
            <w:pPr>
              <w:spacing w:after="0"/>
              <w:rPr>
                <w:sz w:val="3"/>
                <w:szCs w:val="3"/>
                <w:color w:val="auto"/>
              </w:rPr>
            </w:pPr>
          </w:p>
        </w:tc>
        <w:tc>
          <w:tcPr>
            <w:tcW w:w="760" w:type="dxa"/>
            <w:vAlign w:val="bottom"/>
            <w:tcBorders>
              <w:bottom w:val="single" w:sz="8" w:color="307CC0"/>
            </w:tcBorders>
          </w:tcPr>
          <w:p>
            <w:pPr>
              <w:spacing w:after="0"/>
              <w:rPr>
                <w:sz w:val="3"/>
                <w:szCs w:val="3"/>
                <w:color w:val="auto"/>
              </w:rPr>
            </w:pPr>
          </w:p>
        </w:tc>
        <w:tc>
          <w:tcPr>
            <w:tcW w:w="800" w:type="dxa"/>
            <w:vAlign w:val="bottom"/>
            <w:tcBorders>
              <w:bottom w:val="single" w:sz="8" w:color="307CC0"/>
            </w:tcBorders>
          </w:tcPr>
          <w:p>
            <w:pPr>
              <w:spacing w:after="0"/>
              <w:rPr>
                <w:sz w:val="3"/>
                <w:szCs w:val="3"/>
                <w:color w:val="auto"/>
              </w:rPr>
            </w:pPr>
          </w:p>
        </w:tc>
        <w:tc>
          <w:tcPr>
            <w:tcW w:w="860" w:type="dxa"/>
            <w:vAlign w:val="bottom"/>
            <w:tcBorders>
              <w:bottom w:val="single" w:sz="8" w:color="307CC0"/>
            </w:tcBorders>
          </w:tcPr>
          <w:p>
            <w:pPr>
              <w:spacing w:after="0"/>
              <w:rPr>
                <w:sz w:val="3"/>
                <w:szCs w:val="3"/>
                <w:color w:val="auto"/>
              </w:rPr>
            </w:pPr>
          </w:p>
        </w:tc>
        <w:tc>
          <w:tcPr>
            <w:tcW w:w="1180" w:type="dxa"/>
            <w:vAlign w:val="bottom"/>
            <w:tcBorders>
              <w:bottom w:val="single" w:sz="8" w:color="307CC0"/>
            </w:tcBorders>
          </w:tcPr>
          <w:p>
            <w:pPr>
              <w:spacing w:after="0"/>
              <w:rPr>
                <w:sz w:val="3"/>
                <w:szCs w:val="3"/>
                <w:color w:val="auto"/>
              </w:rPr>
            </w:pPr>
          </w:p>
        </w:tc>
        <w:tc>
          <w:tcPr>
            <w:tcW w:w="1160" w:type="dxa"/>
            <w:vAlign w:val="bottom"/>
            <w:tcBorders>
              <w:bottom w:val="single" w:sz="8" w:color="307CC0"/>
            </w:tcBorders>
          </w:tcPr>
          <w:p>
            <w:pPr>
              <w:spacing w:after="0"/>
              <w:rPr>
                <w:sz w:val="3"/>
                <w:szCs w:val="3"/>
                <w:color w:val="auto"/>
              </w:rPr>
            </w:pPr>
          </w:p>
        </w:tc>
        <w:tc>
          <w:tcPr>
            <w:tcW w:w="1220" w:type="dxa"/>
            <w:vAlign w:val="bottom"/>
            <w:tcBorders>
              <w:bottom w:val="single" w:sz="8" w:color="307CC0"/>
            </w:tcBorders>
          </w:tcPr>
          <w:p>
            <w:pPr>
              <w:spacing w:after="0"/>
              <w:rPr>
                <w:sz w:val="3"/>
                <w:szCs w:val="3"/>
                <w:color w:val="auto"/>
              </w:rPr>
            </w:pPr>
          </w:p>
        </w:tc>
        <w:tc>
          <w:tcPr>
            <w:tcW w:w="860" w:type="dxa"/>
            <w:vAlign w:val="bottom"/>
            <w:tcBorders>
              <w:bottom w:val="single" w:sz="8" w:color="307CC0"/>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680" w:type="dxa"/>
            <w:vAlign w:val="bottom"/>
            <w:tcBorders>
              <w:bottom w:val="single" w:sz="8" w:color="CCEEFF"/>
            </w:tcBorders>
            <w:vMerge w:val="continue"/>
            <w:shd w:val="clear" w:color="auto" w:fill="CCEEFF"/>
          </w:tcPr>
          <w:p>
            <w:pPr>
              <w:spacing w:after="0"/>
              <w:rPr>
                <w:sz w:val="15"/>
                <w:szCs w:val="15"/>
                <w:color w:val="auto"/>
              </w:rPr>
            </w:pP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2017</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880,000</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2,514,510</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1,082,400</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568,773</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141,637</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5,187,320</w:t>
            </w:r>
          </w:p>
        </w:tc>
        <w:tc>
          <w:tcPr>
            <w:tcW w:w="0" w:type="dxa"/>
            <w:vAlign w:val="bottom"/>
          </w:tcPr>
          <w:p>
            <w:pPr>
              <w:spacing w:after="0"/>
              <w:rPr>
                <w:sz w:val="1"/>
                <w:szCs w:val="1"/>
                <w:color w:val="auto"/>
              </w:rPr>
            </w:pPr>
          </w:p>
        </w:tc>
      </w:tr>
      <w:tr>
        <w:trPr>
          <w:trHeight w:val="205"/>
        </w:trPr>
        <w:tc>
          <w:tcPr>
            <w:tcW w:w="1680" w:type="dxa"/>
            <w:vAlign w:val="bottom"/>
            <w:tcBorders>
              <w:top w:val="single" w:sz="8" w:color="307CC0"/>
              <w:bottom w:val="single" w:sz="8" w:color="D6E7FF"/>
            </w:tcBorders>
            <w:shd w:val="clear" w:color="auto" w:fill="D6E7FF"/>
          </w:tcPr>
          <w:p>
            <w:pPr>
              <w:ind w:left="40"/>
              <w:spacing w:after="0" w:line="151" w:lineRule="exact"/>
              <w:rPr>
                <w:sz w:val="20"/>
                <w:szCs w:val="20"/>
                <w:color w:val="auto"/>
              </w:rPr>
            </w:pPr>
            <w:r>
              <w:rPr>
                <w:rFonts w:ascii="Arial" w:cs="Arial" w:eastAsia="Arial" w:hAnsi="Arial"/>
                <w:sz w:val="14"/>
                <w:szCs w:val="14"/>
                <w:i w:val="1"/>
                <w:iCs w:val="1"/>
                <w:color w:val="auto"/>
              </w:rPr>
              <w:t>Mr. Kevin E. Bryant,</w:t>
            </w:r>
          </w:p>
        </w:tc>
        <w:tc>
          <w:tcPr>
            <w:tcW w:w="200" w:type="dxa"/>
            <w:vAlign w:val="bottom"/>
            <w:tcBorders>
              <w:top w:val="single" w:sz="8" w:color="307CC0"/>
              <w:bottom w:val="single" w:sz="8" w:color="D6E7FF"/>
            </w:tcBorders>
            <w:shd w:val="clear" w:color="auto" w:fill="D6E7FF"/>
          </w:tcPr>
          <w:p>
            <w:pPr>
              <w:spacing w:after="0"/>
              <w:rPr>
                <w:sz w:val="17"/>
                <w:szCs w:val="17"/>
                <w:color w:val="auto"/>
              </w:rPr>
            </w:pPr>
          </w:p>
        </w:tc>
        <w:tc>
          <w:tcPr>
            <w:tcW w:w="440" w:type="dxa"/>
            <w:vAlign w:val="bottom"/>
            <w:tcBorders>
              <w:top w:val="single" w:sz="8" w:color="307CC0"/>
              <w:bottom w:val="single" w:sz="8" w:color="D6E7FF"/>
            </w:tcBorders>
            <w:gridSpan w:val="2"/>
            <w:shd w:val="clear" w:color="auto" w:fill="D6E7FF"/>
          </w:tcPr>
          <w:p>
            <w:pPr>
              <w:jc w:val="right"/>
              <w:ind w:right="140"/>
              <w:spacing w:after="0" w:line="151" w:lineRule="exact"/>
              <w:rPr>
                <w:sz w:val="20"/>
                <w:szCs w:val="20"/>
                <w:color w:val="auto"/>
              </w:rPr>
            </w:pPr>
            <w:r>
              <w:rPr>
                <w:rFonts w:ascii="Arial" w:cs="Arial" w:eastAsia="Arial" w:hAnsi="Arial"/>
                <w:sz w:val="14"/>
                <w:szCs w:val="14"/>
                <w:color w:val="auto"/>
                <w:w w:val="89"/>
              </w:rPr>
              <w:t>2019</w:t>
            </w:r>
          </w:p>
        </w:tc>
        <w:tc>
          <w:tcPr>
            <w:tcW w:w="760" w:type="dxa"/>
            <w:vAlign w:val="bottom"/>
            <w:tcBorders>
              <w:top w:val="single" w:sz="8" w:color="307CC0"/>
              <w:bottom w:val="single" w:sz="8" w:color="D6E7FF"/>
            </w:tcBorders>
            <w:shd w:val="clear" w:color="auto" w:fill="D6E7FF"/>
          </w:tcPr>
          <w:p>
            <w:pPr>
              <w:ind w:left="140"/>
              <w:spacing w:after="0" w:line="151" w:lineRule="exact"/>
              <w:rPr>
                <w:sz w:val="20"/>
                <w:szCs w:val="20"/>
                <w:color w:val="auto"/>
              </w:rPr>
            </w:pPr>
            <w:r>
              <w:rPr>
                <w:rFonts w:ascii="Arial" w:cs="Arial" w:eastAsia="Arial" w:hAnsi="Arial"/>
                <w:sz w:val="14"/>
                <w:szCs w:val="14"/>
                <w:color w:val="auto"/>
              </w:rPr>
              <w:t>520,000</w:t>
            </w:r>
          </w:p>
        </w:tc>
        <w:tc>
          <w:tcPr>
            <w:tcW w:w="800" w:type="dxa"/>
            <w:vAlign w:val="bottom"/>
            <w:tcBorders>
              <w:top w:val="single" w:sz="8" w:color="307CC0"/>
              <w:bottom w:val="single" w:sz="8" w:color="D6E7FF"/>
            </w:tcBorders>
            <w:shd w:val="clear" w:color="auto" w:fill="D6E7FF"/>
          </w:tcPr>
          <w:p>
            <w:pPr>
              <w:jc w:val="right"/>
              <w:ind w:right="71"/>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307CC0"/>
              <w:bottom w:val="single" w:sz="8" w:color="D6E7FF"/>
            </w:tcBorders>
            <w:shd w:val="clear" w:color="auto" w:fill="D6E7FF"/>
          </w:tcPr>
          <w:p>
            <w:pPr>
              <w:jc w:val="right"/>
              <w:ind w:right="31"/>
              <w:spacing w:after="0" w:line="151" w:lineRule="exact"/>
              <w:rPr>
                <w:sz w:val="20"/>
                <w:szCs w:val="20"/>
                <w:color w:val="auto"/>
              </w:rPr>
            </w:pPr>
            <w:r>
              <w:rPr>
                <w:rFonts w:ascii="Arial" w:cs="Arial" w:eastAsia="Arial" w:hAnsi="Arial"/>
                <w:sz w:val="14"/>
                <w:szCs w:val="14"/>
                <w:color w:val="auto"/>
              </w:rPr>
              <w:t>568,339</w:t>
            </w:r>
          </w:p>
        </w:tc>
        <w:tc>
          <w:tcPr>
            <w:tcW w:w="1180" w:type="dxa"/>
            <w:vAlign w:val="bottom"/>
            <w:tcBorders>
              <w:top w:val="single" w:sz="8" w:color="307CC0"/>
              <w:bottom w:val="single" w:sz="8" w:color="D6E7FF"/>
            </w:tcBorders>
            <w:shd w:val="clear" w:color="auto" w:fill="D6E7FF"/>
          </w:tcPr>
          <w:p>
            <w:pPr>
              <w:jc w:val="right"/>
              <w:ind w:right="31"/>
              <w:spacing w:after="0" w:line="151" w:lineRule="exact"/>
              <w:rPr>
                <w:sz w:val="20"/>
                <w:szCs w:val="20"/>
                <w:color w:val="auto"/>
              </w:rPr>
            </w:pPr>
            <w:r>
              <w:rPr>
                <w:rFonts w:ascii="Arial" w:cs="Arial" w:eastAsia="Arial" w:hAnsi="Arial"/>
                <w:sz w:val="14"/>
                <w:szCs w:val="14"/>
                <w:color w:val="auto"/>
              </w:rPr>
              <w:t>505,440</w:t>
            </w:r>
          </w:p>
        </w:tc>
        <w:tc>
          <w:tcPr>
            <w:tcW w:w="1160" w:type="dxa"/>
            <w:vAlign w:val="bottom"/>
            <w:tcBorders>
              <w:top w:val="single" w:sz="8" w:color="307CC0"/>
              <w:bottom w:val="single" w:sz="8" w:color="D6E7FF"/>
            </w:tcBorders>
            <w:shd w:val="clear" w:color="auto" w:fill="D6E7FF"/>
          </w:tcPr>
          <w:p>
            <w:pPr>
              <w:jc w:val="right"/>
              <w:ind w:right="31"/>
              <w:spacing w:after="0" w:line="151" w:lineRule="exact"/>
              <w:rPr>
                <w:sz w:val="20"/>
                <w:szCs w:val="20"/>
                <w:color w:val="auto"/>
              </w:rPr>
            </w:pPr>
            <w:r>
              <w:rPr>
                <w:rFonts w:ascii="Arial" w:cs="Arial" w:eastAsia="Arial" w:hAnsi="Arial"/>
                <w:sz w:val="14"/>
                <w:szCs w:val="14"/>
                <w:color w:val="auto"/>
              </w:rPr>
              <w:t>365,574</w:t>
            </w:r>
          </w:p>
        </w:tc>
        <w:tc>
          <w:tcPr>
            <w:tcW w:w="1220" w:type="dxa"/>
            <w:vAlign w:val="bottom"/>
            <w:tcBorders>
              <w:top w:val="single" w:sz="8" w:color="307CC0"/>
              <w:bottom w:val="single" w:sz="8" w:color="D6E7FF"/>
            </w:tcBorders>
            <w:shd w:val="clear" w:color="auto" w:fill="D6E7FF"/>
          </w:tcPr>
          <w:p>
            <w:pPr>
              <w:jc w:val="right"/>
              <w:ind w:right="71"/>
              <w:spacing w:after="0" w:line="151" w:lineRule="exact"/>
              <w:rPr>
                <w:sz w:val="20"/>
                <w:szCs w:val="20"/>
                <w:color w:val="auto"/>
              </w:rPr>
            </w:pPr>
            <w:r>
              <w:rPr>
                <w:rFonts w:ascii="Arial" w:cs="Arial" w:eastAsia="Arial" w:hAnsi="Arial"/>
                <w:sz w:val="14"/>
                <w:szCs w:val="14"/>
                <w:color w:val="auto"/>
              </w:rPr>
              <w:t>94,350</w:t>
            </w:r>
          </w:p>
        </w:tc>
        <w:tc>
          <w:tcPr>
            <w:tcW w:w="860" w:type="dxa"/>
            <w:vAlign w:val="bottom"/>
            <w:tcBorders>
              <w:top w:val="single" w:sz="8" w:color="307CC0"/>
              <w:bottom w:val="single" w:sz="8" w:color="D6E7FF"/>
            </w:tcBorders>
            <w:shd w:val="clear" w:color="auto" w:fill="D6E7FF"/>
          </w:tcPr>
          <w:p>
            <w:pPr>
              <w:jc w:val="right"/>
              <w:ind w:right="31"/>
              <w:spacing w:after="0" w:line="151" w:lineRule="exact"/>
              <w:rPr>
                <w:sz w:val="20"/>
                <w:szCs w:val="20"/>
                <w:color w:val="auto"/>
              </w:rPr>
            </w:pPr>
            <w:r>
              <w:rPr>
                <w:rFonts w:ascii="Arial" w:cs="Arial" w:eastAsia="Arial" w:hAnsi="Arial"/>
                <w:sz w:val="14"/>
                <w:szCs w:val="14"/>
                <w:color w:val="auto"/>
              </w:rPr>
              <w:t>2,053,703</w:t>
            </w:r>
          </w:p>
        </w:tc>
        <w:tc>
          <w:tcPr>
            <w:tcW w:w="0" w:type="dxa"/>
            <w:vAlign w:val="bottom"/>
          </w:tcPr>
          <w:p>
            <w:pPr>
              <w:spacing w:after="0"/>
              <w:rPr>
                <w:sz w:val="1"/>
                <w:szCs w:val="1"/>
                <w:color w:val="auto"/>
              </w:rPr>
            </w:pPr>
          </w:p>
        </w:tc>
      </w:tr>
      <w:tr>
        <w:trPr>
          <w:trHeight w:val="87"/>
        </w:trPr>
        <w:tc>
          <w:tcPr>
            <w:tcW w:w="1680" w:type="dxa"/>
            <w:vAlign w:val="bottom"/>
            <w:tcBorders>
              <w:top w:val="single" w:sz="8" w:color="D6E7FF"/>
            </w:tcBorders>
            <w:shd w:val="clear" w:color="auto" w:fill="D6E7FF"/>
          </w:tcPr>
          <w:p>
            <w:pPr>
              <w:ind w:left="40"/>
              <w:spacing w:after="0" w:line="87" w:lineRule="exact"/>
              <w:rPr>
                <w:sz w:val="20"/>
                <w:szCs w:val="20"/>
                <w:color w:val="auto"/>
              </w:rPr>
            </w:pPr>
            <w:r>
              <w:rPr>
                <w:rFonts w:ascii="Arial" w:cs="Arial" w:eastAsia="Arial" w:hAnsi="Arial"/>
                <w:sz w:val="10"/>
                <w:szCs w:val="10"/>
                <w:i w:val="1"/>
                <w:iCs w:val="1"/>
                <w:color w:val="auto"/>
              </w:rPr>
              <w:t>Executive Vice President</w:t>
            </w:r>
          </w:p>
        </w:tc>
        <w:tc>
          <w:tcPr>
            <w:tcW w:w="200" w:type="dxa"/>
            <w:vAlign w:val="bottom"/>
            <w:tcBorders>
              <w:top w:val="single" w:sz="8" w:color="307CC0"/>
            </w:tcBorders>
            <w:shd w:val="clear" w:color="auto" w:fill="D6E7FF"/>
          </w:tcPr>
          <w:p>
            <w:pPr>
              <w:spacing w:after="0"/>
              <w:rPr>
                <w:sz w:val="7"/>
                <w:szCs w:val="7"/>
                <w:color w:val="auto"/>
              </w:rPr>
            </w:pPr>
          </w:p>
        </w:tc>
        <w:tc>
          <w:tcPr>
            <w:tcW w:w="300" w:type="dxa"/>
            <w:vAlign w:val="bottom"/>
            <w:tcBorders>
              <w:top w:val="single" w:sz="8" w:color="307CC0"/>
            </w:tcBorders>
            <w:vMerge w:val="restart"/>
            <w:shd w:val="clear" w:color="auto" w:fill="D6E7FF"/>
          </w:tcPr>
          <w:p>
            <w:pPr>
              <w:jc w:val="right"/>
              <w:spacing w:after="0"/>
              <w:rPr>
                <w:sz w:val="20"/>
                <w:szCs w:val="20"/>
                <w:color w:val="auto"/>
              </w:rPr>
            </w:pPr>
            <w:r>
              <w:rPr>
                <w:rFonts w:ascii="Arial" w:cs="Arial" w:eastAsia="Arial" w:hAnsi="Arial"/>
                <w:sz w:val="14"/>
                <w:szCs w:val="14"/>
                <w:color w:val="auto"/>
                <w:w w:val="89"/>
              </w:rPr>
              <w:t>2018</w:t>
            </w:r>
          </w:p>
        </w:tc>
        <w:tc>
          <w:tcPr>
            <w:tcW w:w="140" w:type="dxa"/>
            <w:vAlign w:val="bottom"/>
            <w:tcBorders>
              <w:top w:val="single" w:sz="8" w:color="307CC0"/>
            </w:tcBorders>
            <w:shd w:val="clear" w:color="auto" w:fill="D6E7FF"/>
          </w:tcPr>
          <w:p>
            <w:pPr>
              <w:spacing w:after="0"/>
              <w:rPr>
                <w:sz w:val="7"/>
                <w:szCs w:val="7"/>
                <w:color w:val="auto"/>
              </w:rPr>
            </w:pPr>
          </w:p>
        </w:tc>
        <w:tc>
          <w:tcPr>
            <w:tcW w:w="760" w:type="dxa"/>
            <w:vAlign w:val="bottom"/>
            <w:tcBorders>
              <w:top w:val="single" w:sz="8" w:color="307CC0"/>
            </w:tcBorders>
            <w:vMerge w:val="restart"/>
            <w:shd w:val="clear" w:color="auto" w:fill="D6E7FF"/>
          </w:tcPr>
          <w:p>
            <w:pPr>
              <w:ind w:left="140"/>
              <w:spacing w:after="0"/>
              <w:rPr>
                <w:sz w:val="20"/>
                <w:szCs w:val="20"/>
                <w:color w:val="auto"/>
              </w:rPr>
            </w:pPr>
            <w:r>
              <w:rPr>
                <w:rFonts w:ascii="Arial" w:cs="Arial" w:eastAsia="Arial" w:hAnsi="Arial"/>
                <w:sz w:val="14"/>
                <w:szCs w:val="14"/>
                <w:color w:val="auto"/>
              </w:rPr>
              <w:t>495,513</w:t>
            </w:r>
          </w:p>
        </w:tc>
        <w:tc>
          <w:tcPr>
            <w:tcW w:w="800" w:type="dxa"/>
            <w:vAlign w:val="bottom"/>
            <w:tcBorders>
              <w:top w:val="single" w:sz="8" w:color="307CC0"/>
            </w:tcBorders>
            <w:vMerge w:val="restart"/>
            <w:shd w:val="clear" w:color="auto" w:fill="D6E7FF"/>
          </w:tcPr>
          <w:p>
            <w:pPr>
              <w:jc w:val="right"/>
              <w:ind w:right="71"/>
              <w:spacing w:after="0"/>
              <w:rPr>
                <w:sz w:val="20"/>
                <w:szCs w:val="20"/>
                <w:color w:val="auto"/>
              </w:rPr>
            </w:pPr>
            <w:r>
              <w:rPr>
                <w:rFonts w:ascii="Arial" w:cs="Arial" w:eastAsia="Arial" w:hAnsi="Arial"/>
                <w:sz w:val="14"/>
                <w:szCs w:val="14"/>
                <w:color w:val="auto"/>
              </w:rPr>
              <w:t>333,333</w:t>
            </w:r>
          </w:p>
        </w:tc>
        <w:tc>
          <w:tcPr>
            <w:tcW w:w="8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1,363,483</w:t>
            </w:r>
          </w:p>
        </w:tc>
        <w:tc>
          <w:tcPr>
            <w:tcW w:w="118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610,236</w:t>
            </w:r>
          </w:p>
        </w:tc>
        <w:tc>
          <w:tcPr>
            <w:tcW w:w="11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85,197</w:t>
            </w:r>
          </w:p>
        </w:tc>
        <w:tc>
          <w:tcPr>
            <w:tcW w:w="1220" w:type="dxa"/>
            <w:vAlign w:val="bottom"/>
            <w:tcBorders>
              <w:top w:val="single" w:sz="8" w:color="307CC0"/>
            </w:tcBorders>
            <w:vMerge w:val="restart"/>
            <w:shd w:val="clear" w:color="auto" w:fill="D6E7FF"/>
          </w:tcPr>
          <w:p>
            <w:pPr>
              <w:jc w:val="right"/>
              <w:ind w:right="71"/>
              <w:spacing w:after="0"/>
              <w:rPr>
                <w:sz w:val="20"/>
                <w:szCs w:val="20"/>
                <w:color w:val="auto"/>
              </w:rPr>
            </w:pPr>
            <w:r>
              <w:rPr>
                <w:rFonts w:ascii="Arial" w:cs="Arial" w:eastAsia="Arial" w:hAnsi="Arial"/>
                <w:sz w:val="14"/>
                <w:szCs w:val="14"/>
                <w:color w:val="auto"/>
              </w:rPr>
              <w:t>88,613</w:t>
            </w:r>
          </w:p>
        </w:tc>
        <w:tc>
          <w:tcPr>
            <w:tcW w:w="8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2,976,375</w:t>
            </w:r>
          </w:p>
        </w:tc>
        <w:tc>
          <w:tcPr>
            <w:tcW w:w="0" w:type="dxa"/>
            <w:vAlign w:val="bottom"/>
          </w:tcPr>
          <w:p>
            <w:pPr>
              <w:spacing w:after="0"/>
              <w:rPr>
                <w:sz w:val="1"/>
                <w:szCs w:val="1"/>
                <w:color w:val="auto"/>
              </w:rPr>
            </w:pPr>
          </w:p>
        </w:tc>
      </w:tr>
      <w:tr>
        <w:trPr>
          <w:trHeight w:val="113"/>
        </w:trPr>
        <w:tc>
          <w:tcPr>
            <w:tcW w:w="1680" w:type="dxa"/>
            <w:vAlign w:val="bottom"/>
            <w:tcBorders>
              <w:bottom w:val="single" w:sz="8" w:color="D6E7FF"/>
            </w:tcBorders>
            <w:vMerge w:val="restart"/>
            <w:shd w:val="clear" w:color="auto" w:fill="D6E7FF"/>
          </w:tcPr>
          <w:p>
            <w:pPr>
              <w:ind w:left="40"/>
              <w:spacing w:after="0" w:line="155" w:lineRule="exact"/>
              <w:rPr>
                <w:sz w:val="20"/>
                <w:szCs w:val="20"/>
                <w:color w:val="auto"/>
              </w:rPr>
            </w:pPr>
            <w:r>
              <w:rPr>
                <w:rFonts w:ascii="Arial" w:cs="Arial" w:eastAsia="Arial" w:hAnsi="Arial"/>
                <w:sz w:val="14"/>
                <w:szCs w:val="14"/>
                <w:i w:val="1"/>
                <w:iCs w:val="1"/>
                <w:color w:val="auto"/>
              </w:rPr>
              <w:t>and Chief Operating</w:t>
            </w:r>
          </w:p>
        </w:tc>
        <w:tc>
          <w:tcPr>
            <w:tcW w:w="200" w:type="dxa"/>
            <w:vAlign w:val="bottom"/>
            <w:tcBorders>
              <w:bottom w:val="single" w:sz="8" w:color="D6E7FF"/>
            </w:tcBorders>
            <w:shd w:val="clear" w:color="auto" w:fill="D6E7FF"/>
          </w:tcPr>
          <w:p>
            <w:pPr>
              <w:spacing w:after="0"/>
              <w:rPr>
                <w:sz w:val="9"/>
                <w:szCs w:val="9"/>
                <w:color w:val="auto"/>
              </w:rPr>
            </w:pPr>
          </w:p>
        </w:tc>
        <w:tc>
          <w:tcPr>
            <w:tcW w:w="300" w:type="dxa"/>
            <w:vAlign w:val="bottom"/>
            <w:tcBorders>
              <w:bottom w:val="single" w:sz="8" w:color="D6E7FF"/>
            </w:tcBorders>
            <w:vMerge w:val="continue"/>
            <w:shd w:val="clear" w:color="auto" w:fill="D6E7FF"/>
          </w:tcPr>
          <w:p>
            <w:pPr>
              <w:spacing w:after="0"/>
              <w:rPr>
                <w:sz w:val="9"/>
                <w:szCs w:val="9"/>
                <w:color w:val="auto"/>
              </w:rPr>
            </w:pPr>
          </w:p>
        </w:tc>
        <w:tc>
          <w:tcPr>
            <w:tcW w:w="140" w:type="dxa"/>
            <w:vAlign w:val="bottom"/>
            <w:tcBorders>
              <w:bottom w:val="single" w:sz="8" w:color="D6E7FF"/>
            </w:tcBorders>
            <w:shd w:val="clear" w:color="auto" w:fill="D6E7FF"/>
          </w:tcPr>
          <w:p>
            <w:pPr>
              <w:spacing w:after="0"/>
              <w:rPr>
                <w:sz w:val="9"/>
                <w:szCs w:val="9"/>
                <w:color w:val="auto"/>
              </w:rPr>
            </w:pPr>
          </w:p>
        </w:tc>
        <w:tc>
          <w:tcPr>
            <w:tcW w:w="760" w:type="dxa"/>
            <w:vAlign w:val="bottom"/>
            <w:tcBorders>
              <w:bottom w:val="single" w:sz="8" w:color="D6E7FF"/>
            </w:tcBorders>
            <w:vMerge w:val="continue"/>
            <w:shd w:val="clear" w:color="auto" w:fill="D6E7FF"/>
          </w:tcPr>
          <w:p>
            <w:pPr>
              <w:spacing w:after="0"/>
              <w:rPr>
                <w:sz w:val="9"/>
                <w:szCs w:val="9"/>
                <w:color w:val="auto"/>
              </w:rPr>
            </w:pPr>
          </w:p>
        </w:tc>
        <w:tc>
          <w:tcPr>
            <w:tcW w:w="800" w:type="dxa"/>
            <w:vAlign w:val="bottom"/>
            <w:tcBorders>
              <w:bottom w:val="single" w:sz="8" w:color="D6E7FF"/>
            </w:tcBorders>
            <w:vMerge w:val="continue"/>
            <w:shd w:val="clear" w:color="auto" w:fill="D6E7FF"/>
          </w:tcPr>
          <w:p>
            <w:pPr>
              <w:spacing w:after="0"/>
              <w:rPr>
                <w:sz w:val="9"/>
                <w:szCs w:val="9"/>
                <w:color w:val="auto"/>
              </w:rPr>
            </w:pPr>
          </w:p>
        </w:tc>
        <w:tc>
          <w:tcPr>
            <w:tcW w:w="860" w:type="dxa"/>
            <w:vAlign w:val="bottom"/>
            <w:tcBorders>
              <w:bottom w:val="single" w:sz="8" w:color="D6E7FF"/>
            </w:tcBorders>
            <w:vMerge w:val="continue"/>
            <w:shd w:val="clear" w:color="auto" w:fill="D6E7FF"/>
          </w:tcPr>
          <w:p>
            <w:pPr>
              <w:spacing w:after="0"/>
              <w:rPr>
                <w:sz w:val="9"/>
                <w:szCs w:val="9"/>
                <w:color w:val="auto"/>
              </w:rPr>
            </w:pPr>
          </w:p>
        </w:tc>
        <w:tc>
          <w:tcPr>
            <w:tcW w:w="1180" w:type="dxa"/>
            <w:vAlign w:val="bottom"/>
            <w:tcBorders>
              <w:bottom w:val="single" w:sz="8" w:color="D6E7FF"/>
            </w:tcBorders>
            <w:vMerge w:val="continue"/>
            <w:shd w:val="clear" w:color="auto" w:fill="D6E7FF"/>
          </w:tcPr>
          <w:p>
            <w:pPr>
              <w:spacing w:after="0"/>
              <w:rPr>
                <w:sz w:val="9"/>
                <w:szCs w:val="9"/>
                <w:color w:val="auto"/>
              </w:rPr>
            </w:pPr>
          </w:p>
        </w:tc>
        <w:tc>
          <w:tcPr>
            <w:tcW w:w="1160" w:type="dxa"/>
            <w:vAlign w:val="bottom"/>
            <w:tcBorders>
              <w:bottom w:val="single" w:sz="8" w:color="D6E7FF"/>
            </w:tcBorders>
            <w:vMerge w:val="continue"/>
            <w:shd w:val="clear" w:color="auto" w:fill="D6E7FF"/>
          </w:tcPr>
          <w:p>
            <w:pPr>
              <w:spacing w:after="0"/>
              <w:rPr>
                <w:sz w:val="9"/>
                <w:szCs w:val="9"/>
                <w:color w:val="auto"/>
              </w:rPr>
            </w:pPr>
          </w:p>
        </w:tc>
        <w:tc>
          <w:tcPr>
            <w:tcW w:w="1220" w:type="dxa"/>
            <w:vAlign w:val="bottom"/>
            <w:tcBorders>
              <w:bottom w:val="single" w:sz="8" w:color="D6E7FF"/>
            </w:tcBorders>
            <w:vMerge w:val="continue"/>
            <w:shd w:val="clear" w:color="auto" w:fill="D6E7FF"/>
          </w:tcPr>
          <w:p>
            <w:pPr>
              <w:spacing w:after="0"/>
              <w:rPr>
                <w:sz w:val="9"/>
                <w:szCs w:val="9"/>
                <w:color w:val="auto"/>
              </w:rPr>
            </w:pPr>
          </w:p>
        </w:tc>
        <w:tc>
          <w:tcPr>
            <w:tcW w:w="860" w:type="dxa"/>
            <w:vAlign w:val="bottom"/>
            <w:tcBorders>
              <w:bottom w:val="single" w:sz="8" w:color="D6E7FF"/>
            </w:tcBorders>
            <w:vMerge w:val="continue"/>
            <w:shd w:val="clear" w:color="auto" w:fill="D6E7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680" w:type="dxa"/>
            <w:vAlign w:val="bottom"/>
            <w:tcBorders>
              <w:top w:val="single" w:sz="8" w:color="D6E7FF"/>
            </w:tcBorders>
            <w:vMerge w:val="continue"/>
            <w:shd w:val="clear" w:color="auto" w:fill="D6E7FF"/>
          </w:tcPr>
          <w:p>
            <w:pPr>
              <w:spacing w:after="0" w:line="20" w:lineRule="exact"/>
              <w:rPr>
                <w:sz w:val="1"/>
                <w:szCs w:val="1"/>
                <w:color w:val="auto"/>
              </w:rPr>
            </w:pPr>
          </w:p>
        </w:tc>
        <w:tc>
          <w:tcPr>
            <w:tcW w:w="200" w:type="dxa"/>
            <w:vAlign w:val="bottom"/>
            <w:tcBorders>
              <w:top w:val="single" w:sz="8" w:color="307CC0"/>
            </w:tcBorders>
            <w:shd w:val="clear" w:color="auto" w:fill="D6E7FF"/>
          </w:tcPr>
          <w:p>
            <w:pPr>
              <w:spacing w:after="0" w:line="20" w:lineRule="exact"/>
              <w:rPr>
                <w:sz w:val="1"/>
                <w:szCs w:val="1"/>
                <w:color w:val="auto"/>
              </w:rPr>
            </w:pPr>
          </w:p>
        </w:tc>
        <w:tc>
          <w:tcPr>
            <w:tcW w:w="300" w:type="dxa"/>
            <w:vAlign w:val="bottom"/>
            <w:tcBorders>
              <w:top w:val="single" w:sz="8" w:color="307CC0"/>
            </w:tcBorders>
            <w:vMerge w:val="restart"/>
            <w:shd w:val="clear" w:color="auto" w:fill="D6E7FF"/>
          </w:tcPr>
          <w:p>
            <w:pPr>
              <w:jc w:val="right"/>
              <w:spacing w:after="0"/>
              <w:rPr>
                <w:sz w:val="20"/>
                <w:szCs w:val="20"/>
                <w:color w:val="auto"/>
              </w:rPr>
            </w:pPr>
            <w:r>
              <w:rPr>
                <w:rFonts w:ascii="Arial" w:cs="Arial" w:eastAsia="Arial" w:hAnsi="Arial"/>
                <w:sz w:val="14"/>
                <w:szCs w:val="14"/>
                <w:color w:val="auto"/>
                <w:w w:val="89"/>
              </w:rPr>
              <w:t>2017</w:t>
            </w:r>
          </w:p>
        </w:tc>
        <w:tc>
          <w:tcPr>
            <w:tcW w:w="140" w:type="dxa"/>
            <w:vAlign w:val="bottom"/>
            <w:tcBorders>
              <w:top w:val="single" w:sz="8" w:color="307CC0"/>
            </w:tcBorders>
            <w:shd w:val="clear" w:color="auto" w:fill="D6E7FF"/>
          </w:tcPr>
          <w:p>
            <w:pPr>
              <w:spacing w:after="0" w:line="20" w:lineRule="exact"/>
              <w:rPr>
                <w:sz w:val="1"/>
                <w:szCs w:val="1"/>
                <w:color w:val="auto"/>
              </w:rPr>
            </w:pPr>
          </w:p>
        </w:tc>
        <w:tc>
          <w:tcPr>
            <w:tcW w:w="760" w:type="dxa"/>
            <w:vAlign w:val="bottom"/>
            <w:tcBorders>
              <w:top w:val="single" w:sz="8" w:color="307CC0"/>
            </w:tcBorders>
            <w:vMerge w:val="restart"/>
            <w:shd w:val="clear" w:color="auto" w:fill="D6E7FF"/>
          </w:tcPr>
          <w:p>
            <w:pPr>
              <w:ind w:left="140"/>
              <w:spacing w:after="0"/>
              <w:rPr>
                <w:sz w:val="20"/>
                <w:szCs w:val="20"/>
                <w:color w:val="auto"/>
              </w:rPr>
            </w:pPr>
            <w:r>
              <w:rPr>
                <w:rFonts w:ascii="Arial" w:cs="Arial" w:eastAsia="Arial" w:hAnsi="Arial"/>
                <w:sz w:val="14"/>
                <w:szCs w:val="14"/>
                <w:color w:val="auto"/>
              </w:rPr>
              <w:t>462,000</w:t>
            </w:r>
          </w:p>
        </w:tc>
        <w:tc>
          <w:tcPr>
            <w:tcW w:w="800" w:type="dxa"/>
            <w:vAlign w:val="bottom"/>
            <w:tcBorders>
              <w:top w:val="single" w:sz="8" w:color="307CC0"/>
            </w:tcBorders>
            <w:vMerge w:val="restart"/>
            <w:shd w:val="clear" w:color="auto" w:fill="D6E7FF"/>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733,424</w:t>
            </w:r>
          </w:p>
        </w:tc>
        <w:tc>
          <w:tcPr>
            <w:tcW w:w="118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646,800</w:t>
            </w:r>
          </w:p>
        </w:tc>
        <w:tc>
          <w:tcPr>
            <w:tcW w:w="11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243,355</w:t>
            </w:r>
          </w:p>
        </w:tc>
        <w:tc>
          <w:tcPr>
            <w:tcW w:w="1220" w:type="dxa"/>
            <w:vAlign w:val="bottom"/>
            <w:tcBorders>
              <w:top w:val="single" w:sz="8" w:color="307CC0"/>
            </w:tcBorders>
            <w:vMerge w:val="restart"/>
            <w:shd w:val="clear" w:color="auto" w:fill="D6E7FF"/>
          </w:tcPr>
          <w:p>
            <w:pPr>
              <w:jc w:val="right"/>
              <w:ind w:right="71"/>
              <w:spacing w:after="0"/>
              <w:rPr>
                <w:sz w:val="20"/>
                <w:szCs w:val="20"/>
                <w:color w:val="auto"/>
              </w:rPr>
            </w:pPr>
            <w:r>
              <w:rPr>
                <w:rFonts w:ascii="Arial" w:cs="Arial" w:eastAsia="Arial" w:hAnsi="Arial"/>
                <w:sz w:val="14"/>
                <w:szCs w:val="14"/>
                <w:color w:val="auto"/>
              </w:rPr>
              <w:t>34,910</w:t>
            </w:r>
          </w:p>
        </w:tc>
        <w:tc>
          <w:tcPr>
            <w:tcW w:w="8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2,120,489</w:t>
            </w:r>
          </w:p>
        </w:tc>
        <w:tc>
          <w:tcPr>
            <w:tcW w:w="0" w:type="dxa"/>
            <w:vAlign w:val="bottom"/>
          </w:tcPr>
          <w:p>
            <w:pPr>
              <w:spacing w:after="0" w:line="20" w:lineRule="exact"/>
              <w:rPr>
                <w:sz w:val="1"/>
                <w:szCs w:val="1"/>
                <w:color w:val="auto"/>
              </w:rPr>
            </w:pPr>
          </w:p>
        </w:tc>
      </w:tr>
      <w:tr>
        <w:trPr>
          <w:trHeight w:val="178"/>
        </w:trPr>
        <w:tc>
          <w:tcPr>
            <w:tcW w:w="168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4"/>
                <w:szCs w:val="14"/>
                <w:i w:val="1"/>
                <w:iCs w:val="1"/>
                <w:color w:val="auto"/>
              </w:rPr>
              <w:t>Officer</w:t>
            </w:r>
          </w:p>
        </w:tc>
        <w:tc>
          <w:tcPr>
            <w:tcW w:w="200" w:type="dxa"/>
            <w:vAlign w:val="bottom"/>
            <w:tcBorders>
              <w:bottom w:val="single" w:sz="8" w:color="307CC0"/>
            </w:tcBorders>
            <w:shd w:val="clear" w:color="auto" w:fill="D6E7FF"/>
          </w:tcPr>
          <w:p>
            <w:pPr>
              <w:spacing w:after="0"/>
              <w:rPr>
                <w:sz w:val="15"/>
                <w:szCs w:val="15"/>
                <w:color w:val="auto"/>
              </w:rPr>
            </w:pPr>
          </w:p>
        </w:tc>
        <w:tc>
          <w:tcPr>
            <w:tcW w:w="300" w:type="dxa"/>
            <w:vAlign w:val="bottom"/>
            <w:tcBorders>
              <w:bottom w:val="single" w:sz="8" w:color="307CC0"/>
            </w:tcBorders>
            <w:vMerge w:val="continue"/>
            <w:shd w:val="clear" w:color="auto" w:fill="D6E7FF"/>
          </w:tcPr>
          <w:p>
            <w:pPr>
              <w:spacing w:after="0"/>
              <w:rPr>
                <w:sz w:val="15"/>
                <w:szCs w:val="15"/>
                <w:color w:val="auto"/>
              </w:rPr>
            </w:pPr>
          </w:p>
        </w:tc>
        <w:tc>
          <w:tcPr>
            <w:tcW w:w="140" w:type="dxa"/>
            <w:vAlign w:val="bottom"/>
            <w:tcBorders>
              <w:bottom w:val="single" w:sz="8" w:color="307CC0"/>
            </w:tcBorders>
            <w:shd w:val="clear" w:color="auto" w:fill="D6E7FF"/>
          </w:tcPr>
          <w:p>
            <w:pPr>
              <w:spacing w:after="0"/>
              <w:rPr>
                <w:sz w:val="15"/>
                <w:szCs w:val="15"/>
                <w:color w:val="auto"/>
              </w:rPr>
            </w:pPr>
          </w:p>
        </w:tc>
        <w:tc>
          <w:tcPr>
            <w:tcW w:w="760" w:type="dxa"/>
            <w:vAlign w:val="bottom"/>
            <w:tcBorders>
              <w:bottom w:val="single" w:sz="8" w:color="307CC0"/>
            </w:tcBorders>
            <w:vMerge w:val="continue"/>
            <w:shd w:val="clear" w:color="auto" w:fill="D6E7FF"/>
          </w:tcPr>
          <w:p>
            <w:pPr>
              <w:spacing w:after="0"/>
              <w:rPr>
                <w:sz w:val="15"/>
                <w:szCs w:val="15"/>
                <w:color w:val="auto"/>
              </w:rPr>
            </w:pPr>
          </w:p>
        </w:tc>
        <w:tc>
          <w:tcPr>
            <w:tcW w:w="800" w:type="dxa"/>
            <w:vAlign w:val="bottom"/>
            <w:tcBorders>
              <w:bottom w:val="single" w:sz="8" w:color="307CC0"/>
            </w:tcBorders>
            <w:vMerge w:val="continue"/>
            <w:shd w:val="clear" w:color="auto" w:fill="D6E7FF"/>
          </w:tcPr>
          <w:p>
            <w:pPr>
              <w:spacing w:after="0"/>
              <w:rPr>
                <w:sz w:val="15"/>
                <w:szCs w:val="15"/>
                <w:color w:val="auto"/>
              </w:rPr>
            </w:pPr>
          </w:p>
        </w:tc>
        <w:tc>
          <w:tcPr>
            <w:tcW w:w="860" w:type="dxa"/>
            <w:vAlign w:val="bottom"/>
            <w:tcBorders>
              <w:bottom w:val="single" w:sz="8" w:color="307CC0"/>
            </w:tcBorders>
            <w:vMerge w:val="continue"/>
            <w:shd w:val="clear" w:color="auto" w:fill="D6E7FF"/>
          </w:tcPr>
          <w:p>
            <w:pPr>
              <w:spacing w:after="0"/>
              <w:rPr>
                <w:sz w:val="15"/>
                <w:szCs w:val="15"/>
                <w:color w:val="auto"/>
              </w:rPr>
            </w:pPr>
          </w:p>
        </w:tc>
        <w:tc>
          <w:tcPr>
            <w:tcW w:w="1180" w:type="dxa"/>
            <w:vAlign w:val="bottom"/>
            <w:tcBorders>
              <w:bottom w:val="single" w:sz="8" w:color="307CC0"/>
            </w:tcBorders>
            <w:vMerge w:val="continue"/>
            <w:shd w:val="clear" w:color="auto" w:fill="D6E7FF"/>
          </w:tcPr>
          <w:p>
            <w:pPr>
              <w:spacing w:after="0"/>
              <w:rPr>
                <w:sz w:val="15"/>
                <w:szCs w:val="15"/>
                <w:color w:val="auto"/>
              </w:rPr>
            </w:pPr>
          </w:p>
        </w:tc>
        <w:tc>
          <w:tcPr>
            <w:tcW w:w="1160" w:type="dxa"/>
            <w:vAlign w:val="bottom"/>
            <w:tcBorders>
              <w:bottom w:val="single" w:sz="8" w:color="307CC0"/>
            </w:tcBorders>
            <w:vMerge w:val="continue"/>
            <w:shd w:val="clear" w:color="auto" w:fill="D6E7FF"/>
          </w:tcPr>
          <w:p>
            <w:pPr>
              <w:spacing w:after="0"/>
              <w:rPr>
                <w:sz w:val="15"/>
                <w:szCs w:val="15"/>
                <w:color w:val="auto"/>
              </w:rPr>
            </w:pPr>
          </w:p>
        </w:tc>
        <w:tc>
          <w:tcPr>
            <w:tcW w:w="1220" w:type="dxa"/>
            <w:vAlign w:val="bottom"/>
            <w:tcBorders>
              <w:bottom w:val="single" w:sz="8" w:color="307CC0"/>
            </w:tcBorders>
            <w:vMerge w:val="continue"/>
            <w:shd w:val="clear" w:color="auto" w:fill="D6E7FF"/>
          </w:tcPr>
          <w:p>
            <w:pPr>
              <w:spacing w:after="0"/>
              <w:rPr>
                <w:sz w:val="15"/>
                <w:szCs w:val="15"/>
                <w:color w:val="auto"/>
              </w:rPr>
            </w:pPr>
          </w:p>
        </w:tc>
        <w:tc>
          <w:tcPr>
            <w:tcW w:w="860" w:type="dxa"/>
            <w:vAlign w:val="bottom"/>
            <w:tcBorders>
              <w:bottom w:val="single" w:sz="8" w:color="307CC0"/>
            </w:tcBorders>
            <w:vMerge w:val="continue"/>
            <w:shd w:val="clear" w:color="auto" w:fill="D6E7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680" w:type="dxa"/>
            <w:vAlign w:val="bottom"/>
            <w:tcBorders>
              <w:bottom w:val="single" w:sz="8" w:color="CCEEFF"/>
            </w:tcBorders>
            <w:shd w:val="clear" w:color="auto" w:fill="CCEEFF"/>
          </w:tcPr>
          <w:p>
            <w:pPr>
              <w:ind w:left="40"/>
              <w:spacing w:after="0" w:line="151" w:lineRule="exact"/>
              <w:rPr>
                <w:sz w:val="20"/>
                <w:szCs w:val="20"/>
                <w:color w:val="auto"/>
              </w:rPr>
            </w:pPr>
            <w:r>
              <w:rPr>
                <w:rFonts w:ascii="Arial" w:cs="Arial" w:eastAsia="Arial" w:hAnsi="Arial"/>
                <w:sz w:val="14"/>
                <w:szCs w:val="14"/>
                <w:i w:val="1"/>
                <w:iCs w:val="1"/>
                <w:color w:val="auto"/>
              </w:rPr>
              <w:t>Mr. Greg A. Greenwood,</w:t>
            </w:r>
          </w:p>
        </w:tc>
        <w:tc>
          <w:tcPr>
            <w:tcW w:w="640" w:type="dxa"/>
            <w:vAlign w:val="bottom"/>
            <w:tcBorders>
              <w:bottom w:val="single" w:sz="8" w:color="CCEEFF"/>
            </w:tcBorders>
            <w:gridSpan w:val="3"/>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2019</w:t>
            </w:r>
          </w:p>
        </w:tc>
        <w:tc>
          <w:tcPr>
            <w:tcW w:w="760" w:type="dxa"/>
            <w:vAlign w:val="bottom"/>
            <w:tcBorders>
              <w:bottom w:val="single" w:sz="8" w:color="CCEEFF"/>
            </w:tcBorders>
            <w:shd w:val="clear" w:color="auto" w:fill="CCEEFF"/>
          </w:tcPr>
          <w:p>
            <w:pPr>
              <w:ind w:left="140"/>
              <w:spacing w:after="0" w:line="151" w:lineRule="exact"/>
              <w:rPr>
                <w:sz w:val="20"/>
                <w:szCs w:val="20"/>
                <w:color w:val="auto"/>
              </w:rPr>
            </w:pPr>
            <w:r>
              <w:rPr>
                <w:rFonts w:ascii="Arial" w:cs="Arial" w:eastAsia="Arial" w:hAnsi="Arial"/>
                <w:sz w:val="14"/>
                <w:szCs w:val="14"/>
                <w:color w:val="auto"/>
              </w:rPr>
              <w:t>520,000</w:t>
            </w:r>
          </w:p>
        </w:tc>
        <w:tc>
          <w:tcPr>
            <w:tcW w:w="800" w:type="dxa"/>
            <w:vAlign w:val="bottom"/>
            <w:tcBorders>
              <w:bottom w:val="single" w:sz="8" w:color="CCEEFF"/>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568,339</w:t>
            </w:r>
          </w:p>
        </w:tc>
        <w:tc>
          <w:tcPr>
            <w:tcW w:w="1180" w:type="dxa"/>
            <w:vAlign w:val="bottom"/>
            <w:tcBorders>
              <w:bottom w:val="single" w:sz="8" w:color="CCEEFF"/>
            </w:tcBorders>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505,440</w:t>
            </w:r>
          </w:p>
        </w:tc>
        <w:tc>
          <w:tcPr>
            <w:tcW w:w="1160" w:type="dxa"/>
            <w:vAlign w:val="bottom"/>
            <w:tcBorders>
              <w:bottom w:val="single" w:sz="8" w:color="CCEEFF"/>
            </w:tcBorders>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541,670</w:t>
            </w:r>
          </w:p>
        </w:tc>
        <w:tc>
          <w:tcPr>
            <w:tcW w:w="1220" w:type="dxa"/>
            <w:vAlign w:val="bottom"/>
            <w:tcBorders>
              <w:bottom w:val="single" w:sz="8" w:color="CCEEFF"/>
            </w:tcBorders>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73,079</w:t>
            </w:r>
          </w:p>
        </w:tc>
        <w:tc>
          <w:tcPr>
            <w:tcW w:w="860" w:type="dxa"/>
            <w:vAlign w:val="bottom"/>
            <w:tcBorders>
              <w:bottom w:val="single" w:sz="8" w:color="CCEEFF"/>
            </w:tcBorders>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2,208,528</w:t>
            </w:r>
          </w:p>
        </w:tc>
        <w:tc>
          <w:tcPr>
            <w:tcW w:w="0" w:type="dxa"/>
            <w:vAlign w:val="bottom"/>
          </w:tcPr>
          <w:p>
            <w:pPr>
              <w:spacing w:after="0"/>
              <w:rPr>
                <w:sz w:val="1"/>
                <w:szCs w:val="1"/>
                <w:color w:val="auto"/>
              </w:rPr>
            </w:pPr>
          </w:p>
        </w:tc>
      </w:tr>
      <w:tr>
        <w:trPr>
          <w:trHeight w:val="87"/>
        </w:trPr>
        <w:tc>
          <w:tcPr>
            <w:tcW w:w="1680" w:type="dxa"/>
            <w:vAlign w:val="bottom"/>
            <w:tcBorders>
              <w:top w:val="single" w:sz="8" w:color="CCEEFF"/>
            </w:tcBorders>
            <w:shd w:val="clear" w:color="auto" w:fill="CCEEFF"/>
          </w:tcPr>
          <w:p>
            <w:pPr>
              <w:ind w:left="40"/>
              <w:spacing w:after="0" w:line="87" w:lineRule="exact"/>
              <w:rPr>
                <w:sz w:val="20"/>
                <w:szCs w:val="20"/>
                <w:color w:val="auto"/>
              </w:rPr>
            </w:pPr>
            <w:r>
              <w:rPr>
                <w:rFonts w:ascii="Arial" w:cs="Arial" w:eastAsia="Arial" w:hAnsi="Arial"/>
                <w:sz w:val="10"/>
                <w:szCs w:val="10"/>
                <w:i w:val="1"/>
                <w:iCs w:val="1"/>
                <w:color w:val="auto"/>
              </w:rPr>
              <w:t>Executive Vice President,</w:t>
            </w:r>
          </w:p>
        </w:tc>
        <w:tc>
          <w:tcPr>
            <w:tcW w:w="640" w:type="dxa"/>
            <w:vAlign w:val="bottom"/>
            <w:tcBorders>
              <w:top w:val="single" w:sz="8" w:color="307CC0"/>
            </w:tcBorders>
            <w:gridSpan w:val="3"/>
            <w:vMerge w:val="restart"/>
          </w:tcPr>
          <w:p>
            <w:pPr>
              <w:jc w:val="right"/>
              <w:ind w:right="140"/>
              <w:spacing w:after="0"/>
              <w:rPr>
                <w:sz w:val="20"/>
                <w:szCs w:val="20"/>
                <w:color w:val="auto"/>
              </w:rPr>
            </w:pPr>
            <w:r>
              <w:rPr>
                <w:rFonts w:ascii="Arial" w:cs="Arial" w:eastAsia="Arial" w:hAnsi="Arial"/>
                <w:sz w:val="14"/>
                <w:szCs w:val="14"/>
                <w:color w:val="auto"/>
              </w:rPr>
              <w:t>2018</w:t>
            </w:r>
          </w:p>
        </w:tc>
        <w:tc>
          <w:tcPr>
            <w:tcW w:w="760" w:type="dxa"/>
            <w:vAlign w:val="bottom"/>
            <w:tcBorders>
              <w:top w:val="single" w:sz="8" w:color="307CC0"/>
            </w:tcBorders>
            <w:vMerge w:val="restart"/>
          </w:tcPr>
          <w:p>
            <w:pPr>
              <w:ind w:left="140"/>
              <w:spacing w:after="0"/>
              <w:rPr>
                <w:sz w:val="20"/>
                <w:szCs w:val="20"/>
                <w:color w:val="auto"/>
              </w:rPr>
            </w:pPr>
            <w:r>
              <w:rPr>
                <w:rFonts w:ascii="Arial" w:cs="Arial" w:eastAsia="Arial" w:hAnsi="Arial"/>
                <w:sz w:val="14"/>
                <w:szCs w:val="14"/>
                <w:color w:val="auto"/>
              </w:rPr>
              <w:t>485,833</w:t>
            </w:r>
          </w:p>
        </w:tc>
        <w:tc>
          <w:tcPr>
            <w:tcW w:w="800" w:type="dxa"/>
            <w:vAlign w:val="bottom"/>
            <w:tcBorders>
              <w:top w:val="single" w:sz="8" w:color="307CC0"/>
            </w:tcBorders>
            <w:vMerge w:val="restart"/>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307CC0"/>
            </w:tcBorders>
            <w:vMerge w:val="restart"/>
          </w:tcPr>
          <w:p>
            <w:pPr>
              <w:jc w:val="right"/>
              <w:ind w:right="31"/>
              <w:spacing w:after="0"/>
              <w:rPr>
                <w:sz w:val="20"/>
                <w:szCs w:val="20"/>
                <w:color w:val="auto"/>
              </w:rPr>
            </w:pPr>
            <w:r>
              <w:rPr>
                <w:rFonts w:ascii="Arial" w:cs="Arial" w:eastAsia="Arial" w:hAnsi="Arial"/>
                <w:sz w:val="14"/>
                <w:szCs w:val="14"/>
                <w:color w:val="auto"/>
              </w:rPr>
              <w:t>1,791,214</w:t>
            </w:r>
          </w:p>
        </w:tc>
        <w:tc>
          <w:tcPr>
            <w:tcW w:w="1180" w:type="dxa"/>
            <w:vAlign w:val="bottom"/>
            <w:tcBorders>
              <w:top w:val="single" w:sz="8" w:color="307CC0"/>
            </w:tcBorders>
            <w:vMerge w:val="restart"/>
          </w:tcPr>
          <w:p>
            <w:pPr>
              <w:jc w:val="right"/>
              <w:ind w:right="31"/>
              <w:spacing w:after="0"/>
              <w:rPr>
                <w:sz w:val="20"/>
                <w:szCs w:val="20"/>
                <w:color w:val="auto"/>
              </w:rPr>
            </w:pPr>
            <w:r>
              <w:rPr>
                <w:rFonts w:ascii="Arial" w:cs="Arial" w:eastAsia="Arial" w:hAnsi="Arial"/>
                <w:sz w:val="14"/>
                <w:szCs w:val="14"/>
                <w:color w:val="auto"/>
              </w:rPr>
              <w:t>282,464</w:t>
            </w:r>
          </w:p>
        </w:tc>
        <w:tc>
          <w:tcPr>
            <w:tcW w:w="1160" w:type="dxa"/>
            <w:vAlign w:val="bottom"/>
            <w:tcBorders>
              <w:top w:val="single" w:sz="8" w:color="307CC0"/>
            </w:tcBorders>
            <w:vMerge w:val="restart"/>
          </w:tcPr>
          <w:p>
            <w:pPr>
              <w:jc w:val="right"/>
              <w:ind w:right="31"/>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307CC0"/>
            </w:tcBorders>
            <w:vMerge w:val="restart"/>
          </w:tcPr>
          <w:p>
            <w:pPr>
              <w:jc w:val="right"/>
              <w:ind w:right="71"/>
              <w:spacing w:after="0"/>
              <w:rPr>
                <w:sz w:val="20"/>
                <w:szCs w:val="20"/>
                <w:color w:val="auto"/>
              </w:rPr>
            </w:pPr>
            <w:r>
              <w:rPr>
                <w:rFonts w:ascii="Arial" w:cs="Arial" w:eastAsia="Arial" w:hAnsi="Arial"/>
                <w:sz w:val="14"/>
                <w:szCs w:val="14"/>
                <w:color w:val="auto"/>
              </w:rPr>
              <w:t>51,066</w:t>
            </w:r>
          </w:p>
        </w:tc>
        <w:tc>
          <w:tcPr>
            <w:tcW w:w="860" w:type="dxa"/>
            <w:vAlign w:val="bottom"/>
            <w:tcBorders>
              <w:top w:val="single" w:sz="8" w:color="307CC0"/>
            </w:tcBorders>
            <w:vMerge w:val="restart"/>
          </w:tcPr>
          <w:p>
            <w:pPr>
              <w:jc w:val="right"/>
              <w:ind w:right="31"/>
              <w:spacing w:after="0"/>
              <w:rPr>
                <w:sz w:val="20"/>
                <w:szCs w:val="20"/>
                <w:color w:val="auto"/>
              </w:rPr>
            </w:pPr>
            <w:r>
              <w:rPr>
                <w:rFonts w:ascii="Arial" w:cs="Arial" w:eastAsia="Arial" w:hAnsi="Arial"/>
                <w:sz w:val="14"/>
                <w:szCs w:val="14"/>
                <w:color w:val="auto"/>
              </w:rPr>
              <w:t>2,610,577</w:t>
            </w:r>
          </w:p>
        </w:tc>
        <w:tc>
          <w:tcPr>
            <w:tcW w:w="0" w:type="dxa"/>
            <w:vAlign w:val="bottom"/>
          </w:tcPr>
          <w:p>
            <w:pPr>
              <w:spacing w:after="0"/>
              <w:rPr>
                <w:sz w:val="1"/>
                <w:szCs w:val="1"/>
                <w:color w:val="auto"/>
              </w:rPr>
            </w:pPr>
          </w:p>
        </w:tc>
      </w:tr>
      <w:tr>
        <w:trPr>
          <w:trHeight w:val="88"/>
        </w:trPr>
        <w:tc>
          <w:tcPr>
            <w:tcW w:w="1680" w:type="dxa"/>
            <w:vAlign w:val="bottom"/>
            <w:vMerge w:val="restart"/>
            <w:shd w:val="clear" w:color="auto" w:fill="CCEEFF"/>
          </w:tcPr>
          <w:p>
            <w:pPr>
              <w:ind w:left="40"/>
              <w:spacing w:after="0" w:line="155" w:lineRule="exact"/>
              <w:rPr>
                <w:sz w:val="20"/>
                <w:szCs w:val="20"/>
                <w:color w:val="auto"/>
              </w:rPr>
            </w:pPr>
            <w:r>
              <w:rPr>
                <w:rFonts w:ascii="Arial" w:cs="Arial" w:eastAsia="Arial" w:hAnsi="Arial"/>
                <w:sz w:val="14"/>
                <w:szCs w:val="14"/>
                <w:i w:val="1"/>
                <w:iCs w:val="1"/>
                <w:color w:val="auto"/>
              </w:rPr>
              <w:t>Strategy and Chief</w:t>
            </w:r>
          </w:p>
        </w:tc>
        <w:tc>
          <w:tcPr>
            <w:tcW w:w="64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68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307CC0"/>
            </w:tcBorders>
          </w:tcPr>
          <w:p>
            <w:pPr>
              <w:spacing w:after="0"/>
              <w:rPr>
                <w:sz w:val="2"/>
                <w:szCs w:val="2"/>
                <w:color w:val="auto"/>
              </w:rPr>
            </w:pPr>
          </w:p>
        </w:tc>
        <w:tc>
          <w:tcPr>
            <w:tcW w:w="300" w:type="dxa"/>
            <w:vAlign w:val="bottom"/>
            <w:tcBorders>
              <w:bottom w:val="single" w:sz="8" w:color="307CC0"/>
            </w:tcBorders>
          </w:tcPr>
          <w:p>
            <w:pPr>
              <w:spacing w:after="0"/>
              <w:rPr>
                <w:sz w:val="2"/>
                <w:szCs w:val="2"/>
                <w:color w:val="auto"/>
              </w:rPr>
            </w:pPr>
          </w:p>
        </w:tc>
        <w:tc>
          <w:tcPr>
            <w:tcW w:w="140" w:type="dxa"/>
            <w:vAlign w:val="bottom"/>
            <w:tcBorders>
              <w:bottom w:val="single" w:sz="8" w:color="307CC0"/>
            </w:tcBorders>
          </w:tcPr>
          <w:p>
            <w:pPr>
              <w:spacing w:after="0"/>
              <w:rPr>
                <w:sz w:val="2"/>
                <w:szCs w:val="2"/>
                <w:color w:val="auto"/>
              </w:rPr>
            </w:pPr>
          </w:p>
        </w:tc>
        <w:tc>
          <w:tcPr>
            <w:tcW w:w="760" w:type="dxa"/>
            <w:vAlign w:val="bottom"/>
            <w:tcBorders>
              <w:bottom w:val="single" w:sz="8" w:color="307CC0"/>
            </w:tcBorders>
          </w:tcPr>
          <w:p>
            <w:pPr>
              <w:spacing w:after="0"/>
              <w:rPr>
                <w:sz w:val="2"/>
                <w:szCs w:val="2"/>
                <w:color w:val="auto"/>
              </w:rPr>
            </w:pPr>
          </w:p>
        </w:tc>
        <w:tc>
          <w:tcPr>
            <w:tcW w:w="800" w:type="dxa"/>
            <w:vAlign w:val="bottom"/>
            <w:tcBorders>
              <w:bottom w:val="single" w:sz="8" w:color="307CC0"/>
            </w:tcBorders>
          </w:tcPr>
          <w:p>
            <w:pPr>
              <w:spacing w:after="0"/>
              <w:rPr>
                <w:sz w:val="2"/>
                <w:szCs w:val="2"/>
                <w:color w:val="auto"/>
              </w:rPr>
            </w:pPr>
          </w:p>
        </w:tc>
        <w:tc>
          <w:tcPr>
            <w:tcW w:w="860" w:type="dxa"/>
            <w:vAlign w:val="bottom"/>
            <w:tcBorders>
              <w:bottom w:val="single" w:sz="8" w:color="307CC0"/>
            </w:tcBorders>
          </w:tcPr>
          <w:p>
            <w:pPr>
              <w:spacing w:after="0"/>
              <w:rPr>
                <w:sz w:val="2"/>
                <w:szCs w:val="2"/>
                <w:color w:val="auto"/>
              </w:rPr>
            </w:pPr>
          </w:p>
        </w:tc>
        <w:tc>
          <w:tcPr>
            <w:tcW w:w="1180" w:type="dxa"/>
            <w:vAlign w:val="bottom"/>
            <w:tcBorders>
              <w:bottom w:val="single" w:sz="8" w:color="307CC0"/>
            </w:tcBorders>
          </w:tcPr>
          <w:p>
            <w:pPr>
              <w:spacing w:after="0"/>
              <w:rPr>
                <w:sz w:val="2"/>
                <w:szCs w:val="2"/>
                <w:color w:val="auto"/>
              </w:rPr>
            </w:pPr>
          </w:p>
        </w:tc>
        <w:tc>
          <w:tcPr>
            <w:tcW w:w="1160" w:type="dxa"/>
            <w:vAlign w:val="bottom"/>
            <w:tcBorders>
              <w:bottom w:val="single" w:sz="8" w:color="307CC0"/>
            </w:tcBorders>
          </w:tcPr>
          <w:p>
            <w:pPr>
              <w:spacing w:after="0"/>
              <w:rPr>
                <w:sz w:val="2"/>
                <w:szCs w:val="2"/>
                <w:color w:val="auto"/>
              </w:rPr>
            </w:pPr>
          </w:p>
        </w:tc>
        <w:tc>
          <w:tcPr>
            <w:tcW w:w="1220" w:type="dxa"/>
            <w:vAlign w:val="bottom"/>
            <w:tcBorders>
              <w:bottom w:val="single" w:sz="8" w:color="307CC0"/>
            </w:tcBorders>
          </w:tcPr>
          <w:p>
            <w:pPr>
              <w:spacing w:after="0"/>
              <w:rPr>
                <w:sz w:val="2"/>
                <w:szCs w:val="2"/>
                <w:color w:val="auto"/>
              </w:rPr>
            </w:pPr>
          </w:p>
        </w:tc>
        <w:tc>
          <w:tcPr>
            <w:tcW w:w="860" w:type="dxa"/>
            <w:vAlign w:val="bottom"/>
            <w:tcBorders>
              <w:bottom w:val="single" w:sz="8" w:color="307CC0"/>
            </w:tcBorders>
          </w:tcPr>
          <w:p>
            <w:pPr>
              <w:spacing w:after="0"/>
              <w:rPr>
                <w:sz w:val="2"/>
                <w:szCs w:val="2"/>
                <w:color w:val="auto"/>
              </w:rPr>
            </w:pPr>
          </w:p>
        </w:tc>
        <w:tc>
          <w:tcPr>
            <w:tcW w:w="0" w:type="dxa"/>
            <w:vAlign w:val="bottom"/>
          </w:tcPr>
          <w:p>
            <w:pPr>
              <w:spacing w:after="0"/>
              <w:rPr>
                <w:sz w:val="1"/>
                <w:szCs w:val="1"/>
                <w:color w:val="auto"/>
              </w:rPr>
            </w:pPr>
          </w:p>
        </w:tc>
      </w:tr>
      <w:tr>
        <w:trPr>
          <w:trHeight w:val="22"/>
        </w:trPr>
        <w:tc>
          <w:tcPr>
            <w:tcW w:w="1680" w:type="dxa"/>
            <w:vAlign w:val="bottom"/>
            <w:vMerge w:val="continue"/>
            <w:shd w:val="clear" w:color="auto" w:fill="CCEEFF"/>
          </w:tcPr>
          <w:p>
            <w:pPr>
              <w:spacing w:after="0" w:line="20" w:lineRule="exact"/>
              <w:rPr>
                <w:sz w:val="1"/>
                <w:szCs w:val="1"/>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2017</w:t>
            </w:r>
          </w:p>
        </w:tc>
        <w:tc>
          <w:tcPr>
            <w:tcW w:w="76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442,500</w:t>
            </w:r>
          </w:p>
        </w:tc>
        <w:tc>
          <w:tcPr>
            <w:tcW w:w="80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644,956</w:t>
            </w:r>
          </w:p>
        </w:tc>
        <w:tc>
          <w:tcPr>
            <w:tcW w:w="1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395,506</w:t>
            </w:r>
          </w:p>
        </w:tc>
        <w:tc>
          <w:tcPr>
            <w:tcW w:w="12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12,976</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1,495,938</w:t>
            </w:r>
          </w:p>
        </w:tc>
        <w:tc>
          <w:tcPr>
            <w:tcW w:w="0" w:type="dxa"/>
            <w:vAlign w:val="bottom"/>
          </w:tcPr>
          <w:p>
            <w:pPr>
              <w:spacing w:after="0" w:line="20" w:lineRule="exact"/>
              <w:rPr>
                <w:sz w:val="1"/>
                <w:szCs w:val="1"/>
                <w:color w:val="auto"/>
              </w:rPr>
            </w:pPr>
          </w:p>
        </w:tc>
      </w:tr>
      <w:tr>
        <w:trPr>
          <w:trHeight w:val="178"/>
        </w:trPr>
        <w:tc>
          <w:tcPr>
            <w:tcW w:w="168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Administrative Officer</w:t>
            </w:r>
          </w:p>
        </w:tc>
        <w:tc>
          <w:tcPr>
            <w:tcW w:w="640" w:type="dxa"/>
            <w:vAlign w:val="bottom"/>
            <w:tcBorders>
              <w:bottom w:val="single" w:sz="8" w:color="307CC0"/>
            </w:tcBorders>
            <w:gridSpan w:val="3"/>
            <w:vMerge w:val="continue"/>
            <w:shd w:val="clear" w:color="auto" w:fill="CCEEFF"/>
          </w:tcPr>
          <w:p>
            <w:pPr>
              <w:spacing w:after="0"/>
              <w:rPr>
                <w:sz w:val="15"/>
                <w:szCs w:val="15"/>
                <w:color w:val="auto"/>
              </w:rPr>
            </w:pPr>
          </w:p>
        </w:tc>
        <w:tc>
          <w:tcPr>
            <w:tcW w:w="760" w:type="dxa"/>
            <w:vAlign w:val="bottom"/>
            <w:tcBorders>
              <w:bottom w:val="single" w:sz="8" w:color="307CC0"/>
            </w:tcBorders>
            <w:vMerge w:val="continue"/>
            <w:shd w:val="clear" w:color="auto" w:fill="CCEEFF"/>
          </w:tcPr>
          <w:p>
            <w:pPr>
              <w:spacing w:after="0"/>
              <w:rPr>
                <w:sz w:val="15"/>
                <w:szCs w:val="15"/>
                <w:color w:val="auto"/>
              </w:rPr>
            </w:pPr>
          </w:p>
        </w:tc>
        <w:tc>
          <w:tcPr>
            <w:tcW w:w="800" w:type="dxa"/>
            <w:vAlign w:val="bottom"/>
            <w:tcBorders>
              <w:bottom w:val="single" w:sz="8" w:color="307CC0"/>
            </w:tcBorders>
            <w:vMerge w:val="continue"/>
            <w:shd w:val="clear" w:color="auto" w:fill="CCEEFF"/>
          </w:tcPr>
          <w:p>
            <w:pPr>
              <w:spacing w:after="0"/>
              <w:rPr>
                <w:sz w:val="15"/>
                <w:szCs w:val="15"/>
                <w:color w:val="auto"/>
              </w:rPr>
            </w:pPr>
          </w:p>
        </w:tc>
        <w:tc>
          <w:tcPr>
            <w:tcW w:w="860" w:type="dxa"/>
            <w:vAlign w:val="bottom"/>
            <w:tcBorders>
              <w:bottom w:val="single" w:sz="8" w:color="307CC0"/>
            </w:tcBorders>
            <w:vMerge w:val="continue"/>
            <w:shd w:val="clear" w:color="auto" w:fill="CCEEFF"/>
          </w:tcPr>
          <w:p>
            <w:pPr>
              <w:spacing w:after="0"/>
              <w:rPr>
                <w:sz w:val="15"/>
                <w:szCs w:val="15"/>
                <w:color w:val="auto"/>
              </w:rPr>
            </w:pPr>
          </w:p>
        </w:tc>
        <w:tc>
          <w:tcPr>
            <w:tcW w:w="1180" w:type="dxa"/>
            <w:vAlign w:val="bottom"/>
            <w:tcBorders>
              <w:bottom w:val="single" w:sz="8" w:color="307CC0"/>
            </w:tcBorders>
            <w:vMerge w:val="continue"/>
            <w:shd w:val="clear" w:color="auto" w:fill="CCEEFF"/>
          </w:tcPr>
          <w:p>
            <w:pPr>
              <w:spacing w:after="0"/>
              <w:rPr>
                <w:sz w:val="15"/>
                <w:szCs w:val="15"/>
                <w:color w:val="auto"/>
              </w:rPr>
            </w:pPr>
          </w:p>
        </w:tc>
        <w:tc>
          <w:tcPr>
            <w:tcW w:w="1160" w:type="dxa"/>
            <w:vAlign w:val="bottom"/>
            <w:tcBorders>
              <w:bottom w:val="single" w:sz="8" w:color="307CC0"/>
            </w:tcBorders>
            <w:vMerge w:val="continue"/>
            <w:shd w:val="clear" w:color="auto" w:fill="CCEEFF"/>
          </w:tcPr>
          <w:p>
            <w:pPr>
              <w:spacing w:after="0"/>
              <w:rPr>
                <w:sz w:val="15"/>
                <w:szCs w:val="15"/>
                <w:color w:val="auto"/>
              </w:rPr>
            </w:pPr>
          </w:p>
        </w:tc>
        <w:tc>
          <w:tcPr>
            <w:tcW w:w="1220" w:type="dxa"/>
            <w:vAlign w:val="bottom"/>
            <w:tcBorders>
              <w:bottom w:val="single" w:sz="8" w:color="307CC0"/>
            </w:tcBorders>
            <w:vMerge w:val="continue"/>
            <w:shd w:val="clear" w:color="auto" w:fill="CCEEFF"/>
          </w:tcPr>
          <w:p>
            <w:pPr>
              <w:spacing w:after="0"/>
              <w:rPr>
                <w:sz w:val="15"/>
                <w:szCs w:val="15"/>
                <w:color w:val="auto"/>
              </w:rPr>
            </w:pPr>
          </w:p>
        </w:tc>
        <w:tc>
          <w:tcPr>
            <w:tcW w:w="860" w:type="dxa"/>
            <w:vAlign w:val="bottom"/>
            <w:tcBorders>
              <w:bottom w:val="single" w:sz="8" w:color="307CC0"/>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680" w:type="dxa"/>
            <w:vAlign w:val="bottom"/>
            <w:tcBorders>
              <w:bottom w:val="single" w:sz="8" w:color="D6E7FF"/>
            </w:tcBorders>
            <w:shd w:val="clear" w:color="auto" w:fill="D6E7FF"/>
          </w:tcPr>
          <w:p>
            <w:pPr>
              <w:ind w:left="40"/>
              <w:spacing w:after="0" w:line="151" w:lineRule="exact"/>
              <w:rPr>
                <w:sz w:val="20"/>
                <w:szCs w:val="20"/>
                <w:color w:val="auto"/>
              </w:rPr>
            </w:pPr>
            <w:r>
              <w:rPr>
                <w:rFonts w:ascii="Arial" w:cs="Arial" w:eastAsia="Arial" w:hAnsi="Arial"/>
                <w:sz w:val="14"/>
                <w:szCs w:val="14"/>
                <w:i w:val="1"/>
                <w:iCs w:val="1"/>
                <w:color w:val="auto"/>
              </w:rPr>
              <w:t>Mr. Anthony D. Somma,</w:t>
            </w:r>
          </w:p>
        </w:tc>
        <w:tc>
          <w:tcPr>
            <w:tcW w:w="200" w:type="dxa"/>
            <w:vAlign w:val="bottom"/>
            <w:tcBorders>
              <w:bottom w:val="single" w:sz="8" w:color="D6E7FF"/>
            </w:tcBorders>
            <w:shd w:val="clear" w:color="auto" w:fill="D6E7FF"/>
          </w:tcPr>
          <w:p>
            <w:pPr>
              <w:spacing w:after="0"/>
              <w:rPr>
                <w:sz w:val="17"/>
                <w:szCs w:val="17"/>
                <w:color w:val="auto"/>
              </w:rPr>
            </w:pPr>
          </w:p>
        </w:tc>
        <w:tc>
          <w:tcPr>
            <w:tcW w:w="440" w:type="dxa"/>
            <w:vAlign w:val="bottom"/>
            <w:tcBorders>
              <w:bottom w:val="single" w:sz="8" w:color="D6E7FF"/>
            </w:tcBorders>
            <w:gridSpan w:val="2"/>
            <w:shd w:val="clear" w:color="auto" w:fill="D6E7FF"/>
          </w:tcPr>
          <w:p>
            <w:pPr>
              <w:jc w:val="right"/>
              <w:ind w:right="140"/>
              <w:spacing w:after="0" w:line="151" w:lineRule="exact"/>
              <w:rPr>
                <w:sz w:val="20"/>
                <w:szCs w:val="20"/>
                <w:color w:val="auto"/>
              </w:rPr>
            </w:pPr>
            <w:r>
              <w:rPr>
                <w:rFonts w:ascii="Arial" w:cs="Arial" w:eastAsia="Arial" w:hAnsi="Arial"/>
                <w:sz w:val="14"/>
                <w:szCs w:val="14"/>
                <w:color w:val="auto"/>
                <w:w w:val="89"/>
              </w:rPr>
              <w:t>2019</w:t>
            </w:r>
          </w:p>
        </w:tc>
        <w:tc>
          <w:tcPr>
            <w:tcW w:w="760" w:type="dxa"/>
            <w:vAlign w:val="bottom"/>
            <w:tcBorders>
              <w:bottom w:val="single" w:sz="8" w:color="D6E7FF"/>
            </w:tcBorders>
            <w:shd w:val="clear" w:color="auto" w:fill="D6E7FF"/>
          </w:tcPr>
          <w:p>
            <w:pPr>
              <w:ind w:left="140"/>
              <w:spacing w:after="0" w:line="151" w:lineRule="exact"/>
              <w:rPr>
                <w:sz w:val="20"/>
                <w:szCs w:val="20"/>
                <w:color w:val="auto"/>
              </w:rPr>
            </w:pPr>
            <w:r>
              <w:rPr>
                <w:rFonts w:ascii="Arial" w:cs="Arial" w:eastAsia="Arial" w:hAnsi="Arial"/>
                <w:sz w:val="14"/>
                <w:szCs w:val="14"/>
                <w:color w:val="auto"/>
              </w:rPr>
              <w:t>495,000</w:t>
            </w:r>
          </w:p>
        </w:tc>
        <w:tc>
          <w:tcPr>
            <w:tcW w:w="800" w:type="dxa"/>
            <w:vAlign w:val="bottom"/>
            <w:tcBorders>
              <w:bottom w:val="single" w:sz="8" w:color="D6E7FF"/>
            </w:tcBorders>
            <w:shd w:val="clear" w:color="auto" w:fill="D6E7FF"/>
          </w:tcPr>
          <w:p>
            <w:pPr>
              <w:jc w:val="right"/>
              <w:ind w:right="71"/>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D6E7FF"/>
            </w:tcBorders>
            <w:shd w:val="clear" w:color="auto" w:fill="D6E7FF"/>
          </w:tcPr>
          <w:p>
            <w:pPr>
              <w:jc w:val="right"/>
              <w:ind w:right="31"/>
              <w:spacing w:after="0" w:line="151" w:lineRule="exact"/>
              <w:rPr>
                <w:sz w:val="20"/>
                <w:szCs w:val="20"/>
                <w:color w:val="auto"/>
              </w:rPr>
            </w:pPr>
            <w:r>
              <w:rPr>
                <w:rFonts w:ascii="Arial" w:cs="Arial" w:eastAsia="Arial" w:hAnsi="Arial"/>
                <w:sz w:val="14"/>
                <w:szCs w:val="14"/>
                <w:color w:val="auto"/>
              </w:rPr>
              <w:t>541,080</w:t>
            </w:r>
          </w:p>
        </w:tc>
        <w:tc>
          <w:tcPr>
            <w:tcW w:w="1180" w:type="dxa"/>
            <w:vAlign w:val="bottom"/>
            <w:tcBorders>
              <w:bottom w:val="single" w:sz="8" w:color="D6E7FF"/>
            </w:tcBorders>
            <w:shd w:val="clear" w:color="auto" w:fill="D6E7FF"/>
          </w:tcPr>
          <w:p>
            <w:pPr>
              <w:jc w:val="right"/>
              <w:ind w:right="31"/>
              <w:spacing w:after="0" w:line="151" w:lineRule="exact"/>
              <w:rPr>
                <w:sz w:val="20"/>
                <w:szCs w:val="20"/>
                <w:color w:val="auto"/>
              </w:rPr>
            </w:pPr>
            <w:r>
              <w:rPr>
                <w:rFonts w:ascii="Arial" w:cs="Arial" w:eastAsia="Arial" w:hAnsi="Arial"/>
                <w:sz w:val="14"/>
                <w:szCs w:val="14"/>
                <w:color w:val="auto"/>
              </w:rPr>
              <w:t>481,140</w:t>
            </w:r>
          </w:p>
        </w:tc>
        <w:tc>
          <w:tcPr>
            <w:tcW w:w="1160" w:type="dxa"/>
            <w:vAlign w:val="bottom"/>
            <w:tcBorders>
              <w:bottom w:val="single" w:sz="8" w:color="D6E7FF"/>
            </w:tcBorders>
            <w:shd w:val="clear" w:color="auto" w:fill="D6E7FF"/>
          </w:tcPr>
          <w:p>
            <w:pPr>
              <w:jc w:val="right"/>
              <w:ind w:right="31"/>
              <w:spacing w:after="0" w:line="151" w:lineRule="exact"/>
              <w:rPr>
                <w:sz w:val="20"/>
                <w:szCs w:val="20"/>
                <w:color w:val="auto"/>
              </w:rPr>
            </w:pPr>
            <w:r>
              <w:rPr>
                <w:rFonts w:ascii="Arial" w:cs="Arial" w:eastAsia="Arial" w:hAnsi="Arial"/>
                <w:sz w:val="14"/>
                <w:szCs w:val="14"/>
                <w:color w:val="auto"/>
              </w:rPr>
              <w:t>425,081</w:t>
            </w:r>
          </w:p>
        </w:tc>
        <w:tc>
          <w:tcPr>
            <w:tcW w:w="1220" w:type="dxa"/>
            <w:vAlign w:val="bottom"/>
            <w:tcBorders>
              <w:bottom w:val="single" w:sz="8" w:color="D6E7FF"/>
            </w:tcBorders>
            <w:shd w:val="clear" w:color="auto" w:fill="D6E7FF"/>
          </w:tcPr>
          <w:p>
            <w:pPr>
              <w:jc w:val="right"/>
              <w:ind w:right="71"/>
              <w:spacing w:after="0" w:line="151" w:lineRule="exact"/>
              <w:rPr>
                <w:sz w:val="20"/>
                <w:szCs w:val="20"/>
                <w:color w:val="auto"/>
              </w:rPr>
            </w:pPr>
            <w:r>
              <w:rPr>
                <w:rFonts w:ascii="Arial" w:cs="Arial" w:eastAsia="Arial" w:hAnsi="Arial"/>
                <w:sz w:val="14"/>
                <w:szCs w:val="14"/>
                <w:color w:val="auto"/>
              </w:rPr>
              <w:t>49,280</w:t>
            </w:r>
          </w:p>
        </w:tc>
        <w:tc>
          <w:tcPr>
            <w:tcW w:w="860" w:type="dxa"/>
            <w:vAlign w:val="bottom"/>
            <w:tcBorders>
              <w:bottom w:val="single" w:sz="8" w:color="D6E7FF"/>
            </w:tcBorders>
            <w:shd w:val="clear" w:color="auto" w:fill="D6E7FF"/>
          </w:tcPr>
          <w:p>
            <w:pPr>
              <w:jc w:val="right"/>
              <w:ind w:right="31"/>
              <w:spacing w:after="0" w:line="151" w:lineRule="exact"/>
              <w:rPr>
                <w:sz w:val="20"/>
                <w:szCs w:val="20"/>
                <w:color w:val="auto"/>
              </w:rPr>
            </w:pPr>
            <w:r>
              <w:rPr>
                <w:rFonts w:ascii="Arial" w:cs="Arial" w:eastAsia="Arial" w:hAnsi="Arial"/>
                <w:sz w:val="14"/>
                <w:szCs w:val="14"/>
                <w:color w:val="auto"/>
              </w:rPr>
              <w:t>1,991,581</w:t>
            </w:r>
          </w:p>
        </w:tc>
        <w:tc>
          <w:tcPr>
            <w:tcW w:w="0" w:type="dxa"/>
            <w:vAlign w:val="bottom"/>
          </w:tcPr>
          <w:p>
            <w:pPr>
              <w:spacing w:after="0"/>
              <w:rPr>
                <w:sz w:val="1"/>
                <w:szCs w:val="1"/>
                <w:color w:val="auto"/>
              </w:rPr>
            </w:pPr>
          </w:p>
        </w:tc>
      </w:tr>
      <w:tr>
        <w:trPr>
          <w:trHeight w:val="87"/>
        </w:trPr>
        <w:tc>
          <w:tcPr>
            <w:tcW w:w="1680" w:type="dxa"/>
            <w:vAlign w:val="bottom"/>
            <w:tcBorders>
              <w:top w:val="single" w:sz="8" w:color="D6E7FF"/>
            </w:tcBorders>
            <w:shd w:val="clear" w:color="auto" w:fill="D6E7FF"/>
          </w:tcPr>
          <w:p>
            <w:pPr>
              <w:ind w:left="40"/>
              <w:spacing w:after="0" w:line="87" w:lineRule="exact"/>
              <w:rPr>
                <w:sz w:val="20"/>
                <w:szCs w:val="20"/>
                <w:color w:val="auto"/>
              </w:rPr>
            </w:pPr>
            <w:r>
              <w:rPr>
                <w:rFonts w:ascii="Arial" w:cs="Arial" w:eastAsia="Arial" w:hAnsi="Arial"/>
                <w:sz w:val="10"/>
                <w:szCs w:val="10"/>
                <w:i w:val="1"/>
                <w:iCs w:val="1"/>
                <w:color w:val="auto"/>
              </w:rPr>
              <w:t>Executive Vice President</w:t>
            </w:r>
          </w:p>
        </w:tc>
        <w:tc>
          <w:tcPr>
            <w:tcW w:w="200" w:type="dxa"/>
            <w:vAlign w:val="bottom"/>
            <w:tcBorders>
              <w:top w:val="single" w:sz="8" w:color="307CC0"/>
            </w:tcBorders>
            <w:shd w:val="clear" w:color="auto" w:fill="D6E7FF"/>
          </w:tcPr>
          <w:p>
            <w:pPr>
              <w:spacing w:after="0"/>
              <w:rPr>
                <w:sz w:val="7"/>
                <w:szCs w:val="7"/>
                <w:color w:val="auto"/>
              </w:rPr>
            </w:pPr>
          </w:p>
        </w:tc>
        <w:tc>
          <w:tcPr>
            <w:tcW w:w="300" w:type="dxa"/>
            <w:vAlign w:val="bottom"/>
            <w:tcBorders>
              <w:top w:val="single" w:sz="8" w:color="307CC0"/>
            </w:tcBorders>
            <w:vMerge w:val="restart"/>
            <w:shd w:val="clear" w:color="auto" w:fill="D6E7FF"/>
          </w:tcPr>
          <w:p>
            <w:pPr>
              <w:jc w:val="right"/>
              <w:spacing w:after="0"/>
              <w:rPr>
                <w:sz w:val="20"/>
                <w:szCs w:val="20"/>
                <w:color w:val="auto"/>
              </w:rPr>
            </w:pPr>
            <w:r>
              <w:rPr>
                <w:rFonts w:ascii="Arial" w:cs="Arial" w:eastAsia="Arial" w:hAnsi="Arial"/>
                <w:sz w:val="14"/>
                <w:szCs w:val="14"/>
                <w:color w:val="auto"/>
                <w:w w:val="89"/>
              </w:rPr>
              <w:t>2018</w:t>
            </w:r>
          </w:p>
        </w:tc>
        <w:tc>
          <w:tcPr>
            <w:tcW w:w="140" w:type="dxa"/>
            <w:vAlign w:val="bottom"/>
            <w:tcBorders>
              <w:top w:val="single" w:sz="8" w:color="307CC0"/>
            </w:tcBorders>
            <w:shd w:val="clear" w:color="auto" w:fill="D6E7FF"/>
          </w:tcPr>
          <w:p>
            <w:pPr>
              <w:spacing w:after="0"/>
              <w:rPr>
                <w:sz w:val="7"/>
                <w:szCs w:val="7"/>
                <w:color w:val="auto"/>
              </w:rPr>
            </w:pPr>
          </w:p>
        </w:tc>
        <w:tc>
          <w:tcPr>
            <w:tcW w:w="760" w:type="dxa"/>
            <w:vAlign w:val="bottom"/>
            <w:tcBorders>
              <w:top w:val="single" w:sz="8" w:color="307CC0"/>
            </w:tcBorders>
            <w:vMerge w:val="restart"/>
            <w:shd w:val="clear" w:color="auto" w:fill="D6E7FF"/>
          </w:tcPr>
          <w:p>
            <w:pPr>
              <w:ind w:left="140"/>
              <w:spacing w:after="0"/>
              <w:rPr>
                <w:sz w:val="20"/>
                <w:szCs w:val="20"/>
                <w:color w:val="auto"/>
              </w:rPr>
            </w:pPr>
            <w:r>
              <w:rPr>
                <w:rFonts w:ascii="Arial" w:cs="Arial" w:eastAsia="Arial" w:hAnsi="Arial"/>
                <w:sz w:val="14"/>
                <w:szCs w:val="14"/>
                <w:color w:val="auto"/>
              </w:rPr>
              <w:t>470,833</w:t>
            </w:r>
          </w:p>
        </w:tc>
        <w:tc>
          <w:tcPr>
            <w:tcW w:w="800" w:type="dxa"/>
            <w:vAlign w:val="bottom"/>
            <w:tcBorders>
              <w:top w:val="single" w:sz="8" w:color="307CC0"/>
            </w:tcBorders>
            <w:vMerge w:val="restart"/>
            <w:shd w:val="clear" w:color="auto" w:fill="D6E7FF"/>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1,681,584</w:t>
            </w:r>
          </w:p>
        </w:tc>
        <w:tc>
          <w:tcPr>
            <w:tcW w:w="118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268,844</w:t>
            </w:r>
          </w:p>
        </w:tc>
        <w:tc>
          <w:tcPr>
            <w:tcW w:w="11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18,575</w:t>
            </w:r>
          </w:p>
        </w:tc>
        <w:tc>
          <w:tcPr>
            <w:tcW w:w="1220" w:type="dxa"/>
            <w:vAlign w:val="bottom"/>
            <w:tcBorders>
              <w:top w:val="single" w:sz="8" w:color="307CC0"/>
            </w:tcBorders>
            <w:vMerge w:val="restart"/>
            <w:shd w:val="clear" w:color="auto" w:fill="D6E7FF"/>
          </w:tcPr>
          <w:p>
            <w:pPr>
              <w:jc w:val="right"/>
              <w:ind w:right="71"/>
              <w:spacing w:after="0"/>
              <w:rPr>
                <w:sz w:val="20"/>
                <w:szCs w:val="20"/>
                <w:color w:val="auto"/>
              </w:rPr>
            </w:pPr>
            <w:r>
              <w:rPr>
                <w:rFonts w:ascii="Arial" w:cs="Arial" w:eastAsia="Arial" w:hAnsi="Arial"/>
                <w:sz w:val="14"/>
                <w:szCs w:val="14"/>
                <w:color w:val="auto"/>
              </w:rPr>
              <w:t>35,566</w:t>
            </w:r>
          </w:p>
        </w:tc>
        <w:tc>
          <w:tcPr>
            <w:tcW w:w="8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2,475,442</w:t>
            </w:r>
          </w:p>
        </w:tc>
        <w:tc>
          <w:tcPr>
            <w:tcW w:w="0" w:type="dxa"/>
            <w:vAlign w:val="bottom"/>
          </w:tcPr>
          <w:p>
            <w:pPr>
              <w:spacing w:after="0"/>
              <w:rPr>
                <w:sz w:val="1"/>
                <w:szCs w:val="1"/>
                <w:color w:val="auto"/>
              </w:rPr>
            </w:pPr>
          </w:p>
        </w:tc>
      </w:tr>
      <w:tr>
        <w:trPr>
          <w:trHeight w:val="113"/>
        </w:trPr>
        <w:tc>
          <w:tcPr>
            <w:tcW w:w="1680" w:type="dxa"/>
            <w:vAlign w:val="bottom"/>
            <w:tcBorders>
              <w:bottom w:val="single" w:sz="8" w:color="D6E7FF"/>
            </w:tcBorders>
            <w:vMerge w:val="restart"/>
            <w:shd w:val="clear" w:color="auto" w:fill="D6E7FF"/>
          </w:tcPr>
          <w:p>
            <w:pPr>
              <w:ind w:left="40"/>
              <w:spacing w:after="0" w:line="155" w:lineRule="exact"/>
              <w:rPr>
                <w:sz w:val="20"/>
                <w:szCs w:val="20"/>
                <w:color w:val="auto"/>
              </w:rPr>
            </w:pPr>
            <w:r>
              <w:rPr>
                <w:rFonts w:ascii="Arial" w:cs="Arial" w:eastAsia="Arial" w:hAnsi="Arial"/>
                <w:sz w:val="14"/>
                <w:szCs w:val="14"/>
                <w:i w:val="1"/>
                <w:iCs w:val="1"/>
                <w:color w:val="auto"/>
              </w:rPr>
              <w:t>and Chief Financial</w:t>
            </w:r>
          </w:p>
        </w:tc>
        <w:tc>
          <w:tcPr>
            <w:tcW w:w="200" w:type="dxa"/>
            <w:vAlign w:val="bottom"/>
            <w:tcBorders>
              <w:bottom w:val="single" w:sz="8" w:color="D6E7FF"/>
            </w:tcBorders>
            <w:shd w:val="clear" w:color="auto" w:fill="D6E7FF"/>
          </w:tcPr>
          <w:p>
            <w:pPr>
              <w:spacing w:after="0"/>
              <w:rPr>
                <w:sz w:val="9"/>
                <w:szCs w:val="9"/>
                <w:color w:val="auto"/>
              </w:rPr>
            </w:pPr>
          </w:p>
        </w:tc>
        <w:tc>
          <w:tcPr>
            <w:tcW w:w="300" w:type="dxa"/>
            <w:vAlign w:val="bottom"/>
            <w:tcBorders>
              <w:bottom w:val="single" w:sz="8" w:color="D6E7FF"/>
            </w:tcBorders>
            <w:vMerge w:val="continue"/>
            <w:shd w:val="clear" w:color="auto" w:fill="D6E7FF"/>
          </w:tcPr>
          <w:p>
            <w:pPr>
              <w:spacing w:after="0"/>
              <w:rPr>
                <w:sz w:val="9"/>
                <w:szCs w:val="9"/>
                <w:color w:val="auto"/>
              </w:rPr>
            </w:pPr>
          </w:p>
        </w:tc>
        <w:tc>
          <w:tcPr>
            <w:tcW w:w="140" w:type="dxa"/>
            <w:vAlign w:val="bottom"/>
            <w:tcBorders>
              <w:bottom w:val="single" w:sz="8" w:color="D6E7FF"/>
            </w:tcBorders>
            <w:shd w:val="clear" w:color="auto" w:fill="D6E7FF"/>
          </w:tcPr>
          <w:p>
            <w:pPr>
              <w:spacing w:after="0"/>
              <w:rPr>
                <w:sz w:val="9"/>
                <w:szCs w:val="9"/>
                <w:color w:val="auto"/>
              </w:rPr>
            </w:pPr>
          </w:p>
        </w:tc>
        <w:tc>
          <w:tcPr>
            <w:tcW w:w="760" w:type="dxa"/>
            <w:vAlign w:val="bottom"/>
            <w:tcBorders>
              <w:bottom w:val="single" w:sz="8" w:color="D6E7FF"/>
            </w:tcBorders>
            <w:vMerge w:val="continue"/>
            <w:shd w:val="clear" w:color="auto" w:fill="D6E7FF"/>
          </w:tcPr>
          <w:p>
            <w:pPr>
              <w:spacing w:after="0"/>
              <w:rPr>
                <w:sz w:val="9"/>
                <w:szCs w:val="9"/>
                <w:color w:val="auto"/>
              </w:rPr>
            </w:pPr>
          </w:p>
        </w:tc>
        <w:tc>
          <w:tcPr>
            <w:tcW w:w="800" w:type="dxa"/>
            <w:vAlign w:val="bottom"/>
            <w:tcBorders>
              <w:bottom w:val="single" w:sz="8" w:color="D6E7FF"/>
            </w:tcBorders>
            <w:vMerge w:val="continue"/>
            <w:shd w:val="clear" w:color="auto" w:fill="D6E7FF"/>
          </w:tcPr>
          <w:p>
            <w:pPr>
              <w:spacing w:after="0"/>
              <w:rPr>
                <w:sz w:val="9"/>
                <w:szCs w:val="9"/>
                <w:color w:val="auto"/>
              </w:rPr>
            </w:pPr>
          </w:p>
        </w:tc>
        <w:tc>
          <w:tcPr>
            <w:tcW w:w="860" w:type="dxa"/>
            <w:vAlign w:val="bottom"/>
            <w:tcBorders>
              <w:bottom w:val="single" w:sz="8" w:color="D6E7FF"/>
            </w:tcBorders>
            <w:vMerge w:val="continue"/>
            <w:shd w:val="clear" w:color="auto" w:fill="D6E7FF"/>
          </w:tcPr>
          <w:p>
            <w:pPr>
              <w:spacing w:after="0"/>
              <w:rPr>
                <w:sz w:val="9"/>
                <w:szCs w:val="9"/>
                <w:color w:val="auto"/>
              </w:rPr>
            </w:pPr>
          </w:p>
        </w:tc>
        <w:tc>
          <w:tcPr>
            <w:tcW w:w="1180" w:type="dxa"/>
            <w:vAlign w:val="bottom"/>
            <w:tcBorders>
              <w:bottom w:val="single" w:sz="8" w:color="D6E7FF"/>
            </w:tcBorders>
            <w:vMerge w:val="continue"/>
            <w:shd w:val="clear" w:color="auto" w:fill="D6E7FF"/>
          </w:tcPr>
          <w:p>
            <w:pPr>
              <w:spacing w:after="0"/>
              <w:rPr>
                <w:sz w:val="9"/>
                <w:szCs w:val="9"/>
                <w:color w:val="auto"/>
              </w:rPr>
            </w:pPr>
          </w:p>
        </w:tc>
        <w:tc>
          <w:tcPr>
            <w:tcW w:w="1160" w:type="dxa"/>
            <w:vAlign w:val="bottom"/>
            <w:tcBorders>
              <w:bottom w:val="single" w:sz="8" w:color="D6E7FF"/>
            </w:tcBorders>
            <w:vMerge w:val="continue"/>
            <w:shd w:val="clear" w:color="auto" w:fill="D6E7FF"/>
          </w:tcPr>
          <w:p>
            <w:pPr>
              <w:spacing w:after="0"/>
              <w:rPr>
                <w:sz w:val="9"/>
                <w:szCs w:val="9"/>
                <w:color w:val="auto"/>
              </w:rPr>
            </w:pPr>
          </w:p>
        </w:tc>
        <w:tc>
          <w:tcPr>
            <w:tcW w:w="1220" w:type="dxa"/>
            <w:vAlign w:val="bottom"/>
            <w:tcBorders>
              <w:bottom w:val="single" w:sz="8" w:color="D6E7FF"/>
            </w:tcBorders>
            <w:vMerge w:val="continue"/>
            <w:shd w:val="clear" w:color="auto" w:fill="D6E7FF"/>
          </w:tcPr>
          <w:p>
            <w:pPr>
              <w:spacing w:after="0"/>
              <w:rPr>
                <w:sz w:val="9"/>
                <w:szCs w:val="9"/>
                <w:color w:val="auto"/>
              </w:rPr>
            </w:pPr>
          </w:p>
        </w:tc>
        <w:tc>
          <w:tcPr>
            <w:tcW w:w="860" w:type="dxa"/>
            <w:vAlign w:val="bottom"/>
            <w:tcBorders>
              <w:bottom w:val="single" w:sz="8" w:color="D6E7FF"/>
            </w:tcBorders>
            <w:vMerge w:val="continue"/>
            <w:shd w:val="clear" w:color="auto" w:fill="D6E7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680" w:type="dxa"/>
            <w:vAlign w:val="bottom"/>
            <w:tcBorders>
              <w:top w:val="single" w:sz="8" w:color="D6E7FF"/>
            </w:tcBorders>
            <w:vMerge w:val="continue"/>
            <w:shd w:val="clear" w:color="auto" w:fill="D6E7FF"/>
          </w:tcPr>
          <w:p>
            <w:pPr>
              <w:spacing w:after="0" w:line="20" w:lineRule="exact"/>
              <w:rPr>
                <w:sz w:val="1"/>
                <w:szCs w:val="1"/>
                <w:color w:val="auto"/>
              </w:rPr>
            </w:pPr>
          </w:p>
        </w:tc>
        <w:tc>
          <w:tcPr>
            <w:tcW w:w="200" w:type="dxa"/>
            <w:vAlign w:val="bottom"/>
            <w:tcBorders>
              <w:top w:val="single" w:sz="8" w:color="307CC0"/>
            </w:tcBorders>
            <w:shd w:val="clear" w:color="auto" w:fill="D6E7FF"/>
          </w:tcPr>
          <w:p>
            <w:pPr>
              <w:spacing w:after="0" w:line="20" w:lineRule="exact"/>
              <w:rPr>
                <w:sz w:val="1"/>
                <w:szCs w:val="1"/>
                <w:color w:val="auto"/>
              </w:rPr>
            </w:pPr>
          </w:p>
        </w:tc>
        <w:tc>
          <w:tcPr>
            <w:tcW w:w="300" w:type="dxa"/>
            <w:vAlign w:val="bottom"/>
            <w:tcBorders>
              <w:top w:val="single" w:sz="8" w:color="307CC0"/>
            </w:tcBorders>
            <w:vMerge w:val="restart"/>
            <w:shd w:val="clear" w:color="auto" w:fill="D6E7FF"/>
          </w:tcPr>
          <w:p>
            <w:pPr>
              <w:jc w:val="right"/>
              <w:spacing w:after="0"/>
              <w:rPr>
                <w:sz w:val="20"/>
                <w:szCs w:val="20"/>
                <w:color w:val="auto"/>
              </w:rPr>
            </w:pPr>
            <w:r>
              <w:rPr>
                <w:rFonts w:ascii="Arial" w:cs="Arial" w:eastAsia="Arial" w:hAnsi="Arial"/>
                <w:sz w:val="14"/>
                <w:szCs w:val="14"/>
                <w:color w:val="auto"/>
                <w:w w:val="89"/>
              </w:rPr>
              <w:t>2017</w:t>
            </w:r>
          </w:p>
        </w:tc>
        <w:tc>
          <w:tcPr>
            <w:tcW w:w="140" w:type="dxa"/>
            <w:vAlign w:val="bottom"/>
            <w:tcBorders>
              <w:top w:val="single" w:sz="8" w:color="307CC0"/>
            </w:tcBorders>
            <w:shd w:val="clear" w:color="auto" w:fill="D6E7FF"/>
          </w:tcPr>
          <w:p>
            <w:pPr>
              <w:spacing w:after="0" w:line="20" w:lineRule="exact"/>
              <w:rPr>
                <w:sz w:val="1"/>
                <w:szCs w:val="1"/>
                <w:color w:val="auto"/>
              </w:rPr>
            </w:pPr>
          </w:p>
        </w:tc>
        <w:tc>
          <w:tcPr>
            <w:tcW w:w="760" w:type="dxa"/>
            <w:vAlign w:val="bottom"/>
            <w:tcBorders>
              <w:top w:val="single" w:sz="8" w:color="307CC0"/>
            </w:tcBorders>
            <w:vMerge w:val="restart"/>
            <w:shd w:val="clear" w:color="auto" w:fill="D6E7FF"/>
          </w:tcPr>
          <w:p>
            <w:pPr>
              <w:ind w:left="140"/>
              <w:spacing w:after="0"/>
              <w:rPr>
                <w:sz w:val="20"/>
                <w:szCs w:val="20"/>
                <w:color w:val="auto"/>
              </w:rPr>
            </w:pPr>
            <w:r>
              <w:rPr>
                <w:rFonts w:ascii="Arial" w:cs="Arial" w:eastAsia="Arial" w:hAnsi="Arial"/>
                <w:sz w:val="14"/>
                <w:szCs w:val="14"/>
                <w:color w:val="auto"/>
              </w:rPr>
              <w:t>437,500</w:t>
            </w:r>
          </w:p>
        </w:tc>
        <w:tc>
          <w:tcPr>
            <w:tcW w:w="800" w:type="dxa"/>
            <w:vAlign w:val="bottom"/>
            <w:tcBorders>
              <w:top w:val="single" w:sz="8" w:color="307CC0"/>
            </w:tcBorders>
            <w:vMerge w:val="restart"/>
            <w:shd w:val="clear" w:color="auto" w:fill="D6E7FF"/>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636,827</w:t>
            </w:r>
          </w:p>
        </w:tc>
        <w:tc>
          <w:tcPr>
            <w:tcW w:w="118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374,628</w:t>
            </w:r>
          </w:p>
        </w:tc>
        <w:tc>
          <w:tcPr>
            <w:tcW w:w="1220" w:type="dxa"/>
            <w:vAlign w:val="bottom"/>
            <w:tcBorders>
              <w:top w:val="single" w:sz="8" w:color="307CC0"/>
            </w:tcBorders>
            <w:vMerge w:val="restart"/>
            <w:shd w:val="clear" w:color="auto" w:fill="D6E7FF"/>
          </w:tcPr>
          <w:p>
            <w:pPr>
              <w:jc w:val="right"/>
              <w:ind w:right="71"/>
              <w:spacing w:after="0"/>
              <w:rPr>
                <w:sz w:val="20"/>
                <w:szCs w:val="20"/>
                <w:color w:val="auto"/>
              </w:rPr>
            </w:pPr>
            <w:r>
              <w:rPr>
                <w:rFonts w:ascii="Arial" w:cs="Arial" w:eastAsia="Arial" w:hAnsi="Arial"/>
                <w:sz w:val="14"/>
                <w:szCs w:val="14"/>
                <w:color w:val="auto"/>
              </w:rPr>
              <w:t>12,966</w:t>
            </w:r>
          </w:p>
        </w:tc>
        <w:tc>
          <w:tcPr>
            <w:tcW w:w="860" w:type="dxa"/>
            <w:vAlign w:val="bottom"/>
            <w:tcBorders>
              <w:top w:val="single" w:sz="8" w:color="307CC0"/>
            </w:tcBorders>
            <w:vMerge w:val="restart"/>
            <w:shd w:val="clear" w:color="auto" w:fill="D6E7FF"/>
          </w:tcPr>
          <w:p>
            <w:pPr>
              <w:jc w:val="right"/>
              <w:ind w:right="31"/>
              <w:spacing w:after="0"/>
              <w:rPr>
                <w:sz w:val="20"/>
                <w:szCs w:val="20"/>
                <w:color w:val="auto"/>
              </w:rPr>
            </w:pPr>
            <w:r>
              <w:rPr>
                <w:rFonts w:ascii="Arial" w:cs="Arial" w:eastAsia="Arial" w:hAnsi="Arial"/>
                <w:sz w:val="14"/>
                <w:szCs w:val="14"/>
                <w:color w:val="auto"/>
              </w:rPr>
              <w:t>1,461,915</w:t>
            </w:r>
          </w:p>
        </w:tc>
        <w:tc>
          <w:tcPr>
            <w:tcW w:w="0" w:type="dxa"/>
            <w:vAlign w:val="bottom"/>
          </w:tcPr>
          <w:p>
            <w:pPr>
              <w:spacing w:after="0" w:line="20" w:lineRule="exact"/>
              <w:rPr>
                <w:sz w:val="1"/>
                <w:szCs w:val="1"/>
                <w:color w:val="auto"/>
              </w:rPr>
            </w:pPr>
          </w:p>
        </w:tc>
      </w:tr>
      <w:tr>
        <w:trPr>
          <w:trHeight w:val="178"/>
        </w:trPr>
        <w:tc>
          <w:tcPr>
            <w:tcW w:w="168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4"/>
                <w:szCs w:val="14"/>
                <w:i w:val="1"/>
                <w:iCs w:val="1"/>
                <w:color w:val="auto"/>
              </w:rPr>
              <w:t>Officer</w:t>
            </w:r>
          </w:p>
        </w:tc>
        <w:tc>
          <w:tcPr>
            <w:tcW w:w="200" w:type="dxa"/>
            <w:vAlign w:val="bottom"/>
            <w:tcBorders>
              <w:bottom w:val="single" w:sz="8" w:color="307CC0"/>
            </w:tcBorders>
            <w:shd w:val="clear" w:color="auto" w:fill="D6E7FF"/>
          </w:tcPr>
          <w:p>
            <w:pPr>
              <w:spacing w:after="0"/>
              <w:rPr>
                <w:sz w:val="15"/>
                <w:szCs w:val="15"/>
                <w:color w:val="auto"/>
              </w:rPr>
            </w:pPr>
          </w:p>
        </w:tc>
        <w:tc>
          <w:tcPr>
            <w:tcW w:w="300" w:type="dxa"/>
            <w:vAlign w:val="bottom"/>
            <w:tcBorders>
              <w:bottom w:val="single" w:sz="8" w:color="307CC0"/>
            </w:tcBorders>
            <w:vMerge w:val="continue"/>
            <w:shd w:val="clear" w:color="auto" w:fill="D6E7FF"/>
          </w:tcPr>
          <w:p>
            <w:pPr>
              <w:spacing w:after="0"/>
              <w:rPr>
                <w:sz w:val="15"/>
                <w:szCs w:val="15"/>
                <w:color w:val="auto"/>
              </w:rPr>
            </w:pPr>
          </w:p>
        </w:tc>
        <w:tc>
          <w:tcPr>
            <w:tcW w:w="140" w:type="dxa"/>
            <w:vAlign w:val="bottom"/>
            <w:tcBorders>
              <w:bottom w:val="single" w:sz="8" w:color="307CC0"/>
            </w:tcBorders>
            <w:shd w:val="clear" w:color="auto" w:fill="D6E7FF"/>
          </w:tcPr>
          <w:p>
            <w:pPr>
              <w:spacing w:after="0"/>
              <w:rPr>
                <w:sz w:val="15"/>
                <w:szCs w:val="15"/>
                <w:color w:val="auto"/>
              </w:rPr>
            </w:pPr>
          </w:p>
        </w:tc>
        <w:tc>
          <w:tcPr>
            <w:tcW w:w="760" w:type="dxa"/>
            <w:vAlign w:val="bottom"/>
            <w:tcBorders>
              <w:bottom w:val="single" w:sz="8" w:color="307CC0"/>
            </w:tcBorders>
            <w:vMerge w:val="continue"/>
            <w:shd w:val="clear" w:color="auto" w:fill="D6E7FF"/>
          </w:tcPr>
          <w:p>
            <w:pPr>
              <w:spacing w:after="0"/>
              <w:rPr>
                <w:sz w:val="15"/>
                <w:szCs w:val="15"/>
                <w:color w:val="auto"/>
              </w:rPr>
            </w:pPr>
          </w:p>
        </w:tc>
        <w:tc>
          <w:tcPr>
            <w:tcW w:w="800" w:type="dxa"/>
            <w:vAlign w:val="bottom"/>
            <w:tcBorders>
              <w:bottom w:val="single" w:sz="8" w:color="307CC0"/>
            </w:tcBorders>
            <w:vMerge w:val="continue"/>
            <w:shd w:val="clear" w:color="auto" w:fill="D6E7FF"/>
          </w:tcPr>
          <w:p>
            <w:pPr>
              <w:spacing w:after="0"/>
              <w:rPr>
                <w:sz w:val="15"/>
                <w:szCs w:val="15"/>
                <w:color w:val="auto"/>
              </w:rPr>
            </w:pPr>
          </w:p>
        </w:tc>
        <w:tc>
          <w:tcPr>
            <w:tcW w:w="860" w:type="dxa"/>
            <w:vAlign w:val="bottom"/>
            <w:tcBorders>
              <w:bottom w:val="single" w:sz="8" w:color="307CC0"/>
            </w:tcBorders>
            <w:vMerge w:val="continue"/>
            <w:shd w:val="clear" w:color="auto" w:fill="D6E7FF"/>
          </w:tcPr>
          <w:p>
            <w:pPr>
              <w:spacing w:after="0"/>
              <w:rPr>
                <w:sz w:val="15"/>
                <w:szCs w:val="15"/>
                <w:color w:val="auto"/>
              </w:rPr>
            </w:pPr>
          </w:p>
        </w:tc>
        <w:tc>
          <w:tcPr>
            <w:tcW w:w="1180" w:type="dxa"/>
            <w:vAlign w:val="bottom"/>
            <w:tcBorders>
              <w:bottom w:val="single" w:sz="8" w:color="307CC0"/>
            </w:tcBorders>
            <w:vMerge w:val="continue"/>
            <w:shd w:val="clear" w:color="auto" w:fill="D6E7FF"/>
          </w:tcPr>
          <w:p>
            <w:pPr>
              <w:spacing w:after="0"/>
              <w:rPr>
                <w:sz w:val="15"/>
                <w:szCs w:val="15"/>
                <w:color w:val="auto"/>
              </w:rPr>
            </w:pPr>
          </w:p>
        </w:tc>
        <w:tc>
          <w:tcPr>
            <w:tcW w:w="1160" w:type="dxa"/>
            <w:vAlign w:val="bottom"/>
            <w:tcBorders>
              <w:bottom w:val="single" w:sz="8" w:color="307CC0"/>
            </w:tcBorders>
            <w:vMerge w:val="continue"/>
            <w:shd w:val="clear" w:color="auto" w:fill="D6E7FF"/>
          </w:tcPr>
          <w:p>
            <w:pPr>
              <w:spacing w:after="0"/>
              <w:rPr>
                <w:sz w:val="15"/>
                <w:szCs w:val="15"/>
                <w:color w:val="auto"/>
              </w:rPr>
            </w:pPr>
          </w:p>
        </w:tc>
        <w:tc>
          <w:tcPr>
            <w:tcW w:w="1220" w:type="dxa"/>
            <w:vAlign w:val="bottom"/>
            <w:tcBorders>
              <w:bottom w:val="single" w:sz="8" w:color="307CC0"/>
            </w:tcBorders>
            <w:vMerge w:val="continue"/>
            <w:shd w:val="clear" w:color="auto" w:fill="D6E7FF"/>
          </w:tcPr>
          <w:p>
            <w:pPr>
              <w:spacing w:after="0"/>
              <w:rPr>
                <w:sz w:val="15"/>
                <w:szCs w:val="15"/>
                <w:color w:val="auto"/>
              </w:rPr>
            </w:pPr>
          </w:p>
        </w:tc>
        <w:tc>
          <w:tcPr>
            <w:tcW w:w="860" w:type="dxa"/>
            <w:vAlign w:val="bottom"/>
            <w:tcBorders>
              <w:bottom w:val="single" w:sz="8" w:color="307CC0"/>
            </w:tcBorders>
            <w:vMerge w:val="continue"/>
            <w:shd w:val="clear" w:color="auto" w:fill="D6E7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68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i w:val="1"/>
                <w:iCs w:val="1"/>
                <w:color w:val="auto"/>
              </w:rPr>
              <w:t>Ms. Heather A.</w:t>
            </w:r>
          </w:p>
        </w:tc>
        <w:tc>
          <w:tcPr>
            <w:tcW w:w="640" w:type="dxa"/>
            <w:vAlign w:val="bottom"/>
            <w:gridSpan w:val="3"/>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2019</w:t>
            </w:r>
          </w:p>
        </w:tc>
        <w:tc>
          <w:tcPr>
            <w:tcW w:w="76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rPr>
              <w:t>484,000</w:t>
            </w:r>
          </w:p>
        </w:tc>
        <w:tc>
          <w:tcPr>
            <w:tcW w:w="800" w:type="dxa"/>
            <w:vAlign w:val="bottom"/>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458,521</w:t>
            </w:r>
          </w:p>
        </w:tc>
        <w:tc>
          <w:tcPr>
            <w:tcW w:w="1180" w:type="dxa"/>
            <w:vAlign w:val="bottom"/>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382,239</w:t>
            </w:r>
          </w:p>
        </w:tc>
        <w:tc>
          <w:tcPr>
            <w:tcW w:w="1160" w:type="dxa"/>
            <w:vAlign w:val="bottom"/>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295,162</w:t>
            </w:r>
          </w:p>
        </w:tc>
        <w:tc>
          <w:tcPr>
            <w:tcW w:w="1220" w:type="dxa"/>
            <w:vAlign w:val="bottom"/>
            <w:shd w:val="clear" w:color="auto" w:fill="CCEEFF"/>
          </w:tcPr>
          <w:p>
            <w:pPr>
              <w:jc w:val="right"/>
              <w:ind w:right="71"/>
              <w:spacing w:after="0" w:line="151" w:lineRule="exact"/>
              <w:rPr>
                <w:sz w:val="20"/>
                <w:szCs w:val="20"/>
                <w:color w:val="auto"/>
              </w:rPr>
            </w:pPr>
            <w:r>
              <w:rPr>
                <w:rFonts w:ascii="Arial" w:cs="Arial" w:eastAsia="Arial" w:hAnsi="Arial"/>
                <w:sz w:val="14"/>
                <w:szCs w:val="14"/>
                <w:color w:val="auto"/>
              </w:rPr>
              <w:t>77,056</w:t>
            </w:r>
          </w:p>
        </w:tc>
        <w:tc>
          <w:tcPr>
            <w:tcW w:w="860" w:type="dxa"/>
            <w:vAlign w:val="bottom"/>
            <w:shd w:val="clear" w:color="auto" w:fill="CCEEFF"/>
          </w:tcPr>
          <w:p>
            <w:pPr>
              <w:jc w:val="right"/>
              <w:ind w:right="31"/>
              <w:spacing w:after="0" w:line="151" w:lineRule="exact"/>
              <w:rPr>
                <w:sz w:val="20"/>
                <w:szCs w:val="20"/>
                <w:color w:val="auto"/>
              </w:rPr>
            </w:pPr>
            <w:r>
              <w:rPr>
                <w:rFonts w:ascii="Arial" w:cs="Arial" w:eastAsia="Arial" w:hAnsi="Arial"/>
                <w:sz w:val="14"/>
                <w:szCs w:val="14"/>
                <w:color w:val="auto"/>
              </w:rPr>
              <w:t>1,696,978</w:t>
            </w:r>
          </w:p>
        </w:tc>
        <w:tc>
          <w:tcPr>
            <w:tcW w:w="0" w:type="dxa"/>
            <w:vAlign w:val="bottom"/>
          </w:tcPr>
          <w:p>
            <w:pPr>
              <w:spacing w:after="0"/>
              <w:rPr>
                <w:sz w:val="1"/>
                <w:szCs w:val="1"/>
                <w:color w:val="auto"/>
              </w:rPr>
            </w:pPr>
          </w:p>
        </w:tc>
      </w:tr>
      <w:tr>
        <w:trPr>
          <w:trHeight w:val="100"/>
        </w:trPr>
        <w:tc>
          <w:tcPr>
            <w:tcW w:w="1680" w:type="dxa"/>
            <w:vAlign w:val="bottom"/>
            <w:tcBorders>
              <w:bottom w:val="single" w:sz="8" w:color="CCEEFF"/>
            </w:tcBorders>
            <w:vMerge w:val="restart"/>
            <w:shd w:val="clear" w:color="auto" w:fill="CCEEFF"/>
          </w:tcPr>
          <w:p>
            <w:pPr>
              <w:ind w:left="40"/>
              <w:spacing w:after="0" w:line="155" w:lineRule="exact"/>
              <w:rPr>
                <w:sz w:val="20"/>
                <w:szCs w:val="20"/>
                <w:color w:val="auto"/>
              </w:rPr>
            </w:pPr>
            <w:r>
              <w:rPr>
                <w:rFonts w:ascii="Arial" w:cs="Arial" w:eastAsia="Arial" w:hAnsi="Arial"/>
                <w:sz w:val="14"/>
                <w:szCs w:val="14"/>
                <w:i w:val="1"/>
                <w:iCs w:val="1"/>
                <w:color w:val="auto"/>
              </w:rPr>
              <w:t>Humphrey,</w:t>
            </w:r>
          </w:p>
        </w:tc>
        <w:tc>
          <w:tcPr>
            <w:tcW w:w="200" w:type="dxa"/>
            <w:vAlign w:val="bottom"/>
            <w:tcBorders>
              <w:bottom w:val="single" w:sz="8" w:color="307CC0"/>
            </w:tcBorders>
            <w:shd w:val="clear" w:color="auto" w:fill="CCEEFF"/>
          </w:tcPr>
          <w:p>
            <w:pPr>
              <w:spacing w:after="0"/>
              <w:rPr>
                <w:sz w:val="8"/>
                <w:szCs w:val="8"/>
                <w:color w:val="auto"/>
              </w:rPr>
            </w:pPr>
          </w:p>
        </w:tc>
        <w:tc>
          <w:tcPr>
            <w:tcW w:w="300" w:type="dxa"/>
            <w:vAlign w:val="bottom"/>
            <w:tcBorders>
              <w:bottom w:val="single" w:sz="8" w:color="307CC0"/>
            </w:tcBorders>
            <w:shd w:val="clear" w:color="auto" w:fill="CCEEFF"/>
          </w:tcPr>
          <w:p>
            <w:pPr>
              <w:spacing w:after="0"/>
              <w:rPr>
                <w:sz w:val="8"/>
                <w:szCs w:val="8"/>
                <w:color w:val="auto"/>
              </w:rPr>
            </w:pPr>
          </w:p>
        </w:tc>
        <w:tc>
          <w:tcPr>
            <w:tcW w:w="140" w:type="dxa"/>
            <w:vAlign w:val="bottom"/>
            <w:tcBorders>
              <w:bottom w:val="single" w:sz="8" w:color="307CC0"/>
            </w:tcBorders>
            <w:shd w:val="clear" w:color="auto" w:fill="CCEEFF"/>
          </w:tcPr>
          <w:p>
            <w:pPr>
              <w:spacing w:after="0"/>
              <w:rPr>
                <w:sz w:val="8"/>
                <w:szCs w:val="8"/>
                <w:color w:val="auto"/>
              </w:rPr>
            </w:pPr>
          </w:p>
        </w:tc>
        <w:tc>
          <w:tcPr>
            <w:tcW w:w="760" w:type="dxa"/>
            <w:vAlign w:val="bottom"/>
            <w:tcBorders>
              <w:bottom w:val="single" w:sz="8" w:color="307CC0"/>
            </w:tcBorders>
            <w:shd w:val="clear" w:color="auto" w:fill="CCEEFF"/>
          </w:tcPr>
          <w:p>
            <w:pPr>
              <w:spacing w:after="0"/>
              <w:rPr>
                <w:sz w:val="8"/>
                <w:szCs w:val="8"/>
                <w:color w:val="auto"/>
              </w:rPr>
            </w:pPr>
          </w:p>
        </w:tc>
        <w:tc>
          <w:tcPr>
            <w:tcW w:w="800" w:type="dxa"/>
            <w:vAlign w:val="bottom"/>
            <w:tcBorders>
              <w:bottom w:val="single" w:sz="8" w:color="307CC0"/>
            </w:tcBorders>
            <w:shd w:val="clear" w:color="auto" w:fill="CCEEFF"/>
          </w:tcPr>
          <w:p>
            <w:pPr>
              <w:spacing w:after="0"/>
              <w:rPr>
                <w:sz w:val="8"/>
                <w:szCs w:val="8"/>
                <w:color w:val="auto"/>
              </w:rPr>
            </w:pPr>
          </w:p>
        </w:tc>
        <w:tc>
          <w:tcPr>
            <w:tcW w:w="860" w:type="dxa"/>
            <w:vAlign w:val="bottom"/>
            <w:tcBorders>
              <w:bottom w:val="single" w:sz="8" w:color="307CC0"/>
            </w:tcBorders>
            <w:shd w:val="clear" w:color="auto" w:fill="CCEEFF"/>
          </w:tcPr>
          <w:p>
            <w:pPr>
              <w:spacing w:after="0"/>
              <w:rPr>
                <w:sz w:val="8"/>
                <w:szCs w:val="8"/>
                <w:color w:val="auto"/>
              </w:rPr>
            </w:pPr>
          </w:p>
        </w:tc>
        <w:tc>
          <w:tcPr>
            <w:tcW w:w="1180" w:type="dxa"/>
            <w:vAlign w:val="bottom"/>
            <w:tcBorders>
              <w:bottom w:val="single" w:sz="8" w:color="307CC0"/>
            </w:tcBorders>
            <w:shd w:val="clear" w:color="auto" w:fill="CCEEFF"/>
          </w:tcPr>
          <w:p>
            <w:pPr>
              <w:spacing w:after="0"/>
              <w:rPr>
                <w:sz w:val="8"/>
                <w:szCs w:val="8"/>
                <w:color w:val="auto"/>
              </w:rPr>
            </w:pPr>
          </w:p>
        </w:tc>
        <w:tc>
          <w:tcPr>
            <w:tcW w:w="1160" w:type="dxa"/>
            <w:vAlign w:val="bottom"/>
            <w:tcBorders>
              <w:bottom w:val="single" w:sz="8" w:color="307CC0"/>
            </w:tcBorders>
            <w:shd w:val="clear" w:color="auto" w:fill="CCEEFF"/>
          </w:tcPr>
          <w:p>
            <w:pPr>
              <w:spacing w:after="0"/>
              <w:rPr>
                <w:sz w:val="8"/>
                <w:szCs w:val="8"/>
                <w:color w:val="auto"/>
              </w:rPr>
            </w:pPr>
          </w:p>
        </w:tc>
        <w:tc>
          <w:tcPr>
            <w:tcW w:w="1220" w:type="dxa"/>
            <w:vAlign w:val="bottom"/>
            <w:tcBorders>
              <w:bottom w:val="single" w:sz="8" w:color="307CC0"/>
            </w:tcBorders>
            <w:shd w:val="clear" w:color="auto" w:fill="CCEEFF"/>
          </w:tcPr>
          <w:p>
            <w:pPr>
              <w:spacing w:after="0"/>
              <w:rPr>
                <w:sz w:val="8"/>
                <w:szCs w:val="8"/>
                <w:color w:val="auto"/>
              </w:rPr>
            </w:pPr>
          </w:p>
        </w:tc>
        <w:tc>
          <w:tcPr>
            <w:tcW w:w="860" w:type="dxa"/>
            <w:vAlign w:val="bottom"/>
            <w:tcBorders>
              <w:bottom w:val="single" w:sz="8" w:color="307CC0"/>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680" w:type="dxa"/>
            <w:vAlign w:val="bottom"/>
            <w:vMerge w:val="continue"/>
            <w:shd w:val="clear" w:color="auto" w:fill="CCEEFF"/>
          </w:tcPr>
          <w:p>
            <w:pPr>
              <w:spacing w:after="0"/>
              <w:rPr>
                <w:sz w:val="3"/>
                <w:szCs w:val="3"/>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2018</w:t>
            </w:r>
          </w:p>
        </w:tc>
        <w:tc>
          <w:tcPr>
            <w:tcW w:w="760" w:type="dxa"/>
            <w:vAlign w:val="bottom"/>
            <w:vMerge w:val="restart"/>
          </w:tcPr>
          <w:p>
            <w:pPr>
              <w:ind w:left="140"/>
              <w:spacing w:after="0"/>
              <w:rPr>
                <w:sz w:val="20"/>
                <w:szCs w:val="20"/>
                <w:color w:val="auto"/>
              </w:rPr>
            </w:pPr>
            <w:r>
              <w:rPr>
                <w:rFonts w:ascii="Arial" w:cs="Arial" w:eastAsia="Arial" w:hAnsi="Arial"/>
                <w:sz w:val="14"/>
                <w:szCs w:val="14"/>
                <w:color w:val="auto"/>
              </w:rPr>
              <w:t>467,135</w:t>
            </w:r>
          </w:p>
        </w:tc>
        <w:tc>
          <w:tcPr>
            <w:tcW w:w="800" w:type="dxa"/>
            <w:vAlign w:val="bottom"/>
            <w:vMerge w:val="restart"/>
          </w:tcPr>
          <w:p>
            <w:pPr>
              <w:jc w:val="right"/>
              <w:ind w:right="71"/>
              <w:spacing w:after="0"/>
              <w:rPr>
                <w:sz w:val="20"/>
                <w:szCs w:val="20"/>
                <w:color w:val="auto"/>
              </w:rPr>
            </w:pPr>
            <w:r>
              <w:rPr>
                <w:rFonts w:ascii="Arial" w:cs="Arial" w:eastAsia="Arial" w:hAnsi="Arial"/>
                <w:sz w:val="14"/>
                <w:szCs w:val="14"/>
                <w:color w:val="auto"/>
              </w:rPr>
              <w:t>333,333</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1,198,557</w:t>
            </w:r>
          </w:p>
        </w:tc>
        <w:tc>
          <w:tcPr>
            <w:tcW w:w="1180" w:type="dxa"/>
            <w:vAlign w:val="bottom"/>
            <w:vMerge w:val="restart"/>
          </w:tcPr>
          <w:p>
            <w:pPr>
              <w:jc w:val="right"/>
              <w:ind w:right="31"/>
              <w:spacing w:after="0"/>
              <w:rPr>
                <w:sz w:val="20"/>
                <w:szCs w:val="20"/>
                <w:color w:val="auto"/>
              </w:rPr>
            </w:pPr>
            <w:r>
              <w:rPr>
                <w:rFonts w:ascii="Arial" w:cs="Arial" w:eastAsia="Arial" w:hAnsi="Arial"/>
                <w:sz w:val="14"/>
                <w:szCs w:val="14"/>
                <w:color w:val="auto"/>
              </w:rPr>
              <w:t>468,918</w:t>
            </w:r>
          </w:p>
        </w:tc>
        <w:tc>
          <w:tcPr>
            <w:tcW w:w="1160" w:type="dxa"/>
            <w:vAlign w:val="bottom"/>
            <w:vMerge w:val="restart"/>
          </w:tcPr>
          <w:p>
            <w:pPr>
              <w:jc w:val="right"/>
              <w:ind w:right="31"/>
              <w:spacing w:after="0"/>
              <w:rPr>
                <w:sz w:val="20"/>
                <w:szCs w:val="20"/>
                <w:color w:val="auto"/>
              </w:rPr>
            </w:pPr>
            <w:r>
              <w:rPr>
                <w:rFonts w:ascii="Arial" w:cs="Arial" w:eastAsia="Arial" w:hAnsi="Arial"/>
                <w:sz w:val="14"/>
                <w:szCs w:val="14"/>
                <w:color w:val="auto"/>
              </w:rPr>
              <w:t>65,214</w:t>
            </w:r>
          </w:p>
        </w:tc>
        <w:tc>
          <w:tcPr>
            <w:tcW w:w="1220" w:type="dxa"/>
            <w:vAlign w:val="bottom"/>
            <w:vMerge w:val="restart"/>
          </w:tcPr>
          <w:p>
            <w:pPr>
              <w:jc w:val="right"/>
              <w:ind w:right="71"/>
              <w:spacing w:after="0"/>
              <w:rPr>
                <w:sz w:val="20"/>
                <w:szCs w:val="20"/>
                <w:color w:val="auto"/>
              </w:rPr>
            </w:pPr>
            <w:r>
              <w:rPr>
                <w:rFonts w:ascii="Arial" w:cs="Arial" w:eastAsia="Arial" w:hAnsi="Arial"/>
                <w:sz w:val="14"/>
                <w:szCs w:val="14"/>
                <w:color w:val="auto"/>
              </w:rPr>
              <w:t>102,289</w:t>
            </w:r>
          </w:p>
        </w:tc>
        <w:tc>
          <w:tcPr>
            <w:tcW w:w="860" w:type="dxa"/>
            <w:vAlign w:val="bottom"/>
            <w:vMerge w:val="restart"/>
          </w:tcPr>
          <w:p>
            <w:pPr>
              <w:jc w:val="right"/>
              <w:ind w:right="31"/>
              <w:spacing w:after="0"/>
              <w:rPr>
                <w:sz w:val="20"/>
                <w:szCs w:val="20"/>
                <w:color w:val="auto"/>
              </w:rPr>
            </w:pPr>
            <w:r>
              <w:rPr>
                <w:rFonts w:ascii="Arial" w:cs="Arial" w:eastAsia="Arial" w:hAnsi="Arial"/>
                <w:sz w:val="14"/>
                <w:szCs w:val="14"/>
                <w:color w:val="auto"/>
              </w:rPr>
              <w:t>2,635,446</w:t>
            </w:r>
          </w:p>
        </w:tc>
        <w:tc>
          <w:tcPr>
            <w:tcW w:w="0" w:type="dxa"/>
            <w:vAlign w:val="bottom"/>
          </w:tcPr>
          <w:p>
            <w:pPr>
              <w:spacing w:after="0" w:line="20" w:lineRule="exact"/>
              <w:rPr>
                <w:sz w:val="1"/>
                <w:szCs w:val="1"/>
                <w:color w:val="auto"/>
              </w:rPr>
            </w:pPr>
          </w:p>
        </w:tc>
      </w:tr>
      <w:tr>
        <w:trPr>
          <w:trHeight w:val="155"/>
        </w:trPr>
        <w:tc>
          <w:tcPr>
            <w:tcW w:w="1680" w:type="dxa"/>
            <w:vAlign w:val="bottom"/>
            <w:shd w:val="clear" w:color="auto" w:fill="CCEEFF"/>
          </w:tcPr>
          <w:p>
            <w:pPr>
              <w:ind w:left="40"/>
              <w:spacing w:after="0" w:line="155" w:lineRule="exact"/>
              <w:rPr>
                <w:sz w:val="20"/>
                <w:szCs w:val="20"/>
                <w:color w:val="auto"/>
              </w:rPr>
            </w:pPr>
            <w:r>
              <w:rPr>
                <w:rFonts w:ascii="Arial" w:cs="Arial" w:eastAsia="Arial" w:hAnsi="Arial"/>
                <w:sz w:val="14"/>
                <w:szCs w:val="14"/>
                <w:i w:val="1"/>
                <w:iCs w:val="1"/>
                <w:color w:val="auto"/>
              </w:rPr>
              <w:t>Senior Vice President,</w:t>
            </w:r>
          </w:p>
        </w:tc>
        <w:tc>
          <w:tcPr>
            <w:tcW w:w="64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680" w:type="dxa"/>
            <w:vAlign w:val="bottom"/>
            <w:tcBorders>
              <w:bottom w:val="single" w:sz="8" w:color="CCEEFF"/>
            </w:tcBorders>
            <w:vMerge w:val="restart"/>
            <w:shd w:val="clear" w:color="auto" w:fill="CCEEFF"/>
          </w:tcPr>
          <w:p>
            <w:pPr>
              <w:ind w:left="40"/>
              <w:spacing w:after="0" w:line="155" w:lineRule="exact"/>
              <w:rPr>
                <w:sz w:val="20"/>
                <w:szCs w:val="20"/>
                <w:color w:val="auto"/>
              </w:rPr>
            </w:pPr>
            <w:r>
              <w:rPr>
                <w:rFonts w:ascii="Arial" w:cs="Arial" w:eastAsia="Arial" w:hAnsi="Arial"/>
                <w:sz w:val="14"/>
                <w:szCs w:val="14"/>
                <w:i w:val="1"/>
                <w:iCs w:val="1"/>
                <w:color w:val="auto"/>
              </w:rPr>
              <w:t>General Counsel and</w:t>
            </w:r>
          </w:p>
        </w:tc>
        <w:tc>
          <w:tcPr>
            <w:tcW w:w="200" w:type="dxa"/>
            <w:vAlign w:val="bottom"/>
            <w:tcBorders>
              <w:bottom w:val="single" w:sz="8" w:color="307CC0"/>
            </w:tcBorders>
          </w:tcPr>
          <w:p>
            <w:pPr>
              <w:spacing w:after="0"/>
              <w:rPr>
                <w:sz w:val="5"/>
                <w:szCs w:val="5"/>
                <w:color w:val="auto"/>
              </w:rPr>
            </w:pPr>
          </w:p>
        </w:tc>
        <w:tc>
          <w:tcPr>
            <w:tcW w:w="300" w:type="dxa"/>
            <w:vAlign w:val="bottom"/>
            <w:tcBorders>
              <w:bottom w:val="single" w:sz="8" w:color="307CC0"/>
            </w:tcBorders>
          </w:tcPr>
          <w:p>
            <w:pPr>
              <w:spacing w:after="0"/>
              <w:rPr>
                <w:sz w:val="5"/>
                <w:szCs w:val="5"/>
                <w:color w:val="auto"/>
              </w:rPr>
            </w:pPr>
          </w:p>
        </w:tc>
        <w:tc>
          <w:tcPr>
            <w:tcW w:w="140" w:type="dxa"/>
            <w:vAlign w:val="bottom"/>
            <w:tcBorders>
              <w:bottom w:val="single" w:sz="8" w:color="307CC0"/>
            </w:tcBorders>
          </w:tcPr>
          <w:p>
            <w:pPr>
              <w:spacing w:after="0"/>
              <w:rPr>
                <w:sz w:val="5"/>
                <w:szCs w:val="5"/>
                <w:color w:val="auto"/>
              </w:rPr>
            </w:pPr>
          </w:p>
        </w:tc>
        <w:tc>
          <w:tcPr>
            <w:tcW w:w="760" w:type="dxa"/>
            <w:vAlign w:val="bottom"/>
            <w:tcBorders>
              <w:bottom w:val="single" w:sz="8" w:color="307CC0"/>
            </w:tcBorders>
          </w:tcPr>
          <w:p>
            <w:pPr>
              <w:spacing w:after="0"/>
              <w:rPr>
                <w:sz w:val="5"/>
                <w:szCs w:val="5"/>
                <w:color w:val="auto"/>
              </w:rPr>
            </w:pPr>
          </w:p>
        </w:tc>
        <w:tc>
          <w:tcPr>
            <w:tcW w:w="800" w:type="dxa"/>
            <w:vAlign w:val="bottom"/>
            <w:tcBorders>
              <w:bottom w:val="single" w:sz="8" w:color="307CC0"/>
            </w:tcBorders>
          </w:tcPr>
          <w:p>
            <w:pPr>
              <w:spacing w:after="0"/>
              <w:rPr>
                <w:sz w:val="5"/>
                <w:szCs w:val="5"/>
                <w:color w:val="auto"/>
              </w:rPr>
            </w:pPr>
          </w:p>
        </w:tc>
        <w:tc>
          <w:tcPr>
            <w:tcW w:w="860" w:type="dxa"/>
            <w:vAlign w:val="bottom"/>
            <w:tcBorders>
              <w:bottom w:val="single" w:sz="8" w:color="307CC0"/>
            </w:tcBorders>
          </w:tcPr>
          <w:p>
            <w:pPr>
              <w:spacing w:after="0"/>
              <w:rPr>
                <w:sz w:val="5"/>
                <w:szCs w:val="5"/>
                <w:color w:val="auto"/>
              </w:rPr>
            </w:pPr>
          </w:p>
        </w:tc>
        <w:tc>
          <w:tcPr>
            <w:tcW w:w="1180" w:type="dxa"/>
            <w:vAlign w:val="bottom"/>
            <w:tcBorders>
              <w:bottom w:val="single" w:sz="8" w:color="307CC0"/>
            </w:tcBorders>
          </w:tcPr>
          <w:p>
            <w:pPr>
              <w:spacing w:after="0"/>
              <w:rPr>
                <w:sz w:val="5"/>
                <w:szCs w:val="5"/>
                <w:color w:val="auto"/>
              </w:rPr>
            </w:pPr>
          </w:p>
        </w:tc>
        <w:tc>
          <w:tcPr>
            <w:tcW w:w="1160" w:type="dxa"/>
            <w:vAlign w:val="bottom"/>
            <w:tcBorders>
              <w:bottom w:val="single" w:sz="8" w:color="307CC0"/>
            </w:tcBorders>
          </w:tcPr>
          <w:p>
            <w:pPr>
              <w:spacing w:after="0"/>
              <w:rPr>
                <w:sz w:val="5"/>
                <w:szCs w:val="5"/>
                <w:color w:val="auto"/>
              </w:rPr>
            </w:pPr>
          </w:p>
        </w:tc>
        <w:tc>
          <w:tcPr>
            <w:tcW w:w="1220" w:type="dxa"/>
            <w:vAlign w:val="bottom"/>
            <w:tcBorders>
              <w:bottom w:val="single" w:sz="8" w:color="307CC0"/>
            </w:tcBorders>
          </w:tcPr>
          <w:p>
            <w:pPr>
              <w:spacing w:after="0"/>
              <w:rPr>
                <w:sz w:val="5"/>
                <w:szCs w:val="5"/>
                <w:color w:val="auto"/>
              </w:rPr>
            </w:pPr>
          </w:p>
        </w:tc>
        <w:tc>
          <w:tcPr>
            <w:tcW w:w="860" w:type="dxa"/>
            <w:vAlign w:val="bottom"/>
            <w:tcBorders>
              <w:bottom w:val="single" w:sz="8" w:color="307CC0"/>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2017</w:t>
            </w:r>
          </w:p>
        </w:tc>
        <w:tc>
          <w:tcPr>
            <w:tcW w:w="76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413,000</w:t>
            </w:r>
          </w:p>
        </w:tc>
        <w:tc>
          <w:tcPr>
            <w:tcW w:w="80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524,521</w:t>
            </w:r>
          </w:p>
        </w:tc>
        <w:tc>
          <w:tcPr>
            <w:tcW w:w="118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495,600</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187,725</w:t>
            </w:r>
          </w:p>
        </w:tc>
        <w:tc>
          <w:tcPr>
            <w:tcW w:w="12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63,191</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1,684,037</w:t>
            </w:r>
          </w:p>
        </w:tc>
        <w:tc>
          <w:tcPr>
            <w:tcW w:w="0" w:type="dxa"/>
            <w:vAlign w:val="bottom"/>
          </w:tcPr>
          <w:p>
            <w:pPr>
              <w:spacing w:after="0"/>
              <w:rPr>
                <w:sz w:val="1"/>
                <w:szCs w:val="1"/>
                <w:color w:val="auto"/>
              </w:rPr>
            </w:pPr>
          </w:p>
        </w:tc>
      </w:tr>
      <w:tr>
        <w:trPr>
          <w:trHeight w:val="101"/>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4"/>
                <w:szCs w:val="14"/>
                <w:i w:val="1"/>
                <w:iCs w:val="1"/>
                <w:color w:val="auto"/>
              </w:rPr>
              <w:t>Corporate Secretary</w:t>
            </w:r>
          </w:p>
        </w:tc>
        <w:tc>
          <w:tcPr>
            <w:tcW w:w="640" w:type="dxa"/>
            <w:vAlign w:val="bottom"/>
            <w:gridSpan w:val="3"/>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16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680" w:type="dxa"/>
            <w:vAlign w:val="bottom"/>
            <w:tcBorders>
              <w:bottom w:val="single" w:sz="8" w:color="307CC0"/>
            </w:tcBorders>
            <w:vMerge w:val="continue"/>
            <w:shd w:val="clear" w:color="auto" w:fill="CCEEFF"/>
          </w:tcPr>
          <w:p>
            <w:pPr>
              <w:spacing w:after="0"/>
              <w:rPr>
                <w:sz w:val="6"/>
                <w:szCs w:val="6"/>
                <w:color w:val="auto"/>
              </w:rPr>
            </w:pPr>
          </w:p>
        </w:tc>
        <w:tc>
          <w:tcPr>
            <w:tcW w:w="200" w:type="dxa"/>
            <w:vAlign w:val="bottom"/>
            <w:tcBorders>
              <w:bottom w:val="single" w:sz="8" w:color="307CC0"/>
            </w:tcBorders>
            <w:shd w:val="clear" w:color="auto" w:fill="CCEEFF"/>
          </w:tcPr>
          <w:p>
            <w:pPr>
              <w:spacing w:after="0"/>
              <w:rPr>
                <w:sz w:val="6"/>
                <w:szCs w:val="6"/>
                <w:color w:val="auto"/>
              </w:rPr>
            </w:pPr>
          </w:p>
        </w:tc>
        <w:tc>
          <w:tcPr>
            <w:tcW w:w="300" w:type="dxa"/>
            <w:vAlign w:val="bottom"/>
            <w:tcBorders>
              <w:bottom w:val="single" w:sz="8" w:color="307CC0"/>
            </w:tcBorders>
            <w:shd w:val="clear" w:color="auto" w:fill="CCEEFF"/>
          </w:tcPr>
          <w:p>
            <w:pPr>
              <w:spacing w:after="0"/>
              <w:rPr>
                <w:sz w:val="6"/>
                <w:szCs w:val="6"/>
                <w:color w:val="auto"/>
              </w:rPr>
            </w:pPr>
          </w:p>
        </w:tc>
        <w:tc>
          <w:tcPr>
            <w:tcW w:w="140" w:type="dxa"/>
            <w:vAlign w:val="bottom"/>
            <w:tcBorders>
              <w:bottom w:val="single" w:sz="8" w:color="307CC0"/>
            </w:tcBorders>
            <w:shd w:val="clear" w:color="auto" w:fill="CCEEFF"/>
          </w:tcPr>
          <w:p>
            <w:pPr>
              <w:spacing w:after="0"/>
              <w:rPr>
                <w:sz w:val="6"/>
                <w:szCs w:val="6"/>
                <w:color w:val="auto"/>
              </w:rPr>
            </w:pPr>
          </w:p>
        </w:tc>
        <w:tc>
          <w:tcPr>
            <w:tcW w:w="760" w:type="dxa"/>
            <w:vAlign w:val="bottom"/>
            <w:tcBorders>
              <w:bottom w:val="single" w:sz="8" w:color="307CC0"/>
            </w:tcBorders>
            <w:shd w:val="clear" w:color="auto" w:fill="CCEEFF"/>
          </w:tcPr>
          <w:p>
            <w:pPr>
              <w:spacing w:after="0"/>
              <w:rPr>
                <w:sz w:val="6"/>
                <w:szCs w:val="6"/>
                <w:color w:val="auto"/>
              </w:rPr>
            </w:pPr>
          </w:p>
        </w:tc>
        <w:tc>
          <w:tcPr>
            <w:tcW w:w="800" w:type="dxa"/>
            <w:vAlign w:val="bottom"/>
            <w:tcBorders>
              <w:bottom w:val="single" w:sz="8" w:color="307CC0"/>
            </w:tcBorders>
            <w:shd w:val="clear" w:color="auto" w:fill="CCEEFF"/>
          </w:tcPr>
          <w:p>
            <w:pPr>
              <w:spacing w:after="0"/>
              <w:rPr>
                <w:sz w:val="6"/>
                <w:szCs w:val="6"/>
                <w:color w:val="auto"/>
              </w:rPr>
            </w:pPr>
          </w:p>
        </w:tc>
        <w:tc>
          <w:tcPr>
            <w:tcW w:w="860" w:type="dxa"/>
            <w:vAlign w:val="bottom"/>
            <w:tcBorders>
              <w:bottom w:val="single" w:sz="8" w:color="307CC0"/>
            </w:tcBorders>
            <w:shd w:val="clear" w:color="auto" w:fill="CCEEFF"/>
          </w:tcPr>
          <w:p>
            <w:pPr>
              <w:spacing w:after="0"/>
              <w:rPr>
                <w:sz w:val="6"/>
                <w:szCs w:val="6"/>
                <w:color w:val="auto"/>
              </w:rPr>
            </w:pPr>
          </w:p>
        </w:tc>
        <w:tc>
          <w:tcPr>
            <w:tcW w:w="1180" w:type="dxa"/>
            <w:vAlign w:val="bottom"/>
            <w:tcBorders>
              <w:bottom w:val="single" w:sz="8" w:color="307CC0"/>
            </w:tcBorders>
            <w:shd w:val="clear" w:color="auto" w:fill="CCEEFF"/>
          </w:tcPr>
          <w:p>
            <w:pPr>
              <w:spacing w:after="0"/>
              <w:rPr>
                <w:sz w:val="6"/>
                <w:szCs w:val="6"/>
                <w:color w:val="auto"/>
              </w:rPr>
            </w:pPr>
          </w:p>
        </w:tc>
        <w:tc>
          <w:tcPr>
            <w:tcW w:w="1160" w:type="dxa"/>
            <w:vAlign w:val="bottom"/>
            <w:tcBorders>
              <w:bottom w:val="single" w:sz="8" w:color="307CC0"/>
            </w:tcBorders>
            <w:shd w:val="clear" w:color="auto" w:fill="CCEEFF"/>
          </w:tcPr>
          <w:p>
            <w:pPr>
              <w:spacing w:after="0"/>
              <w:rPr>
                <w:sz w:val="6"/>
                <w:szCs w:val="6"/>
                <w:color w:val="auto"/>
              </w:rPr>
            </w:pPr>
          </w:p>
        </w:tc>
        <w:tc>
          <w:tcPr>
            <w:tcW w:w="1220" w:type="dxa"/>
            <w:vAlign w:val="bottom"/>
            <w:tcBorders>
              <w:bottom w:val="single" w:sz="8" w:color="307CC0"/>
            </w:tcBorders>
            <w:shd w:val="clear" w:color="auto" w:fill="CCEEFF"/>
          </w:tcPr>
          <w:p>
            <w:pPr>
              <w:spacing w:after="0"/>
              <w:rPr>
                <w:sz w:val="6"/>
                <w:szCs w:val="6"/>
                <w:color w:val="auto"/>
              </w:rPr>
            </w:pPr>
          </w:p>
        </w:tc>
        <w:tc>
          <w:tcPr>
            <w:tcW w:w="860" w:type="dxa"/>
            <w:vAlign w:val="bottom"/>
            <w:tcBorders>
              <w:bottom w:val="single" w:sz="8" w:color="307CC0"/>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-2148840</wp:posOffset>
            </wp:positionV>
            <wp:extent cx="5808980" cy="3689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08980" cy="3689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-1361440</wp:posOffset>
            </wp:positionV>
            <wp:extent cx="5808980" cy="418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08980" cy="418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-524510</wp:posOffset>
            </wp:positionV>
            <wp:extent cx="5808980" cy="516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08980" cy="516890"/>
                    </a:xfrm>
                    <a:prstGeom prst="rect">
                      <a:avLst/>
                    </a:prstGeom>
                    <a:noFill/>
                  </pic:spPr>
                </pic:pic>
              </a:graphicData>
            </a:graphic>
          </wp:anchor>
        </w:drawing>
      </w:r>
    </w:p>
    <w:p>
      <w:pPr>
        <w:spacing w:after="0" w:line="88" w:lineRule="exact"/>
        <w:rPr>
          <w:sz w:val="20"/>
          <w:szCs w:val="20"/>
          <w:color w:val="auto"/>
        </w:rPr>
      </w:pPr>
    </w:p>
    <w:p>
      <w:pPr>
        <w:ind w:left="340" w:hanging="330"/>
        <w:spacing w:after="0" w:line="215" w:lineRule="auto"/>
        <w:tabs>
          <w:tab w:leader="none" w:pos="340" w:val="left"/>
        </w:tabs>
        <w:numPr>
          <w:ilvl w:val="0"/>
          <w:numId w:val="36"/>
        </w:numPr>
        <w:rPr>
          <w:rFonts w:ascii="Arial" w:cs="Arial" w:eastAsia="Arial" w:hAnsi="Arial"/>
          <w:sz w:val="17"/>
          <w:szCs w:val="17"/>
          <w:color w:val="auto"/>
          <w:vertAlign w:val="superscript"/>
        </w:rPr>
      </w:pPr>
      <w:r>
        <w:rPr>
          <w:rFonts w:ascii="Arial" w:cs="Arial" w:eastAsia="Arial" w:hAnsi="Arial"/>
          <w:sz w:val="14"/>
          <w:szCs w:val="14"/>
          <w:color w:val="auto"/>
        </w:rPr>
        <w:t>These amounts are cash incentive awards provided by Great Plains Energy prior to completion of the merger that must be repaid if the recipient leaves Evergy for any reasion prior to June 5, 2020.</w:t>
      </w:r>
    </w:p>
    <w:p>
      <w:pPr>
        <w:spacing w:after="0" w:line="94" w:lineRule="exact"/>
        <w:rPr>
          <w:rFonts w:ascii="Arial" w:cs="Arial" w:eastAsia="Arial" w:hAnsi="Arial"/>
          <w:sz w:val="17"/>
          <w:szCs w:val="17"/>
          <w:color w:val="auto"/>
          <w:vertAlign w:val="superscript"/>
        </w:rPr>
      </w:pPr>
    </w:p>
    <w:p>
      <w:pPr>
        <w:jc w:val="both"/>
        <w:ind w:left="340" w:hanging="330"/>
        <w:spacing w:after="0" w:line="229"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The amounts shown in this column are the aggregate grant date fair values of equity awards granted each year, computed in accordance with the FASB ASC Topic 718. See note 11 to the consolidated financial statements included in our Annual Report on Form 10-K for the fiscal year ended December 31, 2019, for a discussion of the assumptions used in calculating these amounts. The amounts shown exclude the effect of estimated forfeitures, as required by SEC rules. The number of time-based restricted stock units and performance-based restricted stock units awarded in 2019, together with their grant date values, is disclosed in the Grants of Plan-Based Awards during 2019 on page </w:t>
      </w:r>
      <w:hyperlink w:anchor="page47">
        <w:r>
          <w:rPr>
            <w:rFonts w:ascii="Arial" w:cs="Arial" w:eastAsia="Arial" w:hAnsi="Arial"/>
            <w:sz w:val="14"/>
            <w:szCs w:val="14"/>
            <w:u w:val="single" w:color="auto"/>
            <w:color w:val="0000EE"/>
          </w:rPr>
          <w:t>43</w:t>
        </w:r>
      </w:hyperlink>
      <w:r>
        <w:rPr>
          <w:rFonts w:ascii="Arial" w:cs="Arial" w:eastAsia="Arial" w:hAnsi="Arial"/>
          <w:sz w:val="14"/>
          <w:szCs w:val="14"/>
          <w:color w:val="auto"/>
        </w:rPr>
        <w:t>. These amounts do not reflect actual compensation realized by the NEOs and are not a guarantee of the amount that the NEOs will receive from the long-term incentives. The actual compensation will be based on our common stock price at vesting and the performance level achieved with respect to the performance-based restricted stock units for the applicable performance period.The amounts shown in this column for 2019 reflect the values at the grant dates of Evergy time-based restricted stock units and Evergy performance-based restricted stock units based upon achieving the target level of performance, which was considered the probable outcome as of the grant date. For Mr. Bassham, Mr. Bryant and Ms. Humphrey, the amounts shown in this column for 2017 and 2018 reflect the values at the grant dates of Great Plains Energy performance share awards based upon achieving the target level of performance, which was considered the probable outcome as of the grant date. For Mr. Greenwood and Mr. Somma, the amounts shown in this column for 2017 and 2018 reflect the values at the grant dates of Westar Energy performance-based restricted stock units based upon accounting values of 99% and 100%, respectively, of the target level of performance, which were considered the probable outcomes as of the grant dates. The payout of performance-based equity, in both cases, can range from 0 percent to 200 percent of the target amount, depending upon performance. The following table shows the aggregate grant date fair value of 2019 performance-based equity assuming maximum levels of performance.</w:t>
      </w:r>
    </w:p>
    <w:p>
      <w:pPr>
        <w:spacing w:after="0" w:line="39" w:lineRule="exact"/>
        <w:rPr>
          <w:sz w:val="20"/>
          <w:szCs w:val="20"/>
          <w:color w:val="auto"/>
        </w:rPr>
      </w:pPr>
    </w:p>
    <w:tbl>
      <w:tblPr>
        <w:tblLayout w:type="fixed"/>
        <w:tblInd w:w="380" w:type="dxa"/>
        <w:tblCellMar>
          <w:top w:w="0" w:type="dxa"/>
          <w:left w:w="0" w:type="dxa"/>
          <w:bottom w:w="0" w:type="dxa"/>
          <w:right w:w="0" w:type="dxa"/>
        </w:tblCellMar>
      </w:tblPr>
      <w:tr>
        <w:trPr>
          <w:trHeight w:val="151"/>
        </w:trPr>
        <w:tc>
          <w:tcPr>
            <w:tcW w:w="4760" w:type="dxa"/>
            <w:vAlign w:val="bottom"/>
            <w:shd w:val="clear" w:color="auto" w:fill="307CC0"/>
          </w:tcPr>
          <w:p>
            <w:pPr>
              <w:spacing w:after="0"/>
              <w:rPr>
                <w:sz w:val="13"/>
                <w:szCs w:val="13"/>
                <w:color w:val="auto"/>
              </w:rPr>
            </w:pPr>
          </w:p>
        </w:tc>
        <w:tc>
          <w:tcPr>
            <w:tcW w:w="124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2017</w:t>
            </w:r>
          </w:p>
        </w:tc>
        <w:tc>
          <w:tcPr>
            <w:tcW w:w="1300" w:type="dxa"/>
            <w:vAlign w:val="bottom"/>
            <w:shd w:val="clear" w:color="auto" w:fill="307CC0"/>
          </w:tcPr>
          <w:p>
            <w:pPr>
              <w:spacing w:after="0"/>
              <w:rPr>
                <w:sz w:val="13"/>
                <w:szCs w:val="13"/>
                <w:color w:val="auto"/>
              </w:rPr>
            </w:pPr>
          </w:p>
        </w:tc>
        <w:tc>
          <w:tcPr>
            <w:tcW w:w="1280" w:type="dxa"/>
            <w:vAlign w:val="bottom"/>
            <w:shd w:val="clear" w:color="auto" w:fill="307CC0"/>
          </w:tcPr>
          <w:p>
            <w:pPr>
              <w:spacing w:after="0"/>
              <w:rPr>
                <w:sz w:val="13"/>
                <w:szCs w:val="13"/>
                <w:color w:val="auto"/>
              </w:rPr>
            </w:pPr>
          </w:p>
        </w:tc>
      </w:tr>
      <w:tr>
        <w:trPr>
          <w:trHeight w:val="142"/>
        </w:trPr>
        <w:tc>
          <w:tcPr>
            <w:tcW w:w="4760" w:type="dxa"/>
            <w:vAlign w:val="bottom"/>
            <w:shd w:val="clear" w:color="auto" w:fill="307CC0"/>
          </w:tcPr>
          <w:p>
            <w:pPr>
              <w:spacing w:after="0"/>
              <w:rPr>
                <w:sz w:val="12"/>
                <w:szCs w:val="12"/>
                <w:color w:val="auto"/>
              </w:rPr>
            </w:pPr>
          </w:p>
        </w:tc>
        <w:tc>
          <w:tcPr>
            <w:tcW w:w="12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performance-</w:t>
            </w:r>
          </w:p>
        </w:tc>
        <w:tc>
          <w:tcPr>
            <w:tcW w:w="130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2018</w:t>
            </w:r>
          </w:p>
        </w:tc>
        <w:tc>
          <w:tcPr>
            <w:tcW w:w="12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6"/>
              </w:rPr>
              <w:t>2019</w:t>
            </w:r>
          </w:p>
        </w:tc>
      </w:tr>
      <w:tr>
        <w:trPr>
          <w:trHeight w:val="142"/>
        </w:trPr>
        <w:tc>
          <w:tcPr>
            <w:tcW w:w="4760" w:type="dxa"/>
            <w:vAlign w:val="bottom"/>
            <w:shd w:val="clear" w:color="auto" w:fill="307CC0"/>
          </w:tcPr>
          <w:p>
            <w:pPr>
              <w:spacing w:after="0"/>
              <w:rPr>
                <w:sz w:val="12"/>
                <w:szCs w:val="12"/>
                <w:color w:val="auto"/>
              </w:rPr>
            </w:pPr>
          </w:p>
        </w:tc>
        <w:tc>
          <w:tcPr>
            <w:tcW w:w="12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based</w:t>
            </w:r>
          </w:p>
        </w:tc>
        <w:tc>
          <w:tcPr>
            <w:tcW w:w="130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7"/>
              </w:rPr>
              <w:t>performance-based</w:t>
            </w:r>
          </w:p>
        </w:tc>
        <w:tc>
          <w:tcPr>
            <w:tcW w:w="12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performance-based</w:t>
            </w:r>
          </w:p>
        </w:tc>
      </w:tr>
      <w:tr>
        <w:trPr>
          <w:trHeight w:val="185"/>
        </w:trPr>
        <w:tc>
          <w:tcPr>
            <w:tcW w:w="4760" w:type="dxa"/>
            <w:vAlign w:val="bottom"/>
            <w:shd w:val="clear" w:color="auto" w:fill="307CC0"/>
          </w:tcPr>
          <w:p>
            <w:pPr>
              <w:ind w:left="20"/>
              <w:spacing w:after="0"/>
              <w:rPr>
                <w:sz w:val="20"/>
                <w:szCs w:val="20"/>
                <w:color w:val="auto"/>
              </w:rPr>
            </w:pPr>
            <w:r>
              <w:rPr>
                <w:rFonts w:ascii="Arial" w:cs="Arial" w:eastAsia="Arial" w:hAnsi="Arial"/>
                <w:sz w:val="13"/>
                <w:szCs w:val="13"/>
                <w:b w:val="1"/>
                <w:bCs w:val="1"/>
                <w:color w:val="FFFFFF"/>
              </w:rPr>
              <w:t>Name</w:t>
            </w:r>
          </w:p>
        </w:tc>
        <w:tc>
          <w:tcPr>
            <w:tcW w:w="124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equity ($)</w:t>
            </w:r>
          </w:p>
        </w:tc>
        <w:tc>
          <w:tcPr>
            <w:tcW w:w="13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equity ($)</w:t>
            </w:r>
          </w:p>
        </w:tc>
        <w:tc>
          <w:tcPr>
            <w:tcW w:w="12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6"/>
              </w:rPr>
              <w:t>equity ($)</w:t>
            </w:r>
          </w:p>
        </w:tc>
      </w:tr>
      <w:tr>
        <w:trPr>
          <w:trHeight w:val="181"/>
        </w:trPr>
        <w:tc>
          <w:tcPr>
            <w:tcW w:w="476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Mr. Terry Bassham</w:t>
            </w:r>
          </w:p>
        </w:tc>
        <w:tc>
          <w:tcPr>
            <w:tcW w:w="12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3,853,732</w:t>
            </w:r>
          </w:p>
        </w:tc>
        <w:tc>
          <w:tcPr>
            <w:tcW w:w="1300" w:type="dxa"/>
            <w:vAlign w:val="bottom"/>
            <w:tcBorders>
              <w:bottom w:val="single" w:sz="8" w:color="307CC0"/>
            </w:tcBorders>
            <w:shd w:val="clear" w:color="auto" w:fill="CCEEFF"/>
          </w:tcPr>
          <w:p>
            <w:pPr>
              <w:jc w:val="right"/>
              <w:ind w:right="33"/>
              <w:spacing w:after="0"/>
              <w:rPr>
                <w:sz w:val="20"/>
                <w:szCs w:val="20"/>
                <w:color w:val="auto"/>
              </w:rPr>
            </w:pPr>
            <w:r>
              <w:rPr>
                <w:rFonts w:ascii="Arial" w:cs="Arial" w:eastAsia="Arial" w:hAnsi="Arial"/>
                <w:sz w:val="14"/>
                <w:szCs w:val="14"/>
                <w:color w:val="auto"/>
              </w:rPr>
              <w:t>3,647,324</w:t>
            </w:r>
          </w:p>
        </w:tc>
        <w:tc>
          <w:tcPr>
            <w:tcW w:w="1280" w:type="dxa"/>
            <w:vAlign w:val="bottom"/>
            <w:tcBorders>
              <w:bottom w:val="single" w:sz="8" w:color="307CC0"/>
            </w:tcBorders>
            <w:shd w:val="clear" w:color="auto" w:fill="CCEEFF"/>
          </w:tcPr>
          <w:p>
            <w:pPr>
              <w:jc w:val="right"/>
              <w:ind w:right="13"/>
              <w:spacing w:after="0"/>
              <w:rPr>
                <w:sz w:val="20"/>
                <w:szCs w:val="20"/>
                <w:color w:val="auto"/>
              </w:rPr>
            </w:pPr>
            <w:r>
              <w:rPr>
                <w:rFonts w:ascii="Arial" w:cs="Arial" w:eastAsia="Arial" w:hAnsi="Arial"/>
                <w:sz w:val="14"/>
                <w:szCs w:val="14"/>
                <w:color w:val="auto"/>
              </w:rPr>
              <w:t>3,749,282</w:t>
            </w:r>
          </w:p>
        </w:tc>
      </w:tr>
      <w:tr>
        <w:trPr>
          <w:trHeight w:val="174"/>
        </w:trPr>
        <w:tc>
          <w:tcPr>
            <w:tcW w:w="476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4"/>
                <w:szCs w:val="14"/>
                <w:color w:val="auto"/>
              </w:rPr>
              <w:t>Mr. Kevin E. Bryant</w:t>
            </w:r>
          </w:p>
        </w:tc>
        <w:tc>
          <w:tcPr>
            <w:tcW w:w="12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1,124,048</w:t>
            </w:r>
          </w:p>
        </w:tc>
        <w:tc>
          <w:tcPr>
            <w:tcW w:w="1300" w:type="dxa"/>
            <w:vAlign w:val="bottom"/>
            <w:tcBorders>
              <w:bottom w:val="single" w:sz="8" w:color="307CC0"/>
            </w:tcBorders>
            <w:shd w:val="clear" w:color="auto" w:fill="D6E7FF"/>
          </w:tcPr>
          <w:p>
            <w:pPr>
              <w:jc w:val="right"/>
              <w:ind w:right="33"/>
              <w:spacing w:after="0"/>
              <w:rPr>
                <w:sz w:val="20"/>
                <w:szCs w:val="20"/>
                <w:color w:val="auto"/>
              </w:rPr>
            </w:pPr>
            <w:r>
              <w:rPr>
                <w:rFonts w:ascii="Arial" w:cs="Arial" w:eastAsia="Arial" w:hAnsi="Arial"/>
                <w:sz w:val="14"/>
                <w:szCs w:val="14"/>
                <w:color w:val="auto"/>
              </w:rPr>
              <w:t>1,063,820</w:t>
            </w:r>
          </w:p>
        </w:tc>
        <w:tc>
          <w:tcPr>
            <w:tcW w:w="1280" w:type="dxa"/>
            <w:vAlign w:val="bottom"/>
            <w:tcBorders>
              <w:bottom w:val="single" w:sz="8" w:color="307CC0"/>
            </w:tcBorders>
            <w:shd w:val="clear" w:color="auto" w:fill="D6E7FF"/>
          </w:tcPr>
          <w:p>
            <w:pPr>
              <w:jc w:val="right"/>
              <w:ind w:right="13"/>
              <w:spacing w:after="0"/>
              <w:rPr>
                <w:sz w:val="20"/>
                <w:szCs w:val="20"/>
                <w:color w:val="auto"/>
              </w:rPr>
            </w:pPr>
            <w:r>
              <w:rPr>
                <w:rFonts w:ascii="Arial" w:cs="Arial" w:eastAsia="Arial" w:hAnsi="Arial"/>
                <w:sz w:val="14"/>
                <w:szCs w:val="14"/>
                <w:color w:val="auto"/>
              </w:rPr>
              <w:t>769,594</w:t>
            </w:r>
          </w:p>
        </w:tc>
      </w:tr>
      <w:tr>
        <w:trPr>
          <w:trHeight w:val="174"/>
        </w:trPr>
        <w:tc>
          <w:tcPr>
            <w:tcW w:w="476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Mr. Greg A. Greenwood</w:t>
            </w:r>
          </w:p>
        </w:tc>
        <w:tc>
          <w:tcPr>
            <w:tcW w:w="12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1,140,615</w:t>
            </w:r>
          </w:p>
        </w:tc>
        <w:tc>
          <w:tcPr>
            <w:tcW w:w="1300" w:type="dxa"/>
            <w:vAlign w:val="bottom"/>
            <w:tcBorders>
              <w:bottom w:val="single" w:sz="8" w:color="307CC0"/>
            </w:tcBorders>
            <w:shd w:val="clear" w:color="auto" w:fill="CCEEFF"/>
          </w:tcPr>
          <w:p>
            <w:pPr>
              <w:jc w:val="right"/>
              <w:ind w:right="33"/>
              <w:spacing w:after="0"/>
              <w:rPr>
                <w:sz w:val="20"/>
                <w:szCs w:val="20"/>
                <w:color w:val="auto"/>
              </w:rPr>
            </w:pPr>
            <w:r>
              <w:rPr>
                <w:rFonts w:ascii="Arial" w:cs="Arial" w:eastAsia="Arial" w:hAnsi="Arial"/>
                <w:sz w:val="14"/>
                <w:szCs w:val="14"/>
                <w:color w:val="auto"/>
              </w:rPr>
              <w:t>838,324</w:t>
            </w:r>
          </w:p>
        </w:tc>
        <w:tc>
          <w:tcPr>
            <w:tcW w:w="1280" w:type="dxa"/>
            <w:vAlign w:val="bottom"/>
            <w:tcBorders>
              <w:bottom w:val="single" w:sz="8" w:color="307CC0"/>
            </w:tcBorders>
            <w:shd w:val="clear" w:color="auto" w:fill="CCEEFF"/>
          </w:tcPr>
          <w:p>
            <w:pPr>
              <w:jc w:val="right"/>
              <w:ind w:right="13"/>
              <w:spacing w:after="0"/>
              <w:rPr>
                <w:sz w:val="20"/>
                <w:szCs w:val="20"/>
                <w:color w:val="auto"/>
              </w:rPr>
            </w:pPr>
            <w:r>
              <w:rPr>
                <w:rFonts w:ascii="Arial" w:cs="Arial" w:eastAsia="Arial" w:hAnsi="Arial"/>
                <w:sz w:val="14"/>
                <w:szCs w:val="14"/>
                <w:color w:val="auto"/>
              </w:rPr>
              <w:t>769,594</w:t>
            </w:r>
          </w:p>
        </w:tc>
      </w:tr>
      <w:tr>
        <w:trPr>
          <w:trHeight w:val="174"/>
        </w:trPr>
        <w:tc>
          <w:tcPr>
            <w:tcW w:w="476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4"/>
                <w:szCs w:val="14"/>
                <w:color w:val="auto"/>
              </w:rPr>
              <w:t>Mr. Anthony D. Somma</w:t>
            </w:r>
          </w:p>
        </w:tc>
        <w:tc>
          <w:tcPr>
            <w:tcW w:w="12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1,126,238</w:t>
            </w:r>
          </w:p>
        </w:tc>
        <w:tc>
          <w:tcPr>
            <w:tcW w:w="1300" w:type="dxa"/>
            <w:vAlign w:val="bottom"/>
            <w:tcBorders>
              <w:bottom w:val="single" w:sz="8" w:color="307CC0"/>
            </w:tcBorders>
            <w:shd w:val="clear" w:color="auto" w:fill="D6E7FF"/>
          </w:tcPr>
          <w:p>
            <w:pPr>
              <w:jc w:val="right"/>
              <w:ind w:right="33"/>
              <w:spacing w:after="0"/>
              <w:rPr>
                <w:sz w:val="20"/>
                <w:szCs w:val="20"/>
                <w:color w:val="auto"/>
              </w:rPr>
            </w:pPr>
            <w:r>
              <w:rPr>
                <w:rFonts w:ascii="Arial" w:cs="Arial" w:eastAsia="Arial" w:hAnsi="Arial"/>
                <w:sz w:val="14"/>
                <w:szCs w:val="14"/>
                <w:color w:val="auto"/>
              </w:rPr>
              <w:t>827,892</w:t>
            </w:r>
          </w:p>
        </w:tc>
        <w:tc>
          <w:tcPr>
            <w:tcW w:w="1280" w:type="dxa"/>
            <w:vAlign w:val="bottom"/>
            <w:tcBorders>
              <w:bottom w:val="single" w:sz="8" w:color="307CC0"/>
            </w:tcBorders>
            <w:shd w:val="clear" w:color="auto" w:fill="D6E7FF"/>
          </w:tcPr>
          <w:p>
            <w:pPr>
              <w:jc w:val="right"/>
              <w:ind w:right="13"/>
              <w:spacing w:after="0"/>
              <w:rPr>
                <w:sz w:val="20"/>
                <w:szCs w:val="20"/>
                <w:color w:val="auto"/>
              </w:rPr>
            </w:pPr>
            <w:r>
              <w:rPr>
                <w:rFonts w:ascii="Arial" w:cs="Arial" w:eastAsia="Arial" w:hAnsi="Arial"/>
                <w:sz w:val="14"/>
                <w:szCs w:val="14"/>
                <w:color w:val="auto"/>
              </w:rPr>
              <w:t>732,634</w:t>
            </w:r>
          </w:p>
        </w:tc>
      </w:tr>
      <w:tr>
        <w:trPr>
          <w:trHeight w:val="174"/>
        </w:trPr>
        <w:tc>
          <w:tcPr>
            <w:tcW w:w="476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Ms. Heather A. Humphrey</w:t>
            </w:r>
          </w:p>
        </w:tc>
        <w:tc>
          <w:tcPr>
            <w:tcW w:w="12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803,882</w:t>
            </w:r>
          </w:p>
        </w:tc>
        <w:tc>
          <w:tcPr>
            <w:tcW w:w="1300" w:type="dxa"/>
            <w:vAlign w:val="bottom"/>
            <w:tcBorders>
              <w:bottom w:val="single" w:sz="8" w:color="307CC0"/>
            </w:tcBorders>
            <w:shd w:val="clear" w:color="auto" w:fill="CCEEFF"/>
          </w:tcPr>
          <w:p>
            <w:pPr>
              <w:jc w:val="right"/>
              <w:ind w:right="33"/>
              <w:spacing w:after="0"/>
              <w:rPr>
                <w:sz w:val="20"/>
                <w:szCs w:val="20"/>
                <w:color w:val="auto"/>
              </w:rPr>
            </w:pPr>
            <w:r>
              <w:rPr>
                <w:rFonts w:ascii="Arial" w:cs="Arial" w:eastAsia="Arial" w:hAnsi="Arial"/>
                <w:sz w:val="14"/>
                <w:szCs w:val="14"/>
                <w:color w:val="auto"/>
              </w:rPr>
              <w:t>815,872</w:t>
            </w:r>
          </w:p>
        </w:tc>
        <w:tc>
          <w:tcPr>
            <w:tcW w:w="1280" w:type="dxa"/>
            <w:vAlign w:val="bottom"/>
            <w:tcBorders>
              <w:bottom w:val="single" w:sz="8" w:color="307CC0"/>
            </w:tcBorders>
            <w:shd w:val="clear" w:color="auto" w:fill="CCEEFF"/>
          </w:tcPr>
          <w:p>
            <w:pPr>
              <w:jc w:val="right"/>
              <w:ind w:right="13"/>
              <w:spacing w:after="0"/>
              <w:rPr>
                <w:sz w:val="20"/>
                <w:szCs w:val="20"/>
                <w:color w:val="auto"/>
              </w:rPr>
            </w:pPr>
            <w:r>
              <w:rPr>
                <w:rFonts w:ascii="Arial" w:cs="Arial" w:eastAsia="Arial" w:hAnsi="Arial"/>
                <w:sz w:val="14"/>
                <w:szCs w:val="14"/>
                <w:color w:val="auto"/>
              </w:rPr>
              <w:t>620,840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-622935</wp:posOffset>
            </wp:positionV>
            <wp:extent cx="5455920" cy="1231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55920" cy="1231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-376555</wp:posOffset>
            </wp:positionV>
            <wp:extent cx="5455920" cy="1231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55920" cy="1231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-130810</wp:posOffset>
            </wp:positionV>
            <wp:extent cx="5455920" cy="1231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55920" cy="123190"/>
                    </a:xfrm>
                    <a:prstGeom prst="rect">
                      <a:avLst/>
                    </a:prstGeom>
                    <a:noFill/>
                  </pic:spPr>
                </pic:pic>
              </a:graphicData>
            </a:graphic>
          </wp:anchor>
        </w:drawing>
      </w:r>
    </w:p>
    <w:p>
      <w:pPr>
        <w:spacing w:after="0" w:line="36" w:lineRule="exact"/>
        <w:rPr>
          <w:sz w:val="20"/>
          <w:szCs w:val="20"/>
          <w:color w:val="auto"/>
        </w:rPr>
      </w:pPr>
    </w:p>
    <w:p>
      <w:pPr>
        <w:jc w:val="both"/>
        <w:ind w:left="360"/>
        <w:spacing w:after="0" w:line="234" w:lineRule="auto"/>
        <w:rPr>
          <w:sz w:val="20"/>
          <w:szCs w:val="20"/>
          <w:color w:val="auto"/>
        </w:rPr>
      </w:pPr>
      <w:r>
        <w:rPr>
          <w:rFonts w:ascii="Arial" w:cs="Arial" w:eastAsia="Arial" w:hAnsi="Arial"/>
          <w:sz w:val="14"/>
          <w:szCs w:val="14"/>
          <w:color w:val="auto"/>
        </w:rPr>
        <w:t>For Mr. Bassham, Mr. Bryant and Ms. Humphrey, the 2018 amount includes the grant date fair values $983,833, $655,871 and $655,871, respectively, for time-based restricted stock incentive awards provided by Great Plains Energy prior to completion of the merger. Subject to the terms of the grant agreements, the restricted stock vests on June 5, 2020 and is forfeited if the recipient leaves Evergy for any reason prior to June 5, 2020. The grant date fair value, calculated in accordance with FASB ASC Topic 718 (excluding the effect of estimated forfeitures), was $53.77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808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45" w:name="page46"/>
    <w:bookmarkEnd w:id="45"/>
    <w:p>
      <w:pPr>
        <w:ind w:left="1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7" w:lineRule="exact"/>
        <w:rPr>
          <w:sz w:val="20"/>
          <w:szCs w:val="20"/>
          <w:color w:val="auto"/>
        </w:rPr>
      </w:pPr>
    </w:p>
    <w:p>
      <w:pPr>
        <w:jc w:val="both"/>
        <w:ind w:left="350"/>
        <w:spacing w:after="0" w:line="234" w:lineRule="auto"/>
        <w:rPr>
          <w:sz w:val="20"/>
          <w:szCs w:val="20"/>
          <w:color w:val="auto"/>
        </w:rPr>
      </w:pPr>
      <w:r>
        <w:rPr>
          <w:rFonts w:ascii="Arial" w:cs="Arial" w:eastAsia="Arial" w:hAnsi="Arial"/>
          <w:sz w:val="14"/>
          <w:szCs w:val="14"/>
          <w:color w:val="auto"/>
        </w:rPr>
        <w:t>share. For Mr. Greenwood and Mr. Somma, the 2018 amount includes the grant date fair values $998,471 and $898,706, respectively, for time-based restricted stock unit incentive awards provided by Westar Energy prior to completion of the merger. Subject to the terms of the grant agreements, the units vest in one-third increments on each of the first three anniversaries of the grant date (June 4, 2018), or earlier if the recipient’s employment is terminated without cause. The grant date fair value, calculated in accordance with FASB ASC Topic 718 (excluding the effect of estimated forfeitures), was $54.25 per share.</w:t>
      </w:r>
    </w:p>
    <w:p>
      <w:pPr>
        <w:spacing w:after="0" w:line="94" w:lineRule="exact"/>
        <w:rPr>
          <w:sz w:val="20"/>
          <w:szCs w:val="20"/>
          <w:color w:val="auto"/>
        </w:rPr>
      </w:pPr>
    </w:p>
    <w:p>
      <w:pPr>
        <w:jc w:val="both"/>
        <w:ind w:left="330" w:hanging="330"/>
        <w:spacing w:after="0" w:line="220" w:lineRule="auto"/>
        <w:tabs>
          <w:tab w:leader="none" w:pos="330" w:val="left"/>
        </w:tabs>
        <w:numPr>
          <w:ilvl w:val="0"/>
          <w:numId w:val="37"/>
        </w:numPr>
        <w:rPr>
          <w:rFonts w:ascii="Arial" w:cs="Arial" w:eastAsia="Arial" w:hAnsi="Arial"/>
          <w:sz w:val="17"/>
          <w:szCs w:val="17"/>
          <w:color w:val="auto"/>
          <w:vertAlign w:val="superscript"/>
        </w:rPr>
      </w:pPr>
      <w:r>
        <w:rPr>
          <w:rFonts w:ascii="Arial" w:cs="Arial" w:eastAsia="Arial" w:hAnsi="Arial"/>
          <w:sz w:val="14"/>
          <w:szCs w:val="14"/>
          <w:color w:val="auto"/>
        </w:rPr>
        <w:t>The amounts shown in this column are cash awards earned under the Evergy incentive plans that covered the second half of 2018 and 2019 and, as applicable, the Great Plains Energy incentive plans that covered 2017 and the first half of 2018. Westar Energy did not have a cash incentive plan for its officers for 2017 or the first half of 2018.</w:t>
      </w:r>
    </w:p>
    <w:p>
      <w:pPr>
        <w:spacing w:after="0" w:line="94" w:lineRule="exact"/>
        <w:rPr>
          <w:rFonts w:ascii="Arial" w:cs="Arial" w:eastAsia="Arial" w:hAnsi="Arial"/>
          <w:sz w:val="17"/>
          <w:szCs w:val="17"/>
          <w:color w:val="auto"/>
          <w:vertAlign w:val="superscript"/>
        </w:rPr>
      </w:pPr>
    </w:p>
    <w:p>
      <w:pPr>
        <w:jc w:val="both"/>
        <w:ind w:left="330" w:hanging="330"/>
        <w:spacing w:after="0" w:line="222" w:lineRule="auto"/>
        <w:tabs>
          <w:tab w:leader="none" w:pos="330" w:val="left"/>
        </w:tabs>
        <w:numPr>
          <w:ilvl w:val="0"/>
          <w:numId w:val="37"/>
        </w:numPr>
        <w:rPr>
          <w:rFonts w:ascii="Arial" w:cs="Arial" w:eastAsia="Arial" w:hAnsi="Arial"/>
          <w:sz w:val="17"/>
          <w:szCs w:val="17"/>
          <w:color w:val="auto"/>
          <w:vertAlign w:val="superscript"/>
        </w:rPr>
      </w:pPr>
      <w:r>
        <w:rPr>
          <w:rFonts w:ascii="Arial" w:cs="Arial" w:eastAsia="Arial" w:hAnsi="Arial"/>
          <w:sz w:val="14"/>
          <w:szCs w:val="14"/>
          <w:color w:val="auto"/>
        </w:rPr>
        <w:t>The amounts shown in this column include the aggregate of the increase in actuarial values of each of the officer’s benefits under our pension plans, KCP&amp;L SERP, Westar Restoration Plan and the above-market earnings on compensation that is deferred on a non-tax qualified basis. These values do not represent cash received by the NEOs in the indicated years. Year-over-year changes in pension value are driven in large part by changes in actuarial pension assumptions. Following are the amounts of these items attributable to each NEO for 2019:</w:t>
      </w:r>
    </w:p>
    <w:p>
      <w:pPr>
        <w:spacing w:after="0" w:line="40" w:lineRule="exact"/>
        <w:rPr>
          <w:sz w:val="20"/>
          <w:szCs w:val="20"/>
          <w:color w:val="auto"/>
        </w:rPr>
      </w:pPr>
    </w:p>
    <w:tbl>
      <w:tblPr>
        <w:tblLayout w:type="fixed"/>
        <w:tblInd w:w="370" w:type="dxa"/>
        <w:tblCellMar>
          <w:top w:w="0" w:type="dxa"/>
          <w:left w:w="0" w:type="dxa"/>
          <w:bottom w:w="0" w:type="dxa"/>
          <w:right w:w="0" w:type="dxa"/>
        </w:tblCellMar>
      </w:tblPr>
      <w:tr>
        <w:trPr>
          <w:trHeight w:val="151"/>
        </w:trPr>
        <w:tc>
          <w:tcPr>
            <w:tcW w:w="3320" w:type="dxa"/>
            <w:vAlign w:val="bottom"/>
            <w:shd w:val="clear" w:color="auto" w:fill="307CC0"/>
          </w:tcPr>
          <w:p>
            <w:pPr>
              <w:spacing w:after="0"/>
              <w:rPr>
                <w:sz w:val="13"/>
                <w:szCs w:val="13"/>
                <w:color w:val="auto"/>
              </w:rPr>
            </w:pPr>
          </w:p>
        </w:tc>
        <w:tc>
          <w:tcPr>
            <w:tcW w:w="1980" w:type="dxa"/>
            <w:vAlign w:val="bottom"/>
            <w:shd w:val="clear" w:color="auto" w:fill="307CC0"/>
          </w:tcPr>
          <w:p>
            <w:pPr>
              <w:spacing w:after="0"/>
              <w:rPr>
                <w:sz w:val="13"/>
                <w:szCs w:val="13"/>
                <w:color w:val="auto"/>
              </w:rPr>
            </w:pPr>
          </w:p>
        </w:tc>
        <w:tc>
          <w:tcPr>
            <w:tcW w:w="1660" w:type="dxa"/>
            <w:vAlign w:val="bottom"/>
            <w:shd w:val="clear" w:color="auto" w:fill="307CC0"/>
          </w:tcPr>
          <w:p>
            <w:pPr>
              <w:spacing w:after="0"/>
              <w:rPr>
                <w:sz w:val="13"/>
                <w:szCs w:val="13"/>
                <w:color w:val="auto"/>
              </w:rPr>
            </w:pPr>
          </w:p>
        </w:tc>
        <w:tc>
          <w:tcPr>
            <w:tcW w:w="16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7"/>
              </w:rPr>
              <w:t>Above-Market</w:t>
            </w:r>
          </w:p>
        </w:tc>
      </w:tr>
      <w:tr>
        <w:trPr>
          <w:trHeight w:val="142"/>
        </w:trPr>
        <w:tc>
          <w:tcPr>
            <w:tcW w:w="3320" w:type="dxa"/>
            <w:vAlign w:val="bottom"/>
            <w:shd w:val="clear" w:color="auto" w:fill="307CC0"/>
          </w:tcPr>
          <w:p>
            <w:pPr>
              <w:spacing w:after="0"/>
              <w:rPr>
                <w:sz w:val="12"/>
                <w:szCs w:val="12"/>
                <w:color w:val="auto"/>
              </w:rPr>
            </w:pPr>
          </w:p>
        </w:tc>
        <w:tc>
          <w:tcPr>
            <w:tcW w:w="1980" w:type="dxa"/>
            <w:vAlign w:val="bottom"/>
            <w:shd w:val="clear" w:color="auto" w:fill="307CC0"/>
          </w:tcPr>
          <w:p>
            <w:pPr>
              <w:spacing w:after="0"/>
              <w:rPr>
                <w:sz w:val="12"/>
                <w:szCs w:val="12"/>
                <w:color w:val="auto"/>
              </w:rPr>
            </w:pPr>
          </w:p>
        </w:tc>
        <w:tc>
          <w:tcPr>
            <w:tcW w:w="1660" w:type="dxa"/>
            <w:vAlign w:val="bottom"/>
            <w:shd w:val="clear" w:color="auto" w:fill="307CC0"/>
          </w:tcPr>
          <w:p>
            <w:pPr>
              <w:spacing w:after="0"/>
              <w:rPr>
                <w:sz w:val="12"/>
                <w:szCs w:val="12"/>
                <w:color w:val="auto"/>
              </w:rPr>
            </w:pPr>
          </w:p>
        </w:tc>
        <w:tc>
          <w:tcPr>
            <w:tcW w:w="162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Earnings on</w:t>
            </w:r>
          </w:p>
        </w:tc>
      </w:tr>
      <w:tr>
        <w:trPr>
          <w:trHeight w:val="142"/>
        </w:trPr>
        <w:tc>
          <w:tcPr>
            <w:tcW w:w="3320" w:type="dxa"/>
            <w:vAlign w:val="bottom"/>
            <w:shd w:val="clear" w:color="auto" w:fill="307CC0"/>
          </w:tcPr>
          <w:p>
            <w:pPr>
              <w:spacing w:after="0"/>
              <w:rPr>
                <w:sz w:val="12"/>
                <w:szCs w:val="12"/>
                <w:color w:val="auto"/>
              </w:rPr>
            </w:pPr>
          </w:p>
        </w:tc>
        <w:tc>
          <w:tcPr>
            <w:tcW w:w="1980" w:type="dxa"/>
            <w:vAlign w:val="bottom"/>
            <w:shd w:val="clear" w:color="auto" w:fill="307CC0"/>
          </w:tcPr>
          <w:p>
            <w:pPr>
              <w:jc w:val="center"/>
              <w:ind w:right="153"/>
              <w:spacing w:after="0" w:line="143" w:lineRule="exact"/>
              <w:rPr>
                <w:sz w:val="20"/>
                <w:szCs w:val="20"/>
                <w:color w:val="auto"/>
              </w:rPr>
            </w:pPr>
            <w:r>
              <w:rPr>
                <w:rFonts w:ascii="Arial" w:cs="Arial" w:eastAsia="Arial" w:hAnsi="Arial"/>
                <w:sz w:val="13"/>
                <w:szCs w:val="13"/>
                <w:b w:val="1"/>
                <w:bCs w:val="1"/>
                <w:color w:val="FFFFFF"/>
              </w:rPr>
              <w:t>Change in</w:t>
            </w:r>
          </w:p>
        </w:tc>
        <w:tc>
          <w:tcPr>
            <w:tcW w:w="1660" w:type="dxa"/>
            <w:vAlign w:val="bottom"/>
            <w:shd w:val="clear" w:color="auto" w:fill="307CC0"/>
          </w:tcPr>
          <w:p>
            <w:pPr>
              <w:jc w:val="center"/>
              <w:ind w:right="413"/>
              <w:spacing w:after="0" w:line="143" w:lineRule="exact"/>
              <w:rPr>
                <w:sz w:val="20"/>
                <w:szCs w:val="20"/>
                <w:color w:val="auto"/>
              </w:rPr>
            </w:pPr>
            <w:r>
              <w:rPr>
                <w:rFonts w:ascii="Arial" w:cs="Arial" w:eastAsia="Arial" w:hAnsi="Arial"/>
                <w:sz w:val="13"/>
                <w:szCs w:val="13"/>
                <w:b w:val="1"/>
                <w:bCs w:val="1"/>
                <w:color w:val="FFFFFF"/>
                <w:w w:val="98"/>
              </w:rPr>
              <w:t>Change in</w:t>
            </w:r>
          </w:p>
        </w:tc>
        <w:tc>
          <w:tcPr>
            <w:tcW w:w="162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7"/>
              </w:rPr>
              <w:t>Deferred</w:t>
            </w:r>
          </w:p>
        </w:tc>
      </w:tr>
      <w:tr>
        <w:trPr>
          <w:trHeight w:val="142"/>
        </w:trPr>
        <w:tc>
          <w:tcPr>
            <w:tcW w:w="3320" w:type="dxa"/>
            <w:vAlign w:val="bottom"/>
            <w:shd w:val="clear" w:color="auto" w:fill="307CC0"/>
          </w:tcPr>
          <w:p>
            <w:pPr>
              <w:spacing w:after="0"/>
              <w:rPr>
                <w:sz w:val="12"/>
                <w:szCs w:val="12"/>
                <w:color w:val="auto"/>
              </w:rPr>
            </w:pPr>
          </w:p>
        </w:tc>
        <w:tc>
          <w:tcPr>
            <w:tcW w:w="1980" w:type="dxa"/>
            <w:vAlign w:val="bottom"/>
            <w:shd w:val="clear" w:color="auto" w:fill="307CC0"/>
          </w:tcPr>
          <w:p>
            <w:pPr>
              <w:jc w:val="center"/>
              <w:ind w:right="153"/>
              <w:spacing w:after="0" w:line="143" w:lineRule="exact"/>
              <w:rPr>
                <w:sz w:val="20"/>
                <w:szCs w:val="20"/>
                <w:color w:val="auto"/>
              </w:rPr>
            </w:pPr>
            <w:r>
              <w:rPr>
                <w:rFonts w:ascii="Arial" w:cs="Arial" w:eastAsia="Arial" w:hAnsi="Arial"/>
                <w:sz w:val="13"/>
                <w:szCs w:val="13"/>
                <w:b w:val="1"/>
                <w:bCs w:val="1"/>
                <w:color w:val="FFFFFF"/>
                <w:w w:val="98"/>
              </w:rPr>
              <w:t>Pension Value</w:t>
            </w:r>
          </w:p>
        </w:tc>
        <w:tc>
          <w:tcPr>
            <w:tcW w:w="1660" w:type="dxa"/>
            <w:vAlign w:val="bottom"/>
            <w:shd w:val="clear" w:color="auto" w:fill="307CC0"/>
          </w:tcPr>
          <w:p>
            <w:pPr>
              <w:jc w:val="center"/>
              <w:ind w:right="413"/>
              <w:spacing w:after="0" w:line="143" w:lineRule="exact"/>
              <w:rPr>
                <w:sz w:val="20"/>
                <w:szCs w:val="20"/>
                <w:color w:val="auto"/>
              </w:rPr>
            </w:pPr>
            <w:r>
              <w:rPr>
                <w:rFonts w:ascii="Arial" w:cs="Arial" w:eastAsia="Arial" w:hAnsi="Arial"/>
                <w:sz w:val="13"/>
                <w:szCs w:val="13"/>
                <w:b w:val="1"/>
                <w:bCs w:val="1"/>
                <w:color w:val="FFFFFF"/>
                <w:w w:val="95"/>
              </w:rPr>
              <w:t>SERP</w:t>
            </w:r>
          </w:p>
        </w:tc>
        <w:tc>
          <w:tcPr>
            <w:tcW w:w="1620" w:type="dxa"/>
            <w:vAlign w:val="bottom"/>
            <w:shd w:val="clear" w:color="auto" w:fill="307CC0"/>
          </w:tcPr>
          <w:p>
            <w:pPr>
              <w:jc w:val="center"/>
              <w:ind w:right="13"/>
              <w:spacing w:after="0" w:line="143" w:lineRule="exact"/>
              <w:rPr>
                <w:sz w:val="20"/>
                <w:szCs w:val="20"/>
                <w:color w:val="auto"/>
              </w:rPr>
            </w:pPr>
            <w:r>
              <w:rPr>
                <w:rFonts w:ascii="Arial" w:cs="Arial" w:eastAsia="Arial" w:hAnsi="Arial"/>
                <w:sz w:val="13"/>
                <w:szCs w:val="13"/>
                <w:b w:val="1"/>
                <w:bCs w:val="1"/>
                <w:color w:val="FFFFFF"/>
                <w:w w:val="99"/>
              </w:rPr>
              <w:t>Compensation</w:t>
            </w:r>
          </w:p>
        </w:tc>
      </w:tr>
      <w:tr>
        <w:trPr>
          <w:trHeight w:val="185"/>
        </w:trPr>
        <w:tc>
          <w:tcPr>
            <w:tcW w:w="3320" w:type="dxa"/>
            <w:vAlign w:val="bottom"/>
            <w:shd w:val="clear" w:color="auto" w:fill="307CC0"/>
          </w:tcPr>
          <w:p>
            <w:pPr>
              <w:spacing w:after="0"/>
              <w:rPr>
                <w:sz w:val="16"/>
                <w:szCs w:val="16"/>
                <w:color w:val="auto"/>
              </w:rPr>
            </w:pPr>
          </w:p>
        </w:tc>
        <w:tc>
          <w:tcPr>
            <w:tcW w:w="1980" w:type="dxa"/>
            <w:vAlign w:val="bottom"/>
            <w:shd w:val="clear" w:color="auto" w:fill="307CC0"/>
          </w:tcPr>
          <w:p>
            <w:pPr>
              <w:jc w:val="center"/>
              <w:ind w:right="153"/>
              <w:spacing w:after="0"/>
              <w:rPr>
                <w:sz w:val="20"/>
                <w:szCs w:val="20"/>
                <w:color w:val="auto"/>
              </w:rPr>
            </w:pPr>
            <w:r>
              <w:rPr>
                <w:rFonts w:ascii="Arial" w:cs="Arial" w:eastAsia="Arial" w:hAnsi="Arial"/>
                <w:sz w:val="13"/>
                <w:szCs w:val="13"/>
                <w:b w:val="1"/>
                <w:bCs w:val="1"/>
                <w:color w:val="FFFFFF"/>
              </w:rPr>
              <w:t>($)</w:t>
            </w:r>
          </w:p>
        </w:tc>
        <w:tc>
          <w:tcPr>
            <w:tcW w:w="1660" w:type="dxa"/>
            <w:vAlign w:val="bottom"/>
            <w:shd w:val="clear" w:color="auto" w:fill="307CC0"/>
          </w:tcPr>
          <w:p>
            <w:pPr>
              <w:jc w:val="center"/>
              <w:ind w:right="433"/>
              <w:spacing w:after="0"/>
              <w:rPr>
                <w:sz w:val="20"/>
                <w:szCs w:val="20"/>
                <w:color w:val="auto"/>
              </w:rPr>
            </w:pPr>
            <w:r>
              <w:rPr>
                <w:rFonts w:ascii="Arial" w:cs="Arial" w:eastAsia="Arial" w:hAnsi="Arial"/>
                <w:sz w:val="13"/>
                <w:szCs w:val="13"/>
                <w:b w:val="1"/>
                <w:bCs w:val="1"/>
                <w:color w:val="FFFFFF"/>
              </w:rPr>
              <w:t>($)</w:t>
            </w:r>
          </w:p>
        </w:tc>
        <w:tc>
          <w:tcPr>
            <w:tcW w:w="16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r>
      <w:tr>
        <w:trPr>
          <w:trHeight w:val="181"/>
        </w:trPr>
        <w:tc>
          <w:tcPr>
            <w:tcW w:w="33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Mr. Bassham</w:t>
            </w:r>
          </w:p>
        </w:tc>
        <w:tc>
          <w:tcPr>
            <w:tcW w:w="1980" w:type="dxa"/>
            <w:vAlign w:val="bottom"/>
            <w:tcBorders>
              <w:bottom w:val="single" w:sz="8" w:color="307CC0"/>
            </w:tcBorders>
            <w:shd w:val="clear" w:color="auto" w:fill="CCEEFF"/>
          </w:tcPr>
          <w:p>
            <w:pPr>
              <w:jc w:val="right"/>
              <w:ind w:right="233"/>
              <w:spacing w:after="0"/>
              <w:rPr>
                <w:sz w:val="20"/>
                <w:szCs w:val="20"/>
                <w:color w:val="auto"/>
              </w:rPr>
            </w:pPr>
            <w:r>
              <w:rPr>
                <w:rFonts w:ascii="Arial" w:cs="Arial" w:eastAsia="Arial" w:hAnsi="Arial"/>
                <w:sz w:val="14"/>
                <w:szCs w:val="14"/>
                <w:color w:val="auto"/>
              </w:rPr>
              <w:t>129,823</w:t>
            </w:r>
          </w:p>
        </w:tc>
        <w:tc>
          <w:tcPr>
            <w:tcW w:w="1660" w:type="dxa"/>
            <w:vAlign w:val="bottom"/>
            <w:tcBorders>
              <w:bottom w:val="single" w:sz="8" w:color="307CC0"/>
            </w:tcBorders>
            <w:shd w:val="clear" w:color="auto" w:fill="CCEEFF"/>
          </w:tcPr>
          <w:p>
            <w:pPr>
              <w:jc w:val="right"/>
              <w:ind w:right="273"/>
              <w:spacing w:after="0"/>
              <w:rPr>
                <w:sz w:val="20"/>
                <w:szCs w:val="20"/>
                <w:color w:val="auto"/>
              </w:rPr>
            </w:pPr>
            <w:r>
              <w:rPr>
                <w:rFonts w:ascii="Arial" w:cs="Arial" w:eastAsia="Arial" w:hAnsi="Arial"/>
                <w:sz w:val="14"/>
                <w:szCs w:val="14"/>
                <w:color w:val="auto"/>
              </w:rPr>
              <w:t>557,604</w:t>
            </w:r>
          </w:p>
        </w:tc>
        <w:tc>
          <w:tcPr>
            <w:tcW w:w="1620" w:type="dxa"/>
            <w:vAlign w:val="bottom"/>
            <w:tcBorders>
              <w:bottom w:val="single" w:sz="8" w:color="307CC0"/>
            </w:tcBorders>
            <w:shd w:val="clear" w:color="auto" w:fill="CCEEFF"/>
          </w:tcPr>
          <w:p>
            <w:pPr>
              <w:jc w:val="right"/>
              <w:ind w:right="13"/>
              <w:spacing w:after="0"/>
              <w:rPr>
                <w:sz w:val="20"/>
                <w:szCs w:val="20"/>
                <w:color w:val="auto"/>
              </w:rPr>
            </w:pPr>
            <w:r>
              <w:rPr>
                <w:rFonts w:ascii="Arial" w:cs="Arial" w:eastAsia="Arial" w:hAnsi="Arial"/>
                <w:sz w:val="14"/>
                <w:szCs w:val="14"/>
                <w:color w:val="auto"/>
              </w:rPr>
              <w:t>62,625</w:t>
            </w:r>
          </w:p>
        </w:tc>
      </w:tr>
      <w:tr>
        <w:trPr>
          <w:trHeight w:val="174"/>
        </w:trPr>
        <w:tc>
          <w:tcPr>
            <w:tcW w:w="332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4"/>
                <w:szCs w:val="14"/>
                <w:color w:val="auto"/>
              </w:rPr>
              <w:t>Mr. Bryant</w:t>
            </w:r>
          </w:p>
        </w:tc>
        <w:tc>
          <w:tcPr>
            <w:tcW w:w="1980" w:type="dxa"/>
            <w:vAlign w:val="bottom"/>
            <w:tcBorders>
              <w:bottom w:val="single" w:sz="8" w:color="307CC0"/>
            </w:tcBorders>
            <w:shd w:val="clear" w:color="auto" w:fill="D6E7FF"/>
          </w:tcPr>
          <w:p>
            <w:pPr>
              <w:jc w:val="right"/>
              <w:ind w:right="233"/>
              <w:spacing w:after="0"/>
              <w:rPr>
                <w:sz w:val="20"/>
                <w:szCs w:val="20"/>
                <w:color w:val="auto"/>
              </w:rPr>
            </w:pPr>
            <w:r>
              <w:rPr>
                <w:rFonts w:ascii="Arial" w:cs="Arial" w:eastAsia="Arial" w:hAnsi="Arial"/>
                <w:sz w:val="14"/>
                <w:szCs w:val="14"/>
                <w:color w:val="auto"/>
              </w:rPr>
              <w:t>123,760</w:t>
            </w:r>
          </w:p>
        </w:tc>
        <w:tc>
          <w:tcPr>
            <w:tcW w:w="1660" w:type="dxa"/>
            <w:vAlign w:val="bottom"/>
            <w:tcBorders>
              <w:bottom w:val="single" w:sz="8" w:color="307CC0"/>
            </w:tcBorders>
            <w:shd w:val="clear" w:color="auto" w:fill="D6E7FF"/>
          </w:tcPr>
          <w:p>
            <w:pPr>
              <w:jc w:val="right"/>
              <w:ind w:right="273"/>
              <w:spacing w:after="0"/>
              <w:rPr>
                <w:sz w:val="20"/>
                <w:szCs w:val="20"/>
                <w:color w:val="auto"/>
              </w:rPr>
            </w:pPr>
            <w:r>
              <w:rPr>
                <w:rFonts w:ascii="Arial" w:cs="Arial" w:eastAsia="Arial" w:hAnsi="Arial"/>
                <w:sz w:val="14"/>
                <w:szCs w:val="14"/>
                <w:color w:val="auto"/>
              </w:rPr>
              <w:t>237,628</w:t>
            </w:r>
          </w:p>
        </w:tc>
        <w:tc>
          <w:tcPr>
            <w:tcW w:w="1620" w:type="dxa"/>
            <w:vAlign w:val="bottom"/>
            <w:tcBorders>
              <w:bottom w:val="single" w:sz="8" w:color="307CC0"/>
            </w:tcBorders>
            <w:shd w:val="clear" w:color="auto" w:fill="D6E7FF"/>
          </w:tcPr>
          <w:p>
            <w:pPr>
              <w:jc w:val="right"/>
              <w:ind w:right="13"/>
              <w:spacing w:after="0"/>
              <w:rPr>
                <w:sz w:val="20"/>
                <w:szCs w:val="20"/>
                <w:color w:val="auto"/>
              </w:rPr>
            </w:pPr>
            <w:r>
              <w:rPr>
                <w:rFonts w:ascii="Arial" w:cs="Arial" w:eastAsia="Arial" w:hAnsi="Arial"/>
                <w:sz w:val="14"/>
                <w:szCs w:val="14"/>
                <w:color w:val="auto"/>
              </w:rPr>
              <w:t>4,186</w:t>
            </w:r>
          </w:p>
        </w:tc>
      </w:tr>
      <w:tr>
        <w:trPr>
          <w:trHeight w:val="174"/>
        </w:trPr>
        <w:tc>
          <w:tcPr>
            <w:tcW w:w="33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Mr. Greenwood</w:t>
            </w:r>
          </w:p>
        </w:tc>
        <w:tc>
          <w:tcPr>
            <w:tcW w:w="1980" w:type="dxa"/>
            <w:vAlign w:val="bottom"/>
            <w:tcBorders>
              <w:bottom w:val="single" w:sz="8" w:color="307CC0"/>
            </w:tcBorders>
            <w:shd w:val="clear" w:color="auto" w:fill="CCEEFF"/>
          </w:tcPr>
          <w:p>
            <w:pPr>
              <w:jc w:val="right"/>
              <w:ind w:right="233"/>
              <w:spacing w:after="0"/>
              <w:rPr>
                <w:sz w:val="20"/>
                <w:szCs w:val="20"/>
                <w:color w:val="auto"/>
              </w:rPr>
            </w:pPr>
            <w:r>
              <w:rPr>
                <w:rFonts w:ascii="Arial" w:cs="Arial" w:eastAsia="Arial" w:hAnsi="Arial"/>
                <w:sz w:val="14"/>
                <w:szCs w:val="14"/>
                <w:color w:val="auto"/>
              </w:rPr>
              <w:t>253,697</w:t>
            </w:r>
          </w:p>
        </w:tc>
        <w:tc>
          <w:tcPr>
            <w:tcW w:w="1660" w:type="dxa"/>
            <w:vAlign w:val="bottom"/>
            <w:tcBorders>
              <w:bottom w:val="single" w:sz="8" w:color="307CC0"/>
            </w:tcBorders>
            <w:shd w:val="clear" w:color="auto" w:fill="CCEEFF"/>
          </w:tcPr>
          <w:p>
            <w:pPr>
              <w:jc w:val="right"/>
              <w:ind w:right="273"/>
              <w:spacing w:after="0"/>
              <w:rPr>
                <w:sz w:val="20"/>
                <w:szCs w:val="20"/>
                <w:color w:val="auto"/>
              </w:rPr>
            </w:pPr>
            <w:r>
              <w:rPr>
                <w:rFonts w:ascii="Arial" w:cs="Arial" w:eastAsia="Arial" w:hAnsi="Arial"/>
                <w:sz w:val="14"/>
                <w:szCs w:val="14"/>
                <w:color w:val="auto"/>
              </w:rPr>
              <w:t>286,766</w:t>
            </w:r>
          </w:p>
        </w:tc>
        <w:tc>
          <w:tcPr>
            <w:tcW w:w="1620" w:type="dxa"/>
            <w:vAlign w:val="bottom"/>
            <w:tcBorders>
              <w:bottom w:val="single" w:sz="8" w:color="307CC0"/>
            </w:tcBorders>
            <w:shd w:val="clear" w:color="auto" w:fill="CCEEFF"/>
          </w:tcPr>
          <w:p>
            <w:pPr>
              <w:jc w:val="right"/>
              <w:ind w:right="13"/>
              <w:spacing w:after="0"/>
              <w:rPr>
                <w:sz w:val="20"/>
                <w:szCs w:val="20"/>
                <w:color w:val="auto"/>
              </w:rPr>
            </w:pPr>
            <w:r>
              <w:rPr>
                <w:rFonts w:ascii="Arial" w:cs="Arial" w:eastAsia="Arial" w:hAnsi="Arial"/>
                <w:sz w:val="14"/>
                <w:szCs w:val="14"/>
                <w:color w:val="auto"/>
              </w:rPr>
              <w:t>1,207</w:t>
            </w:r>
          </w:p>
        </w:tc>
      </w:tr>
      <w:tr>
        <w:trPr>
          <w:trHeight w:val="174"/>
        </w:trPr>
        <w:tc>
          <w:tcPr>
            <w:tcW w:w="332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4"/>
                <w:szCs w:val="14"/>
                <w:color w:val="auto"/>
              </w:rPr>
              <w:t>Mr. Somma</w:t>
            </w:r>
          </w:p>
        </w:tc>
        <w:tc>
          <w:tcPr>
            <w:tcW w:w="1980" w:type="dxa"/>
            <w:vAlign w:val="bottom"/>
            <w:tcBorders>
              <w:bottom w:val="single" w:sz="8" w:color="307CC0"/>
            </w:tcBorders>
            <w:shd w:val="clear" w:color="auto" w:fill="D6E7FF"/>
          </w:tcPr>
          <w:p>
            <w:pPr>
              <w:jc w:val="right"/>
              <w:ind w:right="233"/>
              <w:spacing w:after="0"/>
              <w:rPr>
                <w:sz w:val="20"/>
                <w:szCs w:val="20"/>
                <w:color w:val="auto"/>
              </w:rPr>
            </w:pPr>
            <w:r>
              <w:rPr>
                <w:rFonts w:ascii="Arial" w:cs="Arial" w:eastAsia="Arial" w:hAnsi="Arial"/>
                <w:sz w:val="14"/>
                <w:szCs w:val="14"/>
                <w:color w:val="auto"/>
              </w:rPr>
              <w:t>210,949</w:t>
            </w:r>
          </w:p>
        </w:tc>
        <w:tc>
          <w:tcPr>
            <w:tcW w:w="1660" w:type="dxa"/>
            <w:vAlign w:val="bottom"/>
            <w:tcBorders>
              <w:bottom w:val="single" w:sz="8" w:color="307CC0"/>
            </w:tcBorders>
            <w:shd w:val="clear" w:color="auto" w:fill="D6E7FF"/>
          </w:tcPr>
          <w:p>
            <w:pPr>
              <w:jc w:val="right"/>
              <w:ind w:right="273"/>
              <w:spacing w:after="0"/>
              <w:rPr>
                <w:sz w:val="20"/>
                <w:szCs w:val="20"/>
                <w:color w:val="auto"/>
              </w:rPr>
            </w:pPr>
            <w:r>
              <w:rPr>
                <w:rFonts w:ascii="Arial" w:cs="Arial" w:eastAsia="Arial" w:hAnsi="Arial"/>
                <w:sz w:val="14"/>
                <w:szCs w:val="14"/>
                <w:color w:val="auto"/>
              </w:rPr>
              <w:t>213,641</w:t>
            </w:r>
          </w:p>
        </w:tc>
        <w:tc>
          <w:tcPr>
            <w:tcW w:w="1620" w:type="dxa"/>
            <w:vAlign w:val="bottom"/>
            <w:tcBorders>
              <w:bottom w:val="single" w:sz="8" w:color="307CC0"/>
            </w:tcBorders>
            <w:shd w:val="clear" w:color="auto" w:fill="D6E7FF"/>
          </w:tcPr>
          <w:p>
            <w:pPr>
              <w:jc w:val="right"/>
              <w:ind w:right="13"/>
              <w:spacing w:after="0"/>
              <w:rPr>
                <w:sz w:val="20"/>
                <w:szCs w:val="20"/>
                <w:color w:val="auto"/>
              </w:rPr>
            </w:pPr>
            <w:r>
              <w:rPr>
                <w:rFonts w:ascii="Arial" w:cs="Arial" w:eastAsia="Arial" w:hAnsi="Arial"/>
                <w:sz w:val="14"/>
                <w:szCs w:val="14"/>
                <w:color w:val="auto"/>
              </w:rPr>
              <w:t>491</w:t>
            </w:r>
          </w:p>
        </w:tc>
      </w:tr>
      <w:tr>
        <w:trPr>
          <w:trHeight w:val="174"/>
        </w:trPr>
        <w:tc>
          <w:tcPr>
            <w:tcW w:w="332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Ms. Humphrey</w:t>
            </w:r>
          </w:p>
        </w:tc>
        <w:tc>
          <w:tcPr>
            <w:tcW w:w="1980" w:type="dxa"/>
            <w:vAlign w:val="bottom"/>
            <w:tcBorders>
              <w:bottom w:val="single" w:sz="8" w:color="307CC0"/>
            </w:tcBorders>
            <w:shd w:val="clear" w:color="auto" w:fill="CCEEFF"/>
          </w:tcPr>
          <w:p>
            <w:pPr>
              <w:jc w:val="right"/>
              <w:ind w:right="233"/>
              <w:spacing w:after="0"/>
              <w:rPr>
                <w:sz w:val="20"/>
                <w:szCs w:val="20"/>
                <w:color w:val="auto"/>
              </w:rPr>
            </w:pPr>
            <w:r>
              <w:rPr>
                <w:rFonts w:ascii="Arial" w:cs="Arial" w:eastAsia="Arial" w:hAnsi="Arial"/>
                <w:sz w:val="14"/>
                <w:szCs w:val="14"/>
                <w:color w:val="auto"/>
              </w:rPr>
              <w:t>109,179</w:t>
            </w:r>
          </w:p>
        </w:tc>
        <w:tc>
          <w:tcPr>
            <w:tcW w:w="1660" w:type="dxa"/>
            <w:vAlign w:val="bottom"/>
            <w:tcBorders>
              <w:bottom w:val="single" w:sz="8" w:color="307CC0"/>
            </w:tcBorders>
            <w:shd w:val="clear" w:color="auto" w:fill="CCEEFF"/>
          </w:tcPr>
          <w:p>
            <w:pPr>
              <w:jc w:val="right"/>
              <w:ind w:right="273"/>
              <w:spacing w:after="0"/>
              <w:rPr>
                <w:sz w:val="20"/>
                <w:szCs w:val="20"/>
                <w:color w:val="auto"/>
              </w:rPr>
            </w:pPr>
            <w:r>
              <w:rPr>
                <w:rFonts w:ascii="Arial" w:cs="Arial" w:eastAsia="Arial" w:hAnsi="Arial"/>
                <w:sz w:val="14"/>
                <w:szCs w:val="14"/>
                <w:color w:val="auto"/>
              </w:rPr>
              <w:t>175,596</w:t>
            </w:r>
          </w:p>
        </w:tc>
        <w:tc>
          <w:tcPr>
            <w:tcW w:w="1620" w:type="dxa"/>
            <w:vAlign w:val="bottom"/>
            <w:tcBorders>
              <w:bottom w:val="single" w:sz="8" w:color="307CC0"/>
            </w:tcBorders>
            <w:shd w:val="clear" w:color="auto" w:fill="CCEEFF"/>
          </w:tcPr>
          <w:p>
            <w:pPr>
              <w:jc w:val="right"/>
              <w:ind w:right="13"/>
              <w:spacing w:after="0"/>
              <w:rPr>
                <w:sz w:val="20"/>
                <w:szCs w:val="20"/>
                <w:color w:val="auto"/>
              </w:rPr>
            </w:pPr>
            <w:r>
              <w:rPr>
                <w:rFonts w:ascii="Arial" w:cs="Arial" w:eastAsia="Arial" w:hAnsi="Arial"/>
                <w:sz w:val="14"/>
                <w:szCs w:val="14"/>
                <w:color w:val="auto"/>
              </w:rPr>
              <w:t>10,387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-622935</wp:posOffset>
            </wp:positionV>
            <wp:extent cx="5455920" cy="1231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55920" cy="123190"/>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-376555</wp:posOffset>
            </wp:positionV>
            <wp:extent cx="5455920" cy="123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55920" cy="123190"/>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-130810</wp:posOffset>
            </wp:positionV>
            <wp:extent cx="5455920" cy="1231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55920" cy="123190"/>
                    </a:xfrm>
                    <a:prstGeom prst="rect">
                      <a:avLst/>
                    </a:prstGeom>
                    <a:noFill/>
                  </pic:spPr>
                </pic:pic>
              </a:graphicData>
            </a:graphic>
          </wp:anchor>
        </w:drawing>
      </w:r>
    </w:p>
    <w:p>
      <w:pPr>
        <w:spacing w:after="0" w:line="88" w:lineRule="exact"/>
        <w:rPr>
          <w:sz w:val="20"/>
          <w:szCs w:val="20"/>
          <w:color w:val="auto"/>
        </w:rPr>
      </w:pPr>
    </w:p>
    <w:p>
      <w:pPr>
        <w:jc w:val="both"/>
        <w:ind w:left="330" w:hanging="330"/>
        <w:spacing w:after="0" w:line="224" w:lineRule="auto"/>
        <w:tabs>
          <w:tab w:leader="none" w:pos="330" w:val="left"/>
        </w:tabs>
        <w:numPr>
          <w:ilvl w:val="0"/>
          <w:numId w:val="38"/>
        </w:numPr>
        <w:rPr>
          <w:rFonts w:ascii="Arial" w:cs="Arial" w:eastAsia="Arial" w:hAnsi="Arial"/>
          <w:sz w:val="17"/>
          <w:szCs w:val="17"/>
          <w:color w:val="auto"/>
          <w:vertAlign w:val="superscript"/>
        </w:rPr>
      </w:pPr>
      <w:r>
        <w:rPr>
          <w:rFonts w:ascii="Arial" w:cs="Arial" w:eastAsia="Arial" w:hAnsi="Arial"/>
          <w:sz w:val="14"/>
          <w:szCs w:val="14"/>
          <w:color w:val="auto"/>
        </w:rPr>
        <w:t>These amounts include the value of perquisites and personal benefits that are not available on a non-discriminatory basis to all employees, as well as other compensation items discussed in this footnote. The amounts in this column consist of, as applicable for each NEO: (A) employer match of employee contributions to our 401(k) plans; (B) employer match of compensation deferred under our DCP; (C) health savings account and health and welfare plan benefits; (D) executive financial planning services; (E) parking, (F) matched charitable donations and (G) executive health physicals. All amounts shown are in dollars.</w:t>
      </w:r>
    </w:p>
    <w:p>
      <w:pPr>
        <w:spacing w:after="0" w:line="39" w:lineRule="exact"/>
        <w:rPr>
          <w:sz w:val="20"/>
          <w:szCs w:val="20"/>
          <w:color w:val="auto"/>
        </w:rPr>
      </w:pPr>
    </w:p>
    <w:tbl>
      <w:tblPr>
        <w:tblLayout w:type="fixed"/>
        <w:tblInd w:w="370" w:type="dxa"/>
        <w:tblCellMar>
          <w:top w:w="0" w:type="dxa"/>
          <w:left w:w="0" w:type="dxa"/>
          <w:bottom w:w="0" w:type="dxa"/>
          <w:right w:w="0" w:type="dxa"/>
        </w:tblCellMar>
      </w:tblPr>
      <w:tr>
        <w:trPr>
          <w:trHeight w:val="194"/>
        </w:trPr>
        <w:tc>
          <w:tcPr>
            <w:tcW w:w="3280" w:type="dxa"/>
            <w:vAlign w:val="bottom"/>
            <w:shd w:val="clear" w:color="auto" w:fill="307CC0"/>
          </w:tcPr>
          <w:p>
            <w:pPr>
              <w:ind w:left="20"/>
              <w:spacing w:after="0"/>
              <w:rPr>
                <w:sz w:val="20"/>
                <w:szCs w:val="20"/>
                <w:color w:val="auto"/>
              </w:rPr>
            </w:pPr>
            <w:r>
              <w:rPr>
                <w:rFonts w:ascii="Arial" w:cs="Arial" w:eastAsia="Arial" w:hAnsi="Arial"/>
                <w:sz w:val="13"/>
                <w:szCs w:val="13"/>
                <w:b w:val="1"/>
                <w:bCs w:val="1"/>
                <w:color w:val="FFFFFF"/>
              </w:rPr>
              <w:t>Name</w:t>
            </w:r>
          </w:p>
        </w:tc>
        <w:tc>
          <w:tcPr>
            <w:tcW w:w="740" w:type="dxa"/>
            <w:vAlign w:val="bottom"/>
            <w:shd w:val="clear" w:color="auto" w:fill="307CC0"/>
          </w:tcPr>
          <w:p>
            <w:pPr>
              <w:jc w:val="right"/>
              <w:ind w:right="232"/>
              <w:spacing w:after="0"/>
              <w:rPr>
                <w:sz w:val="20"/>
                <w:szCs w:val="20"/>
                <w:color w:val="auto"/>
              </w:rPr>
            </w:pPr>
            <w:r>
              <w:rPr>
                <w:rFonts w:ascii="Arial" w:cs="Arial" w:eastAsia="Arial" w:hAnsi="Arial"/>
                <w:sz w:val="13"/>
                <w:szCs w:val="13"/>
                <w:b w:val="1"/>
                <w:bCs w:val="1"/>
                <w:color w:val="FFFFFF"/>
              </w:rPr>
              <w:t>(A)</w:t>
            </w:r>
          </w:p>
        </w:tc>
        <w:tc>
          <w:tcPr>
            <w:tcW w:w="660" w:type="dxa"/>
            <w:vAlign w:val="bottom"/>
            <w:shd w:val="clear" w:color="auto" w:fill="307CC0"/>
          </w:tcPr>
          <w:p>
            <w:pPr>
              <w:jc w:val="right"/>
              <w:ind w:right="232"/>
              <w:spacing w:after="0"/>
              <w:rPr>
                <w:sz w:val="20"/>
                <w:szCs w:val="20"/>
                <w:color w:val="auto"/>
              </w:rPr>
            </w:pPr>
            <w:r>
              <w:rPr>
                <w:rFonts w:ascii="Arial" w:cs="Arial" w:eastAsia="Arial" w:hAnsi="Arial"/>
                <w:sz w:val="13"/>
                <w:szCs w:val="13"/>
                <w:b w:val="1"/>
                <w:bCs w:val="1"/>
                <w:color w:val="FFFFFF"/>
              </w:rPr>
              <w:t>(B)</w:t>
            </w:r>
          </w:p>
        </w:tc>
        <w:tc>
          <w:tcPr>
            <w:tcW w:w="680" w:type="dxa"/>
            <w:vAlign w:val="bottom"/>
            <w:shd w:val="clear" w:color="auto" w:fill="307CC0"/>
          </w:tcPr>
          <w:p>
            <w:pPr>
              <w:jc w:val="right"/>
              <w:ind w:right="252"/>
              <w:spacing w:after="0"/>
              <w:rPr>
                <w:sz w:val="20"/>
                <w:szCs w:val="20"/>
                <w:color w:val="auto"/>
              </w:rPr>
            </w:pPr>
            <w:r>
              <w:rPr>
                <w:rFonts w:ascii="Arial" w:cs="Arial" w:eastAsia="Arial" w:hAnsi="Arial"/>
                <w:sz w:val="13"/>
                <w:szCs w:val="13"/>
                <w:b w:val="1"/>
                <w:bCs w:val="1"/>
                <w:color w:val="FFFFFF"/>
              </w:rPr>
              <w:t>(c)</w:t>
            </w:r>
          </w:p>
        </w:tc>
        <w:tc>
          <w:tcPr>
            <w:tcW w:w="660" w:type="dxa"/>
            <w:vAlign w:val="bottom"/>
            <w:shd w:val="clear" w:color="auto" w:fill="307CC0"/>
          </w:tcPr>
          <w:p>
            <w:pPr>
              <w:jc w:val="right"/>
              <w:ind w:right="212"/>
              <w:spacing w:after="0"/>
              <w:rPr>
                <w:sz w:val="20"/>
                <w:szCs w:val="20"/>
                <w:color w:val="auto"/>
              </w:rPr>
            </w:pPr>
            <w:r>
              <w:rPr>
                <w:rFonts w:ascii="Arial" w:cs="Arial" w:eastAsia="Arial" w:hAnsi="Arial"/>
                <w:sz w:val="13"/>
                <w:szCs w:val="13"/>
                <w:b w:val="1"/>
                <w:bCs w:val="1"/>
                <w:color w:val="FFFFFF"/>
              </w:rPr>
              <w:t>(D)</w:t>
            </w:r>
          </w:p>
        </w:tc>
        <w:tc>
          <w:tcPr>
            <w:tcW w:w="600" w:type="dxa"/>
            <w:vAlign w:val="bottom"/>
            <w:shd w:val="clear" w:color="auto" w:fill="307CC0"/>
          </w:tcPr>
          <w:p>
            <w:pPr>
              <w:jc w:val="right"/>
              <w:ind w:right="192"/>
              <w:spacing w:after="0"/>
              <w:rPr>
                <w:sz w:val="20"/>
                <w:szCs w:val="20"/>
                <w:color w:val="auto"/>
              </w:rPr>
            </w:pPr>
            <w:r>
              <w:rPr>
                <w:rFonts w:ascii="Arial" w:cs="Arial" w:eastAsia="Arial" w:hAnsi="Arial"/>
                <w:sz w:val="13"/>
                <w:szCs w:val="13"/>
                <w:b w:val="1"/>
                <w:bCs w:val="1"/>
                <w:color w:val="FFFFFF"/>
              </w:rPr>
              <w:t>(E)</w:t>
            </w:r>
          </w:p>
        </w:tc>
        <w:tc>
          <w:tcPr>
            <w:tcW w:w="680" w:type="dxa"/>
            <w:vAlign w:val="bottom"/>
            <w:shd w:val="clear" w:color="auto" w:fill="307CC0"/>
          </w:tcPr>
          <w:p>
            <w:pPr>
              <w:jc w:val="right"/>
              <w:ind w:right="232"/>
              <w:spacing w:after="0"/>
              <w:rPr>
                <w:sz w:val="20"/>
                <w:szCs w:val="20"/>
                <w:color w:val="auto"/>
              </w:rPr>
            </w:pPr>
            <w:r>
              <w:rPr>
                <w:rFonts w:ascii="Arial" w:cs="Arial" w:eastAsia="Arial" w:hAnsi="Arial"/>
                <w:sz w:val="13"/>
                <w:szCs w:val="13"/>
                <w:b w:val="1"/>
                <w:bCs w:val="1"/>
                <w:color w:val="FFFFFF"/>
              </w:rPr>
              <w:t>(F)</w:t>
            </w:r>
          </w:p>
        </w:tc>
        <w:tc>
          <w:tcPr>
            <w:tcW w:w="580" w:type="dxa"/>
            <w:vAlign w:val="bottom"/>
            <w:shd w:val="clear" w:color="auto" w:fill="307CC0"/>
          </w:tcPr>
          <w:p>
            <w:pPr>
              <w:jc w:val="right"/>
              <w:ind w:right="172"/>
              <w:spacing w:after="0"/>
              <w:rPr>
                <w:sz w:val="20"/>
                <w:szCs w:val="20"/>
                <w:color w:val="auto"/>
              </w:rPr>
            </w:pPr>
            <w:r>
              <w:rPr>
                <w:rFonts w:ascii="Arial" w:cs="Arial" w:eastAsia="Arial" w:hAnsi="Arial"/>
                <w:sz w:val="13"/>
                <w:szCs w:val="13"/>
                <w:b w:val="1"/>
                <w:bCs w:val="1"/>
                <w:color w:val="FFFFFF"/>
              </w:rPr>
              <w:t>(G)</w:t>
            </w:r>
          </w:p>
        </w:tc>
        <w:tc>
          <w:tcPr>
            <w:tcW w:w="700" w:type="dxa"/>
            <w:vAlign w:val="bottom"/>
            <w:shd w:val="clear" w:color="auto" w:fill="307CC0"/>
          </w:tcPr>
          <w:p>
            <w:pPr>
              <w:jc w:val="right"/>
              <w:ind w:right="132"/>
              <w:spacing w:after="0"/>
              <w:rPr>
                <w:sz w:val="20"/>
                <w:szCs w:val="20"/>
                <w:color w:val="auto"/>
              </w:rPr>
            </w:pPr>
            <w:r>
              <w:rPr>
                <w:rFonts w:ascii="Arial" w:cs="Arial" w:eastAsia="Arial" w:hAnsi="Arial"/>
                <w:sz w:val="13"/>
                <w:szCs w:val="13"/>
                <w:b w:val="1"/>
                <w:bCs w:val="1"/>
                <w:color w:val="FFFFFF"/>
              </w:rPr>
              <w:t>Total</w:t>
            </w:r>
          </w:p>
        </w:tc>
      </w:tr>
      <w:tr>
        <w:trPr>
          <w:trHeight w:val="181"/>
        </w:trPr>
        <w:tc>
          <w:tcPr>
            <w:tcW w:w="328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Mr. Bassham</w:t>
            </w:r>
          </w:p>
        </w:tc>
        <w:tc>
          <w:tcPr>
            <w:tcW w:w="74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16,800</w:t>
            </w:r>
          </w:p>
        </w:tc>
        <w:tc>
          <w:tcPr>
            <w:tcW w:w="66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78,903</w:t>
            </w:r>
          </w:p>
        </w:tc>
        <w:tc>
          <w:tcPr>
            <w:tcW w:w="6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25,891</w:t>
            </w:r>
          </w:p>
        </w:tc>
        <w:tc>
          <w:tcPr>
            <w:tcW w:w="66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17,750</w:t>
            </w:r>
          </w:p>
        </w:tc>
        <w:tc>
          <w:tcPr>
            <w:tcW w:w="60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1,500</w:t>
            </w:r>
          </w:p>
        </w:tc>
        <w:tc>
          <w:tcPr>
            <w:tcW w:w="6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30,000</w:t>
            </w:r>
          </w:p>
        </w:tc>
        <w:tc>
          <w:tcPr>
            <w:tcW w:w="58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170,844</w:t>
            </w:r>
          </w:p>
        </w:tc>
      </w:tr>
      <w:tr>
        <w:trPr>
          <w:trHeight w:val="174"/>
        </w:trPr>
        <w:tc>
          <w:tcPr>
            <w:tcW w:w="328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4"/>
                <w:szCs w:val="14"/>
                <w:color w:val="auto"/>
              </w:rPr>
              <w:t>Mr. Bryant</w:t>
            </w:r>
          </w:p>
        </w:tc>
        <w:tc>
          <w:tcPr>
            <w:tcW w:w="74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16,800</w:t>
            </w:r>
          </w:p>
        </w:tc>
        <w:tc>
          <w:tcPr>
            <w:tcW w:w="660" w:type="dxa"/>
            <w:vAlign w:val="bottom"/>
            <w:tcBorders>
              <w:bottom w:val="single" w:sz="8" w:color="307CC0"/>
            </w:tcBorders>
            <w:shd w:val="clear" w:color="auto" w:fill="D6E7FF"/>
          </w:tcPr>
          <w:p>
            <w:pPr>
              <w:jc w:val="right"/>
              <w:ind w:right="52"/>
              <w:spacing w:after="0"/>
              <w:rPr>
                <w:sz w:val="20"/>
                <w:szCs w:val="20"/>
                <w:color w:val="auto"/>
              </w:rPr>
            </w:pPr>
            <w:r>
              <w:rPr>
                <w:rFonts w:ascii="Arial" w:cs="Arial" w:eastAsia="Arial" w:hAnsi="Arial"/>
                <w:sz w:val="14"/>
                <w:szCs w:val="14"/>
                <w:color w:val="auto"/>
              </w:rPr>
              <w:t>31,348</w:t>
            </w:r>
          </w:p>
        </w:tc>
        <w:tc>
          <w:tcPr>
            <w:tcW w:w="6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25,308</w:t>
            </w:r>
          </w:p>
        </w:tc>
        <w:tc>
          <w:tcPr>
            <w:tcW w:w="660" w:type="dxa"/>
            <w:vAlign w:val="bottom"/>
            <w:tcBorders>
              <w:bottom w:val="single" w:sz="8" w:color="307CC0"/>
            </w:tcBorders>
            <w:shd w:val="clear" w:color="auto" w:fill="D6E7FF"/>
          </w:tcPr>
          <w:p>
            <w:pPr>
              <w:jc w:val="right"/>
              <w:ind w:right="52"/>
              <w:spacing w:after="0"/>
              <w:rPr>
                <w:sz w:val="20"/>
                <w:szCs w:val="20"/>
                <w:color w:val="auto"/>
              </w:rPr>
            </w:pPr>
            <w:r>
              <w:rPr>
                <w:rFonts w:ascii="Arial" w:cs="Arial" w:eastAsia="Arial" w:hAnsi="Arial"/>
                <w:sz w:val="14"/>
                <w:szCs w:val="14"/>
                <w:color w:val="auto"/>
              </w:rPr>
              <w:t>17,291</w:t>
            </w:r>
          </w:p>
        </w:tc>
        <w:tc>
          <w:tcPr>
            <w:tcW w:w="600" w:type="dxa"/>
            <w:vAlign w:val="bottom"/>
            <w:tcBorders>
              <w:bottom w:val="single" w:sz="8" w:color="307CC0"/>
            </w:tcBorders>
            <w:shd w:val="clear" w:color="auto" w:fill="D6E7FF"/>
          </w:tcPr>
          <w:p>
            <w:pPr>
              <w:jc w:val="right"/>
              <w:ind w:right="52"/>
              <w:spacing w:after="0"/>
              <w:rPr>
                <w:sz w:val="20"/>
                <w:szCs w:val="20"/>
                <w:color w:val="auto"/>
              </w:rPr>
            </w:pPr>
            <w:r>
              <w:rPr>
                <w:rFonts w:ascii="Arial" w:cs="Arial" w:eastAsia="Arial" w:hAnsi="Arial"/>
                <w:sz w:val="14"/>
                <w:szCs w:val="14"/>
                <w:color w:val="auto"/>
              </w:rPr>
              <w:t>1,368</w:t>
            </w:r>
          </w:p>
        </w:tc>
        <w:tc>
          <w:tcPr>
            <w:tcW w:w="6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307CC0"/>
            </w:tcBorders>
            <w:shd w:val="clear" w:color="auto" w:fill="D6E7FF"/>
          </w:tcPr>
          <w:p>
            <w:pPr>
              <w:jc w:val="right"/>
              <w:ind w:right="52"/>
              <w:spacing w:after="0"/>
              <w:rPr>
                <w:sz w:val="20"/>
                <w:szCs w:val="20"/>
                <w:color w:val="auto"/>
              </w:rPr>
            </w:pPr>
            <w:r>
              <w:rPr>
                <w:rFonts w:ascii="Arial" w:cs="Arial" w:eastAsia="Arial" w:hAnsi="Arial"/>
                <w:sz w:val="14"/>
                <w:szCs w:val="14"/>
                <w:color w:val="auto"/>
              </w:rPr>
              <w:t>2,235</w:t>
            </w:r>
          </w:p>
        </w:tc>
        <w:tc>
          <w:tcPr>
            <w:tcW w:w="70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94,350</w:t>
            </w:r>
          </w:p>
        </w:tc>
      </w:tr>
      <w:tr>
        <w:trPr>
          <w:trHeight w:val="174"/>
        </w:trPr>
        <w:tc>
          <w:tcPr>
            <w:tcW w:w="328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Mr. Greenwood</w:t>
            </w:r>
          </w:p>
        </w:tc>
        <w:tc>
          <w:tcPr>
            <w:tcW w:w="74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12,600</w:t>
            </w:r>
          </w:p>
        </w:tc>
        <w:tc>
          <w:tcPr>
            <w:tcW w:w="66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23,511</w:t>
            </w:r>
          </w:p>
        </w:tc>
        <w:tc>
          <w:tcPr>
            <w:tcW w:w="6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23,733</w:t>
            </w:r>
          </w:p>
        </w:tc>
        <w:tc>
          <w:tcPr>
            <w:tcW w:w="66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1,595</w:t>
            </w:r>
          </w:p>
        </w:tc>
        <w:tc>
          <w:tcPr>
            <w:tcW w:w="60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11,640</w:t>
            </w:r>
          </w:p>
        </w:tc>
        <w:tc>
          <w:tcPr>
            <w:tcW w:w="58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73,079</w:t>
            </w:r>
          </w:p>
        </w:tc>
      </w:tr>
      <w:tr>
        <w:trPr>
          <w:trHeight w:val="174"/>
        </w:trPr>
        <w:tc>
          <w:tcPr>
            <w:tcW w:w="328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4"/>
                <w:szCs w:val="14"/>
                <w:color w:val="auto"/>
              </w:rPr>
              <w:t>Mr. Somma</w:t>
            </w:r>
          </w:p>
        </w:tc>
        <w:tc>
          <w:tcPr>
            <w:tcW w:w="74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12,600</w:t>
            </w:r>
          </w:p>
        </w:tc>
        <w:tc>
          <w:tcPr>
            <w:tcW w:w="660" w:type="dxa"/>
            <w:vAlign w:val="bottom"/>
            <w:tcBorders>
              <w:bottom w:val="single" w:sz="8" w:color="307CC0"/>
            </w:tcBorders>
            <w:shd w:val="clear" w:color="auto" w:fill="D6E7FF"/>
          </w:tcPr>
          <w:p>
            <w:pPr>
              <w:jc w:val="right"/>
              <w:ind w:right="52"/>
              <w:spacing w:after="0"/>
              <w:rPr>
                <w:sz w:val="20"/>
                <w:szCs w:val="20"/>
                <w:color w:val="auto"/>
              </w:rPr>
            </w:pPr>
            <w:r>
              <w:rPr>
                <w:rFonts w:ascii="Arial" w:cs="Arial" w:eastAsia="Arial" w:hAnsi="Arial"/>
                <w:sz w:val="14"/>
                <w:szCs w:val="14"/>
                <w:color w:val="auto"/>
              </w:rPr>
              <w:t>5,963</w:t>
            </w:r>
          </w:p>
        </w:tc>
        <w:tc>
          <w:tcPr>
            <w:tcW w:w="6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23,911</w:t>
            </w:r>
          </w:p>
        </w:tc>
        <w:tc>
          <w:tcPr>
            <w:tcW w:w="660" w:type="dxa"/>
            <w:vAlign w:val="bottom"/>
            <w:tcBorders>
              <w:bottom w:val="single" w:sz="8" w:color="307CC0"/>
            </w:tcBorders>
            <w:shd w:val="clear" w:color="auto" w:fill="D6E7FF"/>
          </w:tcPr>
          <w:p>
            <w:pPr>
              <w:jc w:val="right"/>
              <w:ind w:right="52"/>
              <w:spacing w:after="0"/>
              <w:rPr>
                <w:sz w:val="20"/>
                <w:szCs w:val="20"/>
                <w:color w:val="auto"/>
              </w:rPr>
            </w:pPr>
            <w:r>
              <w:rPr>
                <w:rFonts w:ascii="Arial" w:cs="Arial" w:eastAsia="Arial" w:hAnsi="Arial"/>
                <w:sz w:val="14"/>
                <w:szCs w:val="14"/>
                <w:color w:val="auto"/>
              </w:rPr>
              <w:t>650</w:t>
            </w:r>
          </w:p>
        </w:tc>
        <w:tc>
          <w:tcPr>
            <w:tcW w:w="600" w:type="dxa"/>
            <w:vAlign w:val="bottom"/>
            <w:tcBorders>
              <w:bottom w:val="single" w:sz="8" w:color="307CC0"/>
            </w:tcBorders>
            <w:shd w:val="clear" w:color="auto" w:fill="D6E7FF"/>
          </w:tcPr>
          <w:p>
            <w:pPr>
              <w:jc w:val="right"/>
              <w:ind w:right="52"/>
              <w:spacing w:after="0"/>
              <w:rPr>
                <w:sz w:val="20"/>
                <w:szCs w:val="20"/>
                <w:color w:val="auto"/>
              </w:rPr>
            </w:pPr>
            <w:r>
              <w:rPr>
                <w:rFonts w:ascii="Arial" w:cs="Arial" w:eastAsia="Arial" w:hAnsi="Arial"/>
                <w:sz w:val="14"/>
                <w:szCs w:val="14"/>
                <w:color w:val="auto"/>
              </w:rPr>
              <w:t>3,420</w:t>
            </w:r>
          </w:p>
        </w:tc>
        <w:tc>
          <w:tcPr>
            <w:tcW w:w="6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2,736</w:t>
            </w:r>
          </w:p>
        </w:tc>
        <w:tc>
          <w:tcPr>
            <w:tcW w:w="580" w:type="dxa"/>
            <w:vAlign w:val="bottom"/>
            <w:tcBorders>
              <w:bottom w:val="single" w:sz="8" w:color="307CC0"/>
            </w:tcBorders>
            <w:shd w:val="clear" w:color="auto" w:fill="D6E7FF"/>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49,280</w:t>
            </w:r>
          </w:p>
        </w:tc>
      </w:tr>
      <w:tr>
        <w:trPr>
          <w:trHeight w:val="174"/>
        </w:trPr>
        <w:tc>
          <w:tcPr>
            <w:tcW w:w="3280" w:type="dxa"/>
            <w:vAlign w:val="bottom"/>
            <w:tcBorders>
              <w:bottom w:val="single" w:sz="8" w:color="307CC0"/>
            </w:tcBorders>
            <w:shd w:val="clear" w:color="auto" w:fill="CCEEFF"/>
          </w:tcPr>
          <w:p>
            <w:pPr>
              <w:ind w:left="20"/>
              <w:spacing w:after="0"/>
              <w:rPr>
                <w:sz w:val="20"/>
                <w:szCs w:val="20"/>
                <w:color w:val="auto"/>
              </w:rPr>
            </w:pPr>
            <w:r>
              <w:rPr>
                <w:rFonts w:ascii="Arial" w:cs="Arial" w:eastAsia="Arial" w:hAnsi="Arial"/>
                <w:sz w:val="14"/>
                <w:szCs w:val="14"/>
                <w:color w:val="auto"/>
              </w:rPr>
              <w:t>Ms. Humphrey</w:t>
            </w:r>
          </w:p>
        </w:tc>
        <w:tc>
          <w:tcPr>
            <w:tcW w:w="74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16,800</w:t>
            </w:r>
          </w:p>
        </w:tc>
        <w:tc>
          <w:tcPr>
            <w:tcW w:w="66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25,057</w:t>
            </w:r>
          </w:p>
        </w:tc>
        <w:tc>
          <w:tcPr>
            <w:tcW w:w="6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16,849</w:t>
            </w:r>
          </w:p>
        </w:tc>
        <w:tc>
          <w:tcPr>
            <w:tcW w:w="66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13,950</w:t>
            </w:r>
          </w:p>
        </w:tc>
        <w:tc>
          <w:tcPr>
            <w:tcW w:w="60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1,290</w:t>
            </w:r>
          </w:p>
        </w:tc>
        <w:tc>
          <w:tcPr>
            <w:tcW w:w="6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307CC0"/>
            </w:tcBorders>
            <w:shd w:val="clear" w:color="auto" w:fill="CCEEFF"/>
          </w:tcPr>
          <w:p>
            <w:pPr>
              <w:jc w:val="right"/>
              <w:ind w:right="52"/>
              <w:spacing w:after="0"/>
              <w:rPr>
                <w:sz w:val="20"/>
                <w:szCs w:val="20"/>
                <w:color w:val="auto"/>
              </w:rPr>
            </w:pPr>
            <w:r>
              <w:rPr>
                <w:rFonts w:ascii="Arial" w:cs="Arial" w:eastAsia="Arial" w:hAnsi="Arial"/>
                <w:sz w:val="14"/>
                <w:szCs w:val="14"/>
                <w:color w:val="auto"/>
              </w:rPr>
              <w:t>3,110</w:t>
            </w:r>
          </w:p>
        </w:tc>
        <w:tc>
          <w:tcPr>
            <w:tcW w:w="70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77,056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-622935</wp:posOffset>
            </wp:positionV>
            <wp:extent cx="5455920" cy="123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55920" cy="123190"/>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-376555</wp:posOffset>
            </wp:positionV>
            <wp:extent cx="5455920" cy="1231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55920" cy="123190"/>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-130810</wp:posOffset>
            </wp:positionV>
            <wp:extent cx="5455920" cy="1231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55920" cy="1231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5808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1"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580898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50"/>
          </w:cols>
          <w:pgMar w:left="1370" w:top="272" w:right="1379"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left="20" w:firstLine="172"/>
        <w:spacing w:after="0" w:line="261" w:lineRule="auto"/>
        <w:rPr>
          <w:sz w:val="20"/>
          <w:szCs w:val="20"/>
          <w:color w:val="auto"/>
        </w:rPr>
      </w:pPr>
      <w:r>
        <w:rPr>
          <w:rFonts w:ascii="Arial" w:cs="Arial" w:eastAsia="Arial" w:hAnsi="Arial"/>
          <w:sz w:val="17"/>
          <w:szCs w:val="17"/>
          <w:color w:val="auto"/>
        </w:rPr>
        <w:t>The following table provides information with respect to plan-based awards made by Evergy. We omitted the “All Other Option Awards: Number of Securities Underlying Options” and “Exercise or Base Price of Option Awards” columns because no options were granted in 2019.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Grants of Plan-Based Awards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20" w:type="dxa"/>
            <w:vAlign w:val="bottom"/>
            <w:shd w:val="clear" w:color="auto" w:fill="307CC0"/>
          </w:tcPr>
          <w:p>
            <w:pPr>
              <w:spacing w:after="0"/>
              <w:rPr>
                <w:sz w:val="14"/>
                <w:szCs w:val="14"/>
                <w:color w:val="auto"/>
              </w:rPr>
            </w:pPr>
          </w:p>
        </w:tc>
        <w:tc>
          <w:tcPr>
            <w:tcW w:w="1360" w:type="dxa"/>
            <w:vAlign w:val="bottom"/>
            <w:shd w:val="clear" w:color="auto" w:fill="307CC0"/>
          </w:tcPr>
          <w:p>
            <w:pPr>
              <w:spacing w:after="0"/>
              <w:rPr>
                <w:sz w:val="14"/>
                <w:szCs w:val="14"/>
                <w:color w:val="auto"/>
              </w:rPr>
            </w:pPr>
          </w:p>
        </w:tc>
        <w:tc>
          <w:tcPr>
            <w:tcW w:w="180" w:type="dxa"/>
            <w:vAlign w:val="bottom"/>
            <w:shd w:val="clear" w:color="auto" w:fill="307CC0"/>
          </w:tcPr>
          <w:p>
            <w:pPr>
              <w:spacing w:after="0"/>
              <w:rPr>
                <w:sz w:val="14"/>
                <w:szCs w:val="14"/>
                <w:color w:val="auto"/>
              </w:rPr>
            </w:pPr>
          </w:p>
        </w:tc>
        <w:tc>
          <w:tcPr>
            <w:tcW w:w="640" w:type="dxa"/>
            <w:vAlign w:val="bottom"/>
            <w:shd w:val="clear" w:color="auto" w:fill="307CC0"/>
          </w:tcPr>
          <w:p>
            <w:pPr>
              <w:spacing w:after="0"/>
              <w:rPr>
                <w:sz w:val="14"/>
                <w:szCs w:val="14"/>
                <w:color w:val="auto"/>
              </w:rPr>
            </w:pPr>
          </w:p>
        </w:tc>
        <w:tc>
          <w:tcPr>
            <w:tcW w:w="780" w:type="dxa"/>
            <w:vAlign w:val="bottom"/>
            <w:shd w:val="clear" w:color="auto" w:fill="307CC0"/>
          </w:tcPr>
          <w:p>
            <w:pPr>
              <w:spacing w:after="0"/>
              <w:rPr>
                <w:sz w:val="14"/>
                <w:szCs w:val="14"/>
                <w:color w:val="auto"/>
              </w:rPr>
            </w:pPr>
          </w:p>
        </w:tc>
        <w:tc>
          <w:tcPr>
            <w:tcW w:w="820" w:type="dxa"/>
            <w:vAlign w:val="bottom"/>
            <w:shd w:val="clear" w:color="auto" w:fill="307CC0"/>
          </w:tcPr>
          <w:p>
            <w:pPr>
              <w:spacing w:after="0"/>
              <w:rPr>
                <w:sz w:val="14"/>
                <w:szCs w:val="14"/>
                <w:color w:val="auto"/>
              </w:rPr>
            </w:pPr>
          </w:p>
        </w:tc>
        <w:tc>
          <w:tcPr>
            <w:tcW w:w="820" w:type="dxa"/>
            <w:vAlign w:val="bottom"/>
            <w:shd w:val="clear" w:color="auto" w:fill="307CC0"/>
          </w:tcPr>
          <w:p>
            <w:pPr>
              <w:spacing w:after="0"/>
              <w:rPr>
                <w:sz w:val="14"/>
                <w:szCs w:val="14"/>
                <w:color w:val="auto"/>
              </w:rPr>
            </w:pPr>
          </w:p>
        </w:tc>
        <w:tc>
          <w:tcPr>
            <w:tcW w:w="820" w:type="dxa"/>
            <w:vAlign w:val="bottom"/>
            <w:shd w:val="clear" w:color="auto" w:fill="307CC0"/>
          </w:tcPr>
          <w:p>
            <w:pPr>
              <w:spacing w:after="0"/>
              <w:rPr>
                <w:sz w:val="14"/>
                <w:szCs w:val="14"/>
                <w:color w:val="auto"/>
              </w:rPr>
            </w:pPr>
          </w:p>
        </w:tc>
        <w:tc>
          <w:tcPr>
            <w:tcW w:w="800" w:type="dxa"/>
            <w:vAlign w:val="bottom"/>
            <w:shd w:val="clear" w:color="auto" w:fill="307CC0"/>
          </w:tcPr>
          <w:p>
            <w:pPr>
              <w:spacing w:after="0"/>
              <w:rPr>
                <w:sz w:val="14"/>
                <w:szCs w:val="14"/>
                <w:color w:val="auto"/>
              </w:rPr>
            </w:pPr>
          </w:p>
        </w:tc>
        <w:tc>
          <w:tcPr>
            <w:tcW w:w="720" w:type="dxa"/>
            <w:vAlign w:val="bottom"/>
            <w:shd w:val="clear" w:color="auto" w:fill="307CC0"/>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900" w:type="dxa"/>
            <w:vAlign w:val="bottom"/>
            <w:shd w:val="clear" w:color="auto" w:fill="307CC0"/>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20" w:type="dxa"/>
            <w:vAlign w:val="bottom"/>
            <w:shd w:val="clear" w:color="auto" w:fill="307CC0"/>
          </w:tcPr>
          <w:p>
            <w:pPr>
              <w:spacing w:after="0"/>
              <w:rPr>
                <w:sz w:val="13"/>
                <w:szCs w:val="13"/>
                <w:color w:val="auto"/>
              </w:rPr>
            </w:pPr>
          </w:p>
        </w:tc>
        <w:tc>
          <w:tcPr>
            <w:tcW w:w="1360" w:type="dxa"/>
            <w:vAlign w:val="bottom"/>
            <w:shd w:val="clear" w:color="auto" w:fill="307CC0"/>
          </w:tcPr>
          <w:p>
            <w:pPr>
              <w:spacing w:after="0"/>
              <w:rPr>
                <w:sz w:val="13"/>
                <w:szCs w:val="13"/>
                <w:color w:val="auto"/>
              </w:rPr>
            </w:pPr>
          </w:p>
        </w:tc>
        <w:tc>
          <w:tcPr>
            <w:tcW w:w="180" w:type="dxa"/>
            <w:vAlign w:val="bottom"/>
            <w:shd w:val="clear" w:color="auto" w:fill="307CC0"/>
          </w:tcPr>
          <w:p>
            <w:pPr>
              <w:spacing w:after="0"/>
              <w:rPr>
                <w:sz w:val="13"/>
                <w:szCs w:val="13"/>
                <w:color w:val="auto"/>
              </w:rPr>
            </w:pPr>
          </w:p>
        </w:tc>
        <w:tc>
          <w:tcPr>
            <w:tcW w:w="640" w:type="dxa"/>
            <w:vAlign w:val="bottom"/>
            <w:shd w:val="clear" w:color="auto" w:fill="307CC0"/>
          </w:tcPr>
          <w:p>
            <w:pPr>
              <w:spacing w:after="0"/>
              <w:rPr>
                <w:sz w:val="13"/>
                <w:szCs w:val="13"/>
                <w:color w:val="auto"/>
              </w:rPr>
            </w:pPr>
          </w:p>
        </w:tc>
        <w:tc>
          <w:tcPr>
            <w:tcW w:w="780" w:type="dxa"/>
            <w:vAlign w:val="bottom"/>
            <w:shd w:val="clear" w:color="auto" w:fill="307CC0"/>
          </w:tcPr>
          <w:p>
            <w:pPr>
              <w:spacing w:after="0"/>
              <w:rPr>
                <w:sz w:val="13"/>
                <w:szCs w:val="13"/>
                <w:color w:val="auto"/>
              </w:rPr>
            </w:pPr>
          </w:p>
        </w:tc>
        <w:tc>
          <w:tcPr>
            <w:tcW w:w="820" w:type="dxa"/>
            <w:vAlign w:val="bottom"/>
            <w:shd w:val="clear" w:color="auto" w:fill="307CC0"/>
          </w:tcPr>
          <w:p>
            <w:pPr>
              <w:spacing w:after="0"/>
              <w:rPr>
                <w:sz w:val="13"/>
                <w:szCs w:val="13"/>
                <w:color w:val="auto"/>
              </w:rPr>
            </w:pPr>
          </w:p>
        </w:tc>
        <w:tc>
          <w:tcPr>
            <w:tcW w:w="820" w:type="dxa"/>
            <w:vAlign w:val="bottom"/>
            <w:shd w:val="clear" w:color="auto" w:fill="307CC0"/>
          </w:tcPr>
          <w:p>
            <w:pPr>
              <w:spacing w:after="0"/>
              <w:rPr>
                <w:sz w:val="13"/>
                <w:szCs w:val="13"/>
                <w:color w:val="auto"/>
              </w:rPr>
            </w:pPr>
          </w:p>
        </w:tc>
        <w:tc>
          <w:tcPr>
            <w:tcW w:w="820" w:type="dxa"/>
            <w:vAlign w:val="bottom"/>
            <w:shd w:val="clear" w:color="auto" w:fill="307CC0"/>
          </w:tcPr>
          <w:p>
            <w:pPr>
              <w:spacing w:after="0"/>
              <w:rPr>
                <w:sz w:val="13"/>
                <w:szCs w:val="13"/>
                <w:color w:val="auto"/>
              </w:rPr>
            </w:pPr>
          </w:p>
        </w:tc>
        <w:tc>
          <w:tcPr>
            <w:tcW w:w="800" w:type="dxa"/>
            <w:vAlign w:val="bottom"/>
            <w:shd w:val="clear" w:color="auto" w:fill="307CC0"/>
          </w:tcPr>
          <w:p>
            <w:pPr>
              <w:spacing w:after="0"/>
              <w:rPr>
                <w:sz w:val="13"/>
                <w:szCs w:val="13"/>
                <w:color w:val="auto"/>
              </w:rPr>
            </w:pPr>
          </w:p>
        </w:tc>
        <w:tc>
          <w:tcPr>
            <w:tcW w:w="72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9"/>
              </w:rPr>
              <w:t>Stock</w:t>
            </w:r>
          </w:p>
        </w:tc>
        <w:tc>
          <w:tcPr>
            <w:tcW w:w="90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shd w:val="clear" w:color="auto" w:fill="307CC0"/>
          </w:tcPr>
          <w:p>
            <w:pPr>
              <w:spacing w:after="0"/>
              <w:rPr>
                <w:sz w:val="13"/>
                <w:szCs w:val="13"/>
                <w:color w:val="auto"/>
              </w:rPr>
            </w:pPr>
          </w:p>
        </w:tc>
        <w:tc>
          <w:tcPr>
            <w:tcW w:w="1360" w:type="dxa"/>
            <w:vAlign w:val="bottom"/>
            <w:shd w:val="clear" w:color="auto" w:fill="307CC0"/>
          </w:tcPr>
          <w:p>
            <w:pPr>
              <w:spacing w:after="0"/>
              <w:rPr>
                <w:sz w:val="13"/>
                <w:szCs w:val="13"/>
                <w:color w:val="auto"/>
              </w:rPr>
            </w:pPr>
          </w:p>
        </w:tc>
        <w:tc>
          <w:tcPr>
            <w:tcW w:w="180" w:type="dxa"/>
            <w:vAlign w:val="bottom"/>
            <w:shd w:val="clear" w:color="auto" w:fill="307CC0"/>
          </w:tcPr>
          <w:p>
            <w:pPr>
              <w:spacing w:after="0"/>
              <w:rPr>
                <w:sz w:val="13"/>
                <w:szCs w:val="13"/>
                <w:color w:val="auto"/>
              </w:rPr>
            </w:pPr>
          </w:p>
        </w:tc>
        <w:tc>
          <w:tcPr>
            <w:tcW w:w="2240" w:type="dxa"/>
            <w:vAlign w:val="bottom"/>
            <w:gridSpan w:val="3"/>
            <w:vMerge w:val="restart"/>
            <w:shd w:val="clear" w:color="auto" w:fill="307CC0"/>
          </w:tcPr>
          <w:p>
            <w:pPr>
              <w:jc w:val="center"/>
              <w:ind w:right="72"/>
              <w:spacing w:after="0"/>
              <w:rPr>
                <w:sz w:val="20"/>
                <w:szCs w:val="20"/>
                <w:color w:val="auto"/>
              </w:rPr>
            </w:pPr>
            <w:r>
              <w:rPr>
                <w:rFonts w:ascii="Arial" w:cs="Arial" w:eastAsia="Arial" w:hAnsi="Arial"/>
                <w:sz w:val="14"/>
                <w:szCs w:val="14"/>
                <w:b w:val="1"/>
                <w:bCs w:val="1"/>
                <w:color w:val="FFFFFF"/>
                <w:w w:val="98"/>
              </w:rPr>
              <w:t>Estimated Future Payouts</w:t>
            </w:r>
          </w:p>
        </w:tc>
        <w:tc>
          <w:tcPr>
            <w:tcW w:w="2440" w:type="dxa"/>
            <w:vAlign w:val="bottom"/>
            <w:gridSpan w:val="3"/>
            <w:vMerge w:val="restart"/>
            <w:shd w:val="clear" w:color="auto" w:fill="307CC0"/>
          </w:tcPr>
          <w:p>
            <w:pPr>
              <w:jc w:val="center"/>
              <w:spacing w:after="0"/>
              <w:rPr>
                <w:sz w:val="20"/>
                <w:szCs w:val="20"/>
                <w:color w:val="auto"/>
              </w:rPr>
            </w:pPr>
            <w:r>
              <w:rPr>
                <w:rFonts w:ascii="Arial" w:cs="Arial" w:eastAsia="Arial" w:hAnsi="Arial"/>
                <w:sz w:val="14"/>
                <w:szCs w:val="14"/>
                <w:b w:val="1"/>
                <w:bCs w:val="1"/>
                <w:color w:val="FFFFFF"/>
                <w:w w:val="98"/>
              </w:rPr>
              <w:t>Estimated Future Payouts</w:t>
            </w:r>
          </w:p>
        </w:tc>
        <w:tc>
          <w:tcPr>
            <w:tcW w:w="72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7"/>
              </w:rPr>
              <w:t>Awards:</w:t>
            </w:r>
          </w:p>
        </w:tc>
        <w:tc>
          <w:tcPr>
            <w:tcW w:w="900" w:type="dxa"/>
            <w:vAlign w:val="bottom"/>
            <w:shd w:val="clear" w:color="auto" w:fill="307CC0"/>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320" w:type="dxa"/>
            <w:vAlign w:val="bottom"/>
            <w:shd w:val="clear" w:color="auto" w:fill="307CC0"/>
          </w:tcPr>
          <w:p>
            <w:pPr>
              <w:spacing w:after="0"/>
              <w:rPr>
                <w:sz w:val="6"/>
                <w:szCs w:val="6"/>
                <w:color w:val="auto"/>
              </w:rPr>
            </w:pPr>
          </w:p>
        </w:tc>
        <w:tc>
          <w:tcPr>
            <w:tcW w:w="1360" w:type="dxa"/>
            <w:vAlign w:val="bottom"/>
            <w:shd w:val="clear" w:color="auto" w:fill="307CC0"/>
          </w:tcPr>
          <w:p>
            <w:pPr>
              <w:spacing w:after="0"/>
              <w:rPr>
                <w:sz w:val="6"/>
                <w:szCs w:val="6"/>
                <w:color w:val="auto"/>
              </w:rPr>
            </w:pPr>
          </w:p>
        </w:tc>
        <w:tc>
          <w:tcPr>
            <w:tcW w:w="180" w:type="dxa"/>
            <w:vAlign w:val="bottom"/>
            <w:shd w:val="clear" w:color="auto" w:fill="307CC0"/>
          </w:tcPr>
          <w:p>
            <w:pPr>
              <w:spacing w:after="0"/>
              <w:rPr>
                <w:sz w:val="6"/>
                <w:szCs w:val="6"/>
                <w:color w:val="auto"/>
              </w:rPr>
            </w:pPr>
          </w:p>
        </w:tc>
        <w:tc>
          <w:tcPr>
            <w:tcW w:w="2240" w:type="dxa"/>
            <w:vAlign w:val="bottom"/>
            <w:gridSpan w:val="3"/>
            <w:vMerge w:val="continue"/>
            <w:shd w:val="clear" w:color="auto" w:fill="307CC0"/>
          </w:tcPr>
          <w:p>
            <w:pPr>
              <w:spacing w:after="0"/>
              <w:rPr>
                <w:sz w:val="6"/>
                <w:szCs w:val="6"/>
                <w:color w:val="auto"/>
              </w:rPr>
            </w:pPr>
          </w:p>
        </w:tc>
        <w:tc>
          <w:tcPr>
            <w:tcW w:w="2440" w:type="dxa"/>
            <w:vAlign w:val="bottom"/>
            <w:gridSpan w:val="3"/>
            <w:vMerge w:val="continue"/>
            <w:shd w:val="clear" w:color="auto" w:fill="307CC0"/>
          </w:tcPr>
          <w:p>
            <w:pPr>
              <w:spacing w:after="0"/>
              <w:rPr>
                <w:sz w:val="6"/>
                <w:szCs w:val="6"/>
                <w:color w:val="auto"/>
              </w:rPr>
            </w:pPr>
          </w:p>
        </w:tc>
        <w:tc>
          <w:tcPr>
            <w:tcW w:w="720" w:type="dxa"/>
            <w:vAlign w:val="bottom"/>
            <w:vMerge w:val="restart"/>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8"/>
              </w:rPr>
              <w:t>Number</w:t>
            </w:r>
          </w:p>
        </w:tc>
        <w:tc>
          <w:tcPr>
            <w:tcW w:w="900" w:type="dxa"/>
            <w:vAlign w:val="bottom"/>
            <w:shd w:val="clear" w:color="auto" w:fill="307CC0"/>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320" w:type="dxa"/>
            <w:vAlign w:val="bottom"/>
            <w:shd w:val="clear" w:color="auto" w:fill="307CC0"/>
          </w:tcPr>
          <w:p>
            <w:pPr>
              <w:spacing w:after="0"/>
              <w:rPr>
                <w:sz w:val="6"/>
                <w:szCs w:val="6"/>
                <w:color w:val="auto"/>
              </w:rPr>
            </w:pPr>
          </w:p>
        </w:tc>
        <w:tc>
          <w:tcPr>
            <w:tcW w:w="1360" w:type="dxa"/>
            <w:vAlign w:val="bottom"/>
            <w:shd w:val="clear" w:color="auto" w:fill="307CC0"/>
          </w:tcPr>
          <w:p>
            <w:pPr>
              <w:spacing w:after="0"/>
              <w:rPr>
                <w:sz w:val="6"/>
                <w:szCs w:val="6"/>
                <w:color w:val="auto"/>
              </w:rPr>
            </w:pPr>
          </w:p>
        </w:tc>
        <w:tc>
          <w:tcPr>
            <w:tcW w:w="2420" w:type="dxa"/>
            <w:vAlign w:val="bottom"/>
            <w:gridSpan w:val="4"/>
            <w:vMerge w:val="restart"/>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8"/>
              </w:rPr>
              <w:t>Under Non-Equity Incentive Plan</w:t>
            </w:r>
          </w:p>
        </w:tc>
        <w:tc>
          <w:tcPr>
            <w:tcW w:w="2440" w:type="dxa"/>
            <w:vAlign w:val="bottom"/>
            <w:gridSpan w:val="3"/>
            <w:vMerge w:val="restart"/>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8"/>
              </w:rPr>
              <w:t>Under Equity Incentive Plan</w:t>
            </w:r>
          </w:p>
        </w:tc>
        <w:tc>
          <w:tcPr>
            <w:tcW w:w="720" w:type="dxa"/>
            <w:vAlign w:val="bottom"/>
            <w:vMerge w:val="continue"/>
            <w:shd w:val="clear" w:color="auto" w:fill="307CC0"/>
          </w:tcPr>
          <w:p>
            <w:pPr>
              <w:spacing w:after="0"/>
              <w:rPr>
                <w:sz w:val="6"/>
                <w:szCs w:val="6"/>
                <w:color w:val="auto"/>
              </w:rPr>
            </w:pPr>
          </w:p>
        </w:tc>
        <w:tc>
          <w:tcPr>
            <w:tcW w:w="900" w:type="dxa"/>
            <w:vAlign w:val="bottom"/>
            <w:shd w:val="clear" w:color="auto" w:fill="307CC0"/>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320" w:type="dxa"/>
            <w:vAlign w:val="bottom"/>
            <w:shd w:val="clear" w:color="auto" w:fill="307CC0"/>
          </w:tcPr>
          <w:p>
            <w:pPr>
              <w:spacing w:after="0"/>
              <w:rPr>
                <w:sz w:val="6"/>
                <w:szCs w:val="6"/>
                <w:color w:val="auto"/>
              </w:rPr>
            </w:pPr>
          </w:p>
        </w:tc>
        <w:tc>
          <w:tcPr>
            <w:tcW w:w="1360" w:type="dxa"/>
            <w:vAlign w:val="bottom"/>
            <w:shd w:val="clear" w:color="auto" w:fill="307CC0"/>
          </w:tcPr>
          <w:p>
            <w:pPr>
              <w:spacing w:after="0"/>
              <w:rPr>
                <w:sz w:val="6"/>
                <w:szCs w:val="6"/>
                <w:color w:val="auto"/>
              </w:rPr>
            </w:pPr>
          </w:p>
        </w:tc>
        <w:tc>
          <w:tcPr>
            <w:tcW w:w="2420" w:type="dxa"/>
            <w:vAlign w:val="bottom"/>
            <w:gridSpan w:val="4"/>
            <w:vMerge w:val="continue"/>
            <w:shd w:val="clear" w:color="auto" w:fill="307CC0"/>
          </w:tcPr>
          <w:p>
            <w:pPr>
              <w:spacing w:after="0"/>
              <w:rPr>
                <w:sz w:val="6"/>
                <w:szCs w:val="6"/>
                <w:color w:val="auto"/>
              </w:rPr>
            </w:pPr>
          </w:p>
        </w:tc>
        <w:tc>
          <w:tcPr>
            <w:tcW w:w="2440" w:type="dxa"/>
            <w:vAlign w:val="bottom"/>
            <w:gridSpan w:val="3"/>
            <w:vMerge w:val="continue"/>
            <w:shd w:val="clear" w:color="auto" w:fill="307CC0"/>
          </w:tcPr>
          <w:p>
            <w:pPr>
              <w:spacing w:after="0"/>
              <w:rPr>
                <w:sz w:val="6"/>
                <w:szCs w:val="6"/>
                <w:color w:val="auto"/>
              </w:rPr>
            </w:pPr>
          </w:p>
        </w:tc>
        <w:tc>
          <w:tcPr>
            <w:tcW w:w="720" w:type="dxa"/>
            <w:vAlign w:val="bottom"/>
            <w:vMerge w:val="restart"/>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0"/>
              </w:rPr>
              <w:t>of</w:t>
            </w:r>
          </w:p>
        </w:tc>
        <w:tc>
          <w:tcPr>
            <w:tcW w:w="900" w:type="dxa"/>
            <w:vAlign w:val="bottom"/>
            <w:vMerge w:val="restart"/>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7"/>
              </w:rPr>
              <w:t>Grant Date</w:t>
            </w:r>
          </w:p>
        </w:tc>
        <w:tc>
          <w:tcPr>
            <w:tcW w:w="0" w:type="dxa"/>
            <w:vAlign w:val="bottom"/>
          </w:tcPr>
          <w:p>
            <w:pPr>
              <w:spacing w:after="0"/>
              <w:rPr>
                <w:sz w:val="1"/>
                <w:szCs w:val="1"/>
                <w:color w:val="auto"/>
              </w:rPr>
            </w:pPr>
          </w:p>
        </w:tc>
      </w:tr>
      <w:tr>
        <w:trPr>
          <w:trHeight w:val="78"/>
        </w:trPr>
        <w:tc>
          <w:tcPr>
            <w:tcW w:w="1320" w:type="dxa"/>
            <w:vAlign w:val="bottom"/>
            <w:shd w:val="clear" w:color="auto" w:fill="307CC0"/>
          </w:tcPr>
          <w:p>
            <w:pPr>
              <w:spacing w:after="0"/>
              <w:rPr>
                <w:sz w:val="6"/>
                <w:szCs w:val="6"/>
                <w:color w:val="auto"/>
              </w:rPr>
            </w:pPr>
          </w:p>
        </w:tc>
        <w:tc>
          <w:tcPr>
            <w:tcW w:w="1360" w:type="dxa"/>
            <w:vAlign w:val="bottom"/>
            <w:shd w:val="clear" w:color="auto" w:fill="307CC0"/>
          </w:tcPr>
          <w:p>
            <w:pPr>
              <w:spacing w:after="0"/>
              <w:rPr>
                <w:sz w:val="6"/>
                <w:szCs w:val="6"/>
                <w:color w:val="auto"/>
              </w:rPr>
            </w:pPr>
          </w:p>
        </w:tc>
        <w:tc>
          <w:tcPr>
            <w:tcW w:w="180" w:type="dxa"/>
            <w:vAlign w:val="bottom"/>
            <w:shd w:val="clear" w:color="auto" w:fill="307CC0"/>
          </w:tcPr>
          <w:p>
            <w:pPr>
              <w:spacing w:after="0"/>
              <w:rPr>
                <w:sz w:val="6"/>
                <w:szCs w:val="6"/>
                <w:color w:val="auto"/>
              </w:rPr>
            </w:pPr>
          </w:p>
        </w:tc>
        <w:tc>
          <w:tcPr>
            <w:tcW w:w="640" w:type="dxa"/>
            <w:vAlign w:val="bottom"/>
            <w:shd w:val="clear" w:color="auto" w:fill="307CC0"/>
          </w:tcPr>
          <w:p>
            <w:pPr>
              <w:spacing w:after="0"/>
              <w:rPr>
                <w:sz w:val="6"/>
                <w:szCs w:val="6"/>
                <w:color w:val="auto"/>
              </w:rPr>
            </w:pPr>
          </w:p>
        </w:tc>
        <w:tc>
          <w:tcPr>
            <w:tcW w:w="780" w:type="dxa"/>
            <w:vAlign w:val="bottom"/>
            <w:vMerge w:val="restart"/>
            <w:shd w:val="clear" w:color="auto" w:fill="307CC0"/>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820" w:type="dxa"/>
            <w:vAlign w:val="bottom"/>
            <w:shd w:val="clear" w:color="auto" w:fill="307CC0"/>
          </w:tcPr>
          <w:p>
            <w:pPr>
              <w:spacing w:after="0"/>
              <w:rPr>
                <w:sz w:val="6"/>
                <w:szCs w:val="6"/>
                <w:color w:val="auto"/>
              </w:rPr>
            </w:pPr>
          </w:p>
        </w:tc>
        <w:tc>
          <w:tcPr>
            <w:tcW w:w="820" w:type="dxa"/>
            <w:vAlign w:val="bottom"/>
            <w:shd w:val="clear" w:color="auto" w:fill="307CC0"/>
          </w:tcPr>
          <w:p>
            <w:pPr>
              <w:spacing w:after="0"/>
              <w:rPr>
                <w:sz w:val="6"/>
                <w:szCs w:val="6"/>
                <w:color w:val="auto"/>
              </w:rPr>
            </w:pPr>
          </w:p>
        </w:tc>
        <w:tc>
          <w:tcPr>
            <w:tcW w:w="820" w:type="dxa"/>
            <w:vAlign w:val="bottom"/>
            <w:vMerge w:val="restart"/>
            <w:shd w:val="clear" w:color="auto" w:fill="307CC0"/>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800" w:type="dxa"/>
            <w:vAlign w:val="bottom"/>
            <w:shd w:val="clear" w:color="auto" w:fill="307CC0"/>
          </w:tcPr>
          <w:p>
            <w:pPr>
              <w:spacing w:after="0"/>
              <w:rPr>
                <w:sz w:val="6"/>
                <w:szCs w:val="6"/>
                <w:color w:val="auto"/>
              </w:rPr>
            </w:pPr>
          </w:p>
        </w:tc>
        <w:tc>
          <w:tcPr>
            <w:tcW w:w="720" w:type="dxa"/>
            <w:vAlign w:val="bottom"/>
            <w:vMerge w:val="continue"/>
            <w:shd w:val="clear" w:color="auto" w:fill="307CC0"/>
          </w:tcPr>
          <w:p>
            <w:pPr>
              <w:spacing w:after="0"/>
              <w:rPr>
                <w:sz w:val="6"/>
                <w:szCs w:val="6"/>
                <w:color w:val="auto"/>
              </w:rPr>
            </w:pPr>
          </w:p>
        </w:tc>
        <w:tc>
          <w:tcPr>
            <w:tcW w:w="900" w:type="dxa"/>
            <w:vAlign w:val="bottom"/>
            <w:vMerge w:val="continue"/>
            <w:shd w:val="clear" w:color="auto" w:fill="307CC0"/>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20" w:type="dxa"/>
            <w:vAlign w:val="bottom"/>
            <w:shd w:val="clear" w:color="auto" w:fill="307CC0"/>
          </w:tcPr>
          <w:p>
            <w:pPr>
              <w:spacing w:after="0"/>
              <w:rPr>
                <w:sz w:val="8"/>
                <w:szCs w:val="8"/>
                <w:color w:val="auto"/>
              </w:rPr>
            </w:pPr>
          </w:p>
        </w:tc>
        <w:tc>
          <w:tcPr>
            <w:tcW w:w="1360" w:type="dxa"/>
            <w:vAlign w:val="bottom"/>
            <w:shd w:val="clear" w:color="auto" w:fill="307CC0"/>
          </w:tcPr>
          <w:p>
            <w:pPr>
              <w:spacing w:after="0"/>
              <w:rPr>
                <w:sz w:val="8"/>
                <w:szCs w:val="8"/>
                <w:color w:val="auto"/>
              </w:rPr>
            </w:pPr>
          </w:p>
        </w:tc>
        <w:tc>
          <w:tcPr>
            <w:tcW w:w="180" w:type="dxa"/>
            <w:vAlign w:val="bottom"/>
            <w:shd w:val="clear" w:color="auto" w:fill="307CC0"/>
          </w:tcPr>
          <w:p>
            <w:pPr>
              <w:spacing w:after="0"/>
              <w:rPr>
                <w:sz w:val="8"/>
                <w:szCs w:val="8"/>
                <w:color w:val="auto"/>
              </w:rPr>
            </w:pPr>
          </w:p>
        </w:tc>
        <w:tc>
          <w:tcPr>
            <w:tcW w:w="640" w:type="dxa"/>
            <w:vAlign w:val="bottom"/>
            <w:shd w:val="clear" w:color="auto" w:fill="307CC0"/>
          </w:tcPr>
          <w:p>
            <w:pPr>
              <w:spacing w:after="0"/>
              <w:rPr>
                <w:sz w:val="8"/>
                <w:szCs w:val="8"/>
                <w:color w:val="auto"/>
              </w:rPr>
            </w:pPr>
          </w:p>
        </w:tc>
        <w:tc>
          <w:tcPr>
            <w:tcW w:w="780" w:type="dxa"/>
            <w:vAlign w:val="bottom"/>
            <w:vMerge w:val="continue"/>
            <w:shd w:val="clear" w:color="auto" w:fill="307CC0"/>
          </w:tcPr>
          <w:p>
            <w:pPr>
              <w:spacing w:after="0"/>
              <w:rPr>
                <w:sz w:val="8"/>
                <w:szCs w:val="8"/>
                <w:color w:val="auto"/>
              </w:rPr>
            </w:pPr>
          </w:p>
        </w:tc>
        <w:tc>
          <w:tcPr>
            <w:tcW w:w="820" w:type="dxa"/>
            <w:vAlign w:val="bottom"/>
            <w:shd w:val="clear" w:color="auto" w:fill="307CC0"/>
          </w:tcPr>
          <w:p>
            <w:pPr>
              <w:spacing w:after="0"/>
              <w:rPr>
                <w:sz w:val="8"/>
                <w:szCs w:val="8"/>
                <w:color w:val="auto"/>
              </w:rPr>
            </w:pPr>
          </w:p>
        </w:tc>
        <w:tc>
          <w:tcPr>
            <w:tcW w:w="820" w:type="dxa"/>
            <w:vAlign w:val="bottom"/>
            <w:shd w:val="clear" w:color="auto" w:fill="307CC0"/>
          </w:tcPr>
          <w:p>
            <w:pPr>
              <w:spacing w:after="0"/>
              <w:rPr>
                <w:sz w:val="8"/>
                <w:szCs w:val="8"/>
                <w:color w:val="auto"/>
              </w:rPr>
            </w:pPr>
          </w:p>
        </w:tc>
        <w:tc>
          <w:tcPr>
            <w:tcW w:w="820" w:type="dxa"/>
            <w:vAlign w:val="bottom"/>
            <w:vMerge w:val="continue"/>
            <w:shd w:val="clear" w:color="auto" w:fill="307CC0"/>
          </w:tcPr>
          <w:p>
            <w:pPr>
              <w:spacing w:after="0"/>
              <w:rPr>
                <w:sz w:val="8"/>
                <w:szCs w:val="8"/>
                <w:color w:val="auto"/>
              </w:rPr>
            </w:pPr>
          </w:p>
        </w:tc>
        <w:tc>
          <w:tcPr>
            <w:tcW w:w="800" w:type="dxa"/>
            <w:vAlign w:val="bottom"/>
            <w:shd w:val="clear" w:color="auto" w:fill="307CC0"/>
          </w:tcPr>
          <w:p>
            <w:pPr>
              <w:spacing w:after="0"/>
              <w:rPr>
                <w:sz w:val="8"/>
                <w:szCs w:val="8"/>
                <w:color w:val="auto"/>
              </w:rPr>
            </w:pPr>
          </w:p>
        </w:tc>
        <w:tc>
          <w:tcPr>
            <w:tcW w:w="720" w:type="dxa"/>
            <w:vAlign w:val="bottom"/>
            <w:vMerge w:val="restart"/>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8"/>
              </w:rPr>
              <w:t>Shares</w:t>
            </w:r>
          </w:p>
        </w:tc>
        <w:tc>
          <w:tcPr>
            <w:tcW w:w="900" w:type="dxa"/>
            <w:vAlign w:val="bottom"/>
            <w:vMerge w:val="restart"/>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8"/>
              </w:rPr>
              <w:t>Fair Value</w:t>
            </w:r>
          </w:p>
        </w:tc>
        <w:tc>
          <w:tcPr>
            <w:tcW w:w="0" w:type="dxa"/>
            <w:vAlign w:val="bottom"/>
          </w:tcPr>
          <w:p>
            <w:pPr>
              <w:spacing w:after="0"/>
              <w:rPr>
                <w:sz w:val="1"/>
                <w:szCs w:val="1"/>
                <w:color w:val="auto"/>
              </w:rPr>
            </w:pPr>
          </w:p>
        </w:tc>
      </w:tr>
      <w:tr>
        <w:trPr>
          <w:trHeight w:val="53"/>
        </w:trPr>
        <w:tc>
          <w:tcPr>
            <w:tcW w:w="1320" w:type="dxa"/>
            <w:vAlign w:val="bottom"/>
            <w:shd w:val="clear" w:color="auto" w:fill="307CC0"/>
          </w:tcPr>
          <w:p>
            <w:pPr>
              <w:spacing w:after="0"/>
              <w:rPr>
                <w:sz w:val="4"/>
                <w:szCs w:val="4"/>
                <w:color w:val="auto"/>
              </w:rPr>
            </w:pPr>
          </w:p>
        </w:tc>
        <w:tc>
          <w:tcPr>
            <w:tcW w:w="1360" w:type="dxa"/>
            <w:vAlign w:val="bottom"/>
            <w:shd w:val="clear" w:color="auto" w:fill="307CC0"/>
          </w:tcPr>
          <w:p>
            <w:pPr>
              <w:spacing w:after="0"/>
              <w:rPr>
                <w:sz w:val="4"/>
                <w:szCs w:val="4"/>
                <w:color w:val="auto"/>
              </w:rPr>
            </w:pPr>
          </w:p>
        </w:tc>
        <w:tc>
          <w:tcPr>
            <w:tcW w:w="180" w:type="dxa"/>
            <w:vAlign w:val="bottom"/>
            <w:shd w:val="clear" w:color="auto" w:fill="307CC0"/>
          </w:tcPr>
          <w:p>
            <w:pPr>
              <w:spacing w:after="0"/>
              <w:rPr>
                <w:sz w:val="4"/>
                <w:szCs w:val="4"/>
                <w:color w:val="auto"/>
              </w:rPr>
            </w:pPr>
          </w:p>
        </w:tc>
        <w:tc>
          <w:tcPr>
            <w:tcW w:w="640" w:type="dxa"/>
            <w:vAlign w:val="bottom"/>
            <w:shd w:val="clear" w:color="auto" w:fill="307CC0"/>
          </w:tcPr>
          <w:p>
            <w:pPr>
              <w:spacing w:after="0"/>
              <w:rPr>
                <w:sz w:val="4"/>
                <w:szCs w:val="4"/>
                <w:color w:val="auto"/>
              </w:rPr>
            </w:pPr>
          </w:p>
        </w:tc>
        <w:tc>
          <w:tcPr>
            <w:tcW w:w="780" w:type="dxa"/>
            <w:vAlign w:val="bottom"/>
            <w:shd w:val="clear" w:color="auto" w:fill="307CC0"/>
          </w:tcPr>
          <w:p>
            <w:pPr>
              <w:spacing w:after="0"/>
              <w:rPr>
                <w:sz w:val="4"/>
                <w:szCs w:val="4"/>
                <w:color w:val="auto"/>
              </w:rPr>
            </w:pPr>
          </w:p>
        </w:tc>
        <w:tc>
          <w:tcPr>
            <w:tcW w:w="820" w:type="dxa"/>
            <w:vAlign w:val="bottom"/>
            <w:shd w:val="clear" w:color="auto" w:fill="307CC0"/>
          </w:tcPr>
          <w:p>
            <w:pPr>
              <w:spacing w:after="0"/>
              <w:rPr>
                <w:sz w:val="4"/>
                <w:szCs w:val="4"/>
                <w:color w:val="auto"/>
              </w:rPr>
            </w:pPr>
          </w:p>
        </w:tc>
        <w:tc>
          <w:tcPr>
            <w:tcW w:w="820" w:type="dxa"/>
            <w:vAlign w:val="bottom"/>
            <w:shd w:val="clear" w:color="auto" w:fill="307CC0"/>
          </w:tcPr>
          <w:p>
            <w:pPr>
              <w:spacing w:after="0"/>
              <w:rPr>
                <w:sz w:val="4"/>
                <w:szCs w:val="4"/>
                <w:color w:val="auto"/>
              </w:rPr>
            </w:pPr>
          </w:p>
        </w:tc>
        <w:tc>
          <w:tcPr>
            <w:tcW w:w="820" w:type="dxa"/>
            <w:vAlign w:val="bottom"/>
            <w:shd w:val="clear" w:color="auto" w:fill="307CC0"/>
          </w:tcPr>
          <w:p>
            <w:pPr>
              <w:spacing w:after="0"/>
              <w:rPr>
                <w:sz w:val="4"/>
                <w:szCs w:val="4"/>
                <w:color w:val="auto"/>
              </w:rPr>
            </w:pPr>
          </w:p>
        </w:tc>
        <w:tc>
          <w:tcPr>
            <w:tcW w:w="800" w:type="dxa"/>
            <w:vAlign w:val="bottom"/>
            <w:shd w:val="clear" w:color="auto" w:fill="307CC0"/>
          </w:tcPr>
          <w:p>
            <w:pPr>
              <w:spacing w:after="0"/>
              <w:rPr>
                <w:sz w:val="4"/>
                <w:szCs w:val="4"/>
                <w:color w:val="auto"/>
              </w:rPr>
            </w:pPr>
          </w:p>
        </w:tc>
        <w:tc>
          <w:tcPr>
            <w:tcW w:w="720" w:type="dxa"/>
            <w:vAlign w:val="bottom"/>
            <w:vMerge w:val="continue"/>
            <w:shd w:val="clear" w:color="auto" w:fill="307CC0"/>
          </w:tcPr>
          <w:p>
            <w:pPr>
              <w:spacing w:after="0"/>
              <w:rPr>
                <w:sz w:val="4"/>
                <w:szCs w:val="4"/>
                <w:color w:val="auto"/>
              </w:rPr>
            </w:pPr>
          </w:p>
        </w:tc>
        <w:tc>
          <w:tcPr>
            <w:tcW w:w="900" w:type="dxa"/>
            <w:vAlign w:val="bottom"/>
            <w:vMerge w:val="continue"/>
            <w:shd w:val="clear" w:color="auto" w:fill="307CC0"/>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320" w:type="dxa"/>
            <w:vAlign w:val="bottom"/>
            <w:shd w:val="clear" w:color="auto" w:fill="307CC0"/>
          </w:tcPr>
          <w:p>
            <w:pPr>
              <w:spacing w:after="0"/>
              <w:rPr>
                <w:sz w:val="13"/>
                <w:szCs w:val="13"/>
                <w:color w:val="auto"/>
              </w:rPr>
            </w:pPr>
          </w:p>
        </w:tc>
        <w:tc>
          <w:tcPr>
            <w:tcW w:w="1360" w:type="dxa"/>
            <w:vAlign w:val="bottom"/>
            <w:shd w:val="clear" w:color="auto" w:fill="307CC0"/>
          </w:tcPr>
          <w:p>
            <w:pPr>
              <w:spacing w:after="0"/>
              <w:rPr>
                <w:sz w:val="13"/>
                <w:szCs w:val="13"/>
                <w:color w:val="auto"/>
              </w:rPr>
            </w:pPr>
          </w:p>
        </w:tc>
        <w:tc>
          <w:tcPr>
            <w:tcW w:w="180" w:type="dxa"/>
            <w:vAlign w:val="bottom"/>
            <w:shd w:val="clear" w:color="auto" w:fill="307CC0"/>
          </w:tcPr>
          <w:p>
            <w:pPr>
              <w:spacing w:after="0"/>
              <w:rPr>
                <w:sz w:val="13"/>
                <w:szCs w:val="13"/>
                <w:color w:val="auto"/>
              </w:rPr>
            </w:pPr>
          </w:p>
        </w:tc>
        <w:tc>
          <w:tcPr>
            <w:tcW w:w="640" w:type="dxa"/>
            <w:vAlign w:val="bottom"/>
            <w:shd w:val="clear" w:color="auto" w:fill="307CC0"/>
          </w:tcPr>
          <w:p>
            <w:pPr>
              <w:spacing w:after="0"/>
              <w:rPr>
                <w:sz w:val="13"/>
                <w:szCs w:val="13"/>
                <w:color w:val="auto"/>
              </w:rPr>
            </w:pPr>
          </w:p>
        </w:tc>
        <w:tc>
          <w:tcPr>
            <w:tcW w:w="780" w:type="dxa"/>
            <w:vAlign w:val="bottom"/>
            <w:shd w:val="clear" w:color="auto" w:fill="307CC0"/>
          </w:tcPr>
          <w:p>
            <w:pPr>
              <w:spacing w:after="0"/>
              <w:rPr>
                <w:sz w:val="13"/>
                <w:szCs w:val="13"/>
                <w:color w:val="auto"/>
              </w:rPr>
            </w:pPr>
          </w:p>
        </w:tc>
        <w:tc>
          <w:tcPr>
            <w:tcW w:w="820" w:type="dxa"/>
            <w:vAlign w:val="bottom"/>
            <w:shd w:val="clear" w:color="auto" w:fill="307CC0"/>
          </w:tcPr>
          <w:p>
            <w:pPr>
              <w:spacing w:after="0"/>
              <w:rPr>
                <w:sz w:val="13"/>
                <w:szCs w:val="13"/>
                <w:color w:val="auto"/>
              </w:rPr>
            </w:pPr>
          </w:p>
        </w:tc>
        <w:tc>
          <w:tcPr>
            <w:tcW w:w="820" w:type="dxa"/>
            <w:vAlign w:val="bottom"/>
            <w:shd w:val="clear" w:color="auto" w:fill="307CC0"/>
          </w:tcPr>
          <w:p>
            <w:pPr>
              <w:spacing w:after="0"/>
              <w:rPr>
                <w:sz w:val="13"/>
                <w:szCs w:val="13"/>
                <w:color w:val="auto"/>
              </w:rPr>
            </w:pPr>
          </w:p>
        </w:tc>
        <w:tc>
          <w:tcPr>
            <w:tcW w:w="820" w:type="dxa"/>
            <w:vAlign w:val="bottom"/>
            <w:shd w:val="clear" w:color="auto" w:fill="307CC0"/>
          </w:tcPr>
          <w:p>
            <w:pPr>
              <w:spacing w:after="0"/>
              <w:rPr>
                <w:sz w:val="13"/>
                <w:szCs w:val="13"/>
                <w:color w:val="auto"/>
              </w:rPr>
            </w:pPr>
          </w:p>
        </w:tc>
        <w:tc>
          <w:tcPr>
            <w:tcW w:w="800" w:type="dxa"/>
            <w:vAlign w:val="bottom"/>
            <w:shd w:val="clear" w:color="auto" w:fill="307CC0"/>
          </w:tcPr>
          <w:p>
            <w:pPr>
              <w:spacing w:after="0"/>
              <w:rPr>
                <w:sz w:val="13"/>
                <w:szCs w:val="13"/>
                <w:color w:val="auto"/>
              </w:rPr>
            </w:pPr>
          </w:p>
        </w:tc>
        <w:tc>
          <w:tcPr>
            <w:tcW w:w="72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7"/>
              </w:rPr>
              <w:t>of Stock</w:t>
            </w:r>
          </w:p>
        </w:tc>
        <w:tc>
          <w:tcPr>
            <w:tcW w:w="900" w:type="dxa"/>
            <w:vAlign w:val="bottom"/>
            <w:shd w:val="clear" w:color="auto" w:fill="307CC0"/>
          </w:tcPr>
          <w:p>
            <w:pPr>
              <w:jc w:val="center"/>
              <w:spacing w:after="0" w:line="155" w:lineRule="exact"/>
              <w:rPr>
                <w:sz w:val="20"/>
                <w:szCs w:val="20"/>
                <w:color w:val="auto"/>
              </w:rPr>
            </w:pPr>
            <w:r>
              <w:rPr>
                <w:rFonts w:ascii="Arial" w:cs="Arial" w:eastAsia="Arial" w:hAnsi="Arial"/>
                <w:sz w:val="14"/>
                <w:szCs w:val="14"/>
                <w:b w:val="1"/>
                <w:bCs w:val="1"/>
                <w:color w:val="FFFFFF"/>
                <w:w w:val="97"/>
              </w:rPr>
              <w:t>of Stock</w:t>
            </w:r>
          </w:p>
        </w:tc>
        <w:tc>
          <w:tcPr>
            <w:tcW w:w="0" w:type="dxa"/>
            <w:vAlign w:val="bottom"/>
          </w:tcPr>
          <w:p>
            <w:pPr>
              <w:spacing w:after="0"/>
              <w:rPr>
                <w:sz w:val="1"/>
                <w:szCs w:val="1"/>
                <w:color w:val="auto"/>
              </w:rPr>
            </w:pPr>
          </w:p>
        </w:tc>
      </w:tr>
      <w:tr>
        <w:trPr>
          <w:trHeight w:val="167"/>
        </w:trPr>
        <w:tc>
          <w:tcPr>
            <w:tcW w:w="1320" w:type="dxa"/>
            <w:vAlign w:val="bottom"/>
            <w:shd w:val="clear" w:color="auto" w:fill="307CC0"/>
          </w:tcPr>
          <w:p>
            <w:pPr>
              <w:spacing w:after="0"/>
              <w:rPr>
                <w:sz w:val="14"/>
                <w:szCs w:val="14"/>
                <w:color w:val="auto"/>
              </w:rPr>
            </w:pPr>
          </w:p>
        </w:tc>
        <w:tc>
          <w:tcPr>
            <w:tcW w:w="1360" w:type="dxa"/>
            <w:vAlign w:val="bottom"/>
            <w:shd w:val="clear" w:color="auto" w:fill="307CC0"/>
          </w:tcPr>
          <w:p>
            <w:pPr>
              <w:spacing w:after="0"/>
              <w:rPr>
                <w:sz w:val="14"/>
                <w:szCs w:val="14"/>
                <w:color w:val="auto"/>
              </w:rPr>
            </w:pPr>
          </w:p>
        </w:tc>
        <w:tc>
          <w:tcPr>
            <w:tcW w:w="820" w:type="dxa"/>
            <w:vAlign w:val="bottom"/>
            <w:gridSpan w:val="2"/>
            <w:shd w:val="clear" w:color="auto" w:fill="307CC0"/>
          </w:tcPr>
          <w:p>
            <w:pPr>
              <w:jc w:val="right"/>
              <w:ind w:right="71"/>
              <w:spacing w:after="0"/>
              <w:rPr>
                <w:sz w:val="20"/>
                <w:szCs w:val="20"/>
                <w:color w:val="auto"/>
              </w:rPr>
            </w:pPr>
            <w:r>
              <w:rPr>
                <w:rFonts w:ascii="Arial" w:cs="Arial" w:eastAsia="Arial" w:hAnsi="Arial"/>
                <w:sz w:val="12"/>
                <w:szCs w:val="12"/>
                <w:b w:val="1"/>
                <w:bCs w:val="1"/>
                <w:color w:val="FFFFFF"/>
              </w:rPr>
              <w:t>Threshold</w:t>
            </w:r>
          </w:p>
        </w:tc>
        <w:tc>
          <w:tcPr>
            <w:tcW w:w="780" w:type="dxa"/>
            <w:vAlign w:val="bottom"/>
            <w:shd w:val="clear" w:color="auto" w:fill="307CC0"/>
          </w:tcPr>
          <w:p>
            <w:pPr>
              <w:jc w:val="right"/>
              <w:ind w:right="192"/>
              <w:spacing w:after="0"/>
              <w:rPr>
                <w:sz w:val="20"/>
                <w:szCs w:val="20"/>
                <w:color w:val="auto"/>
              </w:rPr>
            </w:pPr>
            <w:r>
              <w:rPr>
                <w:rFonts w:ascii="Arial" w:cs="Arial" w:eastAsia="Arial" w:hAnsi="Arial"/>
                <w:sz w:val="12"/>
                <w:szCs w:val="12"/>
                <w:b w:val="1"/>
                <w:bCs w:val="1"/>
                <w:color w:val="FFFFFF"/>
              </w:rPr>
              <w:t>Target</w:t>
            </w:r>
          </w:p>
        </w:tc>
        <w:tc>
          <w:tcPr>
            <w:tcW w:w="820" w:type="dxa"/>
            <w:vAlign w:val="bottom"/>
            <w:shd w:val="clear" w:color="auto" w:fill="307CC0"/>
          </w:tcPr>
          <w:p>
            <w:pPr>
              <w:jc w:val="right"/>
              <w:ind w:right="72"/>
              <w:spacing w:after="0"/>
              <w:rPr>
                <w:sz w:val="20"/>
                <w:szCs w:val="20"/>
                <w:color w:val="auto"/>
              </w:rPr>
            </w:pPr>
            <w:r>
              <w:rPr>
                <w:rFonts w:ascii="Arial" w:cs="Arial" w:eastAsia="Arial" w:hAnsi="Arial"/>
                <w:sz w:val="12"/>
                <w:szCs w:val="12"/>
                <w:b w:val="1"/>
                <w:bCs w:val="1"/>
                <w:color w:val="FFFFFF"/>
              </w:rPr>
              <w:t>Maximum</w:t>
            </w:r>
          </w:p>
        </w:tc>
        <w:tc>
          <w:tcPr>
            <w:tcW w:w="820" w:type="dxa"/>
            <w:vAlign w:val="bottom"/>
            <w:shd w:val="clear" w:color="auto" w:fill="307CC0"/>
          </w:tcPr>
          <w:p>
            <w:pPr>
              <w:jc w:val="right"/>
              <w:ind w:right="32"/>
              <w:spacing w:after="0"/>
              <w:rPr>
                <w:sz w:val="20"/>
                <w:szCs w:val="20"/>
                <w:color w:val="auto"/>
              </w:rPr>
            </w:pPr>
            <w:r>
              <w:rPr>
                <w:rFonts w:ascii="Arial" w:cs="Arial" w:eastAsia="Arial" w:hAnsi="Arial"/>
                <w:sz w:val="12"/>
                <w:szCs w:val="12"/>
                <w:b w:val="1"/>
                <w:bCs w:val="1"/>
                <w:color w:val="FFFFFF"/>
              </w:rPr>
              <w:t>Threshold</w:t>
            </w:r>
          </w:p>
        </w:tc>
        <w:tc>
          <w:tcPr>
            <w:tcW w:w="820" w:type="dxa"/>
            <w:vAlign w:val="bottom"/>
            <w:shd w:val="clear" w:color="auto" w:fill="307CC0"/>
          </w:tcPr>
          <w:p>
            <w:pPr>
              <w:jc w:val="center"/>
              <w:spacing w:after="0"/>
              <w:rPr>
                <w:sz w:val="20"/>
                <w:szCs w:val="20"/>
                <w:color w:val="auto"/>
              </w:rPr>
            </w:pPr>
            <w:r>
              <w:rPr>
                <w:rFonts w:ascii="Arial" w:cs="Arial" w:eastAsia="Arial" w:hAnsi="Arial"/>
                <w:sz w:val="12"/>
                <w:szCs w:val="12"/>
                <w:b w:val="1"/>
                <w:bCs w:val="1"/>
                <w:color w:val="FFFFFF"/>
                <w:w w:val="98"/>
              </w:rPr>
              <w:t>Target</w:t>
            </w:r>
          </w:p>
        </w:tc>
        <w:tc>
          <w:tcPr>
            <w:tcW w:w="800" w:type="dxa"/>
            <w:vAlign w:val="bottom"/>
            <w:shd w:val="clear" w:color="auto" w:fill="307CC0"/>
          </w:tcPr>
          <w:p>
            <w:pPr>
              <w:jc w:val="right"/>
              <w:ind w:right="52"/>
              <w:spacing w:after="0"/>
              <w:rPr>
                <w:sz w:val="20"/>
                <w:szCs w:val="20"/>
                <w:color w:val="auto"/>
              </w:rPr>
            </w:pPr>
            <w:r>
              <w:rPr>
                <w:rFonts w:ascii="Arial" w:cs="Arial" w:eastAsia="Arial" w:hAnsi="Arial"/>
                <w:sz w:val="12"/>
                <w:szCs w:val="12"/>
                <w:b w:val="1"/>
                <w:bCs w:val="1"/>
                <w:color w:val="FFFFFF"/>
              </w:rPr>
              <w:t>Maximum</w:t>
            </w:r>
          </w:p>
        </w:tc>
        <w:tc>
          <w:tcPr>
            <w:tcW w:w="720" w:type="dxa"/>
            <w:vAlign w:val="bottom"/>
            <w:shd w:val="clear" w:color="auto" w:fill="307CC0"/>
          </w:tcPr>
          <w:p>
            <w:pPr>
              <w:jc w:val="center"/>
              <w:spacing w:after="0"/>
              <w:rPr>
                <w:sz w:val="20"/>
                <w:szCs w:val="20"/>
                <w:color w:val="auto"/>
              </w:rPr>
            </w:pPr>
            <w:r>
              <w:rPr>
                <w:rFonts w:ascii="Arial" w:cs="Arial" w:eastAsia="Arial" w:hAnsi="Arial"/>
                <w:sz w:val="14"/>
                <w:szCs w:val="14"/>
                <w:b w:val="1"/>
                <w:bCs w:val="1"/>
                <w:color w:val="FFFFFF"/>
                <w:w w:val="98"/>
              </w:rPr>
              <w:t>or Units</w:t>
            </w:r>
          </w:p>
        </w:tc>
        <w:tc>
          <w:tcPr>
            <w:tcW w:w="900" w:type="dxa"/>
            <w:vAlign w:val="bottom"/>
            <w:shd w:val="clear" w:color="auto" w:fill="307CC0"/>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0" w:type="dxa"/>
            <w:vAlign w:val="bottom"/>
          </w:tcPr>
          <w:p>
            <w:pPr>
              <w:spacing w:after="0"/>
              <w:rPr>
                <w:sz w:val="1"/>
                <w:szCs w:val="1"/>
                <w:color w:val="auto"/>
              </w:rPr>
            </w:pPr>
          </w:p>
        </w:tc>
      </w:tr>
      <w:tr>
        <w:trPr>
          <w:trHeight w:val="181"/>
        </w:trPr>
        <w:tc>
          <w:tcPr>
            <w:tcW w:w="1320" w:type="dxa"/>
            <w:vAlign w:val="bottom"/>
            <w:shd w:val="clear" w:color="auto" w:fill="307CC0"/>
          </w:tcPr>
          <w:p>
            <w:pPr>
              <w:ind w:left="40"/>
              <w:spacing w:after="0"/>
              <w:rPr>
                <w:sz w:val="20"/>
                <w:szCs w:val="20"/>
                <w:color w:val="auto"/>
              </w:rPr>
            </w:pPr>
            <w:r>
              <w:rPr>
                <w:rFonts w:ascii="Arial" w:cs="Arial" w:eastAsia="Arial" w:hAnsi="Arial"/>
                <w:sz w:val="12"/>
                <w:szCs w:val="12"/>
                <w:b w:val="1"/>
                <w:bCs w:val="1"/>
                <w:color w:val="FFFFFF"/>
              </w:rPr>
              <w:t>Name</w:t>
            </w:r>
          </w:p>
        </w:tc>
        <w:tc>
          <w:tcPr>
            <w:tcW w:w="1360" w:type="dxa"/>
            <w:vAlign w:val="bottom"/>
            <w:shd w:val="clear" w:color="auto" w:fill="307CC0"/>
          </w:tcPr>
          <w:p>
            <w:pPr>
              <w:ind w:left="380"/>
              <w:spacing w:after="0"/>
              <w:rPr>
                <w:sz w:val="20"/>
                <w:szCs w:val="20"/>
                <w:color w:val="auto"/>
              </w:rPr>
            </w:pPr>
            <w:r>
              <w:rPr>
                <w:rFonts w:ascii="Arial" w:cs="Arial" w:eastAsia="Arial" w:hAnsi="Arial"/>
                <w:sz w:val="12"/>
                <w:szCs w:val="12"/>
                <w:b w:val="1"/>
                <w:bCs w:val="1"/>
                <w:color w:val="FFFFFF"/>
              </w:rPr>
              <w:t>Grant Date</w:t>
            </w:r>
          </w:p>
        </w:tc>
        <w:tc>
          <w:tcPr>
            <w:tcW w:w="820" w:type="dxa"/>
            <w:vAlign w:val="bottom"/>
            <w:gridSpan w:val="2"/>
            <w:shd w:val="clear" w:color="auto" w:fill="307CC0"/>
          </w:tcPr>
          <w:p>
            <w:pPr>
              <w:jc w:val="right"/>
              <w:ind w:right="291"/>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307CC0"/>
          </w:tcPr>
          <w:p>
            <w:pPr>
              <w:jc w:val="right"/>
              <w:ind w:right="292"/>
              <w:spacing w:after="0"/>
              <w:rPr>
                <w:sz w:val="20"/>
                <w:szCs w:val="20"/>
                <w:color w:val="auto"/>
              </w:rPr>
            </w:pPr>
            <w:r>
              <w:rPr>
                <w:rFonts w:ascii="Arial" w:cs="Arial" w:eastAsia="Arial" w:hAnsi="Arial"/>
                <w:sz w:val="12"/>
                <w:szCs w:val="12"/>
                <w:b w:val="1"/>
                <w:bCs w:val="1"/>
                <w:color w:val="FFFFFF"/>
              </w:rPr>
              <w:t>($)</w:t>
            </w:r>
          </w:p>
        </w:tc>
        <w:tc>
          <w:tcPr>
            <w:tcW w:w="820" w:type="dxa"/>
            <w:vAlign w:val="bottom"/>
            <w:shd w:val="clear" w:color="auto" w:fill="307CC0"/>
          </w:tcPr>
          <w:p>
            <w:pPr>
              <w:jc w:val="right"/>
              <w:ind w:right="272"/>
              <w:spacing w:after="0"/>
              <w:rPr>
                <w:sz w:val="20"/>
                <w:szCs w:val="20"/>
                <w:color w:val="auto"/>
              </w:rPr>
            </w:pPr>
            <w:r>
              <w:rPr>
                <w:rFonts w:ascii="Arial" w:cs="Arial" w:eastAsia="Arial" w:hAnsi="Arial"/>
                <w:sz w:val="12"/>
                <w:szCs w:val="12"/>
                <w:b w:val="1"/>
                <w:bCs w:val="1"/>
                <w:color w:val="FFFFFF"/>
              </w:rPr>
              <w:t>($)</w:t>
            </w:r>
          </w:p>
        </w:tc>
        <w:tc>
          <w:tcPr>
            <w:tcW w:w="820" w:type="dxa"/>
            <w:vAlign w:val="bottom"/>
            <w:shd w:val="clear" w:color="auto" w:fill="307CC0"/>
          </w:tcPr>
          <w:p>
            <w:pPr>
              <w:jc w:val="right"/>
              <w:spacing w:after="0"/>
              <w:rPr>
                <w:sz w:val="20"/>
                <w:szCs w:val="20"/>
                <w:color w:val="auto"/>
              </w:rPr>
            </w:pPr>
            <w:r>
              <w:rPr>
                <w:rFonts w:ascii="Arial" w:cs="Arial" w:eastAsia="Arial" w:hAnsi="Arial"/>
                <w:sz w:val="12"/>
                <w:szCs w:val="12"/>
                <w:b w:val="1"/>
                <w:bCs w:val="1"/>
                <w:color w:val="FFFFFF"/>
              </w:rPr>
              <w:t>(# of shares)</w:t>
            </w:r>
          </w:p>
        </w:tc>
        <w:tc>
          <w:tcPr>
            <w:tcW w:w="820" w:type="dxa"/>
            <w:vAlign w:val="bottom"/>
            <w:shd w:val="clear" w:color="auto" w:fill="307CC0"/>
          </w:tcPr>
          <w:p>
            <w:pPr>
              <w:jc w:val="center"/>
              <w:spacing w:after="0"/>
              <w:rPr>
                <w:sz w:val="20"/>
                <w:szCs w:val="20"/>
                <w:color w:val="auto"/>
              </w:rPr>
            </w:pPr>
            <w:r>
              <w:rPr>
                <w:rFonts w:ascii="Arial" w:cs="Arial" w:eastAsia="Arial" w:hAnsi="Arial"/>
                <w:sz w:val="12"/>
                <w:szCs w:val="12"/>
                <w:b w:val="1"/>
                <w:bCs w:val="1"/>
                <w:color w:val="FFFFFF"/>
                <w:w w:val="98"/>
              </w:rPr>
              <w:t>(# of shares)</w:t>
            </w:r>
          </w:p>
        </w:tc>
        <w:tc>
          <w:tcPr>
            <w:tcW w:w="800" w:type="dxa"/>
            <w:vAlign w:val="bottom"/>
            <w:shd w:val="clear" w:color="auto" w:fill="307CC0"/>
          </w:tcPr>
          <w:p>
            <w:pPr>
              <w:jc w:val="right"/>
              <w:spacing w:after="0"/>
              <w:rPr>
                <w:sz w:val="20"/>
                <w:szCs w:val="20"/>
                <w:color w:val="auto"/>
              </w:rPr>
            </w:pPr>
            <w:r>
              <w:rPr>
                <w:rFonts w:ascii="Arial" w:cs="Arial" w:eastAsia="Arial" w:hAnsi="Arial"/>
                <w:sz w:val="12"/>
                <w:szCs w:val="12"/>
                <w:b w:val="1"/>
                <w:bCs w:val="1"/>
                <w:color w:val="FFFFFF"/>
              </w:rPr>
              <w:t>(# of shares)</w:t>
            </w:r>
          </w:p>
        </w:tc>
        <w:tc>
          <w:tcPr>
            <w:tcW w:w="720" w:type="dxa"/>
            <w:vAlign w:val="bottom"/>
            <w:shd w:val="clear" w:color="auto" w:fill="307CC0"/>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307CC0"/>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1"/>
        </w:trPr>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Mr. Bassham</w:t>
            </w:r>
          </w:p>
        </w:tc>
        <w:tc>
          <w:tcPr>
            <w:tcW w:w="1360" w:type="dxa"/>
            <w:vAlign w:val="bottom"/>
            <w:tcBorders>
              <w:bottom w:val="single" w:sz="8" w:color="307CC0"/>
            </w:tcBorders>
            <w:shd w:val="clear" w:color="auto" w:fill="CCEEFF"/>
          </w:tcPr>
          <w:p>
            <w:pPr>
              <w:ind w:left="20"/>
              <w:spacing w:after="0" w:line="181" w:lineRule="exact"/>
              <w:rPr>
                <w:sz w:val="20"/>
                <w:szCs w:val="20"/>
                <w:color w:val="auto"/>
              </w:rPr>
            </w:pPr>
            <w:r>
              <w:rPr>
                <w:rFonts w:ascii="Arial" w:cs="Arial" w:eastAsia="Arial" w:hAnsi="Arial"/>
                <w:sz w:val="13"/>
                <w:szCs w:val="13"/>
                <w:color w:val="auto"/>
              </w:rPr>
              <w:t>February 11, 2019</w:t>
            </w:r>
            <w:r>
              <w:rPr>
                <w:rFonts w:ascii="Arial" w:cs="Arial" w:eastAsia="Arial" w:hAnsi="Arial"/>
                <w:sz w:val="20"/>
                <w:szCs w:val="20"/>
                <w:color w:val="auto"/>
                <w:vertAlign w:val="superscript"/>
              </w:rPr>
              <w:t>(1)</w:t>
            </w:r>
          </w:p>
        </w:tc>
        <w:tc>
          <w:tcPr>
            <w:tcW w:w="820" w:type="dxa"/>
            <w:vAlign w:val="bottom"/>
            <w:tcBorders>
              <w:bottom w:val="single" w:sz="8" w:color="307CC0"/>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475,000</w:t>
            </w:r>
          </w:p>
        </w:tc>
        <w:tc>
          <w:tcPr>
            <w:tcW w:w="7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950,000</w:t>
            </w:r>
          </w:p>
        </w:tc>
        <w:tc>
          <w:tcPr>
            <w:tcW w:w="8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1,900,000</w:t>
            </w:r>
          </w:p>
        </w:tc>
        <w:tc>
          <w:tcPr>
            <w:tcW w:w="82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307CC0"/>
            </w:tcBorders>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(2)</w:t>
            </w:r>
          </w:p>
        </w:tc>
        <w:tc>
          <w:tcPr>
            <w:tcW w:w="180" w:type="dxa"/>
            <w:vAlign w:val="bottom"/>
            <w:tcBorders>
              <w:bottom w:val="single" w:sz="8" w:color="307CC0"/>
            </w:tcBorders>
          </w:tcPr>
          <w:p>
            <w:pPr>
              <w:spacing w:after="0"/>
              <w:rPr>
                <w:sz w:val="15"/>
                <w:szCs w:val="15"/>
                <w:color w:val="auto"/>
              </w:rPr>
            </w:pPr>
          </w:p>
        </w:tc>
        <w:tc>
          <w:tcPr>
            <w:tcW w:w="640" w:type="dxa"/>
            <w:vAlign w:val="bottom"/>
            <w:tcBorders>
              <w:bottom w:val="single" w:sz="8" w:color="307CC0"/>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tcPr>
          <w:p>
            <w:pPr>
              <w:jc w:val="right"/>
              <w:ind w:right="12"/>
              <w:spacing w:after="0"/>
              <w:rPr>
                <w:sz w:val="20"/>
                <w:szCs w:val="20"/>
                <w:color w:val="auto"/>
              </w:rPr>
            </w:pPr>
            <w:r>
              <w:rPr>
                <w:rFonts w:ascii="Arial" w:cs="Arial" w:eastAsia="Arial" w:hAnsi="Arial"/>
                <w:sz w:val="14"/>
                <w:szCs w:val="14"/>
                <w:color w:val="auto"/>
              </w:rPr>
              <w:t>24,751</w:t>
            </w:r>
          </w:p>
        </w:tc>
        <w:tc>
          <w:tcPr>
            <w:tcW w:w="820" w:type="dxa"/>
            <w:vAlign w:val="bottom"/>
            <w:tcBorders>
              <w:bottom w:val="single" w:sz="8" w:color="307CC0"/>
            </w:tcBorders>
          </w:tcPr>
          <w:p>
            <w:pPr>
              <w:jc w:val="right"/>
              <w:ind w:right="32"/>
              <w:spacing w:after="0"/>
              <w:rPr>
                <w:sz w:val="20"/>
                <w:szCs w:val="20"/>
                <w:color w:val="auto"/>
              </w:rPr>
            </w:pPr>
            <w:r>
              <w:rPr>
                <w:rFonts w:ascii="Arial" w:cs="Arial" w:eastAsia="Arial" w:hAnsi="Arial"/>
                <w:sz w:val="14"/>
                <w:szCs w:val="14"/>
                <w:color w:val="auto"/>
              </w:rPr>
              <w:t>49,502</w:t>
            </w:r>
          </w:p>
        </w:tc>
        <w:tc>
          <w:tcPr>
            <w:tcW w:w="800" w:type="dxa"/>
            <w:vAlign w:val="bottom"/>
            <w:tcBorders>
              <w:bottom w:val="single" w:sz="8" w:color="307CC0"/>
            </w:tcBorders>
          </w:tcPr>
          <w:p>
            <w:pPr>
              <w:jc w:val="right"/>
              <w:ind w:right="12"/>
              <w:spacing w:after="0"/>
              <w:rPr>
                <w:sz w:val="20"/>
                <w:szCs w:val="20"/>
                <w:color w:val="auto"/>
              </w:rPr>
            </w:pPr>
            <w:r>
              <w:rPr>
                <w:rFonts w:ascii="Arial" w:cs="Arial" w:eastAsia="Arial" w:hAnsi="Arial"/>
                <w:sz w:val="14"/>
                <w:szCs w:val="14"/>
                <w:color w:val="auto"/>
              </w:rPr>
              <w:t>99,004</w:t>
            </w:r>
          </w:p>
        </w:tc>
        <w:tc>
          <w:tcPr>
            <w:tcW w:w="720" w:type="dxa"/>
            <w:vAlign w:val="bottom"/>
            <w:tcBorders>
              <w:bottom w:val="single" w:sz="8" w:color="307CC0"/>
            </w:tcBorders>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tcPr>
          <w:p>
            <w:pPr>
              <w:jc w:val="right"/>
              <w:ind w:right="31"/>
              <w:spacing w:after="0"/>
              <w:rPr>
                <w:sz w:val="20"/>
                <w:szCs w:val="20"/>
                <w:color w:val="auto"/>
              </w:rPr>
            </w:pPr>
            <w:r>
              <w:rPr>
                <w:rFonts w:ascii="Arial" w:cs="Arial" w:eastAsia="Arial" w:hAnsi="Arial"/>
                <w:sz w:val="14"/>
                <w:szCs w:val="14"/>
                <w:color w:val="auto"/>
              </w:rPr>
              <w:t>1,874,641</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307CC0"/>
            </w:tcBorders>
            <w:shd w:val="clear" w:color="auto" w:fill="CCEEFF"/>
          </w:tcPr>
          <w:p>
            <w:pPr>
              <w:spacing w:after="0"/>
              <w:rPr>
                <w:sz w:val="15"/>
                <w:szCs w:val="15"/>
                <w:color w:val="auto"/>
              </w:rPr>
            </w:pPr>
          </w:p>
        </w:tc>
        <w:tc>
          <w:tcPr>
            <w:tcW w:w="1360" w:type="dxa"/>
            <w:vAlign w:val="bottom"/>
            <w:tcBorders>
              <w:bottom w:val="single" w:sz="8" w:color="307CC0"/>
            </w:tcBorders>
            <w:shd w:val="clear" w:color="auto" w:fill="CCEEFF"/>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(3)</w:t>
            </w:r>
          </w:p>
        </w:tc>
        <w:tc>
          <w:tcPr>
            <w:tcW w:w="180" w:type="dxa"/>
            <w:vAlign w:val="bottom"/>
            <w:tcBorders>
              <w:bottom w:val="single" w:sz="8" w:color="307CC0"/>
            </w:tcBorders>
            <w:shd w:val="clear" w:color="auto" w:fill="CCEEFF"/>
          </w:tcPr>
          <w:p>
            <w:pPr>
              <w:spacing w:after="0"/>
              <w:rPr>
                <w:sz w:val="15"/>
                <w:szCs w:val="15"/>
                <w:color w:val="auto"/>
              </w:rPr>
            </w:pPr>
          </w:p>
        </w:tc>
        <w:tc>
          <w:tcPr>
            <w:tcW w:w="640" w:type="dxa"/>
            <w:vAlign w:val="bottom"/>
            <w:tcBorders>
              <w:bottom w:val="single" w:sz="8" w:color="307CC0"/>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CCEEFF"/>
          </w:tcPr>
          <w:p>
            <w:pPr>
              <w:jc w:val="right"/>
              <w:ind w:right="11"/>
              <w:spacing w:after="0"/>
              <w:rPr>
                <w:sz w:val="20"/>
                <w:szCs w:val="20"/>
                <w:color w:val="auto"/>
              </w:rPr>
            </w:pPr>
            <w:r>
              <w:rPr>
                <w:rFonts w:ascii="Arial" w:cs="Arial" w:eastAsia="Arial" w:hAnsi="Arial"/>
                <w:sz w:val="14"/>
                <w:szCs w:val="14"/>
                <w:color w:val="auto"/>
              </w:rPr>
              <w:t>16,501</w:t>
            </w:r>
          </w:p>
        </w:tc>
        <w:tc>
          <w:tcPr>
            <w:tcW w:w="900" w:type="dxa"/>
            <w:vAlign w:val="bottom"/>
            <w:tcBorders>
              <w:bottom w:val="single" w:sz="8" w:color="307CC0"/>
            </w:tcBorders>
            <w:shd w:val="clear" w:color="auto" w:fill="CCEEFF"/>
          </w:tcPr>
          <w:p>
            <w:pPr>
              <w:jc w:val="right"/>
              <w:ind w:right="31"/>
              <w:spacing w:after="0"/>
              <w:rPr>
                <w:sz w:val="20"/>
                <w:szCs w:val="20"/>
                <w:color w:val="auto"/>
              </w:rPr>
            </w:pPr>
            <w:r>
              <w:rPr>
                <w:rFonts w:ascii="Arial" w:cs="Arial" w:eastAsia="Arial" w:hAnsi="Arial"/>
                <w:sz w:val="14"/>
                <w:szCs w:val="14"/>
                <w:color w:val="auto"/>
              </w:rPr>
              <w:t>894,189</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D6E7FF"/>
            </w:tcBorders>
            <w:shd w:val="clear" w:color="auto" w:fill="D6E7FF"/>
          </w:tcPr>
          <w:p>
            <w:pPr>
              <w:ind w:left="40"/>
              <w:spacing w:after="0"/>
              <w:rPr>
                <w:sz w:val="20"/>
                <w:szCs w:val="20"/>
                <w:color w:val="auto"/>
              </w:rPr>
            </w:pPr>
            <w:r>
              <w:rPr>
                <w:rFonts w:ascii="Arial" w:cs="Arial" w:eastAsia="Arial" w:hAnsi="Arial"/>
                <w:sz w:val="14"/>
                <w:szCs w:val="14"/>
                <w:color w:val="auto"/>
              </w:rPr>
              <w:t>Mr. Bryant</w:t>
            </w:r>
          </w:p>
        </w:tc>
        <w:tc>
          <w:tcPr>
            <w:tcW w:w="1360" w:type="dxa"/>
            <w:vAlign w:val="bottom"/>
            <w:tcBorders>
              <w:bottom w:val="single" w:sz="8" w:color="307CC0"/>
            </w:tcBorders>
            <w:shd w:val="clear" w:color="auto" w:fill="D6E7FF"/>
          </w:tcPr>
          <w:p>
            <w:pPr>
              <w:ind w:left="20"/>
              <w:spacing w:after="0" w:line="174" w:lineRule="exact"/>
              <w:rPr>
                <w:sz w:val="20"/>
                <w:szCs w:val="20"/>
                <w:color w:val="auto"/>
              </w:rPr>
            </w:pPr>
            <w:r>
              <w:rPr>
                <w:rFonts w:ascii="Arial" w:cs="Arial" w:eastAsia="Arial" w:hAnsi="Arial"/>
                <w:sz w:val="13"/>
                <w:szCs w:val="13"/>
                <w:color w:val="auto"/>
              </w:rPr>
              <w:t>February 11, 2019</w:t>
            </w:r>
            <w:r>
              <w:rPr>
                <w:rFonts w:ascii="Arial" w:cs="Arial" w:eastAsia="Arial" w:hAnsi="Arial"/>
                <w:sz w:val="20"/>
                <w:szCs w:val="20"/>
                <w:color w:val="auto"/>
                <w:vertAlign w:val="superscript"/>
              </w:rPr>
              <w:t>(1)</w:t>
            </w:r>
          </w:p>
        </w:tc>
        <w:tc>
          <w:tcPr>
            <w:tcW w:w="820" w:type="dxa"/>
            <w:vAlign w:val="bottom"/>
            <w:tcBorders>
              <w:bottom w:val="single" w:sz="8" w:color="307CC0"/>
            </w:tcBorders>
            <w:gridSpan w:val="2"/>
            <w:shd w:val="clear" w:color="auto" w:fill="D6E7FF"/>
          </w:tcPr>
          <w:p>
            <w:pPr>
              <w:jc w:val="right"/>
              <w:ind w:right="71"/>
              <w:spacing w:after="0"/>
              <w:rPr>
                <w:sz w:val="20"/>
                <w:szCs w:val="20"/>
                <w:color w:val="auto"/>
              </w:rPr>
            </w:pPr>
            <w:r>
              <w:rPr>
                <w:rFonts w:ascii="Arial" w:cs="Arial" w:eastAsia="Arial" w:hAnsi="Arial"/>
                <w:sz w:val="14"/>
                <w:szCs w:val="14"/>
                <w:color w:val="auto"/>
              </w:rPr>
              <w:t>208,000</w:t>
            </w:r>
          </w:p>
        </w:tc>
        <w:tc>
          <w:tcPr>
            <w:tcW w:w="7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416,000</w:t>
            </w:r>
          </w:p>
        </w:tc>
        <w:tc>
          <w:tcPr>
            <w:tcW w:w="8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832,000</w:t>
            </w:r>
          </w:p>
        </w:tc>
        <w:tc>
          <w:tcPr>
            <w:tcW w:w="82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shd w:val="clear" w:color="auto" w:fill="D6E7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D6E7FF"/>
            </w:tcBorders>
            <w:shd w:val="clear" w:color="auto" w:fill="D6E7FF"/>
          </w:tcPr>
          <w:p>
            <w:pPr>
              <w:spacing w:after="0"/>
              <w:rPr>
                <w:sz w:val="15"/>
                <w:szCs w:val="15"/>
                <w:color w:val="auto"/>
              </w:rPr>
            </w:pPr>
          </w:p>
        </w:tc>
        <w:tc>
          <w:tcPr>
            <w:tcW w:w="1360" w:type="dxa"/>
            <w:vAlign w:val="bottom"/>
            <w:tcBorders>
              <w:bottom w:val="single" w:sz="8" w:color="307CC0"/>
            </w:tcBorders>
            <w:shd w:val="clear" w:color="auto" w:fill="D6E7FF"/>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(2)</w:t>
            </w:r>
          </w:p>
        </w:tc>
        <w:tc>
          <w:tcPr>
            <w:tcW w:w="180" w:type="dxa"/>
            <w:vAlign w:val="bottom"/>
            <w:tcBorders>
              <w:bottom w:val="single" w:sz="8" w:color="307CC0"/>
            </w:tcBorders>
            <w:shd w:val="clear" w:color="auto" w:fill="D6E7FF"/>
          </w:tcPr>
          <w:p>
            <w:pPr>
              <w:spacing w:after="0"/>
              <w:rPr>
                <w:sz w:val="15"/>
                <w:szCs w:val="15"/>
                <w:color w:val="auto"/>
              </w:rPr>
            </w:pPr>
          </w:p>
        </w:tc>
        <w:tc>
          <w:tcPr>
            <w:tcW w:w="640" w:type="dxa"/>
            <w:vAlign w:val="bottom"/>
            <w:tcBorders>
              <w:bottom w:val="single" w:sz="8" w:color="307CC0"/>
            </w:tcBorders>
            <w:shd w:val="clear" w:color="auto" w:fill="D6E7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5,081</w:t>
            </w:r>
          </w:p>
        </w:tc>
        <w:tc>
          <w:tcPr>
            <w:tcW w:w="820" w:type="dxa"/>
            <w:vAlign w:val="bottom"/>
            <w:tcBorders>
              <w:bottom w:val="single" w:sz="8" w:color="307CC0"/>
            </w:tcBorders>
            <w:shd w:val="clear" w:color="auto" w:fill="D6E7FF"/>
          </w:tcPr>
          <w:p>
            <w:pPr>
              <w:jc w:val="right"/>
              <w:ind w:right="32"/>
              <w:spacing w:after="0"/>
              <w:rPr>
                <w:sz w:val="20"/>
                <w:szCs w:val="20"/>
                <w:color w:val="auto"/>
              </w:rPr>
            </w:pPr>
            <w:r>
              <w:rPr>
                <w:rFonts w:ascii="Arial" w:cs="Arial" w:eastAsia="Arial" w:hAnsi="Arial"/>
                <w:sz w:val="14"/>
                <w:szCs w:val="14"/>
                <w:color w:val="auto"/>
              </w:rPr>
              <w:t>10,161</w:t>
            </w:r>
          </w:p>
        </w:tc>
        <w:tc>
          <w:tcPr>
            <w:tcW w:w="80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20,322</w:t>
            </w:r>
          </w:p>
        </w:tc>
        <w:tc>
          <w:tcPr>
            <w:tcW w:w="72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shd w:val="clear" w:color="auto" w:fill="D6E7FF"/>
          </w:tcPr>
          <w:p>
            <w:pPr>
              <w:jc w:val="right"/>
              <w:ind w:right="31"/>
              <w:spacing w:after="0"/>
              <w:rPr>
                <w:sz w:val="20"/>
                <w:szCs w:val="20"/>
                <w:color w:val="auto"/>
              </w:rPr>
            </w:pPr>
            <w:r>
              <w:rPr>
                <w:rFonts w:ascii="Arial" w:cs="Arial" w:eastAsia="Arial" w:hAnsi="Arial"/>
                <w:sz w:val="14"/>
                <w:szCs w:val="14"/>
                <w:color w:val="auto"/>
              </w:rPr>
              <w:t>384,797</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307CC0"/>
            </w:tcBorders>
            <w:shd w:val="clear" w:color="auto" w:fill="D6E7FF"/>
          </w:tcPr>
          <w:p>
            <w:pPr>
              <w:spacing w:after="0"/>
              <w:rPr>
                <w:sz w:val="15"/>
                <w:szCs w:val="15"/>
                <w:color w:val="auto"/>
              </w:rPr>
            </w:pPr>
          </w:p>
        </w:tc>
        <w:tc>
          <w:tcPr>
            <w:tcW w:w="1360" w:type="dxa"/>
            <w:vAlign w:val="bottom"/>
            <w:tcBorders>
              <w:bottom w:val="single" w:sz="8" w:color="307CC0"/>
            </w:tcBorders>
            <w:shd w:val="clear" w:color="auto" w:fill="D6E7FF"/>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(3)</w:t>
            </w:r>
          </w:p>
        </w:tc>
        <w:tc>
          <w:tcPr>
            <w:tcW w:w="180" w:type="dxa"/>
            <w:vAlign w:val="bottom"/>
            <w:tcBorders>
              <w:bottom w:val="single" w:sz="8" w:color="307CC0"/>
            </w:tcBorders>
            <w:shd w:val="clear" w:color="auto" w:fill="D6E7FF"/>
          </w:tcPr>
          <w:p>
            <w:pPr>
              <w:spacing w:after="0"/>
              <w:rPr>
                <w:sz w:val="15"/>
                <w:szCs w:val="15"/>
                <w:color w:val="auto"/>
              </w:rPr>
            </w:pPr>
          </w:p>
        </w:tc>
        <w:tc>
          <w:tcPr>
            <w:tcW w:w="640" w:type="dxa"/>
            <w:vAlign w:val="bottom"/>
            <w:tcBorders>
              <w:bottom w:val="single" w:sz="8" w:color="307CC0"/>
            </w:tcBorders>
            <w:shd w:val="clear" w:color="auto" w:fill="D6E7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3,387</w:t>
            </w:r>
          </w:p>
        </w:tc>
        <w:tc>
          <w:tcPr>
            <w:tcW w:w="900" w:type="dxa"/>
            <w:vAlign w:val="bottom"/>
            <w:tcBorders>
              <w:bottom w:val="single" w:sz="8" w:color="307CC0"/>
            </w:tcBorders>
            <w:shd w:val="clear" w:color="auto" w:fill="D6E7FF"/>
          </w:tcPr>
          <w:p>
            <w:pPr>
              <w:jc w:val="right"/>
              <w:ind w:right="31"/>
              <w:spacing w:after="0"/>
              <w:rPr>
                <w:sz w:val="20"/>
                <w:szCs w:val="20"/>
                <w:color w:val="auto"/>
              </w:rPr>
            </w:pPr>
            <w:r>
              <w:rPr>
                <w:rFonts w:ascii="Arial" w:cs="Arial" w:eastAsia="Arial" w:hAnsi="Arial"/>
                <w:sz w:val="14"/>
                <w:szCs w:val="14"/>
                <w:color w:val="auto"/>
              </w:rPr>
              <w:t>183,542</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Mr. Greenwood</w:t>
            </w:r>
          </w:p>
        </w:tc>
        <w:tc>
          <w:tcPr>
            <w:tcW w:w="1360" w:type="dxa"/>
            <w:vAlign w:val="bottom"/>
            <w:tcBorders>
              <w:bottom w:val="single" w:sz="8" w:color="307CC0"/>
            </w:tcBorders>
            <w:shd w:val="clear" w:color="auto" w:fill="CCEEFF"/>
          </w:tcPr>
          <w:p>
            <w:pPr>
              <w:ind w:left="20"/>
              <w:spacing w:after="0" w:line="174" w:lineRule="exact"/>
              <w:rPr>
                <w:sz w:val="20"/>
                <w:szCs w:val="20"/>
                <w:color w:val="auto"/>
              </w:rPr>
            </w:pPr>
            <w:r>
              <w:rPr>
                <w:rFonts w:ascii="Arial" w:cs="Arial" w:eastAsia="Arial" w:hAnsi="Arial"/>
                <w:sz w:val="13"/>
                <w:szCs w:val="13"/>
                <w:color w:val="auto"/>
              </w:rPr>
              <w:t>February 11, 2019</w:t>
            </w:r>
            <w:r>
              <w:rPr>
                <w:rFonts w:ascii="Arial" w:cs="Arial" w:eastAsia="Arial" w:hAnsi="Arial"/>
                <w:sz w:val="20"/>
                <w:szCs w:val="20"/>
                <w:color w:val="auto"/>
                <w:vertAlign w:val="superscript"/>
              </w:rPr>
              <w:t>(1)</w:t>
            </w:r>
          </w:p>
        </w:tc>
        <w:tc>
          <w:tcPr>
            <w:tcW w:w="820" w:type="dxa"/>
            <w:vAlign w:val="bottom"/>
            <w:tcBorders>
              <w:bottom w:val="single" w:sz="8" w:color="307CC0"/>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208,000</w:t>
            </w:r>
          </w:p>
        </w:tc>
        <w:tc>
          <w:tcPr>
            <w:tcW w:w="7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416,000</w:t>
            </w:r>
          </w:p>
        </w:tc>
        <w:tc>
          <w:tcPr>
            <w:tcW w:w="8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832,000</w:t>
            </w:r>
          </w:p>
        </w:tc>
        <w:tc>
          <w:tcPr>
            <w:tcW w:w="82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307CC0"/>
            </w:tcBorders>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(2)</w:t>
            </w:r>
          </w:p>
        </w:tc>
        <w:tc>
          <w:tcPr>
            <w:tcW w:w="180" w:type="dxa"/>
            <w:vAlign w:val="bottom"/>
            <w:tcBorders>
              <w:bottom w:val="single" w:sz="8" w:color="307CC0"/>
            </w:tcBorders>
          </w:tcPr>
          <w:p>
            <w:pPr>
              <w:spacing w:after="0"/>
              <w:rPr>
                <w:sz w:val="15"/>
                <w:szCs w:val="15"/>
                <w:color w:val="auto"/>
              </w:rPr>
            </w:pPr>
          </w:p>
        </w:tc>
        <w:tc>
          <w:tcPr>
            <w:tcW w:w="640" w:type="dxa"/>
            <w:vAlign w:val="bottom"/>
            <w:tcBorders>
              <w:bottom w:val="single" w:sz="8" w:color="307CC0"/>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tcPr>
          <w:p>
            <w:pPr>
              <w:jc w:val="right"/>
              <w:ind w:right="12"/>
              <w:spacing w:after="0"/>
              <w:rPr>
                <w:sz w:val="20"/>
                <w:szCs w:val="20"/>
                <w:color w:val="auto"/>
              </w:rPr>
            </w:pPr>
            <w:r>
              <w:rPr>
                <w:rFonts w:ascii="Arial" w:cs="Arial" w:eastAsia="Arial" w:hAnsi="Arial"/>
                <w:sz w:val="14"/>
                <w:szCs w:val="14"/>
                <w:color w:val="auto"/>
              </w:rPr>
              <w:t>5,081</w:t>
            </w:r>
          </w:p>
        </w:tc>
        <w:tc>
          <w:tcPr>
            <w:tcW w:w="820" w:type="dxa"/>
            <w:vAlign w:val="bottom"/>
            <w:tcBorders>
              <w:bottom w:val="single" w:sz="8" w:color="307CC0"/>
            </w:tcBorders>
          </w:tcPr>
          <w:p>
            <w:pPr>
              <w:jc w:val="right"/>
              <w:ind w:right="32"/>
              <w:spacing w:after="0"/>
              <w:rPr>
                <w:sz w:val="20"/>
                <w:szCs w:val="20"/>
                <w:color w:val="auto"/>
              </w:rPr>
            </w:pPr>
            <w:r>
              <w:rPr>
                <w:rFonts w:ascii="Arial" w:cs="Arial" w:eastAsia="Arial" w:hAnsi="Arial"/>
                <w:sz w:val="14"/>
                <w:szCs w:val="14"/>
                <w:color w:val="auto"/>
              </w:rPr>
              <w:t>10,161</w:t>
            </w:r>
          </w:p>
        </w:tc>
        <w:tc>
          <w:tcPr>
            <w:tcW w:w="800" w:type="dxa"/>
            <w:vAlign w:val="bottom"/>
            <w:tcBorders>
              <w:bottom w:val="single" w:sz="8" w:color="307CC0"/>
            </w:tcBorders>
          </w:tcPr>
          <w:p>
            <w:pPr>
              <w:jc w:val="right"/>
              <w:ind w:right="12"/>
              <w:spacing w:after="0"/>
              <w:rPr>
                <w:sz w:val="20"/>
                <w:szCs w:val="20"/>
                <w:color w:val="auto"/>
              </w:rPr>
            </w:pPr>
            <w:r>
              <w:rPr>
                <w:rFonts w:ascii="Arial" w:cs="Arial" w:eastAsia="Arial" w:hAnsi="Arial"/>
                <w:sz w:val="14"/>
                <w:szCs w:val="14"/>
                <w:color w:val="auto"/>
              </w:rPr>
              <w:t>20,322</w:t>
            </w:r>
          </w:p>
        </w:tc>
        <w:tc>
          <w:tcPr>
            <w:tcW w:w="720" w:type="dxa"/>
            <w:vAlign w:val="bottom"/>
            <w:tcBorders>
              <w:bottom w:val="single" w:sz="8" w:color="307CC0"/>
            </w:tcBorders>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tcPr>
          <w:p>
            <w:pPr>
              <w:jc w:val="right"/>
              <w:ind w:right="31"/>
              <w:spacing w:after="0"/>
              <w:rPr>
                <w:sz w:val="20"/>
                <w:szCs w:val="20"/>
                <w:color w:val="auto"/>
              </w:rPr>
            </w:pPr>
            <w:r>
              <w:rPr>
                <w:rFonts w:ascii="Arial" w:cs="Arial" w:eastAsia="Arial" w:hAnsi="Arial"/>
                <w:sz w:val="14"/>
                <w:szCs w:val="14"/>
                <w:color w:val="auto"/>
              </w:rPr>
              <w:t>384,797</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307CC0"/>
            </w:tcBorders>
            <w:shd w:val="clear" w:color="auto" w:fill="CCEEFF"/>
          </w:tcPr>
          <w:p>
            <w:pPr>
              <w:spacing w:after="0"/>
              <w:rPr>
                <w:sz w:val="15"/>
                <w:szCs w:val="15"/>
                <w:color w:val="auto"/>
              </w:rPr>
            </w:pPr>
          </w:p>
        </w:tc>
        <w:tc>
          <w:tcPr>
            <w:tcW w:w="1360" w:type="dxa"/>
            <w:vAlign w:val="bottom"/>
            <w:tcBorders>
              <w:bottom w:val="single" w:sz="8" w:color="307CC0"/>
            </w:tcBorders>
            <w:shd w:val="clear" w:color="auto" w:fill="CCEEFF"/>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(3)</w:t>
            </w:r>
          </w:p>
        </w:tc>
        <w:tc>
          <w:tcPr>
            <w:tcW w:w="180" w:type="dxa"/>
            <w:vAlign w:val="bottom"/>
            <w:tcBorders>
              <w:bottom w:val="single" w:sz="8" w:color="307CC0"/>
            </w:tcBorders>
            <w:shd w:val="clear" w:color="auto" w:fill="CCEEFF"/>
          </w:tcPr>
          <w:p>
            <w:pPr>
              <w:spacing w:after="0"/>
              <w:rPr>
                <w:sz w:val="15"/>
                <w:szCs w:val="15"/>
                <w:color w:val="auto"/>
              </w:rPr>
            </w:pPr>
          </w:p>
        </w:tc>
        <w:tc>
          <w:tcPr>
            <w:tcW w:w="640" w:type="dxa"/>
            <w:vAlign w:val="bottom"/>
            <w:tcBorders>
              <w:bottom w:val="single" w:sz="8" w:color="307CC0"/>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CCEEFF"/>
          </w:tcPr>
          <w:p>
            <w:pPr>
              <w:jc w:val="right"/>
              <w:ind w:right="11"/>
              <w:spacing w:after="0"/>
              <w:rPr>
                <w:sz w:val="20"/>
                <w:szCs w:val="20"/>
                <w:color w:val="auto"/>
              </w:rPr>
            </w:pPr>
            <w:r>
              <w:rPr>
                <w:rFonts w:ascii="Arial" w:cs="Arial" w:eastAsia="Arial" w:hAnsi="Arial"/>
                <w:sz w:val="14"/>
                <w:szCs w:val="14"/>
                <w:color w:val="auto"/>
              </w:rPr>
              <w:t>3,387</w:t>
            </w:r>
          </w:p>
        </w:tc>
        <w:tc>
          <w:tcPr>
            <w:tcW w:w="900" w:type="dxa"/>
            <w:vAlign w:val="bottom"/>
            <w:tcBorders>
              <w:bottom w:val="single" w:sz="8" w:color="307CC0"/>
            </w:tcBorders>
            <w:shd w:val="clear" w:color="auto" w:fill="CCEEFF"/>
          </w:tcPr>
          <w:p>
            <w:pPr>
              <w:jc w:val="right"/>
              <w:ind w:right="31"/>
              <w:spacing w:after="0"/>
              <w:rPr>
                <w:sz w:val="20"/>
                <w:szCs w:val="20"/>
                <w:color w:val="auto"/>
              </w:rPr>
            </w:pPr>
            <w:r>
              <w:rPr>
                <w:rFonts w:ascii="Arial" w:cs="Arial" w:eastAsia="Arial" w:hAnsi="Arial"/>
                <w:sz w:val="14"/>
                <w:szCs w:val="14"/>
                <w:color w:val="auto"/>
              </w:rPr>
              <w:t>183,542</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D6E7FF"/>
            </w:tcBorders>
            <w:shd w:val="clear" w:color="auto" w:fill="D6E7FF"/>
          </w:tcPr>
          <w:p>
            <w:pPr>
              <w:ind w:left="40"/>
              <w:spacing w:after="0"/>
              <w:rPr>
                <w:sz w:val="20"/>
                <w:szCs w:val="20"/>
                <w:color w:val="auto"/>
              </w:rPr>
            </w:pPr>
            <w:r>
              <w:rPr>
                <w:rFonts w:ascii="Arial" w:cs="Arial" w:eastAsia="Arial" w:hAnsi="Arial"/>
                <w:sz w:val="14"/>
                <w:szCs w:val="14"/>
                <w:color w:val="auto"/>
              </w:rPr>
              <w:t>Mr. Somma</w:t>
            </w:r>
          </w:p>
        </w:tc>
        <w:tc>
          <w:tcPr>
            <w:tcW w:w="1360" w:type="dxa"/>
            <w:vAlign w:val="bottom"/>
            <w:tcBorders>
              <w:bottom w:val="single" w:sz="8" w:color="307CC0"/>
            </w:tcBorders>
            <w:shd w:val="clear" w:color="auto" w:fill="D6E7FF"/>
          </w:tcPr>
          <w:p>
            <w:pPr>
              <w:ind w:left="20"/>
              <w:spacing w:after="0" w:line="174" w:lineRule="exact"/>
              <w:rPr>
                <w:sz w:val="20"/>
                <w:szCs w:val="20"/>
                <w:color w:val="auto"/>
              </w:rPr>
            </w:pPr>
            <w:r>
              <w:rPr>
                <w:rFonts w:ascii="Arial" w:cs="Arial" w:eastAsia="Arial" w:hAnsi="Arial"/>
                <w:sz w:val="13"/>
                <w:szCs w:val="13"/>
                <w:color w:val="auto"/>
              </w:rPr>
              <w:t>February 11, 2019</w:t>
            </w:r>
            <w:r>
              <w:rPr>
                <w:rFonts w:ascii="Arial" w:cs="Arial" w:eastAsia="Arial" w:hAnsi="Arial"/>
                <w:sz w:val="20"/>
                <w:szCs w:val="20"/>
                <w:color w:val="auto"/>
                <w:vertAlign w:val="superscript"/>
              </w:rPr>
              <w:t>(1)</w:t>
            </w:r>
          </w:p>
        </w:tc>
        <w:tc>
          <w:tcPr>
            <w:tcW w:w="820" w:type="dxa"/>
            <w:vAlign w:val="bottom"/>
            <w:tcBorders>
              <w:bottom w:val="single" w:sz="8" w:color="307CC0"/>
            </w:tcBorders>
            <w:gridSpan w:val="2"/>
            <w:shd w:val="clear" w:color="auto" w:fill="D6E7FF"/>
          </w:tcPr>
          <w:p>
            <w:pPr>
              <w:jc w:val="right"/>
              <w:ind w:right="71"/>
              <w:spacing w:after="0"/>
              <w:rPr>
                <w:sz w:val="20"/>
                <w:szCs w:val="20"/>
                <w:color w:val="auto"/>
              </w:rPr>
            </w:pPr>
            <w:r>
              <w:rPr>
                <w:rFonts w:ascii="Arial" w:cs="Arial" w:eastAsia="Arial" w:hAnsi="Arial"/>
                <w:sz w:val="14"/>
                <w:szCs w:val="14"/>
                <w:color w:val="auto"/>
              </w:rPr>
              <w:t>198,000</w:t>
            </w:r>
          </w:p>
        </w:tc>
        <w:tc>
          <w:tcPr>
            <w:tcW w:w="7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396,000</w:t>
            </w:r>
          </w:p>
        </w:tc>
        <w:tc>
          <w:tcPr>
            <w:tcW w:w="8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792,000</w:t>
            </w:r>
          </w:p>
        </w:tc>
        <w:tc>
          <w:tcPr>
            <w:tcW w:w="82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shd w:val="clear" w:color="auto" w:fill="D6E7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D6E7FF"/>
            </w:tcBorders>
            <w:shd w:val="clear" w:color="auto" w:fill="D6E7FF"/>
          </w:tcPr>
          <w:p>
            <w:pPr>
              <w:spacing w:after="0"/>
              <w:rPr>
                <w:sz w:val="15"/>
                <w:szCs w:val="15"/>
                <w:color w:val="auto"/>
              </w:rPr>
            </w:pPr>
          </w:p>
        </w:tc>
        <w:tc>
          <w:tcPr>
            <w:tcW w:w="1360" w:type="dxa"/>
            <w:vAlign w:val="bottom"/>
            <w:tcBorders>
              <w:bottom w:val="single" w:sz="8" w:color="307CC0"/>
            </w:tcBorders>
            <w:shd w:val="clear" w:color="auto" w:fill="D6E7FF"/>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(2)</w:t>
            </w:r>
          </w:p>
        </w:tc>
        <w:tc>
          <w:tcPr>
            <w:tcW w:w="180" w:type="dxa"/>
            <w:vAlign w:val="bottom"/>
            <w:tcBorders>
              <w:bottom w:val="single" w:sz="8" w:color="307CC0"/>
            </w:tcBorders>
            <w:shd w:val="clear" w:color="auto" w:fill="D6E7FF"/>
          </w:tcPr>
          <w:p>
            <w:pPr>
              <w:spacing w:after="0"/>
              <w:rPr>
                <w:sz w:val="15"/>
                <w:szCs w:val="15"/>
                <w:color w:val="auto"/>
              </w:rPr>
            </w:pPr>
          </w:p>
        </w:tc>
        <w:tc>
          <w:tcPr>
            <w:tcW w:w="640" w:type="dxa"/>
            <w:vAlign w:val="bottom"/>
            <w:tcBorders>
              <w:bottom w:val="single" w:sz="8" w:color="307CC0"/>
            </w:tcBorders>
            <w:shd w:val="clear" w:color="auto" w:fill="D6E7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4,837</w:t>
            </w:r>
          </w:p>
        </w:tc>
        <w:tc>
          <w:tcPr>
            <w:tcW w:w="820" w:type="dxa"/>
            <w:vAlign w:val="bottom"/>
            <w:tcBorders>
              <w:bottom w:val="single" w:sz="8" w:color="307CC0"/>
            </w:tcBorders>
            <w:shd w:val="clear" w:color="auto" w:fill="D6E7FF"/>
          </w:tcPr>
          <w:p>
            <w:pPr>
              <w:jc w:val="right"/>
              <w:ind w:right="32"/>
              <w:spacing w:after="0"/>
              <w:rPr>
                <w:sz w:val="20"/>
                <w:szCs w:val="20"/>
                <w:color w:val="auto"/>
              </w:rPr>
            </w:pPr>
            <w:r>
              <w:rPr>
                <w:rFonts w:ascii="Arial" w:cs="Arial" w:eastAsia="Arial" w:hAnsi="Arial"/>
                <w:sz w:val="14"/>
                <w:szCs w:val="14"/>
                <w:color w:val="auto"/>
              </w:rPr>
              <w:t>9,673</w:t>
            </w:r>
          </w:p>
        </w:tc>
        <w:tc>
          <w:tcPr>
            <w:tcW w:w="80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19,346</w:t>
            </w:r>
          </w:p>
        </w:tc>
        <w:tc>
          <w:tcPr>
            <w:tcW w:w="72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shd w:val="clear" w:color="auto" w:fill="D6E7FF"/>
          </w:tcPr>
          <w:p>
            <w:pPr>
              <w:jc w:val="right"/>
              <w:ind w:right="31"/>
              <w:spacing w:after="0"/>
              <w:rPr>
                <w:sz w:val="20"/>
                <w:szCs w:val="20"/>
                <w:color w:val="auto"/>
              </w:rPr>
            </w:pPr>
            <w:r>
              <w:rPr>
                <w:rFonts w:ascii="Arial" w:cs="Arial" w:eastAsia="Arial" w:hAnsi="Arial"/>
                <w:sz w:val="14"/>
                <w:szCs w:val="14"/>
                <w:color w:val="auto"/>
              </w:rPr>
              <w:t>366,317</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307CC0"/>
            </w:tcBorders>
            <w:shd w:val="clear" w:color="auto" w:fill="D6E7FF"/>
          </w:tcPr>
          <w:p>
            <w:pPr>
              <w:spacing w:after="0"/>
              <w:rPr>
                <w:sz w:val="15"/>
                <w:szCs w:val="15"/>
                <w:color w:val="auto"/>
              </w:rPr>
            </w:pPr>
          </w:p>
        </w:tc>
        <w:tc>
          <w:tcPr>
            <w:tcW w:w="1360" w:type="dxa"/>
            <w:vAlign w:val="bottom"/>
            <w:tcBorders>
              <w:bottom w:val="single" w:sz="8" w:color="307CC0"/>
            </w:tcBorders>
            <w:shd w:val="clear" w:color="auto" w:fill="D6E7FF"/>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(3)</w:t>
            </w:r>
          </w:p>
        </w:tc>
        <w:tc>
          <w:tcPr>
            <w:tcW w:w="180" w:type="dxa"/>
            <w:vAlign w:val="bottom"/>
            <w:tcBorders>
              <w:bottom w:val="single" w:sz="8" w:color="307CC0"/>
            </w:tcBorders>
            <w:shd w:val="clear" w:color="auto" w:fill="D6E7FF"/>
          </w:tcPr>
          <w:p>
            <w:pPr>
              <w:spacing w:after="0"/>
              <w:rPr>
                <w:sz w:val="15"/>
                <w:szCs w:val="15"/>
                <w:color w:val="auto"/>
              </w:rPr>
            </w:pPr>
          </w:p>
        </w:tc>
        <w:tc>
          <w:tcPr>
            <w:tcW w:w="640" w:type="dxa"/>
            <w:vAlign w:val="bottom"/>
            <w:tcBorders>
              <w:bottom w:val="single" w:sz="8" w:color="307CC0"/>
            </w:tcBorders>
            <w:shd w:val="clear" w:color="auto" w:fill="D6E7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shd w:val="clear" w:color="auto" w:fill="D6E7FF"/>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D6E7FF"/>
          </w:tcPr>
          <w:p>
            <w:pPr>
              <w:spacing w:after="0"/>
              <w:rPr>
                <w:sz w:val="15"/>
                <w:szCs w:val="15"/>
                <w:color w:val="auto"/>
              </w:rPr>
            </w:pPr>
          </w:p>
        </w:tc>
        <w:tc>
          <w:tcPr>
            <w:tcW w:w="820" w:type="dxa"/>
            <w:vAlign w:val="bottom"/>
            <w:tcBorders>
              <w:bottom w:val="single" w:sz="8" w:color="307CC0"/>
            </w:tcBorders>
            <w:shd w:val="clear" w:color="auto" w:fill="D6E7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D6E7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3,225</w:t>
            </w:r>
          </w:p>
        </w:tc>
        <w:tc>
          <w:tcPr>
            <w:tcW w:w="900" w:type="dxa"/>
            <w:vAlign w:val="bottom"/>
            <w:tcBorders>
              <w:bottom w:val="single" w:sz="8" w:color="307CC0"/>
            </w:tcBorders>
            <w:shd w:val="clear" w:color="auto" w:fill="D6E7FF"/>
          </w:tcPr>
          <w:p>
            <w:pPr>
              <w:jc w:val="right"/>
              <w:ind w:right="31"/>
              <w:spacing w:after="0"/>
              <w:rPr>
                <w:sz w:val="20"/>
                <w:szCs w:val="20"/>
                <w:color w:val="auto"/>
              </w:rPr>
            </w:pPr>
            <w:r>
              <w:rPr>
                <w:rFonts w:ascii="Arial" w:cs="Arial" w:eastAsia="Arial" w:hAnsi="Arial"/>
                <w:sz w:val="14"/>
                <w:szCs w:val="14"/>
                <w:color w:val="auto"/>
              </w:rPr>
              <w:t>174,763</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Ms. Humphrey</w:t>
            </w:r>
          </w:p>
        </w:tc>
        <w:tc>
          <w:tcPr>
            <w:tcW w:w="1360" w:type="dxa"/>
            <w:vAlign w:val="bottom"/>
            <w:tcBorders>
              <w:bottom w:val="single" w:sz="8" w:color="307CC0"/>
            </w:tcBorders>
            <w:shd w:val="clear" w:color="auto" w:fill="CCEEFF"/>
          </w:tcPr>
          <w:p>
            <w:pPr>
              <w:ind w:left="20"/>
              <w:spacing w:after="0" w:line="174" w:lineRule="exact"/>
              <w:rPr>
                <w:sz w:val="20"/>
                <w:szCs w:val="20"/>
                <w:color w:val="auto"/>
              </w:rPr>
            </w:pPr>
            <w:r>
              <w:rPr>
                <w:rFonts w:ascii="Arial" w:cs="Arial" w:eastAsia="Arial" w:hAnsi="Arial"/>
                <w:sz w:val="13"/>
                <w:szCs w:val="13"/>
                <w:color w:val="auto"/>
              </w:rPr>
              <w:t>February 11, 2019</w:t>
            </w:r>
            <w:r>
              <w:rPr>
                <w:rFonts w:ascii="Arial" w:cs="Arial" w:eastAsia="Arial" w:hAnsi="Arial"/>
                <w:sz w:val="20"/>
                <w:szCs w:val="20"/>
                <w:color w:val="auto"/>
                <w:vertAlign w:val="superscript"/>
              </w:rPr>
              <w:t>(1)</w:t>
            </w:r>
          </w:p>
        </w:tc>
        <w:tc>
          <w:tcPr>
            <w:tcW w:w="820" w:type="dxa"/>
            <w:vAlign w:val="bottom"/>
            <w:tcBorders>
              <w:bottom w:val="single" w:sz="8" w:color="307CC0"/>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157,300</w:t>
            </w:r>
          </w:p>
        </w:tc>
        <w:tc>
          <w:tcPr>
            <w:tcW w:w="7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314,600</w:t>
            </w:r>
          </w:p>
        </w:tc>
        <w:tc>
          <w:tcPr>
            <w:tcW w:w="8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629,200</w:t>
            </w:r>
          </w:p>
        </w:tc>
        <w:tc>
          <w:tcPr>
            <w:tcW w:w="82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307CC0"/>
            </w:tcBorders>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(2)</w:t>
            </w:r>
          </w:p>
        </w:tc>
        <w:tc>
          <w:tcPr>
            <w:tcW w:w="180" w:type="dxa"/>
            <w:vAlign w:val="bottom"/>
            <w:tcBorders>
              <w:bottom w:val="single" w:sz="8" w:color="307CC0"/>
            </w:tcBorders>
          </w:tcPr>
          <w:p>
            <w:pPr>
              <w:spacing w:after="0"/>
              <w:rPr>
                <w:sz w:val="15"/>
                <w:szCs w:val="15"/>
                <w:color w:val="auto"/>
              </w:rPr>
            </w:pPr>
          </w:p>
        </w:tc>
        <w:tc>
          <w:tcPr>
            <w:tcW w:w="640" w:type="dxa"/>
            <w:vAlign w:val="bottom"/>
            <w:tcBorders>
              <w:bottom w:val="single" w:sz="8" w:color="307CC0"/>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tcPr>
          <w:p>
            <w:pPr>
              <w:jc w:val="right"/>
              <w:ind w:right="12"/>
              <w:spacing w:after="0"/>
              <w:rPr>
                <w:sz w:val="20"/>
                <w:szCs w:val="20"/>
                <w:color w:val="auto"/>
              </w:rPr>
            </w:pPr>
            <w:r>
              <w:rPr>
                <w:rFonts w:ascii="Arial" w:cs="Arial" w:eastAsia="Arial" w:hAnsi="Arial"/>
                <w:sz w:val="14"/>
                <w:szCs w:val="14"/>
                <w:color w:val="auto"/>
              </w:rPr>
              <w:t>4,099</w:t>
            </w:r>
          </w:p>
        </w:tc>
        <w:tc>
          <w:tcPr>
            <w:tcW w:w="820" w:type="dxa"/>
            <w:vAlign w:val="bottom"/>
            <w:tcBorders>
              <w:bottom w:val="single" w:sz="8" w:color="307CC0"/>
            </w:tcBorders>
          </w:tcPr>
          <w:p>
            <w:pPr>
              <w:jc w:val="right"/>
              <w:ind w:right="32"/>
              <w:spacing w:after="0"/>
              <w:rPr>
                <w:sz w:val="20"/>
                <w:szCs w:val="20"/>
                <w:color w:val="auto"/>
              </w:rPr>
            </w:pPr>
            <w:r>
              <w:rPr>
                <w:rFonts w:ascii="Arial" w:cs="Arial" w:eastAsia="Arial" w:hAnsi="Arial"/>
                <w:sz w:val="14"/>
                <w:szCs w:val="14"/>
                <w:color w:val="auto"/>
              </w:rPr>
              <w:t>8,197</w:t>
            </w:r>
          </w:p>
        </w:tc>
        <w:tc>
          <w:tcPr>
            <w:tcW w:w="800" w:type="dxa"/>
            <w:vAlign w:val="bottom"/>
            <w:tcBorders>
              <w:bottom w:val="single" w:sz="8" w:color="307CC0"/>
            </w:tcBorders>
          </w:tcPr>
          <w:p>
            <w:pPr>
              <w:jc w:val="right"/>
              <w:ind w:right="12"/>
              <w:spacing w:after="0"/>
              <w:rPr>
                <w:sz w:val="20"/>
                <w:szCs w:val="20"/>
                <w:color w:val="auto"/>
              </w:rPr>
            </w:pPr>
            <w:r>
              <w:rPr>
                <w:rFonts w:ascii="Arial" w:cs="Arial" w:eastAsia="Arial" w:hAnsi="Arial"/>
                <w:sz w:val="14"/>
                <w:szCs w:val="14"/>
                <w:color w:val="auto"/>
              </w:rPr>
              <w:t>16,394</w:t>
            </w:r>
          </w:p>
        </w:tc>
        <w:tc>
          <w:tcPr>
            <w:tcW w:w="720" w:type="dxa"/>
            <w:vAlign w:val="bottom"/>
            <w:tcBorders>
              <w:bottom w:val="single" w:sz="8" w:color="307CC0"/>
            </w:tcBorders>
          </w:tcPr>
          <w:p>
            <w:pPr>
              <w:jc w:val="right"/>
              <w:ind w:right="11"/>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307CC0"/>
            </w:tcBorders>
          </w:tcPr>
          <w:p>
            <w:pPr>
              <w:jc w:val="right"/>
              <w:ind w:right="31"/>
              <w:spacing w:after="0"/>
              <w:rPr>
                <w:sz w:val="20"/>
                <w:szCs w:val="20"/>
                <w:color w:val="auto"/>
              </w:rPr>
            </w:pPr>
            <w:r>
              <w:rPr>
                <w:rFonts w:ascii="Arial" w:cs="Arial" w:eastAsia="Arial" w:hAnsi="Arial"/>
                <w:sz w:val="14"/>
                <w:szCs w:val="14"/>
                <w:color w:val="auto"/>
              </w:rPr>
              <w:t>310,420</w:t>
            </w:r>
          </w:p>
        </w:tc>
        <w:tc>
          <w:tcPr>
            <w:tcW w:w="0" w:type="dxa"/>
            <w:vAlign w:val="bottom"/>
          </w:tcPr>
          <w:p>
            <w:pPr>
              <w:spacing w:after="0"/>
              <w:rPr>
                <w:sz w:val="1"/>
                <w:szCs w:val="1"/>
                <w:color w:val="auto"/>
              </w:rPr>
            </w:pPr>
          </w:p>
        </w:tc>
      </w:tr>
      <w:tr>
        <w:trPr>
          <w:trHeight w:val="174"/>
        </w:trPr>
        <w:tc>
          <w:tcPr>
            <w:tcW w:w="1320" w:type="dxa"/>
            <w:vAlign w:val="bottom"/>
            <w:tcBorders>
              <w:bottom w:val="single" w:sz="8" w:color="307CC0"/>
            </w:tcBorders>
            <w:shd w:val="clear" w:color="auto" w:fill="CCEEFF"/>
          </w:tcPr>
          <w:p>
            <w:pPr>
              <w:spacing w:after="0"/>
              <w:rPr>
                <w:sz w:val="15"/>
                <w:szCs w:val="15"/>
                <w:color w:val="auto"/>
              </w:rPr>
            </w:pPr>
          </w:p>
        </w:tc>
        <w:tc>
          <w:tcPr>
            <w:tcW w:w="1360" w:type="dxa"/>
            <w:vAlign w:val="bottom"/>
            <w:tcBorders>
              <w:bottom w:val="single" w:sz="8" w:color="307CC0"/>
            </w:tcBorders>
            <w:shd w:val="clear" w:color="auto" w:fill="CCEEFF"/>
          </w:tcPr>
          <w:p>
            <w:pPr>
              <w:ind w:left="20"/>
              <w:spacing w:after="0" w:line="174" w:lineRule="exact"/>
              <w:rPr>
                <w:sz w:val="20"/>
                <w:szCs w:val="20"/>
                <w:color w:val="auto"/>
              </w:rPr>
            </w:pPr>
            <w:r>
              <w:rPr>
                <w:rFonts w:ascii="Arial" w:cs="Arial" w:eastAsia="Arial" w:hAnsi="Arial"/>
                <w:sz w:val="13"/>
                <w:szCs w:val="13"/>
                <w:color w:val="auto"/>
              </w:rPr>
              <w:t>March 1, 2019</w:t>
            </w:r>
            <w:r>
              <w:rPr>
                <w:rFonts w:ascii="Arial" w:cs="Arial" w:eastAsia="Arial" w:hAnsi="Arial"/>
                <w:sz w:val="20"/>
                <w:szCs w:val="20"/>
                <w:color w:val="auto"/>
                <w:vertAlign w:val="superscript"/>
              </w:rPr>
              <w:t>(3)</w:t>
            </w:r>
          </w:p>
        </w:tc>
        <w:tc>
          <w:tcPr>
            <w:tcW w:w="180" w:type="dxa"/>
            <w:vAlign w:val="bottom"/>
            <w:tcBorders>
              <w:bottom w:val="single" w:sz="8" w:color="307CC0"/>
            </w:tcBorders>
            <w:shd w:val="clear" w:color="auto" w:fill="CCEEFF"/>
          </w:tcPr>
          <w:p>
            <w:pPr>
              <w:spacing w:after="0"/>
              <w:rPr>
                <w:sz w:val="15"/>
                <w:szCs w:val="15"/>
                <w:color w:val="auto"/>
              </w:rPr>
            </w:pPr>
          </w:p>
        </w:tc>
        <w:tc>
          <w:tcPr>
            <w:tcW w:w="640" w:type="dxa"/>
            <w:vAlign w:val="bottom"/>
            <w:tcBorders>
              <w:bottom w:val="single" w:sz="8" w:color="307CC0"/>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07CC0"/>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307CC0"/>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07CC0"/>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307CC0"/>
            </w:tcBorders>
            <w:shd w:val="clear" w:color="auto" w:fill="CCEEFF"/>
          </w:tcPr>
          <w:p>
            <w:pPr>
              <w:jc w:val="right"/>
              <w:ind w:right="11"/>
              <w:spacing w:after="0"/>
              <w:rPr>
                <w:sz w:val="20"/>
                <w:szCs w:val="20"/>
                <w:color w:val="auto"/>
              </w:rPr>
            </w:pPr>
            <w:r>
              <w:rPr>
                <w:rFonts w:ascii="Arial" w:cs="Arial" w:eastAsia="Arial" w:hAnsi="Arial"/>
                <w:sz w:val="14"/>
                <w:szCs w:val="14"/>
                <w:color w:val="auto"/>
              </w:rPr>
              <w:t>2,733</w:t>
            </w:r>
          </w:p>
        </w:tc>
        <w:tc>
          <w:tcPr>
            <w:tcW w:w="900" w:type="dxa"/>
            <w:vAlign w:val="bottom"/>
            <w:tcBorders>
              <w:bottom w:val="single" w:sz="8" w:color="307CC0"/>
            </w:tcBorders>
            <w:shd w:val="clear" w:color="auto" w:fill="CCEEFF"/>
          </w:tcPr>
          <w:p>
            <w:pPr>
              <w:jc w:val="right"/>
              <w:ind w:right="31"/>
              <w:spacing w:after="0"/>
              <w:rPr>
                <w:sz w:val="20"/>
                <w:szCs w:val="20"/>
                <w:color w:val="auto"/>
              </w:rPr>
            </w:pPr>
            <w:r>
              <w:rPr>
                <w:rFonts w:ascii="Arial" w:cs="Arial" w:eastAsia="Arial" w:hAnsi="Arial"/>
                <w:sz w:val="14"/>
                <w:szCs w:val="14"/>
                <w:color w:val="auto"/>
              </w:rPr>
              <w:t>148,101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-1853565</wp:posOffset>
            </wp:positionV>
            <wp:extent cx="5808980" cy="3689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08980" cy="3689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-1115060</wp:posOffset>
            </wp:positionV>
            <wp:extent cx="5808980" cy="3689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08980" cy="3689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-376555</wp:posOffset>
            </wp:positionV>
            <wp:extent cx="5808980" cy="3689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08980" cy="368935"/>
                    </a:xfrm>
                    <a:prstGeom prst="rect">
                      <a:avLst/>
                    </a:prstGeom>
                    <a:noFill/>
                  </pic:spPr>
                </pic:pic>
              </a:graphicData>
            </a:graphic>
          </wp:anchor>
        </w:drawing>
      </w:r>
    </w:p>
    <w:p>
      <w:pPr>
        <w:spacing w:after="0" w:line="88" w:lineRule="exact"/>
        <w:rPr>
          <w:sz w:val="20"/>
          <w:szCs w:val="20"/>
          <w:color w:val="auto"/>
        </w:rPr>
      </w:pPr>
    </w:p>
    <w:p>
      <w:pPr>
        <w:ind w:left="340" w:right="20" w:hanging="330"/>
        <w:spacing w:after="0" w:line="215" w:lineRule="auto"/>
        <w:tabs>
          <w:tab w:leader="none" w:pos="340"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Reflects potential payments under our 2019 annual incentive plan. The actual amounts earned in 2019 are reported as Non-Equity Incentive Plan Compensation in the Summary Compensation Table.</w:t>
      </w:r>
    </w:p>
    <w:p>
      <w:pPr>
        <w:spacing w:after="0" w:line="94" w:lineRule="exact"/>
        <w:rPr>
          <w:rFonts w:ascii="Arial" w:cs="Arial" w:eastAsia="Arial" w:hAnsi="Arial"/>
          <w:sz w:val="17"/>
          <w:szCs w:val="17"/>
          <w:color w:val="auto"/>
          <w:vertAlign w:val="superscript"/>
        </w:rPr>
      </w:pPr>
    </w:p>
    <w:p>
      <w:pPr>
        <w:jc w:val="both"/>
        <w:ind w:left="340" w:hanging="330"/>
        <w:spacing w:after="0" w:line="225" w:lineRule="auto"/>
        <w:tabs>
          <w:tab w:leader="none" w:pos="340"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Consists of performance-based restricted stock units under our LTIP, for the 2019-2021 performance period that vest on March 1, 2022. Performance-based restricted stock units are payable in common stock, cash, or a combination of stock and cash after the end of the performance period. Actual payments depend on the three-year total shareholder return compared to the EEI Index. The awards can range from 0 percent to 200 percent of the target amount. Dividend equivalents will be paid in cash after the end of the period on the number of shares earned. The grant date fair value, which is calculated in accordance with ASC Topic 718 (excluding the effect of estimated forfeitures), is $37.87 per share and reflects the target number of shares.</w:t>
      </w:r>
    </w:p>
    <w:p>
      <w:pPr>
        <w:spacing w:after="0" w:line="95" w:lineRule="exact"/>
        <w:rPr>
          <w:rFonts w:ascii="Arial" w:cs="Arial" w:eastAsia="Arial" w:hAnsi="Arial"/>
          <w:sz w:val="17"/>
          <w:szCs w:val="17"/>
          <w:color w:val="auto"/>
          <w:vertAlign w:val="superscript"/>
        </w:rPr>
      </w:pPr>
    </w:p>
    <w:p>
      <w:pPr>
        <w:jc w:val="both"/>
        <w:ind w:left="340" w:hanging="330"/>
        <w:spacing w:after="0" w:line="222" w:lineRule="auto"/>
        <w:tabs>
          <w:tab w:leader="none" w:pos="340"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Consists of time-based restricted stock units under the LTIP that vest, if at all, on March 1, 2022. Dividends accrued on the time-based restricted stock units are reinvested during the vesting period (and, in turn, forfeited if the time-based restricted stock unit is forfeited), and are subject to the same restrictions as the associated time-based restricted stock unit. The grant date fair value, which is calculated in accordance with ASC Topic 718 (excluding the effect of estimated forfeitures) is $54.19 per share.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Narrative Analysis of Summary Compensation Table</w:t>
      </w:r>
    </w:p>
    <w:p>
      <w:pPr>
        <w:jc w:val="center"/>
        <w:spacing w:after="0"/>
        <w:rPr>
          <w:sz w:val="20"/>
          <w:szCs w:val="20"/>
          <w:color w:val="auto"/>
        </w:rPr>
      </w:pPr>
      <w:r>
        <w:rPr>
          <w:rFonts w:ascii="Arial" w:cs="Arial" w:eastAsia="Arial" w:hAnsi="Arial"/>
          <w:sz w:val="21"/>
          <w:szCs w:val="21"/>
          <w:b w:val="1"/>
          <w:bCs w:val="1"/>
          <w:color w:val="auto"/>
        </w:rPr>
        <w:t>and Grants of Plan-Based Awards Table</w:t>
      </w:r>
    </w:p>
    <w:p>
      <w:pPr>
        <w:spacing w:after="0" w:line="87" w:lineRule="exact"/>
        <w:rPr>
          <w:sz w:val="20"/>
          <w:szCs w:val="20"/>
          <w:color w:val="auto"/>
        </w:rPr>
      </w:pPr>
    </w:p>
    <w:p>
      <w:pPr>
        <w:ind w:left="20" w:firstLine="172"/>
        <w:spacing w:after="0" w:line="269" w:lineRule="auto"/>
        <w:rPr>
          <w:sz w:val="20"/>
          <w:szCs w:val="20"/>
          <w:color w:val="auto"/>
        </w:rPr>
      </w:pPr>
      <w:r>
        <w:rPr>
          <w:rFonts w:ascii="Arial" w:cs="Arial" w:eastAsia="Arial" w:hAnsi="Arial"/>
          <w:sz w:val="17"/>
          <w:szCs w:val="17"/>
          <w:color w:val="auto"/>
        </w:rPr>
        <w:t>See the “Compensation Discussion and Analysis” portion of this proxy statement for further information regarding the information disclosed in the Summary Compensation Table and the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116205</wp:posOffset>
            </wp:positionV>
            <wp:extent cx="5808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77"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Outstanding Equity Awards at Fiscal Year-End</w:t>
      </w:r>
    </w:p>
    <w:p>
      <w:pPr>
        <w:spacing w:after="0" w:line="126" w:lineRule="exact"/>
        <w:rPr>
          <w:sz w:val="20"/>
          <w:szCs w:val="20"/>
          <w:color w:val="auto"/>
        </w:rPr>
      </w:pPr>
    </w:p>
    <w:p>
      <w:pPr>
        <w:ind w:left="20" w:right="20" w:firstLine="172"/>
        <w:spacing w:after="0" w:line="269" w:lineRule="auto"/>
        <w:rPr>
          <w:sz w:val="20"/>
          <w:szCs w:val="20"/>
          <w:color w:val="auto"/>
        </w:rPr>
      </w:pPr>
      <w:r>
        <w:rPr>
          <w:rFonts w:ascii="Arial" w:cs="Arial" w:eastAsia="Arial" w:hAnsi="Arial"/>
          <w:sz w:val="17"/>
          <w:szCs w:val="17"/>
          <w:color w:val="auto"/>
        </w:rPr>
        <w:t>The following table provides information regarding the outstanding equity awards held by each of the NEOs as of December 31, 2019. There are no outstanding options.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shd w:val="clear" w:color="auto" w:fill="307CC0"/>
          </w:tcPr>
          <w:p>
            <w:pPr>
              <w:spacing w:after="0"/>
              <w:rPr>
                <w:sz w:val="15"/>
                <w:szCs w:val="15"/>
                <w:color w:val="auto"/>
              </w:rPr>
            </w:pPr>
          </w:p>
        </w:tc>
        <w:tc>
          <w:tcPr>
            <w:tcW w:w="1480" w:type="dxa"/>
            <w:vAlign w:val="bottom"/>
            <w:shd w:val="clear" w:color="auto" w:fill="307CC0"/>
          </w:tcPr>
          <w:p>
            <w:pPr>
              <w:spacing w:after="0"/>
              <w:rPr>
                <w:sz w:val="15"/>
                <w:szCs w:val="15"/>
                <w:color w:val="auto"/>
              </w:rPr>
            </w:pPr>
          </w:p>
        </w:tc>
        <w:tc>
          <w:tcPr>
            <w:tcW w:w="3180" w:type="dxa"/>
            <w:vAlign w:val="bottom"/>
            <w:gridSpan w:val="2"/>
            <w:shd w:val="clear" w:color="auto" w:fill="307CC0"/>
          </w:tcPr>
          <w:p>
            <w:pPr>
              <w:jc w:val="right"/>
              <w:ind w:right="947"/>
              <w:spacing w:after="0"/>
              <w:rPr>
                <w:sz w:val="20"/>
                <w:szCs w:val="20"/>
                <w:color w:val="auto"/>
              </w:rPr>
            </w:pPr>
            <w:r>
              <w:rPr>
                <w:rFonts w:ascii="Arial" w:cs="Arial" w:eastAsia="Arial" w:hAnsi="Arial"/>
                <w:sz w:val="13"/>
                <w:szCs w:val="13"/>
                <w:b w:val="1"/>
                <w:bCs w:val="1"/>
                <w:color w:val="FFFFFF"/>
              </w:rPr>
              <w:t>Stock Awards</w:t>
            </w:r>
          </w:p>
        </w:tc>
        <w:tc>
          <w:tcPr>
            <w:tcW w:w="1640" w:type="dxa"/>
            <w:vAlign w:val="bottom"/>
            <w:shd w:val="clear" w:color="auto" w:fill="307CC0"/>
          </w:tcPr>
          <w:p>
            <w:pPr>
              <w:spacing w:after="0"/>
              <w:rPr>
                <w:sz w:val="15"/>
                <w:szCs w:val="15"/>
                <w:color w:val="auto"/>
              </w:rPr>
            </w:pPr>
          </w:p>
        </w:tc>
      </w:tr>
      <w:tr>
        <w:trPr>
          <w:trHeight w:val="151"/>
        </w:trPr>
        <w:tc>
          <w:tcPr>
            <w:tcW w:w="2860" w:type="dxa"/>
            <w:vAlign w:val="bottom"/>
            <w:shd w:val="clear" w:color="auto" w:fill="307CC0"/>
          </w:tcPr>
          <w:p>
            <w:pPr>
              <w:spacing w:after="0"/>
              <w:rPr>
                <w:sz w:val="13"/>
                <w:szCs w:val="13"/>
                <w:color w:val="auto"/>
              </w:rPr>
            </w:pPr>
          </w:p>
        </w:tc>
        <w:tc>
          <w:tcPr>
            <w:tcW w:w="1480" w:type="dxa"/>
            <w:vAlign w:val="bottom"/>
            <w:shd w:val="clear" w:color="auto" w:fill="307CC0"/>
          </w:tcPr>
          <w:p>
            <w:pPr>
              <w:spacing w:after="0"/>
              <w:rPr>
                <w:sz w:val="13"/>
                <w:szCs w:val="13"/>
                <w:color w:val="auto"/>
              </w:rPr>
            </w:pPr>
          </w:p>
        </w:tc>
        <w:tc>
          <w:tcPr>
            <w:tcW w:w="1660" w:type="dxa"/>
            <w:vAlign w:val="bottom"/>
            <w:shd w:val="clear" w:color="auto" w:fill="307CC0"/>
          </w:tcPr>
          <w:p>
            <w:pPr>
              <w:spacing w:after="0"/>
              <w:rPr>
                <w:sz w:val="13"/>
                <w:szCs w:val="13"/>
                <w:color w:val="auto"/>
              </w:rPr>
            </w:pPr>
          </w:p>
        </w:tc>
        <w:tc>
          <w:tcPr>
            <w:tcW w:w="1520" w:type="dxa"/>
            <w:vAlign w:val="bottom"/>
            <w:shd w:val="clear" w:color="auto" w:fill="307CC0"/>
          </w:tcPr>
          <w:p>
            <w:pPr>
              <w:jc w:val="center"/>
              <w:ind w:right="167"/>
              <w:spacing w:after="0"/>
              <w:rPr>
                <w:sz w:val="20"/>
                <w:szCs w:val="20"/>
                <w:color w:val="auto"/>
              </w:rPr>
            </w:pPr>
            <w:r>
              <w:rPr>
                <w:rFonts w:ascii="Arial" w:cs="Arial" w:eastAsia="Arial" w:hAnsi="Arial"/>
                <w:sz w:val="13"/>
                <w:szCs w:val="13"/>
                <w:b w:val="1"/>
                <w:bCs w:val="1"/>
                <w:color w:val="FFFFFF"/>
              </w:rPr>
              <w:t>Equity</w:t>
            </w:r>
          </w:p>
        </w:tc>
        <w:tc>
          <w:tcPr>
            <w:tcW w:w="164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Equity</w:t>
            </w:r>
          </w:p>
        </w:tc>
      </w:tr>
      <w:tr>
        <w:trPr>
          <w:trHeight w:val="142"/>
        </w:trPr>
        <w:tc>
          <w:tcPr>
            <w:tcW w:w="2860" w:type="dxa"/>
            <w:vAlign w:val="bottom"/>
            <w:shd w:val="clear" w:color="auto" w:fill="307CC0"/>
          </w:tcPr>
          <w:p>
            <w:pPr>
              <w:spacing w:after="0"/>
              <w:rPr>
                <w:sz w:val="12"/>
                <w:szCs w:val="12"/>
                <w:color w:val="auto"/>
              </w:rPr>
            </w:pPr>
          </w:p>
        </w:tc>
        <w:tc>
          <w:tcPr>
            <w:tcW w:w="1480" w:type="dxa"/>
            <w:vAlign w:val="bottom"/>
            <w:shd w:val="clear" w:color="auto" w:fill="307CC0"/>
          </w:tcPr>
          <w:p>
            <w:pPr>
              <w:spacing w:after="0"/>
              <w:rPr>
                <w:sz w:val="12"/>
                <w:szCs w:val="12"/>
                <w:color w:val="auto"/>
              </w:rPr>
            </w:pPr>
          </w:p>
        </w:tc>
        <w:tc>
          <w:tcPr>
            <w:tcW w:w="1660" w:type="dxa"/>
            <w:vAlign w:val="bottom"/>
            <w:shd w:val="clear" w:color="auto" w:fill="307CC0"/>
          </w:tcPr>
          <w:p>
            <w:pPr>
              <w:spacing w:after="0"/>
              <w:rPr>
                <w:sz w:val="12"/>
                <w:szCs w:val="12"/>
                <w:color w:val="auto"/>
              </w:rPr>
            </w:pPr>
          </w:p>
        </w:tc>
        <w:tc>
          <w:tcPr>
            <w:tcW w:w="1520" w:type="dxa"/>
            <w:vAlign w:val="bottom"/>
            <w:shd w:val="clear" w:color="auto" w:fill="307CC0"/>
          </w:tcPr>
          <w:p>
            <w:pPr>
              <w:jc w:val="center"/>
              <w:ind w:right="167"/>
              <w:spacing w:after="0" w:line="143" w:lineRule="exact"/>
              <w:rPr>
                <w:sz w:val="20"/>
                <w:szCs w:val="20"/>
                <w:color w:val="auto"/>
              </w:rPr>
            </w:pPr>
            <w:r>
              <w:rPr>
                <w:rFonts w:ascii="Arial" w:cs="Arial" w:eastAsia="Arial" w:hAnsi="Arial"/>
                <w:sz w:val="13"/>
                <w:szCs w:val="13"/>
                <w:b w:val="1"/>
                <w:bCs w:val="1"/>
                <w:color w:val="FFFFFF"/>
              </w:rPr>
              <w:t>Incentive Plan</w:t>
            </w:r>
          </w:p>
        </w:tc>
        <w:tc>
          <w:tcPr>
            <w:tcW w:w="16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Incentive Plan</w:t>
            </w:r>
          </w:p>
        </w:tc>
      </w:tr>
      <w:tr>
        <w:trPr>
          <w:trHeight w:val="142"/>
        </w:trPr>
        <w:tc>
          <w:tcPr>
            <w:tcW w:w="2860" w:type="dxa"/>
            <w:vAlign w:val="bottom"/>
            <w:shd w:val="clear" w:color="auto" w:fill="307CC0"/>
          </w:tcPr>
          <w:p>
            <w:pPr>
              <w:spacing w:after="0"/>
              <w:rPr>
                <w:sz w:val="12"/>
                <w:szCs w:val="12"/>
                <w:color w:val="auto"/>
              </w:rPr>
            </w:pPr>
          </w:p>
        </w:tc>
        <w:tc>
          <w:tcPr>
            <w:tcW w:w="14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Number of</w:t>
            </w:r>
          </w:p>
        </w:tc>
        <w:tc>
          <w:tcPr>
            <w:tcW w:w="1660" w:type="dxa"/>
            <w:vAlign w:val="bottom"/>
            <w:shd w:val="clear" w:color="auto" w:fill="307CC0"/>
          </w:tcPr>
          <w:p>
            <w:pPr>
              <w:spacing w:after="0"/>
              <w:rPr>
                <w:sz w:val="12"/>
                <w:szCs w:val="12"/>
                <w:color w:val="auto"/>
              </w:rPr>
            </w:pPr>
          </w:p>
        </w:tc>
        <w:tc>
          <w:tcPr>
            <w:tcW w:w="1520" w:type="dxa"/>
            <w:vAlign w:val="bottom"/>
            <w:shd w:val="clear" w:color="auto" w:fill="307CC0"/>
          </w:tcPr>
          <w:p>
            <w:pPr>
              <w:jc w:val="center"/>
              <w:ind w:right="167"/>
              <w:spacing w:after="0" w:line="143" w:lineRule="exact"/>
              <w:rPr>
                <w:sz w:val="20"/>
                <w:szCs w:val="20"/>
                <w:color w:val="auto"/>
              </w:rPr>
            </w:pPr>
            <w:r>
              <w:rPr>
                <w:rFonts w:ascii="Arial" w:cs="Arial" w:eastAsia="Arial" w:hAnsi="Arial"/>
                <w:sz w:val="13"/>
                <w:szCs w:val="13"/>
                <w:b w:val="1"/>
                <w:bCs w:val="1"/>
                <w:color w:val="FFFFFF"/>
              </w:rPr>
              <w:t>Awards:</w:t>
            </w:r>
          </w:p>
        </w:tc>
        <w:tc>
          <w:tcPr>
            <w:tcW w:w="16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Awards:</w:t>
            </w:r>
          </w:p>
        </w:tc>
      </w:tr>
      <w:tr>
        <w:trPr>
          <w:trHeight w:val="142"/>
        </w:trPr>
        <w:tc>
          <w:tcPr>
            <w:tcW w:w="2860" w:type="dxa"/>
            <w:vAlign w:val="bottom"/>
            <w:shd w:val="clear" w:color="auto" w:fill="307CC0"/>
          </w:tcPr>
          <w:p>
            <w:pPr>
              <w:spacing w:after="0"/>
              <w:rPr>
                <w:sz w:val="12"/>
                <w:szCs w:val="12"/>
                <w:color w:val="auto"/>
              </w:rPr>
            </w:pPr>
          </w:p>
        </w:tc>
        <w:tc>
          <w:tcPr>
            <w:tcW w:w="14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Shares of</w:t>
            </w:r>
          </w:p>
        </w:tc>
        <w:tc>
          <w:tcPr>
            <w:tcW w:w="1660" w:type="dxa"/>
            <w:vAlign w:val="bottom"/>
            <w:shd w:val="clear" w:color="auto" w:fill="307CC0"/>
          </w:tcPr>
          <w:p>
            <w:pPr>
              <w:jc w:val="center"/>
              <w:ind w:right="26"/>
              <w:spacing w:after="0" w:line="143" w:lineRule="exact"/>
              <w:rPr>
                <w:sz w:val="20"/>
                <w:szCs w:val="20"/>
                <w:color w:val="auto"/>
              </w:rPr>
            </w:pPr>
            <w:r>
              <w:rPr>
                <w:rFonts w:ascii="Arial" w:cs="Arial" w:eastAsia="Arial" w:hAnsi="Arial"/>
                <w:sz w:val="13"/>
                <w:szCs w:val="13"/>
                <w:b w:val="1"/>
                <w:bCs w:val="1"/>
                <w:color w:val="FFFFFF"/>
                <w:w w:val="99"/>
              </w:rPr>
              <w:t>Market Value of</w:t>
            </w:r>
          </w:p>
        </w:tc>
        <w:tc>
          <w:tcPr>
            <w:tcW w:w="1520" w:type="dxa"/>
            <w:vAlign w:val="bottom"/>
            <w:shd w:val="clear" w:color="auto" w:fill="307CC0"/>
          </w:tcPr>
          <w:p>
            <w:pPr>
              <w:jc w:val="center"/>
              <w:ind w:right="167"/>
              <w:spacing w:after="0" w:line="143" w:lineRule="exact"/>
              <w:rPr>
                <w:sz w:val="20"/>
                <w:szCs w:val="20"/>
                <w:color w:val="auto"/>
              </w:rPr>
            </w:pPr>
            <w:r>
              <w:rPr>
                <w:rFonts w:ascii="Arial" w:cs="Arial" w:eastAsia="Arial" w:hAnsi="Arial"/>
                <w:sz w:val="13"/>
                <w:szCs w:val="13"/>
                <w:b w:val="1"/>
                <w:bCs w:val="1"/>
                <w:color w:val="FFFFFF"/>
                <w:w w:val="98"/>
              </w:rPr>
              <w:t>Number of</w:t>
            </w:r>
          </w:p>
        </w:tc>
        <w:tc>
          <w:tcPr>
            <w:tcW w:w="16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Market or Payout</w:t>
            </w:r>
          </w:p>
        </w:tc>
      </w:tr>
      <w:tr>
        <w:trPr>
          <w:trHeight w:val="142"/>
        </w:trPr>
        <w:tc>
          <w:tcPr>
            <w:tcW w:w="2860" w:type="dxa"/>
            <w:vAlign w:val="bottom"/>
            <w:shd w:val="clear" w:color="auto" w:fill="307CC0"/>
          </w:tcPr>
          <w:p>
            <w:pPr>
              <w:spacing w:after="0"/>
              <w:rPr>
                <w:sz w:val="12"/>
                <w:szCs w:val="12"/>
                <w:color w:val="auto"/>
              </w:rPr>
            </w:pPr>
          </w:p>
        </w:tc>
        <w:tc>
          <w:tcPr>
            <w:tcW w:w="14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Stock or Units</w:t>
            </w:r>
          </w:p>
        </w:tc>
        <w:tc>
          <w:tcPr>
            <w:tcW w:w="1660" w:type="dxa"/>
            <w:vAlign w:val="bottom"/>
            <w:shd w:val="clear" w:color="auto" w:fill="307CC0"/>
          </w:tcPr>
          <w:p>
            <w:pPr>
              <w:jc w:val="center"/>
              <w:ind w:right="26"/>
              <w:spacing w:after="0" w:line="143" w:lineRule="exact"/>
              <w:rPr>
                <w:sz w:val="20"/>
                <w:szCs w:val="20"/>
                <w:color w:val="auto"/>
              </w:rPr>
            </w:pPr>
            <w:r>
              <w:rPr>
                <w:rFonts w:ascii="Arial" w:cs="Arial" w:eastAsia="Arial" w:hAnsi="Arial"/>
                <w:sz w:val="13"/>
                <w:szCs w:val="13"/>
                <w:b w:val="1"/>
                <w:bCs w:val="1"/>
                <w:color w:val="FFFFFF"/>
              </w:rPr>
              <w:t>Shares of</w:t>
            </w:r>
          </w:p>
        </w:tc>
        <w:tc>
          <w:tcPr>
            <w:tcW w:w="1520" w:type="dxa"/>
            <w:vAlign w:val="bottom"/>
            <w:shd w:val="clear" w:color="auto" w:fill="307CC0"/>
          </w:tcPr>
          <w:p>
            <w:pPr>
              <w:jc w:val="center"/>
              <w:ind w:right="167"/>
              <w:spacing w:after="0" w:line="143" w:lineRule="exact"/>
              <w:rPr>
                <w:sz w:val="20"/>
                <w:szCs w:val="20"/>
                <w:color w:val="auto"/>
              </w:rPr>
            </w:pPr>
            <w:r>
              <w:rPr>
                <w:rFonts w:ascii="Arial" w:cs="Arial" w:eastAsia="Arial" w:hAnsi="Arial"/>
                <w:sz w:val="13"/>
                <w:szCs w:val="13"/>
                <w:b w:val="1"/>
                <w:bCs w:val="1"/>
                <w:color w:val="FFFFFF"/>
                <w:w w:val="99"/>
              </w:rPr>
              <w:t>Unearned</w:t>
            </w:r>
          </w:p>
        </w:tc>
        <w:tc>
          <w:tcPr>
            <w:tcW w:w="16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Value of Unearned</w:t>
            </w:r>
          </w:p>
        </w:tc>
      </w:tr>
      <w:tr>
        <w:trPr>
          <w:trHeight w:val="142"/>
        </w:trPr>
        <w:tc>
          <w:tcPr>
            <w:tcW w:w="2860" w:type="dxa"/>
            <w:vAlign w:val="bottom"/>
            <w:shd w:val="clear" w:color="auto" w:fill="307CC0"/>
          </w:tcPr>
          <w:p>
            <w:pPr>
              <w:spacing w:after="0"/>
              <w:rPr>
                <w:sz w:val="12"/>
                <w:szCs w:val="12"/>
                <w:color w:val="auto"/>
              </w:rPr>
            </w:pPr>
          </w:p>
        </w:tc>
        <w:tc>
          <w:tcPr>
            <w:tcW w:w="14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That</w:t>
            </w:r>
          </w:p>
        </w:tc>
        <w:tc>
          <w:tcPr>
            <w:tcW w:w="1660" w:type="dxa"/>
            <w:vAlign w:val="bottom"/>
            <w:shd w:val="clear" w:color="auto" w:fill="307CC0"/>
          </w:tcPr>
          <w:p>
            <w:pPr>
              <w:jc w:val="center"/>
              <w:ind w:right="26"/>
              <w:spacing w:after="0" w:line="143" w:lineRule="exact"/>
              <w:rPr>
                <w:sz w:val="20"/>
                <w:szCs w:val="20"/>
                <w:color w:val="auto"/>
              </w:rPr>
            </w:pPr>
            <w:r>
              <w:rPr>
                <w:rFonts w:ascii="Arial" w:cs="Arial" w:eastAsia="Arial" w:hAnsi="Arial"/>
                <w:sz w:val="13"/>
                <w:szCs w:val="13"/>
                <w:b w:val="1"/>
                <w:bCs w:val="1"/>
                <w:color w:val="FFFFFF"/>
                <w:w w:val="99"/>
              </w:rPr>
              <w:t>Stock or Units</w:t>
            </w:r>
          </w:p>
        </w:tc>
        <w:tc>
          <w:tcPr>
            <w:tcW w:w="1520" w:type="dxa"/>
            <w:vAlign w:val="bottom"/>
            <w:shd w:val="clear" w:color="auto" w:fill="307CC0"/>
          </w:tcPr>
          <w:p>
            <w:pPr>
              <w:jc w:val="center"/>
              <w:ind w:right="187"/>
              <w:spacing w:after="0" w:line="143" w:lineRule="exact"/>
              <w:rPr>
                <w:sz w:val="20"/>
                <w:szCs w:val="20"/>
                <w:color w:val="auto"/>
              </w:rPr>
            </w:pPr>
            <w:r>
              <w:rPr>
                <w:rFonts w:ascii="Arial" w:cs="Arial" w:eastAsia="Arial" w:hAnsi="Arial"/>
                <w:sz w:val="13"/>
                <w:szCs w:val="13"/>
                <w:b w:val="1"/>
                <w:bCs w:val="1"/>
                <w:color w:val="FFFFFF"/>
                <w:w w:val="99"/>
              </w:rPr>
              <w:t>Shares That</w:t>
            </w:r>
          </w:p>
        </w:tc>
        <w:tc>
          <w:tcPr>
            <w:tcW w:w="16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Shares That Have</w:t>
            </w:r>
          </w:p>
        </w:tc>
      </w:tr>
      <w:tr>
        <w:trPr>
          <w:trHeight w:val="140"/>
        </w:trPr>
        <w:tc>
          <w:tcPr>
            <w:tcW w:w="2860" w:type="dxa"/>
            <w:vAlign w:val="bottom"/>
            <w:shd w:val="clear" w:color="auto" w:fill="307CC0"/>
          </w:tcPr>
          <w:p>
            <w:pPr>
              <w:spacing w:after="0"/>
              <w:rPr>
                <w:sz w:val="12"/>
                <w:szCs w:val="12"/>
                <w:color w:val="auto"/>
              </w:rPr>
            </w:pPr>
          </w:p>
        </w:tc>
        <w:tc>
          <w:tcPr>
            <w:tcW w:w="148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9"/>
              </w:rPr>
              <w:t>Have Not</w:t>
            </w:r>
          </w:p>
        </w:tc>
        <w:tc>
          <w:tcPr>
            <w:tcW w:w="1660" w:type="dxa"/>
            <w:vAlign w:val="bottom"/>
            <w:shd w:val="clear" w:color="auto" w:fill="307CC0"/>
          </w:tcPr>
          <w:p>
            <w:pPr>
              <w:jc w:val="center"/>
              <w:ind w:right="26"/>
              <w:spacing w:after="0" w:line="140" w:lineRule="exact"/>
              <w:rPr>
                <w:sz w:val="20"/>
                <w:szCs w:val="20"/>
                <w:color w:val="auto"/>
              </w:rPr>
            </w:pPr>
            <w:r>
              <w:rPr>
                <w:rFonts w:ascii="Arial" w:cs="Arial" w:eastAsia="Arial" w:hAnsi="Arial"/>
                <w:sz w:val="13"/>
                <w:szCs w:val="13"/>
                <w:b w:val="1"/>
                <w:bCs w:val="1"/>
                <w:color w:val="FFFFFF"/>
              </w:rPr>
              <w:t>That Have Not</w:t>
            </w:r>
          </w:p>
        </w:tc>
        <w:tc>
          <w:tcPr>
            <w:tcW w:w="1520" w:type="dxa"/>
            <w:vAlign w:val="bottom"/>
            <w:shd w:val="clear" w:color="auto" w:fill="307CC0"/>
          </w:tcPr>
          <w:p>
            <w:pPr>
              <w:jc w:val="center"/>
              <w:ind w:right="167"/>
              <w:spacing w:after="0" w:line="140" w:lineRule="exact"/>
              <w:rPr>
                <w:sz w:val="20"/>
                <w:szCs w:val="20"/>
                <w:color w:val="auto"/>
              </w:rPr>
            </w:pPr>
            <w:r>
              <w:rPr>
                <w:rFonts w:ascii="Arial" w:cs="Arial" w:eastAsia="Arial" w:hAnsi="Arial"/>
                <w:sz w:val="13"/>
                <w:szCs w:val="13"/>
                <w:b w:val="1"/>
                <w:bCs w:val="1"/>
                <w:color w:val="FFFFFF"/>
                <w:w w:val="99"/>
              </w:rPr>
              <w:t>Have Not</w:t>
            </w:r>
          </w:p>
        </w:tc>
        <w:tc>
          <w:tcPr>
            <w:tcW w:w="164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2"/>
              </w:rPr>
              <w:t>Not</w:t>
            </w:r>
          </w:p>
        </w:tc>
      </w:tr>
      <w:tr>
        <w:trPr>
          <w:trHeight w:val="187"/>
        </w:trPr>
        <w:tc>
          <w:tcPr>
            <w:tcW w:w="286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1480" w:type="dxa"/>
            <w:vAlign w:val="bottom"/>
            <w:shd w:val="clear" w:color="auto" w:fill="307CC0"/>
          </w:tcPr>
          <w:p>
            <w:pPr>
              <w:jc w:val="center"/>
              <w:spacing w:after="0" w:line="174" w:lineRule="exact"/>
              <w:rPr>
                <w:sz w:val="20"/>
                <w:szCs w:val="20"/>
                <w:color w:val="auto"/>
              </w:rPr>
            </w:pPr>
            <w:r>
              <w:rPr>
                <w:rFonts w:ascii="Arial" w:cs="Arial" w:eastAsia="Arial" w:hAnsi="Arial"/>
                <w:sz w:val="12"/>
                <w:szCs w:val="12"/>
                <w:b w:val="1"/>
                <w:bCs w:val="1"/>
                <w:color w:val="FFFFFF"/>
                <w:w w:val="97"/>
              </w:rPr>
              <w:t>Vested (#)</w:t>
            </w:r>
            <w:r>
              <w:rPr>
                <w:rFonts w:ascii="Arial" w:cs="Arial" w:eastAsia="Arial" w:hAnsi="Arial"/>
                <w:sz w:val="20"/>
                <w:szCs w:val="20"/>
                <w:b w:val="1"/>
                <w:bCs w:val="1"/>
                <w:color w:val="FFFFFF"/>
                <w:w w:val="97"/>
                <w:vertAlign w:val="superscript"/>
              </w:rPr>
              <w:t>(1)(2)</w:t>
            </w:r>
          </w:p>
        </w:tc>
        <w:tc>
          <w:tcPr>
            <w:tcW w:w="1660" w:type="dxa"/>
            <w:vAlign w:val="bottom"/>
            <w:shd w:val="clear" w:color="auto" w:fill="307CC0"/>
          </w:tcPr>
          <w:p>
            <w:pPr>
              <w:jc w:val="center"/>
              <w:ind w:right="26"/>
              <w:spacing w:after="0" w:line="174" w:lineRule="exact"/>
              <w:rPr>
                <w:sz w:val="20"/>
                <w:szCs w:val="20"/>
                <w:color w:val="auto"/>
              </w:rPr>
            </w:pPr>
            <w:r>
              <w:rPr>
                <w:rFonts w:ascii="Arial" w:cs="Arial" w:eastAsia="Arial" w:hAnsi="Arial"/>
                <w:sz w:val="12"/>
                <w:szCs w:val="12"/>
                <w:b w:val="1"/>
                <w:bCs w:val="1"/>
                <w:color w:val="FFFFFF"/>
                <w:w w:val="97"/>
              </w:rPr>
              <w:t>Vested ($)</w:t>
            </w:r>
            <w:r>
              <w:rPr>
                <w:rFonts w:ascii="Arial" w:cs="Arial" w:eastAsia="Arial" w:hAnsi="Arial"/>
                <w:sz w:val="20"/>
                <w:szCs w:val="20"/>
                <w:b w:val="1"/>
                <w:bCs w:val="1"/>
                <w:color w:val="FFFFFF"/>
                <w:w w:val="97"/>
                <w:vertAlign w:val="superscript"/>
              </w:rPr>
              <w:t>(2)(3)</w:t>
            </w:r>
          </w:p>
        </w:tc>
        <w:tc>
          <w:tcPr>
            <w:tcW w:w="1520" w:type="dxa"/>
            <w:vAlign w:val="bottom"/>
            <w:shd w:val="clear" w:color="auto" w:fill="307CC0"/>
          </w:tcPr>
          <w:p>
            <w:pPr>
              <w:jc w:val="center"/>
              <w:ind w:right="187"/>
              <w:spacing w:after="0" w:line="174" w:lineRule="exact"/>
              <w:rPr>
                <w:sz w:val="20"/>
                <w:szCs w:val="20"/>
                <w:color w:val="auto"/>
              </w:rPr>
            </w:pPr>
            <w:r>
              <w:rPr>
                <w:rFonts w:ascii="Arial" w:cs="Arial" w:eastAsia="Arial" w:hAnsi="Arial"/>
                <w:sz w:val="12"/>
                <w:szCs w:val="12"/>
                <w:b w:val="1"/>
                <w:bCs w:val="1"/>
                <w:color w:val="FFFFFF"/>
              </w:rPr>
              <w:t>Vested (#)</w:t>
            </w:r>
            <w:r>
              <w:rPr>
                <w:rFonts w:ascii="Arial" w:cs="Arial" w:eastAsia="Arial" w:hAnsi="Arial"/>
                <w:sz w:val="20"/>
                <w:szCs w:val="20"/>
                <w:b w:val="1"/>
                <w:bCs w:val="1"/>
                <w:color w:val="FFFFFF"/>
                <w:vertAlign w:val="superscript"/>
              </w:rPr>
              <w:t>(4)</w:t>
            </w:r>
          </w:p>
        </w:tc>
        <w:tc>
          <w:tcPr>
            <w:tcW w:w="1640" w:type="dxa"/>
            <w:vAlign w:val="bottom"/>
            <w:shd w:val="clear" w:color="auto" w:fill="307CC0"/>
          </w:tcPr>
          <w:p>
            <w:pPr>
              <w:jc w:val="center"/>
              <w:spacing w:after="0" w:line="174" w:lineRule="exact"/>
              <w:rPr>
                <w:sz w:val="20"/>
                <w:szCs w:val="20"/>
                <w:color w:val="auto"/>
              </w:rPr>
            </w:pPr>
            <w:r>
              <w:rPr>
                <w:rFonts w:ascii="Arial" w:cs="Arial" w:eastAsia="Arial" w:hAnsi="Arial"/>
                <w:sz w:val="12"/>
                <w:szCs w:val="12"/>
                <w:b w:val="1"/>
                <w:bCs w:val="1"/>
                <w:color w:val="FFFFFF"/>
                <w:w w:val="97"/>
              </w:rPr>
              <w:t>Vested ($)</w:t>
            </w:r>
            <w:r>
              <w:rPr>
                <w:rFonts w:ascii="Arial" w:cs="Arial" w:eastAsia="Arial" w:hAnsi="Arial"/>
                <w:sz w:val="20"/>
                <w:szCs w:val="20"/>
                <w:b w:val="1"/>
                <w:bCs w:val="1"/>
                <w:color w:val="FFFFFF"/>
                <w:w w:val="97"/>
                <w:vertAlign w:val="superscript"/>
              </w:rPr>
              <w:t>(3)(4)</w:t>
            </w:r>
          </w:p>
        </w:tc>
      </w:tr>
      <w:tr>
        <w:trPr>
          <w:trHeight w:val="220"/>
        </w:trPr>
        <w:tc>
          <w:tcPr>
            <w:tcW w:w="28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Mr. Bassham</w:t>
            </w:r>
          </w:p>
        </w:tc>
        <w:tc>
          <w:tcPr>
            <w:tcW w:w="1480" w:type="dxa"/>
            <w:vAlign w:val="bottom"/>
            <w:tcBorders>
              <w:bottom w:val="single" w:sz="8" w:color="307CC0"/>
            </w:tcBorders>
            <w:shd w:val="clear" w:color="auto" w:fill="CCEEFF"/>
          </w:tcPr>
          <w:p>
            <w:pPr>
              <w:jc w:val="right"/>
              <w:ind w:right="26"/>
              <w:spacing w:after="0"/>
              <w:rPr>
                <w:sz w:val="20"/>
                <w:szCs w:val="20"/>
                <w:color w:val="auto"/>
              </w:rPr>
            </w:pPr>
            <w:r>
              <w:rPr>
                <w:rFonts w:ascii="Arial" w:cs="Arial" w:eastAsia="Arial" w:hAnsi="Arial"/>
                <w:sz w:val="17"/>
                <w:szCs w:val="17"/>
                <w:color w:val="auto"/>
              </w:rPr>
              <w:t>107,200</w:t>
            </w:r>
          </w:p>
        </w:tc>
        <w:tc>
          <w:tcPr>
            <w:tcW w:w="1660" w:type="dxa"/>
            <w:vAlign w:val="bottom"/>
            <w:tcBorders>
              <w:bottom w:val="single" w:sz="8" w:color="307CC0"/>
            </w:tcBorders>
            <w:shd w:val="clear" w:color="auto" w:fill="CCEEFF"/>
          </w:tcPr>
          <w:p>
            <w:pPr>
              <w:jc w:val="right"/>
              <w:ind w:right="106"/>
              <w:spacing w:after="0"/>
              <w:rPr>
                <w:sz w:val="20"/>
                <w:szCs w:val="20"/>
                <w:color w:val="auto"/>
              </w:rPr>
            </w:pPr>
            <w:r>
              <w:rPr>
                <w:rFonts w:ascii="Arial" w:cs="Arial" w:eastAsia="Arial" w:hAnsi="Arial"/>
                <w:sz w:val="17"/>
                <w:szCs w:val="17"/>
                <w:color w:val="auto"/>
              </w:rPr>
              <w:t>6,977,656</w:t>
            </w:r>
          </w:p>
        </w:tc>
        <w:tc>
          <w:tcPr>
            <w:tcW w:w="1520" w:type="dxa"/>
            <w:vAlign w:val="bottom"/>
            <w:tcBorders>
              <w:bottom w:val="single" w:sz="8" w:color="307CC0"/>
            </w:tcBorders>
            <w:shd w:val="clear" w:color="auto" w:fill="CCEEFF"/>
          </w:tcPr>
          <w:p>
            <w:pPr>
              <w:jc w:val="right"/>
              <w:ind w:right="167"/>
              <w:spacing w:after="0"/>
              <w:rPr>
                <w:sz w:val="20"/>
                <w:szCs w:val="20"/>
                <w:color w:val="auto"/>
              </w:rPr>
            </w:pPr>
            <w:r>
              <w:rPr>
                <w:rFonts w:ascii="Arial" w:cs="Arial" w:eastAsia="Arial" w:hAnsi="Arial"/>
                <w:sz w:val="17"/>
                <w:szCs w:val="17"/>
                <w:color w:val="auto"/>
              </w:rPr>
              <w:t>86,665</w:t>
            </w:r>
          </w:p>
        </w:tc>
        <w:tc>
          <w:tcPr>
            <w:tcW w:w="1640" w:type="dxa"/>
            <w:vAlign w:val="bottom"/>
            <w:tcBorders>
              <w:bottom w:val="single" w:sz="8" w:color="307CC0"/>
            </w:tcBorders>
            <w:shd w:val="clear" w:color="auto" w:fill="CCEEFF"/>
          </w:tcPr>
          <w:p>
            <w:pPr>
              <w:jc w:val="right"/>
              <w:ind w:right="27"/>
              <w:spacing w:after="0"/>
              <w:rPr>
                <w:sz w:val="20"/>
                <w:szCs w:val="20"/>
                <w:color w:val="auto"/>
              </w:rPr>
            </w:pPr>
            <w:r>
              <w:rPr>
                <w:rFonts w:ascii="Arial" w:cs="Arial" w:eastAsia="Arial" w:hAnsi="Arial"/>
                <w:sz w:val="17"/>
                <w:szCs w:val="17"/>
                <w:color w:val="auto"/>
              </w:rPr>
              <w:t>5,641,025</w:t>
            </w:r>
          </w:p>
        </w:tc>
      </w:tr>
      <w:tr>
        <w:trPr>
          <w:trHeight w:val="213"/>
        </w:trPr>
        <w:tc>
          <w:tcPr>
            <w:tcW w:w="28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Mr. Bryant</w:t>
            </w:r>
          </w:p>
        </w:tc>
        <w:tc>
          <w:tcPr>
            <w:tcW w:w="1480" w:type="dxa"/>
            <w:vAlign w:val="bottom"/>
            <w:tcBorders>
              <w:bottom w:val="single" w:sz="8" w:color="307CC0"/>
            </w:tcBorders>
            <w:shd w:val="clear" w:color="auto" w:fill="D6E7FF"/>
          </w:tcPr>
          <w:p>
            <w:pPr>
              <w:jc w:val="right"/>
              <w:ind w:right="26"/>
              <w:spacing w:after="0"/>
              <w:rPr>
                <w:sz w:val="20"/>
                <w:szCs w:val="20"/>
                <w:color w:val="auto"/>
              </w:rPr>
            </w:pPr>
            <w:r>
              <w:rPr>
                <w:rFonts w:ascii="Arial" w:cs="Arial" w:eastAsia="Arial" w:hAnsi="Arial"/>
                <w:sz w:val="17"/>
                <w:szCs w:val="17"/>
                <w:color w:val="auto"/>
              </w:rPr>
              <w:t>36,989</w:t>
            </w:r>
          </w:p>
        </w:tc>
        <w:tc>
          <w:tcPr>
            <w:tcW w:w="1660" w:type="dxa"/>
            <w:vAlign w:val="bottom"/>
            <w:tcBorders>
              <w:bottom w:val="single" w:sz="8" w:color="307CC0"/>
            </w:tcBorders>
            <w:shd w:val="clear" w:color="auto" w:fill="D6E7FF"/>
          </w:tcPr>
          <w:p>
            <w:pPr>
              <w:jc w:val="right"/>
              <w:ind w:right="106"/>
              <w:spacing w:after="0"/>
              <w:rPr>
                <w:sz w:val="20"/>
                <w:szCs w:val="20"/>
                <w:color w:val="auto"/>
              </w:rPr>
            </w:pPr>
            <w:r>
              <w:rPr>
                <w:rFonts w:ascii="Arial" w:cs="Arial" w:eastAsia="Arial" w:hAnsi="Arial"/>
                <w:sz w:val="17"/>
                <w:szCs w:val="17"/>
                <w:color w:val="auto"/>
              </w:rPr>
              <w:t>2,407,607</w:t>
            </w:r>
          </w:p>
        </w:tc>
        <w:tc>
          <w:tcPr>
            <w:tcW w:w="1520" w:type="dxa"/>
            <w:vAlign w:val="bottom"/>
            <w:tcBorders>
              <w:bottom w:val="single" w:sz="8" w:color="307CC0"/>
            </w:tcBorders>
            <w:shd w:val="clear" w:color="auto" w:fill="D6E7FF"/>
          </w:tcPr>
          <w:p>
            <w:pPr>
              <w:jc w:val="right"/>
              <w:ind w:right="167"/>
              <w:spacing w:after="0"/>
              <w:rPr>
                <w:sz w:val="20"/>
                <w:szCs w:val="20"/>
                <w:color w:val="auto"/>
              </w:rPr>
            </w:pPr>
            <w:r>
              <w:rPr>
                <w:rFonts w:ascii="Arial" w:cs="Arial" w:eastAsia="Arial" w:hAnsi="Arial"/>
                <w:sz w:val="17"/>
                <w:szCs w:val="17"/>
                <w:color w:val="auto"/>
              </w:rPr>
              <w:t>21,000</w:t>
            </w:r>
          </w:p>
        </w:tc>
        <w:tc>
          <w:tcPr>
            <w:tcW w:w="1640" w:type="dxa"/>
            <w:vAlign w:val="bottom"/>
            <w:tcBorders>
              <w:bottom w:val="single" w:sz="8" w:color="307CC0"/>
            </w:tcBorders>
            <w:shd w:val="clear" w:color="auto" w:fill="D6E7FF"/>
          </w:tcPr>
          <w:p>
            <w:pPr>
              <w:jc w:val="right"/>
              <w:ind w:right="27"/>
              <w:spacing w:after="0"/>
              <w:rPr>
                <w:sz w:val="20"/>
                <w:szCs w:val="20"/>
                <w:color w:val="auto"/>
              </w:rPr>
            </w:pPr>
            <w:r>
              <w:rPr>
                <w:rFonts w:ascii="Arial" w:cs="Arial" w:eastAsia="Arial" w:hAnsi="Arial"/>
                <w:sz w:val="17"/>
                <w:szCs w:val="17"/>
                <w:color w:val="auto"/>
              </w:rPr>
              <w:t>1,366,890</w:t>
            </w:r>
          </w:p>
        </w:tc>
      </w:tr>
      <w:tr>
        <w:trPr>
          <w:trHeight w:val="213"/>
        </w:trPr>
        <w:tc>
          <w:tcPr>
            <w:tcW w:w="28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Mr. Greenwood</w:t>
            </w:r>
          </w:p>
        </w:tc>
        <w:tc>
          <w:tcPr>
            <w:tcW w:w="1480" w:type="dxa"/>
            <w:vAlign w:val="bottom"/>
            <w:tcBorders>
              <w:bottom w:val="single" w:sz="8" w:color="307CC0"/>
            </w:tcBorders>
            <w:shd w:val="clear" w:color="auto" w:fill="CCEEFF"/>
          </w:tcPr>
          <w:p>
            <w:pPr>
              <w:jc w:val="right"/>
              <w:ind w:right="26"/>
              <w:spacing w:after="0"/>
              <w:rPr>
                <w:sz w:val="20"/>
                <w:szCs w:val="20"/>
                <w:color w:val="auto"/>
              </w:rPr>
            </w:pPr>
            <w:r>
              <w:rPr>
                <w:rFonts w:ascii="Arial" w:cs="Arial" w:eastAsia="Arial" w:hAnsi="Arial"/>
                <w:sz w:val="17"/>
                <w:szCs w:val="17"/>
                <w:color w:val="auto"/>
              </w:rPr>
              <w:t>15,765</w:t>
            </w:r>
          </w:p>
        </w:tc>
        <w:tc>
          <w:tcPr>
            <w:tcW w:w="1660" w:type="dxa"/>
            <w:vAlign w:val="bottom"/>
            <w:tcBorders>
              <w:bottom w:val="single" w:sz="8" w:color="307CC0"/>
            </w:tcBorders>
            <w:shd w:val="clear" w:color="auto" w:fill="CCEEFF"/>
          </w:tcPr>
          <w:p>
            <w:pPr>
              <w:jc w:val="right"/>
              <w:ind w:right="106"/>
              <w:spacing w:after="0"/>
              <w:rPr>
                <w:sz w:val="20"/>
                <w:szCs w:val="20"/>
                <w:color w:val="auto"/>
              </w:rPr>
            </w:pPr>
            <w:r>
              <w:rPr>
                <w:rFonts w:ascii="Arial" w:cs="Arial" w:eastAsia="Arial" w:hAnsi="Arial"/>
                <w:sz w:val="17"/>
                <w:szCs w:val="17"/>
                <w:color w:val="auto"/>
              </w:rPr>
              <w:t>1,026,116</w:t>
            </w:r>
          </w:p>
        </w:tc>
        <w:tc>
          <w:tcPr>
            <w:tcW w:w="1520" w:type="dxa"/>
            <w:vAlign w:val="bottom"/>
            <w:tcBorders>
              <w:bottom w:val="single" w:sz="8" w:color="307CC0"/>
            </w:tcBorders>
            <w:shd w:val="clear" w:color="auto" w:fill="CCEEFF"/>
          </w:tcPr>
          <w:p>
            <w:pPr>
              <w:jc w:val="right"/>
              <w:ind w:right="167"/>
              <w:spacing w:after="0"/>
              <w:rPr>
                <w:sz w:val="20"/>
                <w:szCs w:val="20"/>
                <w:color w:val="auto"/>
              </w:rPr>
            </w:pPr>
            <w:r>
              <w:rPr>
                <w:rFonts w:ascii="Arial" w:cs="Arial" w:eastAsia="Arial" w:hAnsi="Arial"/>
                <w:sz w:val="17"/>
                <w:szCs w:val="17"/>
                <w:color w:val="auto"/>
              </w:rPr>
              <w:t>10,161</w:t>
            </w:r>
          </w:p>
        </w:tc>
        <w:tc>
          <w:tcPr>
            <w:tcW w:w="1640" w:type="dxa"/>
            <w:vAlign w:val="bottom"/>
            <w:tcBorders>
              <w:bottom w:val="single" w:sz="8" w:color="307CC0"/>
            </w:tcBorders>
            <w:shd w:val="clear" w:color="auto" w:fill="CCEEFF"/>
          </w:tcPr>
          <w:p>
            <w:pPr>
              <w:jc w:val="right"/>
              <w:ind w:right="27"/>
              <w:spacing w:after="0"/>
              <w:rPr>
                <w:sz w:val="20"/>
                <w:szCs w:val="20"/>
                <w:color w:val="auto"/>
              </w:rPr>
            </w:pPr>
            <w:r>
              <w:rPr>
                <w:rFonts w:ascii="Arial" w:cs="Arial" w:eastAsia="Arial" w:hAnsi="Arial"/>
                <w:sz w:val="17"/>
                <w:szCs w:val="17"/>
                <w:color w:val="auto"/>
              </w:rPr>
              <w:t>661,379</w:t>
            </w:r>
          </w:p>
        </w:tc>
      </w:tr>
      <w:tr>
        <w:trPr>
          <w:trHeight w:val="213"/>
        </w:trPr>
        <w:tc>
          <w:tcPr>
            <w:tcW w:w="28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Mr. Somma</w:t>
            </w:r>
          </w:p>
        </w:tc>
        <w:tc>
          <w:tcPr>
            <w:tcW w:w="1480" w:type="dxa"/>
            <w:vAlign w:val="bottom"/>
            <w:tcBorders>
              <w:bottom w:val="single" w:sz="8" w:color="307CC0"/>
            </w:tcBorders>
            <w:shd w:val="clear" w:color="auto" w:fill="D6E7FF"/>
          </w:tcPr>
          <w:p>
            <w:pPr>
              <w:jc w:val="right"/>
              <w:ind w:right="26"/>
              <w:spacing w:after="0"/>
              <w:rPr>
                <w:sz w:val="20"/>
                <w:szCs w:val="20"/>
                <w:color w:val="auto"/>
              </w:rPr>
            </w:pPr>
            <w:r>
              <w:rPr>
                <w:rFonts w:ascii="Arial" w:cs="Arial" w:eastAsia="Arial" w:hAnsi="Arial"/>
                <w:sz w:val="17"/>
                <w:szCs w:val="17"/>
                <w:color w:val="auto"/>
              </w:rPr>
              <w:t>14,371</w:t>
            </w:r>
          </w:p>
        </w:tc>
        <w:tc>
          <w:tcPr>
            <w:tcW w:w="1660" w:type="dxa"/>
            <w:vAlign w:val="bottom"/>
            <w:tcBorders>
              <w:bottom w:val="single" w:sz="8" w:color="307CC0"/>
            </w:tcBorders>
            <w:shd w:val="clear" w:color="auto" w:fill="D6E7FF"/>
          </w:tcPr>
          <w:p>
            <w:pPr>
              <w:jc w:val="right"/>
              <w:ind w:right="106"/>
              <w:spacing w:after="0"/>
              <w:rPr>
                <w:sz w:val="20"/>
                <w:szCs w:val="20"/>
                <w:color w:val="auto"/>
              </w:rPr>
            </w:pPr>
            <w:r>
              <w:rPr>
                <w:rFonts w:ascii="Arial" w:cs="Arial" w:eastAsia="Arial" w:hAnsi="Arial"/>
                <w:sz w:val="17"/>
                <w:szCs w:val="17"/>
                <w:color w:val="auto"/>
              </w:rPr>
              <w:t>935,437</w:t>
            </w:r>
          </w:p>
        </w:tc>
        <w:tc>
          <w:tcPr>
            <w:tcW w:w="1520" w:type="dxa"/>
            <w:vAlign w:val="bottom"/>
            <w:tcBorders>
              <w:bottom w:val="single" w:sz="8" w:color="307CC0"/>
            </w:tcBorders>
            <w:shd w:val="clear" w:color="auto" w:fill="D6E7FF"/>
          </w:tcPr>
          <w:p>
            <w:pPr>
              <w:jc w:val="right"/>
              <w:ind w:right="167"/>
              <w:spacing w:after="0"/>
              <w:rPr>
                <w:sz w:val="20"/>
                <w:szCs w:val="20"/>
                <w:color w:val="auto"/>
              </w:rPr>
            </w:pPr>
            <w:r>
              <w:rPr>
                <w:rFonts w:ascii="Arial" w:cs="Arial" w:eastAsia="Arial" w:hAnsi="Arial"/>
                <w:sz w:val="17"/>
                <w:szCs w:val="17"/>
                <w:color w:val="auto"/>
              </w:rPr>
              <w:t>9,673</w:t>
            </w:r>
          </w:p>
        </w:tc>
        <w:tc>
          <w:tcPr>
            <w:tcW w:w="1640" w:type="dxa"/>
            <w:vAlign w:val="bottom"/>
            <w:tcBorders>
              <w:bottom w:val="single" w:sz="8" w:color="307CC0"/>
            </w:tcBorders>
            <w:shd w:val="clear" w:color="auto" w:fill="D6E7FF"/>
          </w:tcPr>
          <w:p>
            <w:pPr>
              <w:jc w:val="right"/>
              <w:ind w:right="27"/>
              <w:spacing w:after="0"/>
              <w:rPr>
                <w:sz w:val="20"/>
                <w:szCs w:val="20"/>
                <w:color w:val="auto"/>
              </w:rPr>
            </w:pPr>
            <w:r>
              <w:rPr>
                <w:rFonts w:ascii="Arial" w:cs="Arial" w:eastAsia="Arial" w:hAnsi="Arial"/>
                <w:sz w:val="17"/>
                <w:szCs w:val="17"/>
                <w:color w:val="auto"/>
              </w:rPr>
              <w:t>629,616</w:t>
            </w:r>
          </w:p>
        </w:tc>
      </w:tr>
      <w:tr>
        <w:trPr>
          <w:trHeight w:val="213"/>
        </w:trPr>
        <w:tc>
          <w:tcPr>
            <w:tcW w:w="28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Ms. Humphrey</w:t>
            </w:r>
          </w:p>
        </w:tc>
        <w:tc>
          <w:tcPr>
            <w:tcW w:w="1480" w:type="dxa"/>
            <w:vAlign w:val="bottom"/>
            <w:tcBorders>
              <w:bottom w:val="single" w:sz="8" w:color="307CC0"/>
            </w:tcBorders>
            <w:shd w:val="clear" w:color="auto" w:fill="CCEEFF"/>
          </w:tcPr>
          <w:p>
            <w:pPr>
              <w:jc w:val="right"/>
              <w:ind w:right="26"/>
              <w:spacing w:after="0"/>
              <w:rPr>
                <w:sz w:val="20"/>
                <w:szCs w:val="20"/>
                <w:color w:val="auto"/>
              </w:rPr>
            </w:pPr>
            <w:r>
              <w:rPr>
                <w:rFonts w:ascii="Arial" w:cs="Arial" w:eastAsia="Arial" w:hAnsi="Arial"/>
                <w:sz w:val="17"/>
                <w:szCs w:val="17"/>
                <w:color w:val="auto"/>
              </w:rPr>
              <w:t>30,614</w:t>
            </w:r>
          </w:p>
        </w:tc>
        <w:tc>
          <w:tcPr>
            <w:tcW w:w="1660" w:type="dxa"/>
            <w:vAlign w:val="bottom"/>
            <w:tcBorders>
              <w:bottom w:val="single" w:sz="8" w:color="307CC0"/>
            </w:tcBorders>
            <w:shd w:val="clear" w:color="auto" w:fill="CCEEFF"/>
          </w:tcPr>
          <w:p>
            <w:pPr>
              <w:jc w:val="right"/>
              <w:ind w:right="106"/>
              <w:spacing w:after="0"/>
              <w:rPr>
                <w:sz w:val="20"/>
                <w:szCs w:val="20"/>
                <w:color w:val="auto"/>
              </w:rPr>
            </w:pPr>
            <w:r>
              <w:rPr>
                <w:rFonts w:ascii="Arial" w:cs="Arial" w:eastAsia="Arial" w:hAnsi="Arial"/>
                <w:sz w:val="17"/>
                <w:szCs w:val="17"/>
                <w:color w:val="auto"/>
              </w:rPr>
              <w:t>1,992,653</w:t>
            </w:r>
          </w:p>
        </w:tc>
        <w:tc>
          <w:tcPr>
            <w:tcW w:w="1520" w:type="dxa"/>
            <w:vAlign w:val="bottom"/>
            <w:tcBorders>
              <w:bottom w:val="single" w:sz="8" w:color="307CC0"/>
            </w:tcBorders>
            <w:shd w:val="clear" w:color="auto" w:fill="CCEEFF"/>
          </w:tcPr>
          <w:p>
            <w:pPr>
              <w:jc w:val="right"/>
              <w:ind w:right="167"/>
              <w:spacing w:after="0"/>
              <w:rPr>
                <w:sz w:val="20"/>
                <w:szCs w:val="20"/>
                <w:color w:val="auto"/>
              </w:rPr>
            </w:pPr>
            <w:r>
              <w:rPr>
                <w:rFonts w:ascii="Arial" w:cs="Arial" w:eastAsia="Arial" w:hAnsi="Arial"/>
                <w:sz w:val="17"/>
                <w:szCs w:val="17"/>
                <w:color w:val="auto"/>
              </w:rPr>
              <w:t>16,510</w:t>
            </w:r>
          </w:p>
        </w:tc>
        <w:tc>
          <w:tcPr>
            <w:tcW w:w="1640" w:type="dxa"/>
            <w:vAlign w:val="bottom"/>
            <w:tcBorders>
              <w:bottom w:val="single" w:sz="8" w:color="307CC0"/>
            </w:tcBorders>
            <w:shd w:val="clear" w:color="auto" w:fill="CCEEFF"/>
          </w:tcPr>
          <w:p>
            <w:pPr>
              <w:jc w:val="right"/>
              <w:ind w:right="27"/>
              <w:spacing w:after="0"/>
              <w:rPr>
                <w:sz w:val="20"/>
                <w:szCs w:val="20"/>
                <w:color w:val="auto"/>
              </w:rPr>
            </w:pPr>
            <w:r>
              <w:rPr>
                <w:rFonts w:ascii="Arial" w:cs="Arial" w:eastAsia="Arial" w:hAnsi="Arial"/>
                <w:sz w:val="17"/>
                <w:szCs w:val="17"/>
                <w:color w:val="auto"/>
              </w:rPr>
              <w:t>1,074,636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-746125</wp:posOffset>
            </wp:positionV>
            <wp:extent cx="5808980" cy="147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-450850</wp:posOffset>
            </wp:positionV>
            <wp:extent cx="5808980" cy="147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-154940</wp:posOffset>
            </wp:positionV>
            <wp:extent cx="5808980" cy="147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57" w:lineRule="exact"/>
        <w:rPr>
          <w:sz w:val="20"/>
          <w:szCs w:val="20"/>
          <w:color w:val="auto"/>
        </w:rPr>
      </w:pPr>
    </w:p>
    <w:p>
      <w:pPr>
        <w:ind w:left="340" w:hanging="330"/>
        <w:spacing w:after="0"/>
        <w:tabs>
          <w:tab w:leader="none" w:pos="340" w:val="left"/>
        </w:tabs>
        <w:numPr>
          <w:ilvl w:val="0"/>
          <w:numId w:val="40"/>
        </w:numPr>
        <w:rPr>
          <w:rFonts w:ascii="Arial" w:cs="Arial" w:eastAsia="Arial" w:hAnsi="Arial"/>
          <w:sz w:val="17"/>
          <w:szCs w:val="17"/>
          <w:color w:val="auto"/>
          <w:vertAlign w:val="superscript"/>
        </w:rPr>
      </w:pPr>
      <w:r>
        <w:rPr>
          <w:rFonts w:ascii="Arial" w:cs="Arial" w:eastAsia="Arial" w:hAnsi="Arial"/>
          <w:sz w:val="14"/>
          <w:szCs w:val="14"/>
          <w:color w:val="auto"/>
        </w:rPr>
        <w:t>Includes reinvested dividends on restricted stock and stock units that carry the same restrictions.</w:t>
      </w:r>
    </w:p>
    <w:p>
      <w:pPr>
        <w:spacing w:after="0" w:line="93" w:lineRule="exact"/>
        <w:rPr>
          <w:rFonts w:ascii="Arial" w:cs="Arial" w:eastAsia="Arial" w:hAnsi="Arial"/>
          <w:sz w:val="17"/>
          <w:szCs w:val="17"/>
          <w:color w:val="auto"/>
          <w:vertAlign w:val="superscript"/>
        </w:rPr>
      </w:pPr>
    </w:p>
    <w:p>
      <w:pPr>
        <w:jc w:val="both"/>
        <w:ind w:left="340" w:hanging="330"/>
        <w:spacing w:after="0" w:line="226" w:lineRule="auto"/>
        <w:tabs>
          <w:tab w:leader="none" w:pos="340" w:val="left"/>
        </w:tabs>
        <w:numPr>
          <w:ilvl w:val="0"/>
          <w:numId w:val="40"/>
        </w:numPr>
        <w:rPr>
          <w:rFonts w:ascii="Arial" w:cs="Arial" w:eastAsia="Arial" w:hAnsi="Arial"/>
          <w:sz w:val="17"/>
          <w:szCs w:val="17"/>
          <w:color w:val="auto"/>
          <w:vertAlign w:val="superscript"/>
        </w:rPr>
      </w:pPr>
      <w:r>
        <w:rPr>
          <w:rFonts w:ascii="Arial" w:cs="Arial" w:eastAsia="Arial" w:hAnsi="Arial"/>
          <w:sz w:val="14"/>
          <w:szCs w:val="14"/>
          <w:color w:val="auto"/>
        </w:rPr>
        <w:t>Reflects time-based restricted stock units granted by Evergy, and time-based restricted stock and time-based restricted stock units that were granted by Great Plains Energy and Westar Energy prior to completion of the merger, that were not vested as of December 31, 2019. The following table provides the grant and vesting dates and number of unvested shares (including reinvested dividend shares) for each of the outstanding grants as of December 31, 2019. Awards for Mr. Bassham, Mr. Bryant and Ms. Humphrey for 2017 and 2018 were granted by Great Plains Energy prior to the merger. Awards for Mr. Greenwood and Mr. Somma for 2017 and 2018 were granted by Westar Energy prior to the merger, and the terms of the award provide for a cash payment to the holder at the time of a dividend payment. Also included are former Great Plains Energy 2017 performance share awards, which, as of December 31, 2019, were earned but not yet vested.</w:t>
      </w:r>
    </w:p>
    <w:p>
      <w:pPr>
        <w:spacing w:after="0" w:line="39" w:lineRule="exact"/>
        <w:rPr>
          <w:sz w:val="20"/>
          <w:szCs w:val="20"/>
          <w:color w:val="auto"/>
        </w:rPr>
      </w:pPr>
    </w:p>
    <w:tbl>
      <w:tblPr>
        <w:tblLayout w:type="fixed"/>
        <w:tblInd w:w="380" w:type="dxa"/>
        <w:tblCellMar>
          <w:top w:w="0" w:type="dxa"/>
          <w:left w:w="0" w:type="dxa"/>
          <w:bottom w:w="0" w:type="dxa"/>
          <w:right w:w="0" w:type="dxa"/>
        </w:tblCellMar>
      </w:tblPr>
      <w:tr>
        <w:trPr>
          <w:trHeight w:val="151"/>
        </w:trPr>
        <w:tc>
          <w:tcPr>
            <w:tcW w:w="2820" w:type="dxa"/>
            <w:vAlign w:val="bottom"/>
            <w:shd w:val="clear" w:color="auto" w:fill="307CC0"/>
          </w:tcPr>
          <w:p>
            <w:pPr>
              <w:spacing w:after="0"/>
              <w:rPr>
                <w:sz w:val="13"/>
                <w:szCs w:val="13"/>
                <w:color w:val="auto"/>
              </w:rPr>
            </w:pPr>
          </w:p>
        </w:tc>
        <w:tc>
          <w:tcPr>
            <w:tcW w:w="1840" w:type="dxa"/>
            <w:vAlign w:val="bottom"/>
            <w:shd w:val="clear" w:color="auto" w:fill="307CC0"/>
          </w:tcPr>
          <w:p>
            <w:pPr>
              <w:spacing w:after="0"/>
              <w:rPr>
                <w:sz w:val="13"/>
                <w:szCs w:val="13"/>
                <w:color w:val="auto"/>
              </w:rPr>
            </w:pPr>
          </w:p>
        </w:tc>
        <w:tc>
          <w:tcPr>
            <w:tcW w:w="1720" w:type="dxa"/>
            <w:vAlign w:val="bottom"/>
            <w:shd w:val="clear" w:color="auto" w:fill="307CC0"/>
          </w:tcPr>
          <w:p>
            <w:pPr>
              <w:spacing w:after="0"/>
              <w:rPr>
                <w:sz w:val="13"/>
                <w:szCs w:val="13"/>
                <w:color w:val="auto"/>
              </w:rPr>
            </w:pPr>
          </w:p>
        </w:tc>
        <w:tc>
          <w:tcPr>
            <w:tcW w:w="2200" w:type="dxa"/>
            <w:vAlign w:val="bottom"/>
            <w:shd w:val="clear" w:color="auto" w:fill="307CC0"/>
          </w:tcPr>
          <w:p>
            <w:pPr>
              <w:jc w:val="right"/>
              <w:ind w:right="231"/>
              <w:spacing w:after="0"/>
              <w:rPr>
                <w:sz w:val="20"/>
                <w:szCs w:val="20"/>
                <w:color w:val="auto"/>
              </w:rPr>
            </w:pPr>
            <w:r>
              <w:rPr>
                <w:rFonts w:ascii="Arial" w:cs="Arial" w:eastAsia="Arial" w:hAnsi="Arial"/>
                <w:sz w:val="13"/>
                <w:szCs w:val="13"/>
                <w:b w:val="1"/>
                <w:bCs w:val="1"/>
                <w:color w:val="FFFFFF"/>
              </w:rPr>
              <w:t>Number of Shares That</w:t>
            </w:r>
          </w:p>
        </w:tc>
        <w:tc>
          <w:tcPr>
            <w:tcW w:w="0" w:type="dxa"/>
            <w:vAlign w:val="bottom"/>
          </w:tcPr>
          <w:p>
            <w:pPr>
              <w:spacing w:after="0"/>
              <w:rPr>
                <w:sz w:val="1"/>
                <w:szCs w:val="1"/>
                <w:color w:val="auto"/>
              </w:rPr>
            </w:pPr>
          </w:p>
        </w:tc>
      </w:tr>
      <w:tr>
        <w:trPr>
          <w:trHeight w:val="185"/>
        </w:trPr>
        <w:tc>
          <w:tcPr>
            <w:tcW w:w="2820" w:type="dxa"/>
            <w:vAlign w:val="bottom"/>
            <w:shd w:val="clear" w:color="auto" w:fill="307CC0"/>
          </w:tcPr>
          <w:p>
            <w:pPr>
              <w:ind w:left="20"/>
              <w:spacing w:after="0"/>
              <w:rPr>
                <w:sz w:val="20"/>
                <w:szCs w:val="20"/>
                <w:color w:val="auto"/>
              </w:rPr>
            </w:pPr>
            <w:r>
              <w:rPr>
                <w:rFonts w:ascii="Arial" w:cs="Arial" w:eastAsia="Arial" w:hAnsi="Arial"/>
                <w:sz w:val="13"/>
                <w:szCs w:val="13"/>
                <w:b w:val="1"/>
                <w:bCs w:val="1"/>
                <w:color w:val="FFFFFF"/>
              </w:rPr>
              <w:t>Name</w:t>
            </w:r>
          </w:p>
        </w:tc>
        <w:tc>
          <w:tcPr>
            <w:tcW w:w="1840" w:type="dxa"/>
            <w:vAlign w:val="bottom"/>
            <w:shd w:val="clear" w:color="auto" w:fill="307CC0"/>
          </w:tcPr>
          <w:p>
            <w:pPr>
              <w:jc w:val="right"/>
              <w:ind w:right="512"/>
              <w:spacing w:after="0"/>
              <w:rPr>
                <w:sz w:val="20"/>
                <w:szCs w:val="20"/>
                <w:color w:val="auto"/>
              </w:rPr>
            </w:pPr>
            <w:r>
              <w:rPr>
                <w:rFonts w:ascii="Arial" w:cs="Arial" w:eastAsia="Arial" w:hAnsi="Arial"/>
                <w:sz w:val="13"/>
                <w:szCs w:val="13"/>
                <w:b w:val="1"/>
                <w:bCs w:val="1"/>
                <w:color w:val="FFFFFF"/>
              </w:rPr>
              <w:t>Grant Date</w:t>
            </w:r>
          </w:p>
        </w:tc>
        <w:tc>
          <w:tcPr>
            <w:tcW w:w="1720" w:type="dxa"/>
            <w:vAlign w:val="bottom"/>
            <w:shd w:val="clear" w:color="auto" w:fill="307CC0"/>
          </w:tcPr>
          <w:p>
            <w:pPr>
              <w:jc w:val="right"/>
              <w:ind w:right="393"/>
              <w:spacing w:after="0"/>
              <w:rPr>
                <w:sz w:val="20"/>
                <w:szCs w:val="20"/>
                <w:color w:val="auto"/>
              </w:rPr>
            </w:pPr>
            <w:r>
              <w:rPr>
                <w:rFonts w:ascii="Arial" w:cs="Arial" w:eastAsia="Arial" w:hAnsi="Arial"/>
                <w:sz w:val="13"/>
                <w:szCs w:val="13"/>
                <w:b w:val="1"/>
                <w:bCs w:val="1"/>
                <w:color w:val="FFFFFF"/>
              </w:rPr>
              <w:t>Vesting Date</w:t>
            </w:r>
          </w:p>
        </w:tc>
        <w:tc>
          <w:tcPr>
            <w:tcW w:w="2200" w:type="dxa"/>
            <w:vAlign w:val="bottom"/>
            <w:shd w:val="clear" w:color="auto" w:fill="307CC0"/>
          </w:tcPr>
          <w:p>
            <w:pPr>
              <w:jc w:val="right"/>
              <w:ind w:right="431"/>
              <w:spacing w:after="0"/>
              <w:rPr>
                <w:sz w:val="20"/>
                <w:szCs w:val="20"/>
                <w:color w:val="auto"/>
              </w:rPr>
            </w:pPr>
            <w:r>
              <w:rPr>
                <w:rFonts w:ascii="Arial" w:cs="Arial" w:eastAsia="Arial" w:hAnsi="Arial"/>
                <w:sz w:val="13"/>
                <w:szCs w:val="13"/>
                <w:b w:val="1"/>
                <w:bCs w:val="1"/>
                <w:color w:val="FFFFFF"/>
              </w:rPr>
              <w:t>Have Not Vested</w:t>
            </w:r>
          </w:p>
        </w:tc>
        <w:tc>
          <w:tcPr>
            <w:tcW w:w="0" w:type="dxa"/>
            <w:vAlign w:val="bottom"/>
          </w:tcPr>
          <w:p>
            <w:pPr>
              <w:spacing w:after="0"/>
              <w:rPr>
                <w:sz w:val="1"/>
                <w:szCs w:val="1"/>
                <w:color w:val="auto"/>
              </w:rPr>
            </w:pPr>
          </w:p>
        </w:tc>
      </w:tr>
      <w:tr>
        <w:trPr>
          <w:trHeight w:val="181"/>
        </w:trPr>
        <w:tc>
          <w:tcPr>
            <w:tcW w:w="2820" w:type="dxa"/>
            <w:vAlign w:val="bottom"/>
            <w:tcBorders>
              <w:bottom w:val="single" w:sz="8" w:color="D6E7FF"/>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line="181" w:lineRule="exact"/>
              <w:rPr>
                <w:sz w:val="20"/>
                <w:szCs w:val="20"/>
                <w:color w:val="auto"/>
              </w:rPr>
            </w:pPr>
            <w:r>
              <w:rPr>
                <w:rFonts w:ascii="Arial" w:cs="Arial" w:eastAsia="Arial" w:hAnsi="Arial"/>
                <w:sz w:val="13"/>
                <w:szCs w:val="13"/>
                <w:color w:val="auto"/>
              </w:rPr>
              <w:t>March 1, 2017</w:t>
            </w:r>
            <w:r>
              <w:rPr>
                <w:rFonts w:ascii="Arial" w:cs="Arial" w:eastAsia="Arial" w:hAnsi="Arial"/>
                <w:sz w:val="20"/>
                <w:szCs w:val="20"/>
                <w:color w:val="auto"/>
                <w:vertAlign w:val="superscript"/>
              </w:rPr>
              <w:t>(a)</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2, 2020</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44,425</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D6E7FF"/>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March 1, 2017</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2, 2020</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13,467</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D6E7FF"/>
            </w:tcBorders>
            <w:shd w:val="clear" w:color="auto" w:fill="D6E7FF"/>
          </w:tcPr>
          <w:p>
            <w:pPr>
              <w:ind w:left="20"/>
              <w:spacing w:after="0"/>
              <w:rPr>
                <w:sz w:val="20"/>
                <w:szCs w:val="20"/>
                <w:color w:val="auto"/>
              </w:rPr>
            </w:pPr>
            <w:r>
              <w:rPr>
                <w:rFonts w:ascii="Arial" w:cs="Arial" w:eastAsia="Arial" w:hAnsi="Arial"/>
                <w:sz w:val="14"/>
                <w:szCs w:val="14"/>
                <w:color w:val="auto"/>
              </w:rPr>
              <w:t>Mr. Bassham</w:t>
            </w: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March 1, 2018</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1, 2021</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13,100</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D6E7FF"/>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June 3, 2018</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June 5, 2020</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19,184</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307CC0"/>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March 1, 2019</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1, 2022</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17,025</w:t>
            </w: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840" w:type="dxa"/>
            <w:vAlign w:val="bottom"/>
            <w:tcBorders>
              <w:bottom w:val="single" w:sz="8" w:color="307CC0"/>
            </w:tcBorders>
          </w:tcPr>
          <w:p>
            <w:pPr>
              <w:jc w:val="right"/>
              <w:ind w:right="112"/>
              <w:spacing w:after="0" w:line="174" w:lineRule="exact"/>
              <w:rPr>
                <w:sz w:val="20"/>
                <w:szCs w:val="20"/>
                <w:color w:val="auto"/>
              </w:rPr>
            </w:pPr>
            <w:r>
              <w:rPr>
                <w:rFonts w:ascii="Arial" w:cs="Arial" w:eastAsia="Arial" w:hAnsi="Arial"/>
                <w:sz w:val="13"/>
                <w:szCs w:val="13"/>
                <w:color w:val="auto"/>
              </w:rPr>
              <w:t>March 1, 2017</w:t>
            </w:r>
            <w:r>
              <w:rPr>
                <w:rFonts w:ascii="Arial" w:cs="Arial" w:eastAsia="Arial" w:hAnsi="Arial"/>
                <w:sz w:val="20"/>
                <w:szCs w:val="20"/>
                <w:color w:val="auto"/>
                <w:vertAlign w:val="superscript"/>
              </w:rPr>
              <w:t>(a)</w:t>
            </w:r>
          </w:p>
        </w:tc>
        <w:tc>
          <w:tcPr>
            <w:tcW w:w="1720" w:type="dxa"/>
            <w:vAlign w:val="bottom"/>
            <w:tcBorders>
              <w:bottom w:val="single" w:sz="8" w:color="307CC0"/>
            </w:tcBorders>
          </w:tcPr>
          <w:p>
            <w:pPr>
              <w:jc w:val="right"/>
              <w:ind w:right="113"/>
              <w:spacing w:after="0"/>
              <w:rPr>
                <w:sz w:val="20"/>
                <w:szCs w:val="20"/>
                <w:color w:val="auto"/>
              </w:rPr>
            </w:pPr>
            <w:r>
              <w:rPr>
                <w:rFonts w:ascii="Arial" w:cs="Arial" w:eastAsia="Arial" w:hAnsi="Arial"/>
                <w:sz w:val="14"/>
                <w:szCs w:val="14"/>
                <w:color w:val="auto"/>
              </w:rPr>
              <w:t>March 2, 2020</w:t>
            </w:r>
          </w:p>
        </w:tc>
        <w:tc>
          <w:tcPr>
            <w:tcW w:w="2200" w:type="dxa"/>
            <w:vAlign w:val="bottom"/>
            <w:tcBorders>
              <w:bottom w:val="single" w:sz="8" w:color="307CC0"/>
            </w:tcBorders>
          </w:tcPr>
          <w:p>
            <w:pPr>
              <w:jc w:val="right"/>
              <w:ind w:right="11"/>
              <w:spacing w:after="0"/>
              <w:rPr>
                <w:sz w:val="20"/>
                <w:szCs w:val="20"/>
                <w:color w:val="auto"/>
              </w:rPr>
            </w:pPr>
            <w:r>
              <w:rPr>
                <w:rFonts w:ascii="Arial" w:cs="Arial" w:eastAsia="Arial" w:hAnsi="Arial"/>
                <w:sz w:val="14"/>
                <w:szCs w:val="14"/>
                <w:color w:val="auto"/>
              </w:rPr>
              <w:t>12,957</w:t>
            </w: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840" w:type="dxa"/>
            <w:vAlign w:val="bottom"/>
            <w:tcBorders>
              <w:bottom w:val="single" w:sz="8" w:color="307CC0"/>
            </w:tcBorders>
            <w:shd w:val="clear" w:color="auto" w:fill="CCEEFF"/>
          </w:tcPr>
          <w:p>
            <w:pPr>
              <w:jc w:val="right"/>
              <w:ind w:right="112"/>
              <w:spacing w:after="0"/>
              <w:rPr>
                <w:sz w:val="20"/>
                <w:szCs w:val="20"/>
                <w:color w:val="auto"/>
              </w:rPr>
            </w:pPr>
            <w:r>
              <w:rPr>
                <w:rFonts w:ascii="Arial" w:cs="Arial" w:eastAsia="Arial" w:hAnsi="Arial"/>
                <w:sz w:val="14"/>
                <w:szCs w:val="14"/>
                <w:color w:val="auto"/>
              </w:rPr>
              <w:t>March 1, 2017</w:t>
            </w:r>
          </w:p>
        </w:tc>
        <w:tc>
          <w:tcPr>
            <w:tcW w:w="1720" w:type="dxa"/>
            <w:vAlign w:val="bottom"/>
            <w:tcBorders>
              <w:bottom w:val="single" w:sz="8" w:color="307CC0"/>
            </w:tcBorders>
            <w:shd w:val="clear" w:color="auto" w:fill="CCEEFF"/>
          </w:tcPr>
          <w:p>
            <w:pPr>
              <w:jc w:val="right"/>
              <w:ind w:right="113"/>
              <w:spacing w:after="0"/>
              <w:rPr>
                <w:sz w:val="20"/>
                <w:szCs w:val="20"/>
                <w:color w:val="auto"/>
              </w:rPr>
            </w:pPr>
            <w:r>
              <w:rPr>
                <w:rFonts w:ascii="Arial" w:cs="Arial" w:eastAsia="Arial" w:hAnsi="Arial"/>
                <w:sz w:val="14"/>
                <w:szCs w:val="14"/>
                <w:color w:val="auto"/>
              </w:rPr>
              <w:t>March 2, 2020</w:t>
            </w:r>
          </w:p>
        </w:tc>
        <w:tc>
          <w:tcPr>
            <w:tcW w:w="2200" w:type="dxa"/>
            <w:vAlign w:val="bottom"/>
            <w:tcBorders>
              <w:bottom w:val="single" w:sz="8" w:color="307CC0"/>
            </w:tcBorders>
            <w:shd w:val="clear" w:color="auto" w:fill="CCEEFF"/>
          </w:tcPr>
          <w:p>
            <w:pPr>
              <w:jc w:val="right"/>
              <w:ind w:right="11"/>
              <w:spacing w:after="0"/>
              <w:rPr>
                <w:sz w:val="20"/>
                <w:szCs w:val="20"/>
                <w:color w:val="auto"/>
              </w:rPr>
            </w:pPr>
            <w:r>
              <w:rPr>
                <w:rFonts w:ascii="Arial" w:cs="Arial" w:eastAsia="Arial" w:hAnsi="Arial"/>
                <w:sz w:val="14"/>
                <w:szCs w:val="14"/>
                <w:color w:val="auto"/>
              </w:rPr>
              <w:t>3,928</w:t>
            </w:r>
          </w:p>
        </w:tc>
        <w:tc>
          <w:tcPr>
            <w:tcW w:w="0" w:type="dxa"/>
            <w:vAlign w:val="bottom"/>
          </w:tcPr>
          <w:p>
            <w:pPr>
              <w:spacing w:after="0"/>
              <w:rPr>
                <w:sz w:val="1"/>
                <w:szCs w:val="1"/>
                <w:color w:val="auto"/>
              </w:rPr>
            </w:pPr>
          </w:p>
        </w:tc>
      </w:tr>
      <w:tr>
        <w:trPr>
          <w:trHeight w:val="174"/>
        </w:trPr>
        <w:tc>
          <w:tcPr>
            <w:tcW w:w="2820" w:type="dxa"/>
            <w:vAlign w:val="bottom"/>
          </w:tcPr>
          <w:p>
            <w:pPr>
              <w:ind w:left="20"/>
              <w:spacing w:after="0"/>
              <w:rPr>
                <w:sz w:val="20"/>
                <w:szCs w:val="20"/>
                <w:color w:val="auto"/>
              </w:rPr>
            </w:pPr>
            <w:r>
              <w:rPr>
                <w:rFonts w:ascii="Arial" w:cs="Arial" w:eastAsia="Arial" w:hAnsi="Arial"/>
                <w:sz w:val="14"/>
                <w:szCs w:val="14"/>
                <w:color w:val="auto"/>
              </w:rPr>
              <w:t>Mr. Bryant</w:t>
            </w:r>
          </w:p>
        </w:tc>
        <w:tc>
          <w:tcPr>
            <w:tcW w:w="1840" w:type="dxa"/>
            <w:vAlign w:val="bottom"/>
            <w:tcBorders>
              <w:bottom w:val="single" w:sz="8" w:color="307CC0"/>
            </w:tcBorders>
          </w:tcPr>
          <w:p>
            <w:pPr>
              <w:jc w:val="right"/>
              <w:ind w:right="112"/>
              <w:spacing w:after="0"/>
              <w:rPr>
                <w:sz w:val="20"/>
                <w:szCs w:val="20"/>
                <w:color w:val="auto"/>
              </w:rPr>
            </w:pPr>
            <w:r>
              <w:rPr>
                <w:rFonts w:ascii="Arial" w:cs="Arial" w:eastAsia="Arial" w:hAnsi="Arial"/>
                <w:sz w:val="14"/>
                <w:szCs w:val="14"/>
                <w:color w:val="auto"/>
              </w:rPr>
              <w:t>March 1, 2018</w:t>
            </w:r>
          </w:p>
        </w:tc>
        <w:tc>
          <w:tcPr>
            <w:tcW w:w="1720" w:type="dxa"/>
            <w:vAlign w:val="bottom"/>
            <w:tcBorders>
              <w:bottom w:val="single" w:sz="8" w:color="307CC0"/>
            </w:tcBorders>
          </w:tcPr>
          <w:p>
            <w:pPr>
              <w:jc w:val="right"/>
              <w:ind w:right="113"/>
              <w:spacing w:after="0"/>
              <w:rPr>
                <w:sz w:val="20"/>
                <w:szCs w:val="20"/>
                <w:color w:val="auto"/>
              </w:rPr>
            </w:pPr>
            <w:r>
              <w:rPr>
                <w:rFonts w:ascii="Arial" w:cs="Arial" w:eastAsia="Arial" w:hAnsi="Arial"/>
                <w:sz w:val="14"/>
                <w:szCs w:val="14"/>
                <w:color w:val="auto"/>
              </w:rPr>
              <w:t>March 1, 2021</w:t>
            </w:r>
          </w:p>
        </w:tc>
        <w:tc>
          <w:tcPr>
            <w:tcW w:w="2200" w:type="dxa"/>
            <w:vAlign w:val="bottom"/>
            <w:tcBorders>
              <w:bottom w:val="single" w:sz="8" w:color="307CC0"/>
            </w:tcBorders>
          </w:tcPr>
          <w:p>
            <w:pPr>
              <w:jc w:val="right"/>
              <w:ind w:right="11"/>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840" w:type="dxa"/>
            <w:vAlign w:val="bottom"/>
            <w:tcBorders>
              <w:bottom w:val="single" w:sz="8" w:color="307CC0"/>
            </w:tcBorders>
            <w:shd w:val="clear" w:color="auto" w:fill="CCEEFF"/>
          </w:tcPr>
          <w:p>
            <w:pPr>
              <w:jc w:val="right"/>
              <w:ind w:right="112"/>
              <w:spacing w:after="0"/>
              <w:rPr>
                <w:sz w:val="20"/>
                <w:szCs w:val="20"/>
                <w:color w:val="auto"/>
              </w:rPr>
            </w:pPr>
            <w:r>
              <w:rPr>
                <w:rFonts w:ascii="Arial" w:cs="Arial" w:eastAsia="Arial" w:hAnsi="Arial"/>
                <w:sz w:val="14"/>
                <w:szCs w:val="14"/>
                <w:color w:val="auto"/>
              </w:rPr>
              <w:t>June 3, 2018</w:t>
            </w:r>
          </w:p>
        </w:tc>
        <w:tc>
          <w:tcPr>
            <w:tcW w:w="1720" w:type="dxa"/>
            <w:vAlign w:val="bottom"/>
            <w:tcBorders>
              <w:bottom w:val="single" w:sz="8" w:color="307CC0"/>
            </w:tcBorders>
            <w:shd w:val="clear" w:color="auto" w:fill="CCEEFF"/>
          </w:tcPr>
          <w:p>
            <w:pPr>
              <w:jc w:val="right"/>
              <w:ind w:right="113"/>
              <w:spacing w:after="0"/>
              <w:rPr>
                <w:sz w:val="20"/>
                <w:szCs w:val="20"/>
                <w:color w:val="auto"/>
              </w:rPr>
            </w:pPr>
            <w:r>
              <w:rPr>
                <w:rFonts w:ascii="Arial" w:cs="Arial" w:eastAsia="Arial" w:hAnsi="Arial"/>
                <w:sz w:val="14"/>
                <w:szCs w:val="14"/>
                <w:color w:val="auto"/>
              </w:rPr>
              <w:t>June 5, 2020</w:t>
            </w:r>
          </w:p>
        </w:tc>
        <w:tc>
          <w:tcPr>
            <w:tcW w:w="2200" w:type="dxa"/>
            <w:vAlign w:val="bottom"/>
            <w:tcBorders>
              <w:bottom w:val="single" w:sz="8" w:color="307CC0"/>
            </w:tcBorders>
            <w:shd w:val="clear" w:color="auto" w:fill="CCEEFF"/>
          </w:tcPr>
          <w:p>
            <w:pPr>
              <w:jc w:val="right"/>
              <w:ind w:right="11"/>
              <w:spacing w:after="0"/>
              <w:rPr>
                <w:sz w:val="20"/>
                <w:szCs w:val="20"/>
                <w:color w:val="auto"/>
              </w:rPr>
            </w:pPr>
            <w:r>
              <w:rPr>
                <w:rFonts w:ascii="Arial" w:cs="Arial" w:eastAsia="Arial" w:hAnsi="Arial"/>
                <w:sz w:val="14"/>
                <w:szCs w:val="14"/>
                <w:color w:val="auto"/>
              </w:rPr>
              <w:t>12,789</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307CC0"/>
            </w:tcBorders>
          </w:tcPr>
          <w:p>
            <w:pPr>
              <w:spacing w:after="0"/>
              <w:rPr>
                <w:sz w:val="15"/>
                <w:szCs w:val="15"/>
                <w:color w:val="auto"/>
              </w:rPr>
            </w:pPr>
          </w:p>
        </w:tc>
        <w:tc>
          <w:tcPr>
            <w:tcW w:w="1840" w:type="dxa"/>
            <w:vAlign w:val="bottom"/>
            <w:tcBorders>
              <w:bottom w:val="single" w:sz="8" w:color="307CC0"/>
            </w:tcBorders>
          </w:tcPr>
          <w:p>
            <w:pPr>
              <w:jc w:val="right"/>
              <w:ind w:right="112"/>
              <w:spacing w:after="0"/>
              <w:rPr>
                <w:sz w:val="20"/>
                <w:szCs w:val="20"/>
                <w:color w:val="auto"/>
              </w:rPr>
            </w:pPr>
            <w:r>
              <w:rPr>
                <w:rFonts w:ascii="Arial" w:cs="Arial" w:eastAsia="Arial" w:hAnsi="Arial"/>
                <w:sz w:val="14"/>
                <w:szCs w:val="14"/>
                <w:color w:val="auto"/>
              </w:rPr>
              <w:t>March 1, 2019</w:t>
            </w:r>
          </w:p>
        </w:tc>
        <w:tc>
          <w:tcPr>
            <w:tcW w:w="1720" w:type="dxa"/>
            <w:vAlign w:val="bottom"/>
            <w:tcBorders>
              <w:bottom w:val="single" w:sz="8" w:color="307CC0"/>
            </w:tcBorders>
          </w:tcPr>
          <w:p>
            <w:pPr>
              <w:jc w:val="right"/>
              <w:ind w:right="113"/>
              <w:spacing w:after="0"/>
              <w:rPr>
                <w:sz w:val="20"/>
                <w:szCs w:val="20"/>
                <w:color w:val="auto"/>
              </w:rPr>
            </w:pPr>
            <w:r>
              <w:rPr>
                <w:rFonts w:ascii="Arial" w:cs="Arial" w:eastAsia="Arial" w:hAnsi="Arial"/>
                <w:sz w:val="14"/>
                <w:szCs w:val="14"/>
                <w:color w:val="auto"/>
              </w:rPr>
              <w:t>March 1, 2022</w:t>
            </w:r>
          </w:p>
        </w:tc>
        <w:tc>
          <w:tcPr>
            <w:tcW w:w="2200" w:type="dxa"/>
            <w:vAlign w:val="bottom"/>
            <w:tcBorders>
              <w:bottom w:val="single" w:sz="8" w:color="307CC0"/>
            </w:tcBorders>
          </w:tcPr>
          <w:p>
            <w:pPr>
              <w:jc w:val="right"/>
              <w:ind w:right="11"/>
              <w:spacing w:after="0"/>
              <w:rPr>
                <w:sz w:val="20"/>
                <w:szCs w:val="20"/>
                <w:color w:val="auto"/>
              </w:rPr>
            </w:pPr>
            <w:r>
              <w:rPr>
                <w:rFonts w:ascii="Arial" w:cs="Arial" w:eastAsia="Arial" w:hAnsi="Arial"/>
                <w:sz w:val="14"/>
                <w:szCs w:val="14"/>
                <w:color w:val="auto"/>
              </w:rPr>
              <w:t>3,495</w:t>
            </w:r>
          </w:p>
        </w:tc>
        <w:tc>
          <w:tcPr>
            <w:tcW w:w="0" w:type="dxa"/>
            <w:vAlign w:val="bottom"/>
          </w:tcPr>
          <w:p>
            <w:pPr>
              <w:spacing w:after="0"/>
              <w:rPr>
                <w:sz w:val="1"/>
                <w:szCs w:val="1"/>
                <w:color w:val="auto"/>
              </w:rPr>
            </w:pPr>
          </w:p>
        </w:tc>
      </w:tr>
      <w:tr>
        <w:trPr>
          <w:trHeight w:val="114"/>
        </w:trPr>
        <w:tc>
          <w:tcPr>
            <w:tcW w:w="2820" w:type="dxa"/>
            <w:vAlign w:val="bottom"/>
            <w:vMerge w:val="restart"/>
            <w:shd w:val="clear" w:color="auto" w:fill="D6E7FF"/>
          </w:tcPr>
          <w:p>
            <w:pPr>
              <w:ind w:left="20"/>
              <w:spacing w:after="0"/>
              <w:rPr>
                <w:sz w:val="20"/>
                <w:szCs w:val="20"/>
                <w:color w:val="auto"/>
              </w:rPr>
            </w:pPr>
            <w:r>
              <w:rPr>
                <w:rFonts w:ascii="Arial" w:cs="Arial" w:eastAsia="Arial" w:hAnsi="Arial"/>
                <w:sz w:val="14"/>
                <w:szCs w:val="14"/>
                <w:color w:val="auto"/>
              </w:rPr>
              <w:t>Mr. Greenwood</w:t>
            </w:r>
          </w:p>
        </w:tc>
        <w:tc>
          <w:tcPr>
            <w:tcW w:w="1840" w:type="dxa"/>
            <w:vAlign w:val="bottom"/>
            <w:vMerge w:val="restart"/>
            <w:shd w:val="clear" w:color="auto" w:fill="D6E7FF"/>
          </w:tcPr>
          <w:p>
            <w:pPr>
              <w:jc w:val="right"/>
              <w:ind w:right="112"/>
              <w:spacing w:after="0"/>
              <w:rPr>
                <w:sz w:val="20"/>
                <w:szCs w:val="20"/>
                <w:color w:val="auto"/>
              </w:rPr>
            </w:pPr>
            <w:r>
              <w:rPr>
                <w:rFonts w:ascii="Arial" w:cs="Arial" w:eastAsia="Arial" w:hAnsi="Arial"/>
                <w:sz w:val="14"/>
                <w:szCs w:val="14"/>
                <w:color w:val="auto"/>
              </w:rPr>
              <w:t>June 4, 2018</w:t>
            </w:r>
          </w:p>
        </w:tc>
        <w:tc>
          <w:tcPr>
            <w:tcW w:w="1720" w:type="dxa"/>
            <w:vAlign w:val="bottom"/>
            <w:shd w:val="clear" w:color="auto" w:fill="D6E7FF"/>
          </w:tcPr>
          <w:p>
            <w:pPr>
              <w:jc w:val="right"/>
              <w:ind w:right="113"/>
              <w:spacing w:after="0" w:line="114" w:lineRule="exact"/>
              <w:rPr>
                <w:sz w:val="20"/>
                <w:szCs w:val="20"/>
                <w:color w:val="auto"/>
              </w:rPr>
            </w:pPr>
            <w:r>
              <w:rPr>
                <w:rFonts w:ascii="Arial" w:cs="Arial" w:eastAsia="Arial" w:hAnsi="Arial"/>
                <w:sz w:val="10"/>
                <w:szCs w:val="10"/>
                <w:color w:val="auto"/>
              </w:rPr>
              <w:t>(b)</w:t>
            </w:r>
          </w:p>
        </w:tc>
        <w:tc>
          <w:tcPr>
            <w:tcW w:w="2200" w:type="dxa"/>
            <w:vAlign w:val="bottom"/>
            <w:vMerge w:val="restart"/>
            <w:shd w:val="clear" w:color="auto" w:fill="D6E7FF"/>
          </w:tcPr>
          <w:p>
            <w:pPr>
              <w:jc w:val="right"/>
              <w:ind w:right="11"/>
              <w:spacing w:after="0"/>
              <w:rPr>
                <w:sz w:val="20"/>
                <w:szCs w:val="20"/>
                <w:color w:val="auto"/>
              </w:rPr>
            </w:pPr>
            <w:r>
              <w:rPr>
                <w:rFonts w:ascii="Arial" w:cs="Arial" w:eastAsia="Arial" w:hAnsi="Arial"/>
                <w:sz w:val="14"/>
                <w:szCs w:val="14"/>
                <w:color w:val="auto"/>
              </w:rPr>
              <w:t>12,270</w:t>
            </w:r>
          </w:p>
        </w:tc>
        <w:tc>
          <w:tcPr>
            <w:tcW w:w="0" w:type="dxa"/>
            <w:vAlign w:val="bottom"/>
          </w:tcPr>
          <w:p>
            <w:pPr>
              <w:spacing w:after="0"/>
              <w:rPr>
                <w:sz w:val="1"/>
                <w:szCs w:val="1"/>
                <w:color w:val="auto"/>
              </w:rPr>
            </w:pPr>
          </w:p>
        </w:tc>
      </w:tr>
      <w:tr>
        <w:trPr>
          <w:trHeight w:val="60"/>
        </w:trPr>
        <w:tc>
          <w:tcPr>
            <w:tcW w:w="2820" w:type="dxa"/>
            <w:vAlign w:val="bottom"/>
            <w:tcBorders>
              <w:bottom w:val="single" w:sz="8" w:color="D6E7FF"/>
            </w:tcBorders>
            <w:vMerge w:val="continue"/>
            <w:shd w:val="clear" w:color="auto" w:fill="D6E7FF"/>
          </w:tcPr>
          <w:p>
            <w:pPr>
              <w:spacing w:after="0"/>
              <w:rPr>
                <w:sz w:val="5"/>
                <w:szCs w:val="5"/>
                <w:color w:val="auto"/>
              </w:rPr>
            </w:pPr>
          </w:p>
        </w:tc>
        <w:tc>
          <w:tcPr>
            <w:tcW w:w="1840" w:type="dxa"/>
            <w:vAlign w:val="bottom"/>
            <w:tcBorders>
              <w:bottom w:val="single" w:sz="8" w:color="307CC0"/>
            </w:tcBorders>
            <w:vMerge w:val="continue"/>
            <w:shd w:val="clear" w:color="auto" w:fill="D6E7FF"/>
          </w:tcPr>
          <w:p>
            <w:pPr>
              <w:spacing w:after="0"/>
              <w:rPr>
                <w:sz w:val="5"/>
                <w:szCs w:val="5"/>
                <w:color w:val="auto"/>
              </w:rPr>
            </w:pPr>
          </w:p>
        </w:tc>
        <w:tc>
          <w:tcPr>
            <w:tcW w:w="1720" w:type="dxa"/>
            <w:vAlign w:val="bottom"/>
            <w:tcBorders>
              <w:bottom w:val="single" w:sz="8" w:color="307CC0"/>
            </w:tcBorders>
            <w:shd w:val="clear" w:color="auto" w:fill="D6E7FF"/>
          </w:tcPr>
          <w:p>
            <w:pPr>
              <w:spacing w:after="0"/>
              <w:rPr>
                <w:sz w:val="5"/>
                <w:szCs w:val="5"/>
                <w:color w:val="auto"/>
              </w:rPr>
            </w:pPr>
          </w:p>
        </w:tc>
        <w:tc>
          <w:tcPr>
            <w:tcW w:w="2200" w:type="dxa"/>
            <w:vAlign w:val="bottom"/>
            <w:tcBorders>
              <w:bottom w:val="single" w:sz="8" w:color="307CC0"/>
            </w:tcBorders>
            <w:vMerge w:val="continue"/>
            <w:shd w:val="clear" w:color="auto" w:fill="D6E7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307CC0"/>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March 1, 2019</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1, 2022</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3,495</w:t>
            </w:r>
          </w:p>
        </w:tc>
        <w:tc>
          <w:tcPr>
            <w:tcW w:w="0" w:type="dxa"/>
            <w:vAlign w:val="bottom"/>
          </w:tcPr>
          <w:p>
            <w:pPr>
              <w:spacing w:after="0"/>
              <w:rPr>
                <w:sz w:val="1"/>
                <w:szCs w:val="1"/>
                <w:color w:val="auto"/>
              </w:rPr>
            </w:pPr>
          </w:p>
        </w:tc>
      </w:tr>
      <w:tr>
        <w:trPr>
          <w:trHeight w:val="114"/>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Mr. Somma</w:t>
            </w:r>
          </w:p>
        </w:tc>
        <w:tc>
          <w:tcPr>
            <w:tcW w:w="184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June 4, 2018</w:t>
            </w:r>
          </w:p>
        </w:tc>
        <w:tc>
          <w:tcPr>
            <w:tcW w:w="1720" w:type="dxa"/>
            <w:vAlign w:val="bottom"/>
            <w:shd w:val="clear" w:color="auto" w:fill="CCEEFF"/>
          </w:tcPr>
          <w:p>
            <w:pPr>
              <w:jc w:val="right"/>
              <w:ind w:right="113"/>
              <w:spacing w:after="0" w:line="114" w:lineRule="exact"/>
              <w:rPr>
                <w:sz w:val="20"/>
                <w:szCs w:val="20"/>
                <w:color w:val="auto"/>
              </w:rPr>
            </w:pPr>
            <w:r>
              <w:rPr>
                <w:rFonts w:ascii="Arial" w:cs="Arial" w:eastAsia="Arial" w:hAnsi="Arial"/>
                <w:sz w:val="10"/>
                <w:szCs w:val="10"/>
                <w:color w:val="auto"/>
              </w:rPr>
              <w:t>(b)</w:t>
            </w:r>
          </w:p>
        </w:tc>
        <w:tc>
          <w:tcPr>
            <w:tcW w:w="2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11,044</w:t>
            </w:r>
          </w:p>
        </w:tc>
        <w:tc>
          <w:tcPr>
            <w:tcW w:w="0" w:type="dxa"/>
            <w:vAlign w:val="bottom"/>
          </w:tcPr>
          <w:p>
            <w:pPr>
              <w:spacing w:after="0"/>
              <w:rPr>
                <w:sz w:val="1"/>
                <w:szCs w:val="1"/>
                <w:color w:val="auto"/>
              </w:rPr>
            </w:pPr>
          </w:p>
        </w:tc>
      </w:tr>
      <w:tr>
        <w:trPr>
          <w:trHeight w:val="60"/>
        </w:trPr>
        <w:tc>
          <w:tcPr>
            <w:tcW w:w="2820" w:type="dxa"/>
            <w:vAlign w:val="bottom"/>
            <w:tcBorders>
              <w:bottom w:val="single" w:sz="8" w:color="CCEEFF"/>
            </w:tcBorders>
            <w:vMerge w:val="continue"/>
            <w:shd w:val="clear" w:color="auto" w:fill="CCEEFF"/>
          </w:tcPr>
          <w:p>
            <w:pPr>
              <w:spacing w:after="0"/>
              <w:rPr>
                <w:sz w:val="5"/>
                <w:szCs w:val="5"/>
                <w:color w:val="auto"/>
              </w:rPr>
            </w:pPr>
          </w:p>
        </w:tc>
        <w:tc>
          <w:tcPr>
            <w:tcW w:w="1840" w:type="dxa"/>
            <w:vAlign w:val="bottom"/>
            <w:tcBorders>
              <w:bottom w:val="single" w:sz="8" w:color="307CC0"/>
            </w:tcBorders>
            <w:vMerge w:val="continue"/>
            <w:shd w:val="clear" w:color="auto" w:fill="CCEEFF"/>
          </w:tcPr>
          <w:p>
            <w:pPr>
              <w:spacing w:after="0"/>
              <w:rPr>
                <w:sz w:val="5"/>
                <w:szCs w:val="5"/>
                <w:color w:val="auto"/>
              </w:rPr>
            </w:pPr>
          </w:p>
        </w:tc>
        <w:tc>
          <w:tcPr>
            <w:tcW w:w="1720" w:type="dxa"/>
            <w:vAlign w:val="bottom"/>
            <w:tcBorders>
              <w:bottom w:val="single" w:sz="8" w:color="307CC0"/>
            </w:tcBorders>
            <w:shd w:val="clear" w:color="auto" w:fill="CCEEFF"/>
          </w:tcPr>
          <w:p>
            <w:pPr>
              <w:spacing w:after="0"/>
              <w:rPr>
                <w:sz w:val="5"/>
                <w:szCs w:val="5"/>
                <w:color w:val="auto"/>
              </w:rPr>
            </w:pPr>
          </w:p>
        </w:tc>
        <w:tc>
          <w:tcPr>
            <w:tcW w:w="2200" w:type="dxa"/>
            <w:vAlign w:val="bottom"/>
            <w:tcBorders>
              <w:bottom w:val="single" w:sz="8" w:color="307CC0"/>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820" w:type="dxa"/>
            <w:vAlign w:val="bottom"/>
            <w:tcBorders>
              <w:bottom w:val="single" w:sz="8" w:color="307CC0"/>
            </w:tcBorders>
            <w:shd w:val="clear" w:color="auto" w:fill="CCEEFF"/>
          </w:tcPr>
          <w:p>
            <w:pPr>
              <w:spacing w:after="0"/>
              <w:rPr>
                <w:sz w:val="15"/>
                <w:szCs w:val="15"/>
                <w:color w:val="auto"/>
              </w:rPr>
            </w:pPr>
          </w:p>
        </w:tc>
        <w:tc>
          <w:tcPr>
            <w:tcW w:w="1840" w:type="dxa"/>
            <w:vAlign w:val="bottom"/>
            <w:tcBorders>
              <w:bottom w:val="single" w:sz="8" w:color="307CC0"/>
            </w:tcBorders>
          </w:tcPr>
          <w:p>
            <w:pPr>
              <w:jc w:val="right"/>
              <w:ind w:right="112"/>
              <w:spacing w:after="0"/>
              <w:rPr>
                <w:sz w:val="20"/>
                <w:szCs w:val="20"/>
                <w:color w:val="auto"/>
              </w:rPr>
            </w:pPr>
            <w:r>
              <w:rPr>
                <w:rFonts w:ascii="Arial" w:cs="Arial" w:eastAsia="Arial" w:hAnsi="Arial"/>
                <w:sz w:val="14"/>
                <w:szCs w:val="14"/>
                <w:color w:val="auto"/>
              </w:rPr>
              <w:t>March 1, 2019</w:t>
            </w:r>
          </w:p>
        </w:tc>
        <w:tc>
          <w:tcPr>
            <w:tcW w:w="1720" w:type="dxa"/>
            <w:vAlign w:val="bottom"/>
            <w:tcBorders>
              <w:bottom w:val="single" w:sz="8" w:color="307CC0"/>
            </w:tcBorders>
          </w:tcPr>
          <w:p>
            <w:pPr>
              <w:jc w:val="right"/>
              <w:ind w:right="113"/>
              <w:spacing w:after="0"/>
              <w:rPr>
                <w:sz w:val="20"/>
                <w:szCs w:val="20"/>
                <w:color w:val="auto"/>
              </w:rPr>
            </w:pPr>
            <w:r>
              <w:rPr>
                <w:rFonts w:ascii="Arial" w:cs="Arial" w:eastAsia="Arial" w:hAnsi="Arial"/>
                <w:sz w:val="14"/>
                <w:szCs w:val="14"/>
                <w:color w:val="auto"/>
              </w:rPr>
              <w:t>March 1, 2022</w:t>
            </w:r>
          </w:p>
        </w:tc>
        <w:tc>
          <w:tcPr>
            <w:tcW w:w="2200" w:type="dxa"/>
            <w:vAlign w:val="bottom"/>
            <w:tcBorders>
              <w:bottom w:val="single" w:sz="8" w:color="307CC0"/>
            </w:tcBorders>
          </w:tcPr>
          <w:p>
            <w:pPr>
              <w:jc w:val="right"/>
              <w:ind w:right="11"/>
              <w:spacing w:after="0"/>
              <w:rPr>
                <w:sz w:val="20"/>
                <w:szCs w:val="20"/>
                <w:color w:val="auto"/>
              </w:rPr>
            </w:pPr>
            <w:r>
              <w:rPr>
                <w:rFonts w:ascii="Arial" w:cs="Arial" w:eastAsia="Arial" w:hAnsi="Arial"/>
                <w:sz w:val="14"/>
                <w:szCs w:val="14"/>
                <w:color w:val="auto"/>
              </w:rPr>
              <w:t>3,327</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D6E7FF"/>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line="174" w:lineRule="exact"/>
              <w:rPr>
                <w:sz w:val="20"/>
                <w:szCs w:val="20"/>
                <w:color w:val="auto"/>
              </w:rPr>
            </w:pPr>
            <w:r>
              <w:rPr>
                <w:rFonts w:ascii="Arial" w:cs="Arial" w:eastAsia="Arial" w:hAnsi="Arial"/>
                <w:sz w:val="13"/>
                <w:szCs w:val="13"/>
                <w:color w:val="auto"/>
              </w:rPr>
              <w:t>March 1, 2017</w:t>
            </w:r>
            <w:r>
              <w:rPr>
                <w:rFonts w:ascii="Arial" w:cs="Arial" w:eastAsia="Arial" w:hAnsi="Arial"/>
                <w:sz w:val="20"/>
                <w:szCs w:val="20"/>
                <w:color w:val="auto"/>
                <w:vertAlign w:val="superscript"/>
              </w:rPr>
              <w:t>(a)</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2, 2020</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9,266</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D6E7FF"/>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March 1, 2017</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2, 2020</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2,809</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D6E7FF"/>
            </w:tcBorders>
            <w:shd w:val="clear" w:color="auto" w:fill="D6E7FF"/>
          </w:tcPr>
          <w:p>
            <w:pPr>
              <w:ind w:left="20"/>
              <w:spacing w:after="0"/>
              <w:rPr>
                <w:sz w:val="20"/>
                <w:szCs w:val="20"/>
                <w:color w:val="auto"/>
              </w:rPr>
            </w:pPr>
            <w:r>
              <w:rPr>
                <w:rFonts w:ascii="Arial" w:cs="Arial" w:eastAsia="Arial" w:hAnsi="Arial"/>
                <w:sz w:val="14"/>
                <w:szCs w:val="14"/>
                <w:color w:val="auto"/>
              </w:rPr>
              <w:t>Ms. Humphrey</w:t>
            </w: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March 1, 2018</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1, 2021</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2,930</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D6E7FF"/>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June 3, 2018</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June 5, 2020</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12,789</w:t>
            </w:r>
          </w:p>
        </w:tc>
        <w:tc>
          <w:tcPr>
            <w:tcW w:w="0" w:type="dxa"/>
            <w:vAlign w:val="bottom"/>
          </w:tcPr>
          <w:p>
            <w:pPr>
              <w:spacing w:after="0"/>
              <w:rPr>
                <w:sz w:val="1"/>
                <w:szCs w:val="1"/>
                <w:color w:val="auto"/>
              </w:rPr>
            </w:pPr>
          </w:p>
        </w:tc>
      </w:tr>
      <w:tr>
        <w:trPr>
          <w:trHeight w:val="174"/>
        </w:trPr>
        <w:tc>
          <w:tcPr>
            <w:tcW w:w="2820" w:type="dxa"/>
            <w:vAlign w:val="bottom"/>
            <w:tcBorders>
              <w:bottom w:val="single" w:sz="8" w:color="307CC0"/>
            </w:tcBorders>
            <w:shd w:val="clear" w:color="auto" w:fill="D6E7FF"/>
          </w:tcPr>
          <w:p>
            <w:pPr>
              <w:spacing w:after="0"/>
              <w:rPr>
                <w:sz w:val="15"/>
                <w:szCs w:val="15"/>
                <w:color w:val="auto"/>
              </w:rPr>
            </w:pPr>
          </w:p>
        </w:tc>
        <w:tc>
          <w:tcPr>
            <w:tcW w:w="1840" w:type="dxa"/>
            <w:vAlign w:val="bottom"/>
            <w:tcBorders>
              <w:bottom w:val="single" w:sz="8" w:color="307CC0"/>
            </w:tcBorders>
            <w:shd w:val="clear" w:color="auto" w:fill="D6E7FF"/>
          </w:tcPr>
          <w:p>
            <w:pPr>
              <w:jc w:val="right"/>
              <w:ind w:right="112"/>
              <w:spacing w:after="0"/>
              <w:rPr>
                <w:sz w:val="20"/>
                <w:szCs w:val="20"/>
                <w:color w:val="auto"/>
              </w:rPr>
            </w:pPr>
            <w:r>
              <w:rPr>
                <w:rFonts w:ascii="Arial" w:cs="Arial" w:eastAsia="Arial" w:hAnsi="Arial"/>
                <w:sz w:val="14"/>
                <w:szCs w:val="14"/>
                <w:color w:val="auto"/>
              </w:rPr>
              <w:t>March 1, 2019</w:t>
            </w:r>
          </w:p>
        </w:tc>
        <w:tc>
          <w:tcPr>
            <w:tcW w:w="1720" w:type="dxa"/>
            <w:vAlign w:val="bottom"/>
            <w:tcBorders>
              <w:bottom w:val="single" w:sz="8" w:color="307CC0"/>
            </w:tcBorders>
            <w:shd w:val="clear" w:color="auto" w:fill="D6E7FF"/>
          </w:tcPr>
          <w:p>
            <w:pPr>
              <w:jc w:val="right"/>
              <w:ind w:right="113"/>
              <w:spacing w:after="0"/>
              <w:rPr>
                <w:sz w:val="20"/>
                <w:szCs w:val="20"/>
                <w:color w:val="auto"/>
              </w:rPr>
            </w:pPr>
            <w:r>
              <w:rPr>
                <w:rFonts w:ascii="Arial" w:cs="Arial" w:eastAsia="Arial" w:hAnsi="Arial"/>
                <w:sz w:val="14"/>
                <w:szCs w:val="14"/>
                <w:color w:val="auto"/>
              </w:rPr>
              <w:t>March 1, 2022</w:t>
            </w:r>
          </w:p>
        </w:tc>
        <w:tc>
          <w:tcPr>
            <w:tcW w:w="2200" w:type="dxa"/>
            <w:vAlign w:val="bottom"/>
            <w:tcBorders>
              <w:bottom w:val="single" w:sz="8" w:color="307CC0"/>
            </w:tcBorders>
            <w:shd w:val="clear" w:color="auto" w:fill="D6E7FF"/>
          </w:tcPr>
          <w:p>
            <w:pPr>
              <w:jc w:val="right"/>
              <w:ind w:right="11"/>
              <w:spacing w:after="0"/>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-1730375</wp:posOffset>
            </wp:positionV>
            <wp:extent cx="5455920" cy="6153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55920" cy="61531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-869315</wp:posOffset>
            </wp:positionV>
            <wp:extent cx="5455920" cy="2463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55920" cy="246380"/>
                    </a:xfrm>
                    <a:prstGeom prst="rect">
                      <a:avLst/>
                    </a:prstGeom>
                    <a:noFill/>
                  </pic:spPr>
                </pic:pic>
              </a:graphicData>
            </a:graphic>
          </wp:anchor>
        </w:drawing>
      </w:r>
    </w:p>
    <w:p>
      <w:pPr>
        <w:spacing w:after="0" w:line="88" w:lineRule="exact"/>
        <w:rPr>
          <w:sz w:val="20"/>
          <w:szCs w:val="20"/>
          <w:color w:val="auto"/>
        </w:rPr>
      </w:pPr>
    </w:p>
    <w:p>
      <w:pPr>
        <w:ind w:left="680" w:right="480" w:hanging="334"/>
        <w:spacing w:after="0" w:line="215" w:lineRule="auto"/>
        <w:tabs>
          <w:tab w:leader="none" w:pos="680" w:val="left"/>
        </w:tabs>
        <w:numPr>
          <w:ilvl w:val="1"/>
          <w:numId w:val="41"/>
        </w:numPr>
        <w:rPr>
          <w:rFonts w:ascii="Arial" w:cs="Arial" w:eastAsia="Arial" w:hAnsi="Arial"/>
          <w:sz w:val="17"/>
          <w:szCs w:val="17"/>
          <w:color w:val="auto"/>
          <w:vertAlign w:val="superscript"/>
        </w:rPr>
      </w:pPr>
      <w:r>
        <w:rPr>
          <w:rFonts w:ascii="Arial" w:cs="Arial" w:eastAsia="Arial" w:hAnsi="Arial"/>
          <w:sz w:val="14"/>
          <w:szCs w:val="14"/>
          <w:color w:val="auto"/>
        </w:rPr>
        <w:t>Represents former Great Plains Energy 2017 performance share awards, which, as of December 31, 2019, were earned but not yet vested.</w:t>
      </w:r>
    </w:p>
    <w:p>
      <w:pPr>
        <w:spacing w:after="0" w:line="63" w:lineRule="exact"/>
        <w:rPr>
          <w:rFonts w:ascii="Arial" w:cs="Arial" w:eastAsia="Arial" w:hAnsi="Arial"/>
          <w:sz w:val="17"/>
          <w:szCs w:val="17"/>
          <w:color w:val="auto"/>
          <w:vertAlign w:val="superscript"/>
        </w:rPr>
      </w:pPr>
    </w:p>
    <w:p>
      <w:pPr>
        <w:ind w:left="680" w:hanging="334"/>
        <w:spacing w:after="0"/>
        <w:tabs>
          <w:tab w:leader="none" w:pos="680" w:val="left"/>
        </w:tabs>
        <w:numPr>
          <w:ilvl w:val="1"/>
          <w:numId w:val="41"/>
        </w:numPr>
        <w:rPr>
          <w:rFonts w:ascii="Arial" w:cs="Arial" w:eastAsia="Arial" w:hAnsi="Arial"/>
          <w:sz w:val="17"/>
          <w:szCs w:val="17"/>
          <w:color w:val="auto"/>
          <w:vertAlign w:val="superscript"/>
        </w:rPr>
      </w:pPr>
      <w:r>
        <w:rPr>
          <w:rFonts w:ascii="Arial" w:cs="Arial" w:eastAsia="Arial" w:hAnsi="Arial"/>
          <w:sz w:val="14"/>
          <w:szCs w:val="14"/>
          <w:color w:val="auto"/>
        </w:rPr>
        <w:t>Vest in one-third increments on each of the first three anniversaries of the grant date, June 4, 2018.</w:t>
      </w:r>
    </w:p>
    <w:p>
      <w:pPr>
        <w:spacing w:after="0" w:line="62" w:lineRule="exact"/>
        <w:rPr>
          <w:rFonts w:ascii="Arial" w:cs="Arial" w:eastAsia="Arial" w:hAnsi="Arial"/>
          <w:sz w:val="17"/>
          <w:szCs w:val="17"/>
          <w:color w:val="auto"/>
          <w:vertAlign w:val="superscript"/>
        </w:rPr>
      </w:pPr>
    </w:p>
    <w:p>
      <w:pPr>
        <w:ind w:left="340" w:hanging="330"/>
        <w:spacing w:after="0"/>
        <w:tabs>
          <w:tab w:leader="none" w:pos="340" w:val="left"/>
        </w:tabs>
        <w:numPr>
          <w:ilvl w:val="0"/>
          <w:numId w:val="42"/>
        </w:numPr>
        <w:rPr>
          <w:rFonts w:ascii="Arial" w:cs="Arial" w:eastAsia="Arial" w:hAnsi="Arial"/>
          <w:sz w:val="17"/>
          <w:szCs w:val="17"/>
          <w:color w:val="auto"/>
          <w:vertAlign w:val="superscript"/>
        </w:rPr>
      </w:pPr>
      <w:r>
        <w:rPr>
          <w:rFonts w:ascii="Arial" w:cs="Arial" w:eastAsia="Arial" w:hAnsi="Arial"/>
          <w:sz w:val="14"/>
          <w:szCs w:val="14"/>
          <w:color w:val="auto"/>
        </w:rPr>
        <w:t>The value of the shares is calculated by multiplying the number of shares by the closing market price ($65.09)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808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7" w:lineRule="exact"/>
        <w:rPr>
          <w:sz w:val="20"/>
          <w:szCs w:val="20"/>
          <w:color w:val="auto"/>
        </w:rPr>
      </w:pPr>
    </w:p>
    <w:p>
      <w:pPr>
        <w:jc w:val="both"/>
        <w:ind w:left="340" w:hanging="330"/>
        <w:spacing w:after="0" w:line="227" w:lineRule="auto"/>
        <w:tabs>
          <w:tab w:leader="none" w:pos="340" w:val="left"/>
        </w:tabs>
        <w:numPr>
          <w:ilvl w:val="0"/>
          <w:numId w:val="43"/>
        </w:numPr>
        <w:rPr>
          <w:rFonts w:ascii="Arial" w:cs="Arial" w:eastAsia="Arial" w:hAnsi="Arial"/>
          <w:sz w:val="17"/>
          <w:szCs w:val="17"/>
          <w:color w:val="auto"/>
          <w:vertAlign w:val="superscript"/>
        </w:rPr>
      </w:pPr>
      <w:r>
        <w:rPr>
          <w:rFonts w:ascii="Arial" w:cs="Arial" w:eastAsia="Arial" w:hAnsi="Arial"/>
          <w:sz w:val="14"/>
          <w:szCs w:val="14"/>
          <w:color w:val="auto"/>
        </w:rPr>
        <w:t>Reflects, at target, performance-based restricted stock units granted by Evergy in 2019 and performance share awards granted by Great Plains Energy in 2018 that were outstanding as of December 31, 2019. All of the performance-based restricted stock units that were granted by Westar Energy in 2018 to Mr. Greenwood and Mr. Somma vested in connection with the merger and are therefore not included in the table. In connection with the merger, a pro rata portion of the performance share awards (14.14%) granted by Great Plains Energy in 2018 were “locked in” based on the total shareholder return of Great Plains Energy relative to the companies in the EEI index up to the closing of the merger, with the remainder (85.86%) subject to the total shareholder return of Evergy relative to the companies in the EEI index from and after closing of the merger. For Mr. Bassham, Mr. Bryant and Ms. Humphrey, the “locked in” portion translated to 7,452 shares, 2,174 shares and 1,666 shares, respectively. The following table summarizes the number of performance-based restricted stock units and performance shares for each of the outstanding grants, at target, as of December 31, 2019.</w:t>
      </w:r>
    </w:p>
    <w:p>
      <w:pPr>
        <w:spacing w:after="0" w:line="40" w:lineRule="exact"/>
        <w:rPr>
          <w:sz w:val="20"/>
          <w:szCs w:val="20"/>
          <w:color w:val="auto"/>
        </w:rPr>
      </w:pPr>
    </w:p>
    <w:tbl>
      <w:tblPr>
        <w:tblLayout w:type="fixed"/>
        <w:tblInd w:w="380" w:type="dxa"/>
        <w:tblCellMar>
          <w:top w:w="0" w:type="dxa"/>
          <w:left w:w="0" w:type="dxa"/>
          <w:bottom w:w="0" w:type="dxa"/>
          <w:right w:w="0" w:type="dxa"/>
        </w:tblCellMar>
      </w:tblPr>
      <w:tr>
        <w:trPr>
          <w:trHeight w:val="233"/>
        </w:trPr>
        <w:tc>
          <w:tcPr>
            <w:tcW w:w="3320" w:type="dxa"/>
            <w:vAlign w:val="bottom"/>
            <w:shd w:val="clear" w:color="auto" w:fill="307CC0"/>
          </w:tcPr>
          <w:p>
            <w:pPr>
              <w:ind w:left="20"/>
              <w:spacing w:after="0"/>
              <w:rPr>
                <w:sz w:val="20"/>
                <w:szCs w:val="20"/>
                <w:color w:val="auto"/>
              </w:rPr>
            </w:pPr>
            <w:r>
              <w:rPr>
                <w:rFonts w:ascii="Arial" w:cs="Arial" w:eastAsia="Arial" w:hAnsi="Arial"/>
                <w:sz w:val="16"/>
                <w:szCs w:val="16"/>
                <w:b w:val="1"/>
                <w:bCs w:val="1"/>
                <w:color w:val="FFFFFF"/>
              </w:rPr>
              <w:t>Name</w:t>
            </w:r>
          </w:p>
        </w:tc>
        <w:tc>
          <w:tcPr>
            <w:tcW w:w="160" w:type="dxa"/>
            <w:vAlign w:val="bottom"/>
            <w:shd w:val="clear" w:color="auto" w:fill="307CC0"/>
          </w:tcPr>
          <w:p>
            <w:pPr>
              <w:spacing w:after="0"/>
              <w:rPr>
                <w:sz w:val="20"/>
                <w:szCs w:val="20"/>
                <w:color w:val="auto"/>
              </w:rPr>
            </w:pPr>
          </w:p>
        </w:tc>
        <w:tc>
          <w:tcPr>
            <w:tcW w:w="2860" w:type="dxa"/>
            <w:vAlign w:val="bottom"/>
            <w:shd w:val="clear" w:color="auto" w:fill="307CC0"/>
          </w:tcPr>
          <w:p>
            <w:pPr>
              <w:jc w:val="right"/>
              <w:ind w:right="856"/>
              <w:spacing w:after="0"/>
              <w:rPr>
                <w:sz w:val="20"/>
                <w:szCs w:val="20"/>
                <w:color w:val="auto"/>
              </w:rPr>
            </w:pPr>
            <w:r>
              <w:rPr>
                <w:rFonts w:ascii="Arial" w:cs="Arial" w:eastAsia="Arial" w:hAnsi="Arial"/>
                <w:sz w:val="16"/>
                <w:szCs w:val="16"/>
                <w:b w:val="1"/>
                <w:bCs w:val="1"/>
                <w:color w:val="FFFFFF"/>
              </w:rPr>
              <w:t>Performance Period</w:t>
            </w:r>
          </w:p>
        </w:tc>
        <w:tc>
          <w:tcPr>
            <w:tcW w:w="2240" w:type="dxa"/>
            <w:vAlign w:val="bottom"/>
            <w:shd w:val="clear" w:color="auto" w:fill="307CC0"/>
          </w:tcPr>
          <w:p>
            <w:pPr>
              <w:jc w:val="right"/>
              <w:ind w:right="415"/>
              <w:spacing w:after="0"/>
              <w:rPr>
                <w:sz w:val="20"/>
                <w:szCs w:val="20"/>
                <w:color w:val="auto"/>
              </w:rPr>
            </w:pPr>
            <w:r>
              <w:rPr>
                <w:rFonts w:ascii="Arial" w:cs="Arial" w:eastAsia="Arial" w:hAnsi="Arial"/>
                <w:sz w:val="16"/>
                <w:szCs w:val="16"/>
                <w:b w:val="1"/>
                <w:bCs w:val="1"/>
                <w:color w:val="FFFFFF"/>
              </w:rPr>
              <w:t>Number of Shares</w:t>
            </w:r>
          </w:p>
        </w:tc>
        <w:tc>
          <w:tcPr>
            <w:tcW w:w="0" w:type="dxa"/>
            <w:vAlign w:val="bottom"/>
          </w:tcPr>
          <w:p>
            <w:pPr>
              <w:spacing w:after="0"/>
              <w:rPr>
                <w:sz w:val="1"/>
                <w:szCs w:val="1"/>
                <w:color w:val="auto"/>
              </w:rPr>
            </w:pPr>
          </w:p>
        </w:tc>
      </w:tr>
      <w:tr>
        <w:trPr>
          <w:trHeight w:val="220"/>
        </w:trPr>
        <w:tc>
          <w:tcPr>
            <w:tcW w:w="3320" w:type="dxa"/>
            <w:vAlign w:val="bottom"/>
            <w:tcBorders>
              <w:bottom w:val="single" w:sz="8" w:color="D6E7FF"/>
            </w:tcBorders>
            <w:vMerge w:val="restart"/>
            <w:shd w:val="clear" w:color="auto" w:fill="D6E7FF"/>
          </w:tcPr>
          <w:p>
            <w:pPr>
              <w:ind w:left="20"/>
              <w:spacing w:after="0"/>
              <w:rPr>
                <w:sz w:val="20"/>
                <w:szCs w:val="20"/>
                <w:color w:val="auto"/>
              </w:rPr>
            </w:pPr>
            <w:r>
              <w:rPr>
                <w:rFonts w:ascii="Arial" w:cs="Arial" w:eastAsia="Arial" w:hAnsi="Arial"/>
                <w:sz w:val="17"/>
                <w:szCs w:val="17"/>
                <w:color w:val="auto"/>
              </w:rPr>
              <w:t>Mr. Bassham</w:t>
            </w:r>
          </w:p>
        </w:tc>
        <w:tc>
          <w:tcPr>
            <w:tcW w:w="160" w:type="dxa"/>
            <w:vAlign w:val="bottom"/>
            <w:tcBorders>
              <w:bottom w:val="single" w:sz="8" w:color="307CC0"/>
            </w:tcBorders>
            <w:shd w:val="clear" w:color="auto" w:fill="D6E7FF"/>
          </w:tcPr>
          <w:p>
            <w:pPr>
              <w:spacing w:after="0"/>
              <w:rPr>
                <w:sz w:val="19"/>
                <w:szCs w:val="19"/>
                <w:color w:val="auto"/>
              </w:rPr>
            </w:pPr>
          </w:p>
        </w:tc>
        <w:tc>
          <w:tcPr>
            <w:tcW w:w="2860" w:type="dxa"/>
            <w:vAlign w:val="bottom"/>
            <w:tcBorders>
              <w:bottom w:val="single" w:sz="8" w:color="307CC0"/>
            </w:tcBorders>
            <w:shd w:val="clear" w:color="auto" w:fill="D6E7FF"/>
          </w:tcPr>
          <w:p>
            <w:pPr>
              <w:jc w:val="right"/>
              <w:ind w:right="336"/>
              <w:spacing w:after="0"/>
              <w:rPr>
                <w:sz w:val="20"/>
                <w:szCs w:val="20"/>
                <w:color w:val="auto"/>
              </w:rPr>
            </w:pPr>
            <w:r>
              <w:rPr>
                <w:rFonts w:ascii="Arial" w:cs="Arial" w:eastAsia="Arial" w:hAnsi="Arial"/>
                <w:sz w:val="17"/>
                <w:szCs w:val="17"/>
                <w:color w:val="auto"/>
              </w:rPr>
              <w:t>2018-2020</w:t>
            </w:r>
          </w:p>
        </w:tc>
        <w:tc>
          <w:tcPr>
            <w:tcW w:w="22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37,163</w:t>
            </w:r>
          </w:p>
        </w:tc>
        <w:tc>
          <w:tcPr>
            <w:tcW w:w="0" w:type="dxa"/>
            <w:vAlign w:val="bottom"/>
          </w:tcPr>
          <w:p>
            <w:pPr>
              <w:spacing w:after="0"/>
              <w:rPr>
                <w:sz w:val="1"/>
                <w:szCs w:val="1"/>
                <w:color w:val="auto"/>
              </w:rPr>
            </w:pPr>
          </w:p>
        </w:tc>
      </w:tr>
      <w:tr>
        <w:trPr>
          <w:trHeight w:val="97"/>
        </w:trPr>
        <w:tc>
          <w:tcPr>
            <w:tcW w:w="3320" w:type="dxa"/>
            <w:vAlign w:val="bottom"/>
            <w:vMerge w:val="continue"/>
            <w:shd w:val="clear" w:color="auto" w:fill="D6E7FF"/>
          </w:tcPr>
          <w:p>
            <w:pPr>
              <w:spacing w:after="0"/>
              <w:rPr>
                <w:sz w:val="8"/>
                <w:szCs w:val="8"/>
                <w:color w:val="auto"/>
              </w:rPr>
            </w:pPr>
          </w:p>
        </w:tc>
        <w:tc>
          <w:tcPr>
            <w:tcW w:w="160" w:type="dxa"/>
            <w:vAlign w:val="bottom"/>
            <w:shd w:val="clear" w:color="auto" w:fill="D6E7FF"/>
          </w:tcPr>
          <w:p>
            <w:pPr>
              <w:spacing w:after="0"/>
              <w:rPr>
                <w:sz w:val="8"/>
                <w:szCs w:val="8"/>
                <w:color w:val="auto"/>
              </w:rPr>
            </w:pPr>
          </w:p>
        </w:tc>
        <w:tc>
          <w:tcPr>
            <w:tcW w:w="2860" w:type="dxa"/>
            <w:vAlign w:val="bottom"/>
            <w:vMerge w:val="restart"/>
            <w:shd w:val="clear" w:color="auto" w:fill="D6E7FF"/>
          </w:tcPr>
          <w:p>
            <w:pPr>
              <w:jc w:val="right"/>
              <w:ind w:right="336"/>
              <w:spacing w:after="0"/>
              <w:rPr>
                <w:sz w:val="20"/>
                <w:szCs w:val="20"/>
                <w:color w:val="auto"/>
              </w:rPr>
            </w:pPr>
            <w:r>
              <w:rPr>
                <w:rFonts w:ascii="Arial" w:cs="Arial" w:eastAsia="Arial" w:hAnsi="Arial"/>
                <w:sz w:val="17"/>
                <w:szCs w:val="17"/>
                <w:color w:val="auto"/>
              </w:rPr>
              <w:t>2019-2021</w:t>
            </w:r>
          </w:p>
        </w:tc>
        <w:tc>
          <w:tcPr>
            <w:tcW w:w="2240" w:type="dxa"/>
            <w:vAlign w:val="bottom"/>
            <w:vMerge w:val="restart"/>
            <w:shd w:val="clear" w:color="auto" w:fill="D6E7FF"/>
          </w:tcPr>
          <w:p>
            <w:pPr>
              <w:jc w:val="right"/>
              <w:spacing w:after="0"/>
              <w:rPr>
                <w:sz w:val="20"/>
                <w:szCs w:val="20"/>
                <w:color w:val="auto"/>
              </w:rPr>
            </w:pPr>
            <w:r>
              <w:rPr>
                <w:rFonts w:ascii="Arial" w:cs="Arial" w:eastAsia="Arial" w:hAnsi="Arial"/>
                <w:sz w:val="17"/>
                <w:szCs w:val="17"/>
                <w:color w:val="auto"/>
              </w:rPr>
              <w:t>49,502</w:t>
            </w:r>
          </w:p>
        </w:tc>
        <w:tc>
          <w:tcPr>
            <w:tcW w:w="0" w:type="dxa"/>
            <w:vAlign w:val="bottom"/>
          </w:tcPr>
          <w:p>
            <w:pPr>
              <w:spacing w:after="0"/>
              <w:rPr>
                <w:sz w:val="1"/>
                <w:szCs w:val="1"/>
                <w:color w:val="auto"/>
              </w:rPr>
            </w:pPr>
          </w:p>
        </w:tc>
      </w:tr>
      <w:tr>
        <w:trPr>
          <w:trHeight w:val="116"/>
        </w:trPr>
        <w:tc>
          <w:tcPr>
            <w:tcW w:w="3320" w:type="dxa"/>
            <w:vAlign w:val="bottom"/>
            <w:tcBorders>
              <w:bottom w:val="single" w:sz="8" w:color="307CC0"/>
            </w:tcBorders>
            <w:shd w:val="clear" w:color="auto" w:fill="D6E7FF"/>
          </w:tcPr>
          <w:p>
            <w:pPr>
              <w:spacing w:after="0"/>
              <w:rPr>
                <w:sz w:val="10"/>
                <w:szCs w:val="10"/>
                <w:color w:val="auto"/>
              </w:rPr>
            </w:pPr>
          </w:p>
        </w:tc>
        <w:tc>
          <w:tcPr>
            <w:tcW w:w="160" w:type="dxa"/>
            <w:vAlign w:val="bottom"/>
            <w:tcBorders>
              <w:bottom w:val="single" w:sz="8" w:color="307CC0"/>
            </w:tcBorders>
            <w:shd w:val="clear" w:color="auto" w:fill="D6E7FF"/>
          </w:tcPr>
          <w:p>
            <w:pPr>
              <w:spacing w:after="0"/>
              <w:rPr>
                <w:sz w:val="10"/>
                <w:szCs w:val="10"/>
                <w:color w:val="auto"/>
              </w:rPr>
            </w:pPr>
          </w:p>
        </w:tc>
        <w:tc>
          <w:tcPr>
            <w:tcW w:w="2860" w:type="dxa"/>
            <w:vAlign w:val="bottom"/>
            <w:tcBorders>
              <w:bottom w:val="single" w:sz="8" w:color="307CC0"/>
            </w:tcBorders>
            <w:vMerge w:val="continue"/>
            <w:shd w:val="clear" w:color="auto" w:fill="D6E7FF"/>
          </w:tcPr>
          <w:p>
            <w:pPr>
              <w:spacing w:after="0"/>
              <w:rPr>
                <w:sz w:val="10"/>
                <w:szCs w:val="10"/>
                <w:color w:val="auto"/>
              </w:rPr>
            </w:pPr>
          </w:p>
        </w:tc>
        <w:tc>
          <w:tcPr>
            <w:tcW w:w="2240" w:type="dxa"/>
            <w:vAlign w:val="bottom"/>
            <w:tcBorders>
              <w:bottom w:val="single" w:sz="8" w:color="307CC0"/>
            </w:tcBorders>
            <w:vMerge w:val="continue"/>
            <w:shd w:val="clear" w:color="auto" w:fill="D6E7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Mr. Bryant</w:t>
            </w:r>
          </w:p>
        </w:tc>
        <w:tc>
          <w:tcPr>
            <w:tcW w:w="3020" w:type="dxa"/>
            <w:vAlign w:val="bottom"/>
            <w:tcBorders>
              <w:bottom w:val="single" w:sz="8" w:color="307CC0"/>
            </w:tcBorders>
            <w:gridSpan w:val="2"/>
            <w:shd w:val="clear" w:color="auto" w:fill="CCEEFF"/>
          </w:tcPr>
          <w:p>
            <w:pPr>
              <w:jc w:val="right"/>
              <w:ind w:right="336"/>
              <w:spacing w:after="0"/>
              <w:rPr>
                <w:sz w:val="20"/>
                <w:szCs w:val="20"/>
                <w:color w:val="auto"/>
              </w:rPr>
            </w:pPr>
            <w:r>
              <w:rPr>
                <w:rFonts w:ascii="Arial" w:cs="Arial" w:eastAsia="Arial" w:hAnsi="Arial"/>
                <w:sz w:val="17"/>
                <w:szCs w:val="17"/>
                <w:color w:val="auto"/>
              </w:rPr>
              <w:t>2018-2020</w:t>
            </w:r>
          </w:p>
        </w:tc>
        <w:tc>
          <w:tcPr>
            <w:tcW w:w="22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10,839</w:t>
            </w:r>
          </w:p>
        </w:tc>
        <w:tc>
          <w:tcPr>
            <w:tcW w:w="0" w:type="dxa"/>
            <w:vAlign w:val="bottom"/>
          </w:tcPr>
          <w:p>
            <w:pPr>
              <w:spacing w:after="0"/>
              <w:rPr>
                <w:sz w:val="1"/>
                <w:szCs w:val="1"/>
                <w:color w:val="auto"/>
              </w:rPr>
            </w:pPr>
          </w:p>
        </w:tc>
      </w:tr>
      <w:tr>
        <w:trPr>
          <w:trHeight w:val="97"/>
        </w:trPr>
        <w:tc>
          <w:tcPr>
            <w:tcW w:w="3320" w:type="dxa"/>
            <w:vAlign w:val="bottom"/>
            <w:vMerge w:val="continue"/>
            <w:shd w:val="clear" w:color="auto" w:fill="CCEEFF"/>
          </w:tcPr>
          <w:p>
            <w:pPr>
              <w:spacing w:after="0"/>
              <w:rPr>
                <w:sz w:val="8"/>
                <w:szCs w:val="8"/>
                <w:color w:val="auto"/>
              </w:rPr>
            </w:pPr>
          </w:p>
        </w:tc>
        <w:tc>
          <w:tcPr>
            <w:tcW w:w="3020" w:type="dxa"/>
            <w:vAlign w:val="bottom"/>
            <w:gridSpan w:val="2"/>
            <w:vMerge w:val="restart"/>
          </w:tcPr>
          <w:p>
            <w:pPr>
              <w:jc w:val="right"/>
              <w:ind w:right="336"/>
              <w:spacing w:after="0"/>
              <w:rPr>
                <w:sz w:val="20"/>
                <w:szCs w:val="20"/>
                <w:color w:val="auto"/>
              </w:rPr>
            </w:pPr>
            <w:r>
              <w:rPr>
                <w:rFonts w:ascii="Arial" w:cs="Arial" w:eastAsia="Arial" w:hAnsi="Arial"/>
                <w:sz w:val="17"/>
                <w:szCs w:val="17"/>
                <w:color w:val="auto"/>
              </w:rPr>
              <w:t>2019-2021</w:t>
            </w:r>
          </w:p>
        </w:tc>
        <w:tc>
          <w:tcPr>
            <w:tcW w:w="2240" w:type="dxa"/>
            <w:vAlign w:val="bottom"/>
            <w:vMerge w:val="restart"/>
          </w:tcPr>
          <w:p>
            <w:pPr>
              <w:jc w:val="right"/>
              <w:spacing w:after="0"/>
              <w:rPr>
                <w:sz w:val="20"/>
                <w:szCs w:val="20"/>
                <w:color w:val="auto"/>
              </w:rPr>
            </w:pPr>
            <w:r>
              <w:rPr>
                <w:rFonts w:ascii="Arial" w:cs="Arial" w:eastAsia="Arial" w:hAnsi="Arial"/>
                <w:sz w:val="17"/>
                <w:szCs w:val="17"/>
                <w:color w:val="auto"/>
              </w:rPr>
              <w:t>10,161</w:t>
            </w:r>
          </w:p>
        </w:tc>
        <w:tc>
          <w:tcPr>
            <w:tcW w:w="0" w:type="dxa"/>
            <w:vAlign w:val="bottom"/>
          </w:tcPr>
          <w:p>
            <w:pPr>
              <w:spacing w:after="0"/>
              <w:rPr>
                <w:sz w:val="1"/>
                <w:szCs w:val="1"/>
                <w:color w:val="auto"/>
              </w:rPr>
            </w:pPr>
          </w:p>
        </w:tc>
      </w:tr>
      <w:tr>
        <w:trPr>
          <w:trHeight w:val="116"/>
        </w:trPr>
        <w:tc>
          <w:tcPr>
            <w:tcW w:w="3320" w:type="dxa"/>
            <w:vAlign w:val="bottom"/>
            <w:tcBorders>
              <w:bottom w:val="single" w:sz="8" w:color="307CC0"/>
            </w:tcBorders>
            <w:shd w:val="clear" w:color="auto" w:fill="CCEEFF"/>
          </w:tcPr>
          <w:p>
            <w:pPr>
              <w:spacing w:after="0"/>
              <w:rPr>
                <w:sz w:val="10"/>
                <w:szCs w:val="10"/>
                <w:color w:val="auto"/>
              </w:rPr>
            </w:pPr>
          </w:p>
        </w:tc>
        <w:tc>
          <w:tcPr>
            <w:tcW w:w="3020" w:type="dxa"/>
            <w:vAlign w:val="bottom"/>
            <w:tcBorders>
              <w:bottom w:val="single" w:sz="8" w:color="307CC0"/>
            </w:tcBorders>
            <w:gridSpan w:val="2"/>
            <w:vMerge w:val="continue"/>
          </w:tcPr>
          <w:p>
            <w:pPr>
              <w:spacing w:after="0"/>
              <w:rPr>
                <w:sz w:val="10"/>
                <w:szCs w:val="10"/>
                <w:color w:val="auto"/>
              </w:rPr>
            </w:pPr>
          </w:p>
        </w:tc>
        <w:tc>
          <w:tcPr>
            <w:tcW w:w="2240" w:type="dxa"/>
            <w:vAlign w:val="bottom"/>
            <w:tcBorders>
              <w:bottom w:val="single" w:sz="8" w:color="307CC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307CC0"/>
            </w:tcBorders>
            <w:shd w:val="clear" w:color="auto" w:fill="D6E7FF"/>
          </w:tcPr>
          <w:p>
            <w:pPr>
              <w:ind w:left="20"/>
              <w:spacing w:after="0"/>
              <w:rPr>
                <w:sz w:val="20"/>
                <w:szCs w:val="20"/>
                <w:color w:val="auto"/>
              </w:rPr>
            </w:pPr>
            <w:r>
              <w:rPr>
                <w:rFonts w:ascii="Arial" w:cs="Arial" w:eastAsia="Arial" w:hAnsi="Arial"/>
                <w:sz w:val="17"/>
                <w:szCs w:val="17"/>
                <w:color w:val="auto"/>
              </w:rPr>
              <w:t>Mr. Greenwood</w:t>
            </w:r>
          </w:p>
        </w:tc>
        <w:tc>
          <w:tcPr>
            <w:tcW w:w="3020" w:type="dxa"/>
            <w:vAlign w:val="bottom"/>
            <w:tcBorders>
              <w:bottom w:val="single" w:sz="8" w:color="307CC0"/>
            </w:tcBorders>
            <w:gridSpan w:val="2"/>
            <w:shd w:val="clear" w:color="auto" w:fill="D6E7FF"/>
          </w:tcPr>
          <w:p>
            <w:pPr>
              <w:jc w:val="right"/>
              <w:ind w:right="336"/>
              <w:spacing w:after="0"/>
              <w:rPr>
                <w:sz w:val="20"/>
                <w:szCs w:val="20"/>
                <w:color w:val="auto"/>
              </w:rPr>
            </w:pPr>
            <w:r>
              <w:rPr>
                <w:rFonts w:ascii="Arial" w:cs="Arial" w:eastAsia="Arial" w:hAnsi="Arial"/>
                <w:sz w:val="17"/>
                <w:szCs w:val="17"/>
                <w:color w:val="auto"/>
              </w:rPr>
              <w:t>2019-2021</w:t>
            </w:r>
          </w:p>
        </w:tc>
        <w:tc>
          <w:tcPr>
            <w:tcW w:w="22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10,161</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307CC0"/>
            </w:tcBorders>
          </w:tcPr>
          <w:p>
            <w:pPr>
              <w:ind w:left="20"/>
              <w:spacing w:after="0"/>
              <w:rPr>
                <w:sz w:val="20"/>
                <w:szCs w:val="20"/>
                <w:color w:val="auto"/>
              </w:rPr>
            </w:pPr>
            <w:r>
              <w:rPr>
                <w:rFonts w:ascii="Arial" w:cs="Arial" w:eastAsia="Arial" w:hAnsi="Arial"/>
                <w:sz w:val="17"/>
                <w:szCs w:val="17"/>
                <w:color w:val="auto"/>
              </w:rPr>
              <w:t>Mr. Somma</w:t>
            </w:r>
          </w:p>
        </w:tc>
        <w:tc>
          <w:tcPr>
            <w:tcW w:w="3020" w:type="dxa"/>
            <w:vAlign w:val="bottom"/>
            <w:tcBorders>
              <w:bottom w:val="single" w:sz="8" w:color="307CC0"/>
            </w:tcBorders>
            <w:gridSpan w:val="2"/>
          </w:tcPr>
          <w:p>
            <w:pPr>
              <w:jc w:val="right"/>
              <w:ind w:right="336"/>
              <w:spacing w:after="0"/>
              <w:rPr>
                <w:sz w:val="20"/>
                <w:szCs w:val="20"/>
                <w:color w:val="auto"/>
              </w:rPr>
            </w:pPr>
            <w:r>
              <w:rPr>
                <w:rFonts w:ascii="Arial" w:cs="Arial" w:eastAsia="Arial" w:hAnsi="Arial"/>
                <w:sz w:val="17"/>
                <w:szCs w:val="17"/>
                <w:color w:val="auto"/>
              </w:rPr>
              <w:t>2019-2021</w:t>
            </w:r>
          </w:p>
        </w:tc>
        <w:tc>
          <w:tcPr>
            <w:tcW w:w="2240" w:type="dxa"/>
            <w:vAlign w:val="bottom"/>
            <w:tcBorders>
              <w:bottom w:val="single" w:sz="8" w:color="307CC0"/>
            </w:tcBorders>
          </w:tcPr>
          <w:p>
            <w:pPr>
              <w:jc w:val="right"/>
              <w:spacing w:after="0"/>
              <w:rPr>
                <w:sz w:val="20"/>
                <w:szCs w:val="20"/>
                <w:color w:val="auto"/>
              </w:rPr>
            </w:pPr>
            <w:r>
              <w:rPr>
                <w:rFonts w:ascii="Arial" w:cs="Arial" w:eastAsia="Arial" w:hAnsi="Arial"/>
                <w:sz w:val="17"/>
                <w:szCs w:val="17"/>
                <w:color w:val="auto"/>
              </w:rPr>
              <w:t>9,673</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D6E7FF"/>
            </w:tcBorders>
            <w:vMerge w:val="restart"/>
            <w:shd w:val="clear" w:color="auto" w:fill="D6E7FF"/>
          </w:tcPr>
          <w:p>
            <w:pPr>
              <w:ind w:left="20"/>
              <w:spacing w:after="0"/>
              <w:rPr>
                <w:sz w:val="20"/>
                <w:szCs w:val="20"/>
                <w:color w:val="auto"/>
              </w:rPr>
            </w:pPr>
            <w:r>
              <w:rPr>
                <w:rFonts w:ascii="Arial" w:cs="Arial" w:eastAsia="Arial" w:hAnsi="Arial"/>
                <w:sz w:val="17"/>
                <w:szCs w:val="17"/>
                <w:color w:val="auto"/>
              </w:rPr>
              <w:t>Ms. Humphrey</w:t>
            </w:r>
          </w:p>
        </w:tc>
        <w:tc>
          <w:tcPr>
            <w:tcW w:w="160" w:type="dxa"/>
            <w:vAlign w:val="bottom"/>
            <w:tcBorders>
              <w:bottom w:val="single" w:sz="8" w:color="307CC0"/>
            </w:tcBorders>
            <w:shd w:val="clear" w:color="auto" w:fill="D6E7FF"/>
          </w:tcPr>
          <w:p>
            <w:pPr>
              <w:spacing w:after="0"/>
              <w:rPr>
                <w:sz w:val="18"/>
                <w:szCs w:val="18"/>
                <w:color w:val="auto"/>
              </w:rPr>
            </w:pPr>
          </w:p>
        </w:tc>
        <w:tc>
          <w:tcPr>
            <w:tcW w:w="2860" w:type="dxa"/>
            <w:vAlign w:val="bottom"/>
            <w:tcBorders>
              <w:bottom w:val="single" w:sz="8" w:color="307CC0"/>
            </w:tcBorders>
            <w:shd w:val="clear" w:color="auto" w:fill="D6E7FF"/>
          </w:tcPr>
          <w:p>
            <w:pPr>
              <w:jc w:val="right"/>
              <w:ind w:right="336"/>
              <w:spacing w:after="0"/>
              <w:rPr>
                <w:sz w:val="20"/>
                <w:szCs w:val="20"/>
                <w:color w:val="auto"/>
              </w:rPr>
            </w:pPr>
            <w:r>
              <w:rPr>
                <w:rFonts w:ascii="Arial" w:cs="Arial" w:eastAsia="Arial" w:hAnsi="Arial"/>
                <w:sz w:val="17"/>
                <w:szCs w:val="17"/>
                <w:color w:val="auto"/>
              </w:rPr>
              <w:t>2018-2020</w:t>
            </w:r>
          </w:p>
        </w:tc>
        <w:tc>
          <w:tcPr>
            <w:tcW w:w="22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8,313</w:t>
            </w:r>
          </w:p>
        </w:tc>
        <w:tc>
          <w:tcPr>
            <w:tcW w:w="0" w:type="dxa"/>
            <w:vAlign w:val="bottom"/>
          </w:tcPr>
          <w:p>
            <w:pPr>
              <w:spacing w:after="0"/>
              <w:rPr>
                <w:sz w:val="1"/>
                <w:szCs w:val="1"/>
                <w:color w:val="auto"/>
              </w:rPr>
            </w:pPr>
          </w:p>
        </w:tc>
      </w:tr>
      <w:tr>
        <w:trPr>
          <w:trHeight w:val="97"/>
        </w:trPr>
        <w:tc>
          <w:tcPr>
            <w:tcW w:w="3320" w:type="dxa"/>
            <w:vAlign w:val="bottom"/>
            <w:vMerge w:val="continue"/>
            <w:shd w:val="clear" w:color="auto" w:fill="D6E7FF"/>
          </w:tcPr>
          <w:p>
            <w:pPr>
              <w:spacing w:after="0"/>
              <w:rPr>
                <w:sz w:val="8"/>
                <w:szCs w:val="8"/>
                <w:color w:val="auto"/>
              </w:rPr>
            </w:pPr>
          </w:p>
        </w:tc>
        <w:tc>
          <w:tcPr>
            <w:tcW w:w="160" w:type="dxa"/>
            <w:vAlign w:val="bottom"/>
            <w:shd w:val="clear" w:color="auto" w:fill="D6E7FF"/>
          </w:tcPr>
          <w:p>
            <w:pPr>
              <w:spacing w:after="0"/>
              <w:rPr>
                <w:sz w:val="8"/>
                <w:szCs w:val="8"/>
                <w:color w:val="auto"/>
              </w:rPr>
            </w:pPr>
          </w:p>
        </w:tc>
        <w:tc>
          <w:tcPr>
            <w:tcW w:w="2860" w:type="dxa"/>
            <w:vAlign w:val="bottom"/>
            <w:vMerge w:val="restart"/>
            <w:shd w:val="clear" w:color="auto" w:fill="D6E7FF"/>
          </w:tcPr>
          <w:p>
            <w:pPr>
              <w:jc w:val="right"/>
              <w:ind w:right="336"/>
              <w:spacing w:after="0"/>
              <w:rPr>
                <w:sz w:val="20"/>
                <w:szCs w:val="20"/>
                <w:color w:val="auto"/>
              </w:rPr>
            </w:pPr>
            <w:r>
              <w:rPr>
                <w:rFonts w:ascii="Arial" w:cs="Arial" w:eastAsia="Arial" w:hAnsi="Arial"/>
                <w:sz w:val="17"/>
                <w:szCs w:val="17"/>
                <w:color w:val="auto"/>
              </w:rPr>
              <w:t>2019-2021</w:t>
            </w:r>
          </w:p>
        </w:tc>
        <w:tc>
          <w:tcPr>
            <w:tcW w:w="2240" w:type="dxa"/>
            <w:vAlign w:val="bottom"/>
            <w:vMerge w:val="restart"/>
            <w:shd w:val="clear" w:color="auto" w:fill="D6E7FF"/>
          </w:tcPr>
          <w:p>
            <w:pPr>
              <w:jc w:val="right"/>
              <w:spacing w:after="0"/>
              <w:rPr>
                <w:sz w:val="20"/>
                <w:szCs w:val="20"/>
                <w:color w:val="auto"/>
              </w:rPr>
            </w:pPr>
            <w:r>
              <w:rPr>
                <w:rFonts w:ascii="Arial" w:cs="Arial" w:eastAsia="Arial" w:hAnsi="Arial"/>
                <w:sz w:val="17"/>
                <w:szCs w:val="17"/>
                <w:color w:val="auto"/>
              </w:rPr>
              <w:t>8,197</w:t>
            </w:r>
          </w:p>
        </w:tc>
        <w:tc>
          <w:tcPr>
            <w:tcW w:w="0" w:type="dxa"/>
            <w:vAlign w:val="bottom"/>
          </w:tcPr>
          <w:p>
            <w:pPr>
              <w:spacing w:after="0"/>
              <w:rPr>
                <w:sz w:val="1"/>
                <w:szCs w:val="1"/>
                <w:color w:val="auto"/>
              </w:rPr>
            </w:pPr>
          </w:p>
        </w:tc>
      </w:tr>
      <w:tr>
        <w:trPr>
          <w:trHeight w:val="116"/>
        </w:trPr>
        <w:tc>
          <w:tcPr>
            <w:tcW w:w="3320" w:type="dxa"/>
            <w:vAlign w:val="bottom"/>
            <w:tcBorders>
              <w:bottom w:val="single" w:sz="8" w:color="307CC0"/>
            </w:tcBorders>
            <w:shd w:val="clear" w:color="auto" w:fill="D6E7FF"/>
          </w:tcPr>
          <w:p>
            <w:pPr>
              <w:spacing w:after="0"/>
              <w:rPr>
                <w:sz w:val="10"/>
                <w:szCs w:val="10"/>
                <w:color w:val="auto"/>
              </w:rPr>
            </w:pPr>
          </w:p>
        </w:tc>
        <w:tc>
          <w:tcPr>
            <w:tcW w:w="160" w:type="dxa"/>
            <w:vAlign w:val="bottom"/>
            <w:tcBorders>
              <w:bottom w:val="single" w:sz="8" w:color="307CC0"/>
            </w:tcBorders>
            <w:shd w:val="clear" w:color="auto" w:fill="D6E7FF"/>
          </w:tcPr>
          <w:p>
            <w:pPr>
              <w:spacing w:after="0"/>
              <w:rPr>
                <w:sz w:val="10"/>
                <w:szCs w:val="10"/>
                <w:color w:val="auto"/>
              </w:rPr>
            </w:pPr>
          </w:p>
        </w:tc>
        <w:tc>
          <w:tcPr>
            <w:tcW w:w="2860" w:type="dxa"/>
            <w:vAlign w:val="bottom"/>
            <w:tcBorders>
              <w:bottom w:val="single" w:sz="8" w:color="307CC0"/>
            </w:tcBorders>
            <w:vMerge w:val="continue"/>
            <w:shd w:val="clear" w:color="auto" w:fill="D6E7FF"/>
          </w:tcPr>
          <w:p>
            <w:pPr>
              <w:spacing w:after="0"/>
              <w:rPr>
                <w:sz w:val="10"/>
                <w:szCs w:val="10"/>
                <w:color w:val="auto"/>
              </w:rPr>
            </w:pPr>
          </w:p>
        </w:tc>
        <w:tc>
          <w:tcPr>
            <w:tcW w:w="2240" w:type="dxa"/>
            <w:vAlign w:val="bottom"/>
            <w:tcBorders>
              <w:bottom w:val="single" w:sz="8" w:color="307CC0"/>
            </w:tcBorders>
            <w:vMerge w:val="continue"/>
            <w:shd w:val="clear" w:color="auto" w:fill="D6E7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-893445</wp:posOffset>
            </wp:positionV>
            <wp:extent cx="5455920" cy="295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55920" cy="29527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Option Exercises and Stock Vested</w:t>
      </w:r>
    </w:p>
    <w:p>
      <w:pPr>
        <w:spacing w:after="0" w:line="126"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The following table provides information regarding the vesting of stock awards or restricted stock units held by each of the NEOs during 2019. The market value of the shares is based on our closing stock price on the date of vesting (or the trading day immediately preceding the date of vesting in instances where the date of vesting was not a trading day). We have omitted the “Option Awards” columns because our NEOs do not have options.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00" w:type="dxa"/>
            <w:vAlign w:val="bottom"/>
            <w:shd w:val="clear" w:color="auto" w:fill="307CC0"/>
          </w:tcPr>
          <w:p>
            <w:pPr>
              <w:spacing w:after="0"/>
              <w:rPr>
                <w:sz w:val="13"/>
                <w:szCs w:val="13"/>
                <w:color w:val="auto"/>
              </w:rPr>
            </w:pPr>
          </w:p>
        </w:tc>
        <w:tc>
          <w:tcPr>
            <w:tcW w:w="1480" w:type="dxa"/>
            <w:vAlign w:val="bottom"/>
            <w:shd w:val="clear" w:color="auto" w:fill="307CC0"/>
          </w:tcPr>
          <w:p>
            <w:pPr>
              <w:jc w:val="center"/>
              <w:ind w:left="235"/>
              <w:spacing w:after="0"/>
              <w:rPr>
                <w:sz w:val="20"/>
                <w:szCs w:val="20"/>
                <w:color w:val="auto"/>
              </w:rPr>
            </w:pPr>
            <w:r>
              <w:rPr>
                <w:rFonts w:ascii="Arial" w:cs="Arial" w:eastAsia="Arial" w:hAnsi="Arial"/>
                <w:sz w:val="13"/>
                <w:szCs w:val="13"/>
                <w:b w:val="1"/>
                <w:bCs w:val="1"/>
                <w:color w:val="FFFFFF"/>
                <w:w w:val="98"/>
              </w:rPr>
              <w:t>Number of Shares</w:t>
            </w:r>
          </w:p>
        </w:tc>
        <w:tc>
          <w:tcPr>
            <w:tcW w:w="1040" w:type="dxa"/>
            <w:vAlign w:val="bottom"/>
            <w:shd w:val="clear" w:color="auto" w:fill="307CC0"/>
          </w:tcPr>
          <w:p>
            <w:pPr>
              <w:spacing w:after="0"/>
              <w:rPr>
                <w:sz w:val="13"/>
                <w:szCs w:val="13"/>
                <w:color w:val="auto"/>
              </w:rPr>
            </w:pPr>
          </w:p>
        </w:tc>
        <w:tc>
          <w:tcPr>
            <w:tcW w:w="1940" w:type="dxa"/>
            <w:vAlign w:val="bottom"/>
            <w:shd w:val="clear" w:color="auto" w:fill="307CC0"/>
          </w:tcPr>
          <w:p>
            <w:pPr>
              <w:spacing w:after="0"/>
              <w:rPr>
                <w:sz w:val="13"/>
                <w:szCs w:val="13"/>
                <w:color w:val="auto"/>
              </w:rPr>
            </w:pPr>
          </w:p>
        </w:tc>
      </w:tr>
      <w:tr>
        <w:trPr>
          <w:trHeight w:val="142"/>
        </w:trPr>
        <w:tc>
          <w:tcPr>
            <w:tcW w:w="4700" w:type="dxa"/>
            <w:vAlign w:val="bottom"/>
            <w:shd w:val="clear" w:color="auto" w:fill="307CC0"/>
          </w:tcPr>
          <w:p>
            <w:pPr>
              <w:spacing w:after="0"/>
              <w:rPr>
                <w:sz w:val="12"/>
                <w:szCs w:val="12"/>
                <w:color w:val="auto"/>
              </w:rPr>
            </w:pPr>
          </w:p>
        </w:tc>
        <w:tc>
          <w:tcPr>
            <w:tcW w:w="1480" w:type="dxa"/>
            <w:vAlign w:val="bottom"/>
            <w:shd w:val="clear" w:color="auto" w:fill="307CC0"/>
          </w:tcPr>
          <w:p>
            <w:pPr>
              <w:jc w:val="center"/>
              <w:ind w:left="255"/>
              <w:spacing w:after="0" w:line="143" w:lineRule="exact"/>
              <w:rPr>
                <w:sz w:val="20"/>
                <w:szCs w:val="20"/>
                <w:color w:val="auto"/>
              </w:rPr>
            </w:pPr>
            <w:r>
              <w:rPr>
                <w:rFonts w:ascii="Arial" w:cs="Arial" w:eastAsia="Arial" w:hAnsi="Arial"/>
                <w:sz w:val="13"/>
                <w:szCs w:val="13"/>
                <w:b w:val="1"/>
                <w:bCs w:val="1"/>
                <w:color w:val="FFFFFF"/>
                <w:w w:val="99"/>
              </w:rPr>
              <w:t>Acquired</w:t>
            </w:r>
          </w:p>
        </w:tc>
        <w:tc>
          <w:tcPr>
            <w:tcW w:w="1040" w:type="dxa"/>
            <w:vAlign w:val="bottom"/>
            <w:shd w:val="clear" w:color="auto" w:fill="307CC0"/>
          </w:tcPr>
          <w:p>
            <w:pPr>
              <w:spacing w:after="0"/>
              <w:rPr>
                <w:sz w:val="12"/>
                <w:szCs w:val="12"/>
                <w:color w:val="auto"/>
              </w:rPr>
            </w:pPr>
          </w:p>
        </w:tc>
        <w:tc>
          <w:tcPr>
            <w:tcW w:w="1940" w:type="dxa"/>
            <w:vAlign w:val="bottom"/>
            <w:shd w:val="clear" w:color="auto" w:fill="307CC0"/>
          </w:tcPr>
          <w:p>
            <w:pPr>
              <w:jc w:val="center"/>
              <w:ind w:right="22"/>
              <w:spacing w:after="0" w:line="143" w:lineRule="exact"/>
              <w:rPr>
                <w:sz w:val="20"/>
                <w:szCs w:val="20"/>
                <w:color w:val="auto"/>
              </w:rPr>
            </w:pPr>
            <w:r>
              <w:rPr>
                <w:rFonts w:ascii="Arial" w:cs="Arial" w:eastAsia="Arial" w:hAnsi="Arial"/>
                <w:sz w:val="13"/>
                <w:szCs w:val="13"/>
                <w:b w:val="1"/>
                <w:bCs w:val="1"/>
                <w:color w:val="FFFFFF"/>
                <w:w w:val="96"/>
              </w:rPr>
              <w:t>Value Realized</w:t>
            </w:r>
          </w:p>
        </w:tc>
      </w:tr>
      <w:tr>
        <w:trPr>
          <w:trHeight w:val="142"/>
        </w:trPr>
        <w:tc>
          <w:tcPr>
            <w:tcW w:w="4700" w:type="dxa"/>
            <w:vAlign w:val="bottom"/>
            <w:shd w:val="clear" w:color="auto" w:fill="307CC0"/>
          </w:tcPr>
          <w:p>
            <w:pPr>
              <w:spacing w:after="0"/>
              <w:rPr>
                <w:sz w:val="12"/>
                <w:szCs w:val="12"/>
                <w:color w:val="auto"/>
              </w:rPr>
            </w:pPr>
          </w:p>
        </w:tc>
        <w:tc>
          <w:tcPr>
            <w:tcW w:w="1480" w:type="dxa"/>
            <w:vAlign w:val="bottom"/>
            <w:shd w:val="clear" w:color="auto" w:fill="307CC0"/>
          </w:tcPr>
          <w:p>
            <w:pPr>
              <w:jc w:val="center"/>
              <w:ind w:left="235"/>
              <w:spacing w:after="0" w:line="143" w:lineRule="exact"/>
              <w:rPr>
                <w:sz w:val="20"/>
                <w:szCs w:val="20"/>
                <w:color w:val="auto"/>
              </w:rPr>
            </w:pPr>
            <w:r>
              <w:rPr>
                <w:rFonts w:ascii="Arial" w:cs="Arial" w:eastAsia="Arial" w:hAnsi="Arial"/>
                <w:sz w:val="13"/>
                <w:szCs w:val="13"/>
                <w:b w:val="1"/>
                <w:bCs w:val="1"/>
                <w:color w:val="FFFFFF"/>
                <w:w w:val="99"/>
              </w:rPr>
              <w:t>on Vesting</w:t>
            </w:r>
          </w:p>
        </w:tc>
        <w:tc>
          <w:tcPr>
            <w:tcW w:w="1040" w:type="dxa"/>
            <w:vAlign w:val="bottom"/>
            <w:shd w:val="clear" w:color="auto" w:fill="307CC0"/>
          </w:tcPr>
          <w:p>
            <w:pPr>
              <w:spacing w:after="0"/>
              <w:rPr>
                <w:sz w:val="12"/>
                <w:szCs w:val="12"/>
                <w:color w:val="auto"/>
              </w:rPr>
            </w:pPr>
          </w:p>
        </w:tc>
        <w:tc>
          <w:tcPr>
            <w:tcW w:w="1940" w:type="dxa"/>
            <w:vAlign w:val="bottom"/>
            <w:shd w:val="clear" w:color="auto" w:fill="307CC0"/>
          </w:tcPr>
          <w:p>
            <w:pPr>
              <w:jc w:val="center"/>
              <w:ind w:right="22"/>
              <w:spacing w:after="0" w:line="143" w:lineRule="exact"/>
              <w:rPr>
                <w:sz w:val="20"/>
                <w:szCs w:val="20"/>
                <w:color w:val="auto"/>
              </w:rPr>
            </w:pPr>
            <w:r>
              <w:rPr>
                <w:rFonts w:ascii="Arial" w:cs="Arial" w:eastAsia="Arial" w:hAnsi="Arial"/>
                <w:sz w:val="13"/>
                <w:szCs w:val="13"/>
                <w:b w:val="1"/>
                <w:bCs w:val="1"/>
                <w:color w:val="FFFFFF"/>
                <w:w w:val="96"/>
              </w:rPr>
              <w:t>on Vesting</w:t>
            </w:r>
          </w:p>
        </w:tc>
      </w:tr>
      <w:tr>
        <w:trPr>
          <w:trHeight w:val="185"/>
        </w:trPr>
        <w:tc>
          <w:tcPr>
            <w:tcW w:w="470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1480" w:type="dxa"/>
            <w:vAlign w:val="bottom"/>
            <w:shd w:val="clear" w:color="auto" w:fill="307CC0"/>
          </w:tcPr>
          <w:p>
            <w:pPr>
              <w:jc w:val="center"/>
              <w:ind w:left="255"/>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307CC0"/>
          </w:tcPr>
          <w:p>
            <w:pPr>
              <w:spacing w:after="0"/>
              <w:rPr>
                <w:sz w:val="16"/>
                <w:szCs w:val="16"/>
                <w:color w:val="auto"/>
              </w:rPr>
            </w:pPr>
          </w:p>
        </w:tc>
        <w:tc>
          <w:tcPr>
            <w:tcW w:w="1940" w:type="dxa"/>
            <w:vAlign w:val="bottom"/>
            <w:shd w:val="clear" w:color="auto" w:fill="307CC0"/>
          </w:tcPr>
          <w:p>
            <w:pPr>
              <w:jc w:val="center"/>
              <w:ind w:right="22"/>
              <w:spacing w:after="0"/>
              <w:rPr>
                <w:sz w:val="20"/>
                <w:szCs w:val="20"/>
                <w:color w:val="auto"/>
              </w:rPr>
            </w:pPr>
            <w:r>
              <w:rPr>
                <w:rFonts w:ascii="Arial" w:cs="Arial" w:eastAsia="Arial" w:hAnsi="Arial"/>
                <w:sz w:val="13"/>
                <w:szCs w:val="13"/>
                <w:b w:val="1"/>
                <w:bCs w:val="1"/>
                <w:color w:val="FFFFFF"/>
              </w:rPr>
              <w:t>($)</w:t>
            </w:r>
          </w:p>
        </w:tc>
      </w:tr>
      <w:tr>
        <w:trPr>
          <w:trHeight w:val="220"/>
        </w:trPr>
        <w:tc>
          <w:tcPr>
            <w:tcW w:w="470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Mr. Bassham</w:t>
            </w:r>
          </w:p>
        </w:tc>
        <w:tc>
          <w:tcPr>
            <w:tcW w:w="1480" w:type="dxa"/>
            <w:vAlign w:val="bottom"/>
            <w:tcBorders>
              <w:bottom w:val="single" w:sz="8" w:color="307CC0"/>
            </w:tcBorders>
            <w:shd w:val="clear" w:color="auto" w:fill="CCEEFF"/>
          </w:tcPr>
          <w:p>
            <w:pPr>
              <w:spacing w:after="0"/>
              <w:rPr>
                <w:sz w:val="19"/>
                <w:szCs w:val="19"/>
                <w:color w:val="auto"/>
              </w:rPr>
            </w:pPr>
          </w:p>
        </w:tc>
        <w:tc>
          <w:tcPr>
            <w:tcW w:w="1040" w:type="dxa"/>
            <w:vAlign w:val="bottom"/>
            <w:tcBorders>
              <w:bottom w:val="single" w:sz="8" w:color="307CC0"/>
            </w:tcBorders>
            <w:shd w:val="clear" w:color="auto" w:fill="CCEEFF"/>
          </w:tcPr>
          <w:p>
            <w:pPr>
              <w:jc w:val="right"/>
              <w:ind w:right="394"/>
              <w:spacing w:after="0"/>
              <w:rPr>
                <w:sz w:val="20"/>
                <w:szCs w:val="20"/>
                <w:color w:val="auto"/>
              </w:rPr>
            </w:pPr>
            <w:r>
              <w:rPr>
                <w:rFonts w:ascii="Arial" w:cs="Arial" w:eastAsia="Arial" w:hAnsi="Arial"/>
                <w:sz w:val="17"/>
                <w:szCs w:val="17"/>
                <w:color w:val="auto"/>
              </w:rPr>
              <w:t>31,623</w:t>
            </w:r>
          </w:p>
        </w:tc>
        <w:tc>
          <w:tcPr>
            <w:tcW w:w="1940" w:type="dxa"/>
            <w:vAlign w:val="bottom"/>
            <w:tcBorders>
              <w:bottom w:val="single" w:sz="8" w:color="307CC0"/>
            </w:tcBorders>
            <w:shd w:val="clear" w:color="auto" w:fill="CCEEFF"/>
          </w:tcPr>
          <w:p>
            <w:pPr>
              <w:jc w:val="right"/>
              <w:ind w:right="22"/>
              <w:spacing w:after="0"/>
              <w:rPr>
                <w:sz w:val="20"/>
                <w:szCs w:val="20"/>
                <w:color w:val="auto"/>
              </w:rPr>
            </w:pPr>
            <w:r>
              <w:rPr>
                <w:rFonts w:ascii="Arial" w:cs="Arial" w:eastAsia="Arial" w:hAnsi="Arial"/>
                <w:sz w:val="17"/>
                <w:szCs w:val="17"/>
                <w:color w:val="auto"/>
              </w:rPr>
              <w:t>1,740,214</w:t>
            </w:r>
          </w:p>
        </w:tc>
      </w:tr>
      <w:tr>
        <w:trPr>
          <w:trHeight w:val="213"/>
        </w:trPr>
        <w:tc>
          <w:tcPr>
            <w:tcW w:w="470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Mr. Bryant</w:t>
            </w:r>
          </w:p>
        </w:tc>
        <w:tc>
          <w:tcPr>
            <w:tcW w:w="1480" w:type="dxa"/>
            <w:vAlign w:val="bottom"/>
            <w:tcBorders>
              <w:bottom w:val="single" w:sz="8" w:color="307CC0"/>
            </w:tcBorders>
            <w:shd w:val="clear" w:color="auto" w:fill="D6E7FF"/>
          </w:tcPr>
          <w:p>
            <w:pPr>
              <w:spacing w:after="0"/>
              <w:rPr>
                <w:sz w:val="18"/>
                <w:szCs w:val="18"/>
                <w:color w:val="auto"/>
              </w:rPr>
            </w:pPr>
          </w:p>
        </w:tc>
        <w:tc>
          <w:tcPr>
            <w:tcW w:w="1040" w:type="dxa"/>
            <w:vAlign w:val="bottom"/>
            <w:tcBorders>
              <w:bottom w:val="single" w:sz="8" w:color="307CC0"/>
            </w:tcBorders>
            <w:shd w:val="clear" w:color="auto" w:fill="D6E7FF"/>
          </w:tcPr>
          <w:p>
            <w:pPr>
              <w:jc w:val="right"/>
              <w:ind w:right="394"/>
              <w:spacing w:after="0"/>
              <w:rPr>
                <w:sz w:val="20"/>
                <w:szCs w:val="20"/>
                <w:color w:val="auto"/>
              </w:rPr>
            </w:pPr>
            <w:r>
              <w:rPr>
                <w:rFonts w:ascii="Arial" w:cs="Arial" w:eastAsia="Arial" w:hAnsi="Arial"/>
                <w:sz w:val="17"/>
                <w:szCs w:val="17"/>
                <w:color w:val="auto"/>
              </w:rPr>
              <w:t>7,063</w:t>
            </w:r>
          </w:p>
        </w:tc>
        <w:tc>
          <w:tcPr>
            <w:tcW w:w="1940" w:type="dxa"/>
            <w:vAlign w:val="bottom"/>
            <w:tcBorders>
              <w:bottom w:val="single" w:sz="8" w:color="307CC0"/>
            </w:tcBorders>
            <w:shd w:val="clear" w:color="auto" w:fill="D6E7FF"/>
          </w:tcPr>
          <w:p>
            <w:pPr>
              <w:jc w:val="right"/>
              <w:ind w:right="22"/>
              <w:spacing w:after="0"/>
              <w:rPr>
                <w:sz w:val="20"/>
                <w:szCs w:val="20"/>
                <w:color w:val="auto"/>
              </w:rPr>
            </w:pPr>
            <w:r>
              <w:rPr>
                <w:rFonts w:ascii="Arial" w:cs="Arial" w:eastAsia="Arial" w:hAnsi="Arial"/>
                <w:sz w:val="17"/>
                <w:szCs w:val="17"/>
                <w:color w:val="auto"/>
              </w:rPr>
              <w:t>388,677</w:t>
            </w:r>
          </w:p>
        </w:tc>
      </w:tr>
      <w:tr>
        <w:trPr>
          <w:trHeight w:val="213"/>
        </w:trPr>
        <w:tc>
          <w:tcPr>
            <w:tcW w:w="470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Mr. Greenwood</w:t>
            </w:r>
          </w:p>
        </w:tc>
        <w:tc>
          <w:tcPr>
            <w:tcW w:w="1480" w:type="dxa"/>
            <w:vAlign w:val="bottom"/>
            <w:tcBorders>
              <w:bottom w:val="single" w:sz="8" w:color="307CC0"/>
            </w:tcBorders>
            <w:shd w:val="clear" w:color="auto" w:fill="CCEEFF"/>
          </w:tcPr>
          <w:p>
            <w:pPr>
              <w:spacing w:after="0"/>
              <w:rPr>
                <w:sz w:val="18"/>
                <w:szCs w:val="18"/>
                <w:color w:val="auto"/>
              </w:rPr>
            </w:pPr>
          </w:p>
        </w:tc>
        <w:tc>
          <w:tcPr>
            <w:tcW w:w="1040" w:type="dxa"/>
            <w:vAlign w:val="bottom"/>
            <w:tcBorders>
              <w:bottom w:val="single" w:sz="8" w:color="307CC0"/>
            </w:tcBorders>
            <w:shd w:val="clear" w:color="auto" w:fill="CCEEFF"/>
          </w:tcPr>
          <w:p>
            <w:pPr>
              <w:jc w:val="right"/>
              <w:ind w:right="394"/>
              <w:spacing w:after="0"/>
              <w:rPr>
                <w:sz w:val="20"/>
                <w:szCs w:val="20"/>
                <w:color w:val="auto"/>
              </w:rPr>
            </w:pPr>
            <w:r>
              <w:rPr>
                <w:rFonts w:ascii="Arial" w:cs="Arial" w:eastAsia="Arial" w:hAnsi="Arial"/>
                <w:sz w:val="17"/>
                <w:szCs w:val="17"/>
                <w:color w:val="auto"/>
              </w:rPr>
              <w:t>6,135</w:t>
            </w:r>
          </w:p>
        </w:tc>
        <w:tc>
          <w:tcPr>
            <w:tcW w:w="1940" w:type="dxa"/>
            <w:vAlign w:val="bottom"/>
            <w:tcBorders>
              <w:bottom w:val="single" w:sz="8" w:color="307CC0"/>
            </w:tcBorders>
            <w:shd w:val="clear" w:color="auto" w:fill="CCEEFF"/>
          </w:tcPr>
          <w:p>
            <w:pPr>
              <w:jc w:val="right"/>
              <w:ind w:right="22"/>
              <w:spacing w:after="0"/>
              <w:rPr>
                <w:sz w:val="20"/>
                <w:szCs w:val="20"/>
                <w:color w:val="auto"/>
              </w:rPr>
            </w:pPr>
            <w:r>
              <w:rPr>
                <w:rFonts w:ascii="Arial" w:cs="Arial" w:eastAsia="Arial" w:hAnsi="Arial"/>
                <w:sz w:val="17"/>
                <w:szCs w:val="17"/>
                <w:color w:val="auto"/>
              </w:rPr>
              <w:t>359,756</w:t>
            </w:r>
          </w:p>
        </w:tc>
      </w:tr>
      <w:tr>
        <w:trPr>
          <w:trHeight w:val="213"/>
        </w:trPr>
        <w:tc>
          <w:tcPr>
            <w:tcW w:w="470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Mr. Somma</w:t>
            </w:r>
          </w:p>
        </w:tc>
        <w:tc>
          <w:tcPr>
            <w:tcW w:w="1480" w:type="dxa"/>
            <w:vAlign w:val="bottom"/>
            <w:tcBorders>
              <w:bottom w:val="single" w:sz="8" w:color="307CC0"/>
            </w:tcBorders>
            <w:shd w:val="clear" w:color="auto" w:fill="D6E7FF"/>
          </w:tcPr>
          <w:p>
            <w:pPr>
              <w:spacing w:after="0"/>
              <w:rPr>
                <w:sz w:val="18"/>
                <w:szCs w:val="18"/>
                <w:color w:val="auto"/>
              </w:rPr>
            </w:pPr>
          </w:p>
        </w:tc>
        <w:tc>
          <w:tcPr>
            <w:tcW w:w="1040" w:type="dxa"/>
            <w:vAlign w:val="bottom"/>
            <w:tcBorders>
              <w:bottom w:val="single" w:sz="8" w:color="307CC0"/>
            </w:tcBorders>
            <w:shd w:val="clear" w:color="auto" w:fill="D6E7FF"/>
          </w:tcPr>
          <w:p>
            <w:pPr>
              <w:jc w:val="right"/>
              <w:ind w:right="394"/>
              <w:spacing w:after="0"/>
              <w:rPr>
                <w:sz w:val="20"/>
                <w:szCs w:val="20"/>
                <w:color w:val="auto"/>
              </w:rPr>
            </w:pPr>
            <w:r>
              <w:rPr>
                <w:rFonts w:ascii="Arial" w:cs="Arial" w:eastAsia="Arial" w:hAnsi="Arial"/>
                <w:sz w:val="17"/>
                <w:szCs w:val="17"/>
                <w:color w:val="auto"/>
              </w:rPr>
              <w:t>5,522</w:t>
            </w:r>
          </w:p>
        </w:tc>
        <w:tc>
          <w:tcPr>
            <w:tcW w:w="1940" w:type="dxa"/>
            <w:vAlign w:val="bottom"/>
            <w:tcBorders>
              <w:bottom w:val="single" w:sz="8" w:color="307CC0"/>
            </w:tcBorders>
            <w:shd w:val="clear" w:color="auto" w:fill="D6E7FF"/>
          </w:tcPr>
          <w:p>
            <w:pPr>
              <w:jc w:val="right"/>
              <w:ind w:right="22"/>
              <w:spacing w:after="0"/>
              <w:rPr>
                <w:sz w:val="20"/>
                <w:szCs w:val="20"/>
                <w:color w:val="auto"/>
              </w:rPr>
            </w:pPr>
            <w:r>
              <w:rPr>
                <w:rFonts w:ascii="Arial" w:cs="Arial" w:eastAsia="Arial" w:hAnsi="Arial"/>
                <w:sz w:val="17"/>
                <w:szCs w:val="17"/>
                <w:color w:val="auto"/>
              </w:rPr>
              <w:t>323,810</w:t>
            </w:r>
          </w:p>
        </w:tc>
      </w:tr>
      <w:tr>
        <w:trPr>
          <w:trHeight w:val="213"/>
        </w:trPr>
        <w:tc>
          <w:tcPr>
            <w:tcW w:w="470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Ms. Humphrey</w:t>
            </w:r>
          </w:p>
        </w:tc>
        <w:tc>
          <w:tcPr>
            <w:tcW w:w="1480" w:type="dxa"/>
            <w:vAlign w:val="bottom"/>
            <w:tcBorders>
              <w:bottom w:val="single" w:sz="8" w:color="307CC0"/>
            </w:tcBorders>
            <w:shd w:val="clear" w:color="auto" w:fill="CCEEFF"/>
          </w:tcPr>
          <w:p>
            <w:pPr>
              <w:spacing w:after="0"/>
              <w:rPr>
                <w:sz w:val="18"/>
                <w:szCs w:val="18"/>
                <w:color w:val="auto"/>
              </w:rPr>
            </w:pPr>
          </w:p>
        </w:tc>
        <w:tc>
          <w:tcPr>
            <w:tcW w:w="1040" w:type="dxa"/>
            <w:vAlign w:val="bottom"/>
            <w:tcBorders>
              <w:bottom w:val="single" w:sz="8" w:color="307CC0"/>
            </w:tcBorders>
            <w:shd w:val="clear" w:color="auto" w:fill="CCEEFF"/>
          </w:tcPr>
          <w:p>
            <w:pPr>
              <w:jc w:val="right"/>
              <w:ind w:right="394"/>
              <w:spacing w:after="0"/>
              <w:rPr>
                <w:sz w:val="20"/>
                <w:szCs w:val="20"/>
                <w:color w:val="auto"/>
              </w:rPr>
            </w:pPr>
            <w:r>
              <w:rPr>
                <w:rFonts w:ascii="Arial" w:cs="Arial" w:eastAsia="Arial" w:hAnsi="Arial"/>
                <w:sz w:val="17"/>
                <w:szCs w:val="17"/>
                <w:color w:val="auto"/>
              </w:rPr>
              <w:t>6,905</w:t>
            </w:r>
          </w:p>
        </w:tc>
        <w:tc>
          <w:tcPr>
            <w:tcW w:w="1940" w:type="dxa"/>
            <w:vAlign w:val="bottom"/>
            <w:tcBorders>
              <w:bottom w:val="single" w:sz="8" w:color="307CC0"/>
            </w:tcBorders>
            <w:shd w:val="clear" w:color="auto" w:fill="CCEEFF"/>
          </w:tcPr>
          <w:p>
            <w:pPr>
              <w:jc w:val="right"/>
              <w:ind w:right="22"/>
              <w:spacing w:after="0"/>
              <w:rPr>
                <w:sz w:val="20"/>
                <w:szCs w:val="20"/>
                <w:color w:val="auto"/>
              </w:rPr>
            </w:pPr>
            <w:r>
              <w:rPr>
                <w:rFonts w:ascii="Arial" w:cs="Arial" w:eastAsia="Arial" w:hAnsi="Arial"/>
                <w:sz w:val="17"/>
                <w:szCs w:val="17"/>
                <w:color w:val="auto"/>
              </w:rPr>
              <w:t>379,982</w:t>
            </w:r>
          </w:p>
        </w:tc>
      </w:tr>
      <w:tr>
        <w:trPr>
          <w:trHeight w:val="200"/>
        </w:trPr>
        <w:tc>
          <w:tcPr>
            <w:tcW w:w="470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3"/>
          </w:tcPr>
          <w:p>
            <w:pPr>
              <w:spacing w:after="0"/>
              <w:rPr>
                <w:sz w:val="17"/>
                <w:szCs w:val="17"/>
                <w:color w:val="auto"/>
              </w:rPr>
            </w:pPr>
          </w:p>
        </w:tc>
      </w:tr>
      <w:tr>
        <w:trPr>
          <w:trHeight w:val="175"/>
        </w:trPr>
        <w:tc>
          <w:tcPr>
            <w:tcW w:w="4700" w:type="dxa"/>
            <w:vAlign w:val="bottom"/>
          </w:tcPr>
          <w:p>
            <w:pPr>
              <w:ind w:left="2980"/>
              <w:spacing w:after="0"/>
              <w:rPr>
                <w:sz w:val="20"/>
                <w:szCs w:val="20"/>
                <w:color w:val="auto"/>
              </w:rPr>
            </w:pPr>
            <w:r>
              <w:rPr>
                <w:rFonts w:ascii="Arial" w:cs="Arial" w:eastAsia="Arial" w:hAnsi="Arial"/>
                <w:sz w:val="14"/>
                <w:szCs w:val="14"/>
                <w:b w:val="1"/>
                <w:bCs w:val="1"/>
                <w:color w:val="307CC0"/>
              </w:rPr>
              <w:t>Executive Compensation</w:t>
            </w:r>
          </w:p>
        </w:tc>
        <w:tc>
          <w:tcPr>
            <w:tcW w:w="4460" w:type="dxa"/>
            <w:vAlign w:val="bottom"/>
            <w:gridSpan w:val="3"/>
          </w:tcPr>
          <w:p>
            <w:pPr>
              <w:jc w:val="right"/>
              <w:spacing w:after="0"/>
              <w:rPr>
                <w:sz w:val="20"/>
                <w:szCs w:val="20"/>
                <w:color w:val="auto"/>
              </w:rPr>
            </w:pPr>
            <w:r>
              <w:rPr>
                <w:rFonts w:ascii="Arial" w:cs="Arial" w:eastAsia="Arial" w:hAnsi="Arial"/>
                <w:sz w:val="14"/>
                <w:szCs w:val="14"/>
                <w:b w:val="1"/>
                <w:bCs w:val="1"/>
                <w:color w:val="7F7F7F"/>
                <w:w w:val="99"/>
              </w:rPr>
              <w:t xml:space="preserve">Executive Compensation Tables </w:t>
            </w:r>
            <w:r>
              <w:rPr>
                <w:rFonts w:ascii="Arial" w:cs="Arial" w:eastAsia="Arial" w:hAnsi="Arial"/>
                <w:sz w:val="14"/>
                <w:szCs w:val="14"/>
                <w:color w:val="000000"/>
                <w:w w:val="99"/>
              </w:rPr>
              <w:t>|</w:t>
            </w:r>
            <w:r>
              <w:rPr>
                <w:rFonts w:ascii="Arial" w:cs="Arial" w:eastAsia="Arial" w:hAnsi="Arial"/>
                <w:sz w:val="14"/>
                <w:szCs w:val="14"/>
                <w:b w:val="1"/>
                <w:bCs w:val="1"/>
                <w:color w:val="7F7F7F"/>
                <w:w w:val="99"/>
              </w:rPr>
              <w:t xml:space="preserve"> </w:t>
            </w:r>
            <w:r>
              <w:rPr>
                <w:rFonts w:ascii="Arial" w:cs="Arial" w:eastAsia="Arial" w:hAnsi="Arial"/>
                <w:sz w:val="14"/>
                <w:szCs w:val="14"/>
                <w:b w:val="1"/>
                <w:bCs w:val="1"/>
                <w:color w:val="000000"/>
                <w:w w:val="99"/>
              </w:rPr>
              <w:t>Evergy 2020 Proxy Statement  45</w:t>
            </w:r>
          </w:p>
        </w:tc>
      </w:tr>
      <w:tr>
        <w:trPr>
          <w:trHeight w:val="425"/>
        </w:trPr>
        <w:tc>
          <w:tcPr>
            <w:tcW w:w="4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65"/>
        </w:trPr>
        <w:tc>
          <w:tcPr>
            <w:tcW w:w="470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-1311910</wp:posOffset>
            </wp:positionV>
            <wp:extent cx="5808980" cy="147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-1016635</wp:posOffset>
            </wp:positionV>
            <wp:extent cx="5808980" cy="147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-721360</wp:posOffset>
            </wp:positionV>
            <wp:extent cx="5808980" cy="147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Pension Benefits</w:t>
      </w:r>
    </w:p>
    <w:p>
      <w:pPr>
        <w:spacing w:after="0" w:line="126"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Our officers, including our NEOs, participate in one of our tax-qualified, noncontributory defined benefit plans, and participate in other retirement plans depending on whether they were previously an officer of Great Plains Energy or Westar Energy. The following table sets forth, at December 31, 2019, the present value of accumulated benefits payable to each of our NEOs under the applicable plans. Additional information about the plans and assumptions follows the table.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60" w:type="dxa"/>
            <w:vAlign w:val="bottom"/>
            <w:shd w:val="clear" w:color="auto" w:fill="307CC0"/>
          </w:tcPr>
          <w:p>
            <w:pPr>
              <w:spacing w:after="0"/>
              <w:rPr>
                <w:sz w:val="13"/>
                <w:szCs w:val="13"/>
                <w:color w:val="auto"/>
              </w:rPr>
            </w:pPr>
          </w:p>
        </w:tc>
        <w:tc>
          <w:tcPr>
            <w:tcW w:w="2480" w:type="dxa"/>
            <w:vAlign w:val="bottom"/>
            <w:shd w:val="clear" w:color="auto" w:fill="307CC0"/>
          </w:tcPr>
          <w:p>
            <w:pPr>
              <w:spacing w:after="0"/>
              <w:rPr>
                <w:sz w:val="13"/>
                <w:szCs w:val="13"/>
                <w:color w:val="auto"/>
              </w:rPr>
            </w:pPr>
          </w:p>
        </w:tc>
        <w:tc>
          <w:tcPr>
            <w:tcW w:w="1380" w:type="dxa"/>
            <w:vAlign w:val="bottom"/>
            <w:shd w:val="clear" w:color="auto" w:fill="307CC0"/>
          </w:tcPr>
          <w:p>
            <w:pPr>
              <w:spacing w:after="0"/>
              <w:rPr>
                <w:sz w:val="13"/>
                <w:szCs w:val="13"/>
                <w:color w:val="auto"/>
              </w:rPr>
            </w:pPr>
          </w:p>
        </w:tc>
        <w:tc>
          <w:tcPr>
            <w:tcW w:w="1380" w:type="dxa"/>
            <w:vAlign w:val="bottom"/>
            <w:shd w:val="clear" w:color="auto" w:fill="307CC0"/>
          </w:tcPr>
          <w:p>
            <w:pPr>
              <w:spacing w:after="0"/>
              <w:rPr>
                <w:sz w:val="13"/>
                <w:szCs w:val="13"/>
                <w:color w:val="auto"/>
              </w:rPr>
            </w:pPr>
          </w:p>
        </w:tc>
        <w:tc>
          <w:tcPr>
            <w:tcW w:w="10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7"/>
              </w:rPr>
              <w:t>Payments</w:t>
            </w:r>
          </w:p>
        </w:tc>
        <w:tc>
          <w:tcPr>
            <w:tcW w:w="0" w:type="dxa"/>
            <w:vAlign w:val="bottom"/>
          </w:tcPr>
          <w:p>
            <w:pPr>
              <w:spacing w:after="0"/>
              <w:rPr>
                <w:sz w:val="1"/>
                <w:szCs w:val="1"/>
                <w:color w:val="auto"/>
              </w:rPr>
            </w:pPr>
          </w:p>
        </w:tc>
      </w:tr>
      <w:tr>
        <w:trPr>
          <w:trHeight w:val="142"/>
        </w:trPr>
        <w:tc>
          <w:tcPr>
            <w:tcW w:w="2860" w:type="dxa"/>
            <w:vAlign w:val="bottom"/>
            <w:shd w:val="clear" w:color="auto" w:fill="307CC0"/>
          </w:tcPr>
          <w:p>
            <w:pPr>
              <w:spacing w:after="0"/>
              <w:rPr>
                <w:sz w:val="12"/>
                <w:szCs w:val="12"/>
                <w:color w:val="auto"/>
              </w:rPr>
            </w:pPr>
          </w:p>
        </w:tc>
        <w:tc>
          <w:tcPr>
            <w:tcW w:w="2480" w:type="dxa"/>
            <w:vAlign w:val="bottom"/>
            <w:shd w:val="clear" w:color="auto" w:fill="307CC0"/>
          </w:tcPr>
          <w:p>
            <w:pPr>
              <w:spacing w:after="0"/>
              <w:rPr>
                <w:sz w:val="12"/>
                <w:szCs w:val="12"/>
                <w:color w:val="auto"/>
              </w:rPr>
            </w:pPr>
          </w:p>
        </w:tc>
        <w:tc>
          <w:tcPr>
            <w:tcW w:w="1380" w:type="dxa"/>
            <w:vAlign w:val="bottom"/>
            <w:shd w:val="clear" w:color="auto" w:fill="307CC0"/>
          </w:tcPr>
          <w:p>
            <w:pPr>
              <w:jc w:val="center"/>
              <w:ind w:right="21"/>
              <w:spacing w:after="0" w:line="143" w:lineRule="exact"/>
              <w:rPr>
                <w:sz w:val="20"/>
                <w:szCs w:val="20"/>
                <w:color w:val="auto"/>
              </w:rPr>
            </w:pPr>
            <w:r>
              <w:rPr>
                <w:rFonts w:ascii="Arial" w:cs="Arial" w:eastAsia="Arial" w:hAnsi="Arial"/>
                <w:sz w:val="13"/>
                <w:szCs w:val="13"/>
                <w:b w:val="1"/>
                <w:bCs w:val="1"/>
                <w:color w:val="FFFFFF"/>
                <w:w w:val="98"/>
              </w:rPr>
              <w:t>Number of</w:t>
            </w:r>
          </w:p>
        </w:tc>
        <w:tc>
          <w:tcPr>
            <w:tcW w:w="1380" w:type="dxa"/>
            <w:vAlign w:val="bottom"/>
            <w:shd w:val="clear" w:color="auto" w:fill="307CC0"/>
          </w:tcPr>
          <w:p>
            <w:pPr>
              <w:jc w:val="center"/>
              <w:ind w:right="141"/>
              <w:spacing w:after="0" w:line="143" w:lineRule="exact"/>
              <w:rPr>
                <w:sz w:val="20"/>
                <w:szCs w:val="20"/>
                <w:color w:val="auto"/>
              </w:rPr>
            </w:pPr>
            <w:r>
              <w:rPr>
                <w:rFonts w:ascii="Arial" w:cs="Arial" w:eastAsia="Arial" w:hAnsi="Arial"/>
                <w:sz w:val="13"/>
                <w:szCs w:val="13"/>
                <w:b w:val="1"/>
                <w:bCs w:val="1"/>
                <w:color w:val="FFFFFF"/>
              </w:rPr>
              <w:t>Present</w:t>
            </w:r>
          </w:p>
        </w:tc>
        <w:tc>
          <w:tcPr>
            <w:tcW w:w="10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During</w:t>
            </w:r>
          </w:p>
        </w:tc>
        <w:tc>
          <w:tcPr>
            <w:tcW w:w="0" w:type="dxa"/>
            <w:vAlign w:val="bottom"/>
          </w:tcPr>
          <w:p>
            <w:pPr>
              <w:spacing w:after="0"/>
              <w:rPr>
                <w:sz w:val="1"/>
                <w:szCs w:val="1"/>
                <w:color w:val="auto"/>
              </w:rPr>
            </w:pPr>
          </w:p>
        </w:tc>
      </w:tr>
      <w:tr>
        <w:trPr>
          <w:trHeight w:val="142"/>
        </w:trPr>
        <w:tc>
          <w:tcPr>
            <w:tcW w:w="2860" w:type="dxa"/>
            <w:vAlign w:val="bottom"/>
            <w:shd w:val="clear" w:color="auto" w:fill="307CC0"/>
          </w:tcPr>
          <w:p>
            <w:pPr>
              <w:spacing w:after="0"/>
              <w:rPr>
                <w:sz w:val="12"/>
                <w:szCs w:val="12"/>
                <w:color w:val="auto"/>
              </w:rPr>
            </w:pPr>
          </w:p>
        </w:tc>
        <w:tc>
          <w:tcPr>
            <w:tcW w:w="2480" w:type="dxa"/>
            <w:vAlign w:val="bottom"/>
            <w:shd w:val="clear" w:color="auto" w:fill="307CC0"/>
          </w:tcPr>
          <w:p>
            <w:pPr>
              <w:spacing w:after="0"/>
              <w:rPr>
                <w:sz w:val="12"/>
                <w:szCs w:val="12"/>
                <w:color w:val="auto"/>
              </w:rPr>
            </w:pPr>
          </w:p>
        </w:tc>
        <w:tc>
          <w:tcPr>
            <w:tcW w:w="1380" w:type="dxa"/>
            <w:vAlign w:val="bottom"/>
            <w:shd w:val="clear" w:color="auto" w:fill="307CC0"/>
          </w:tcPr>
          <w:p>
            <w:pPr>
              <w:jc w:val="center"/>
              <w:ind w:right="21"/>
              <w:spacing w:after="0" w:line="143" w:lineRule="exact"/>
              <w:rPr>
                <w:sz w:val="20"/>
                <w:szCs w:val="20"/>
                <w:color w:val="auto"/>
              </w:rPr>
            </w:pPr>
            <w:r>
              <w:rPr>
                <w:rFonts w:ascii="Arial" w:cs="Arial" w:eastAsia="Arial" w:hAnsi="Arial"/>
                <w:sz w:val="13"/>
                <w:szCs w:val="13"/>
                <w:b w:val="1"/>
                <w:bCs w:val="1"/>
                <w:color w:val="FFFFFF"/>
              </w:rPr>
              <w:t>Years of</w:t>
            </w:r>
          </w:p>
        </w:tc>
        <w:tc>
          <w:tcPr>
            <w:tcW w:w="1380" w:type="dxa"/>
            <w:vAlign w:val="bottom"/>
            <w:shd w:val="clear" w:color="auto" w:fill="307CC0"/>
          </w:tcPr>
          <w:p>
            <w:pPr>
              <w:jc w:val="center"/>
              <w:ind w:right="121"/>
              <w:spacing w:after="0" w:line="143" w:lineRule="exact"/>
              <w:rPr>
                <w:sz w:val="20"/>
                <w:szCs w:val="20"/>
                <w:color w:val="auto"/>
              </w:rPr>
            </w:pPr>
            <w:r>
              <w:rPr>
                <w:rFonts w:ascii="Arial" w:cs="Arial" w:eastAsia="Arial" w:hAnsi="Arial"/>
                <w:sz w:val="13"/>
                <w:szCs w:val="13"/>
                <w:b w:val="1"/>
                <w:bCs w:val="1"/>
                <w:color w:val="FFFFFF"/>
                <w:w w:val="98"/>
              </w:rPr>
              <w:t>Value of</w:t>
            </w:r>
          </w:p>
        </w:tc>
        <w:tc>
          <w:tcPr>
            <w:tcW w:w="10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Last</w:t>
            </w:r>
          </w:p>
        </w:tc>
        <w:tc>
          <w:tcPr>
            <w:tcW w:w="0" w:type="dxa"/>
            <w:vAlign w:val="bottom"/>
          </w:tcPr>
          <w:p>
            <w:pPr>
              <w:spacing w:after="0"/>
              <w:rPr>
                <w:sz w:val="1"/>
                <w:szCs w:val="1"/>
                <w:color w:val="auto"/>
              </w:rPr>
            </w:pPr>
          </w:p>
        </w:tc>
      </w:tr>
      <w:tr>
        <w:trPr>
          <w:trHeight w:val="142"/>
        </w:trPr>
        <w:tc>
          <w:tcPr>
            <w:tcW w:w="2860" w:type="dxa"/>
            <w:vAlign w:val="bottom"/>
            <w:shd w:val="clear" w:color="auto" w:fill="307CC0"/>
          </w:tcPr>
          <w:p>
            <w:pPr>
              <w:spacing w:after="0"/>
              <w:rPr>
                <w:sz w:val="12"/>
                <w:szCs w:val="12"/>
                <w:color w:val="auto"/>
              </w:rPr>
            </w:pPr>
          </w:p>
        </w:tc>
        <w:tc>
          <w:tcPr>
            <w:tcW w:w="2480" w:type="dxa"/>
            <w:vAlign w:val="bottom"/>
            <w:shd w:val="clear" w:color="auto" w:fill="307CC0"/>
          </w:tcPr>
          <w:p>
            <w:pPr>
              <w:spacing w:after="0"/>
              <w:rPr>
                <w:sz w:val="12"/>
                <w:szCs w:val="12"/>
                <w:color w:val="auto"/>
              </w:rPr>
            </w:pPr>
          </w:p>
        </w:tc>
        <w:tc>
          <w:tcPr>
            <w:tcW w:w="1380" w:type="dxa"/>
            <w:vAlign w:val="bottom"/>
            <w:shd w:val="clear" w:color="auto" w:fill="307CC0"/>
          </w:tcPr>
          <w:p>
            <w:pPr>
              <w:jc w:val="center"/>
              <w:ind w:right="21"/>
              <w:spacing w:after="0" w:line="143" w:lineRule="exact"/>
              <w:rPr>
                <w:sz w:val="20"/>
                <w:szCs w:val="20"/>
                <w:color w:val="auto"/>
              </w:rPr>
            </w:pPr>
            <w:r>
              <w:rPr>
                <w:rFonts w:ascii="Arial" w:cs="Arial" w:eastAsia="Arial" w:hAnsi="Arial"/>
                <w:sz w:val="13"/>
                <w:szCs w:val="13"/>
                <w:b w:val="1"/>
                <w:bCs w:val="1"/>
                <w:color w:val="FFFFFF"/>
                <w:w w:val="98"/>
              </w:rPr>
              <w:t>Credited</w:t>
            </w:r>
          </w:p>
        </w:tc>
        <w:tc>
          <w:tcPr>
            <w:tcW w:w="1380" w:type="dxa"/>
            <w:vAlign w:val="bottom"/>
            <w:shd w:val="clear" w:color="auto" w:fill="307CC0"/>
          </w:tcPr>
          <w:p>
            <w:pPr>
              <w:jc w:val="center"/>
              <w:ind w:right="141"/>
              <w:spacing w:after="0" w:line="143" w:lineRule="exact"/>
              <w:rPr>
                <w:sz w:val="20"/>
                <w:szCs w:val="20"/>
                <w:color w:val="auto"/>
              </w:rPr>
            </w:pPr>
            <w:r>
              <w:rPr>
                <w:rFonts w:ascii="Arial" w:cs="Arial" w:eastAsia="Arial" w:hAnsi="Arial"/>
                <w:sz w:val="13"/>
                <w:szCs w:val="13"/>
                <w:b w:val="1"/>
                <w:bCs w:val="1"/>
                <w:color w:val="FFFFFF"/>
                <w:w w:val="97"/>
              </w:rPr>
              <w:t>Accumulated</w:t>
            </w:r>
          </w:p>
        </w:tc>
        <w:tc>
          <w:tcPr>
            <w:tcW w:w="10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7"/>
              </w:rPr>
              <w:t>Fiscal</w:t>
            </w:r>
          </w:p>
        </w:tc>
        <w:tc>
          <w:tcPr>
            <w:tcW w:w="0" w:type="dxa"/>
            <w:vAlign w:val="bottom"/>
          </w:tcPr>
          <w:p>
            <w:pPr>
              <w:spacing w:after="0"/>
              <w:rPr>
                <w:sz w:val="1"/>
                <w:szCs w:val="1"/>
                <w:color w:val="auto"/>
              </w:rPr>
            </w:pPr>
          </w:p>
        </w:tc>
      </w:tr>
      <w:tr>
        <w:trPr>
          <w:trHeight w:val="142"/>
        </w:trPr>
        <w:tc>
          <w:tcPr>
            <w:tcW w:w="2860" w:type="dxa"/>
            <w:vAlign w:val="bottom"/>
            <w:shd w:val="clear" w:color="auto" w:fill="307CC0"/>
          </w:tcPr>
          <w:p>
            <w:pPr>
              <w:spacing w:after="0"/>
              <w:rPr>
                <w:sz w:val="12"/>
                <w:szCs w:val="12"/>
                <w:color w:val="auto"/>
              </w:rPr>
            </w:pPr>
          </w:p>
        </w:tc>
        <w:tc>
          <w:tcPr>
            <w:tcW w:w="2480" w:type="dxa"/>
            <w:vAlign w:val="bottom"/>
            <w:shd w:val="clear" w:color="auto" w:fill="307CC0"/>
          </w:tcPr>
          <w:p>
            <w:pPr>
              <w:spacing w:after="0"/>
              <w:rPr>
                <w:sz w:val="12"/>
                <w:szCs w:val="12"/>
                <w:color w:val="auto"/>
              </w:rPr>
            </w:pPr>
          </w:p>
        </w:tc>
        <w:tc>
          <w:tcPr>
            <w:tcW w:w="1380" w:type="dxa"/>
            <w:vAlign w:val="bottom"/>
            <w:shd w:val="clear" w:color="auto" w:fill="307CC0"/>
          </w:tcPr>
          <w:p>
            <w:pPr>
              <w:jc w:val="center"/>
              <w:ind w:right="41"/>
              <w:spacing w:after="0" w:line="143" w:lineRule="exact"/>
              <w:rPr>
                <w:sz w:val="20"/>
                <w:szCs w:val="20"/>
                <w:color w:val="auto"/>
              </w:rPr>
            </w:pPr>
            <w:r>
              <w:rPr>
                <w:rFonts w:ascii="Arial" w:cs="Arial" w:eastAsia="Arial" w:hAnsi="Arial"/>
                <w:sz w:val="13"/>
                <w:szCs w:val="13"/>
                <w:b w:val="1"/>
                <w:bCs w:val="1"/>
                <w:color w:val="FFFFFF"/>
                <w:w w:val="99"/>
              </w:rPr>
              <w:t>Service</w:t>
            </w:r>
          </w:p>
        </w:tc>
        <w:tc>
          <w:tcPr>
            <w:tcW w:w="1380" w:type="dxa"/>
            <w:vAlign w:val="bottom"/>
            <w:shd w:val="clear" w:color="auto" w:fill="307CC0"/>
          </w:tcPr>
          <w:p>
            <w:pPr>
              <w:jc w:val="center"/>
              <w:ind w:right="141"/>
              <w:spacing w:after="0" w:line="143" w:lineRule="exact"/>
              <w:rPr>
                <w:sz w:val="20"/>
                <w:szCs w:val="20"/>
                <w:color w:val="auto"/>
              </w:rPr>
            </w:pPr>
            <w:r>
              <w:rPr>
                <w:rFonts w:ascii="Arial" w:cs="Arial" w:eastAsia="Arial" w:hAnsi="Arial"/>
                <w:sz w:val="13"/>
                <w:szCs w:val="13"/>
                <w:b w:val="1"/>
                <w:bCs w:val="1"/>
                <w:color w:val="FFFFFF"/>
                <w:w w:val="99"/>
              </w:rPr>
              <w:t>Benefit</w:t>
            </w:r>
          </w:p>
        </w:tc>
        <w:tc>
          <w:tcPr>
            <w:tcW w:w="10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Year</w:t>
            </w:r>
          </w:p>
        </w:tc>
        <w:tc>
          <w:tcPr>
            <w:tcW w:w="0" w:type="dxa"/>
            <w:vAlign w:val="bottom"/>
          </w:tcPr>
          <w:p>
            <w:pPr>
              <w:spacing w:after="0"/>
              <w:rPr>
                <w:sz w:val="1"/>
                <w:szCs w:val="1"/>
                <w:color w:val="auto"/>
              </w:rPr>
            </w:pPr>
          </w:p>
        </w:tc>
      </w:tr>
      <w:tr>
        <w:trPr>
          <w:trHeight w:val="185"/>
        </w:trPr>
        <w:tc>
          <w:tcPr>
            <w:tcW w:w="286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2480" w:type="dxa"/>
            <w:vAlign w:val="bottom"/>
            <w:shd w:val="clear" w:color="auto" w:fill="307CC0"/>
          </w:tcPr>
          <w:p>
            <w:pPr>
              <w:ind w:left="900"/>
              <w:spacing w:after="0"/>
              <w:rPr>
                <w:sz w:val="20"/>
                <w:szCs w:val="20"/>
                <w:color w:val="auto"/>
              </w:rPr>
            </w:pPr>
            <w:r>
              <w:rPr>
                <w:rFonts w:ascii="Arial" w:cs="Arial" w:eastAsia="Arial" w:hAnsi="Arial"/>
                <w:sz w:val="13"/>
                <w:szCs w:val="13"/>
                <w:b w:val="1"/>
                <w:bCs w:val="1"/>
                <w:color w:val="FFFFFF"/>
              </w:rPr>
              <w:t>Plan Name</w:t>
            </w:r>
          </w:p>
        </w:tc>
        <w:tc>
          <w:tcPr>
            <w:tcW w:w="1380" w:type="dxa"/>
            <w:vAlign w:val="bottom"/>
            <w:shd w:val="clear" w:color="auto" w:fill="307CC0"/>
          </w:tcPr>
          <w:p>
            <w:pPr>
              <w:jc w:val="center"/>
              <w:ind w:right="21"/>
              <w:spacing w:after="0"/>
              <w:rPr>
                <w:sz w:val="20"/>
                <w:szCs w:val="20"/>
                <w:color w:val="auto"/>
              </w:rPr>
            </w:pPr>
            <w:r>
              <w:rPr>
                <w:rFonts w:ascii="Arial" w:cs="Arial" w:eastAsia="Arial" w:hAnsi="Arial"/>
                <w:sz w:val="13"/>
                <w:szCs w:val="13"/>
                <w:b w:val="1"/>
                <w:bCs w:val="1"/>
                <w:color w:val="FFFFFF"/>
              </w:rPr>
              <w:t>(#)</w:t>
            </w:r>
          </w:p>
        </w:tc>
        <w:tc>
          <w:tcPr>
            <w:tcW w:w="1380" w:type="dxa"/>
            <w:vAlign w:val="bottom"/>
            <w:shd w:val="clear" w:color="auto" w:fill="307CC0"/>
          </w:tcPr>
          <w:p>
            <w:pPr>
              <w:jc w:val="center"/>
              <w:ind w:right="141"/>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20"/>
        </w:trPr>
        <w:tc>
          <w:tcPr>
            <w:tcW w:w="2860" w:type="dxa"/>
            <w:vAlign w:val="bottom"/>
            <w:tcBorders>
              <w:bottom w:val="single" w:sz="8" w:color="D6E7FF"/>
            </w:tcBorders>
            <w:vMerge w:val="restart"/>
            <w:shd w:val="clear" w:color="auto" w:fill="D6E7FF"/>
          </w:tcPr>
          <w:p>
            <w:pPr>
              <w:ind w:left="40"/>
              <w:spacing w:after="0"/>
              <w:rPr>
                <w:sz w:val="20"/>
                <w:szCs w:val="20"/>
                <w:color w:val="auto"/>
              </w:rPr>
            </w:pPr>
            <w:r>
              <w:rPr>
                <w:rFonts w:ascii="Arial" w:cs="Arial" w:eastAsia="Arial" w:hAnsi="Arial"/>
                <w:sz w:val="17"/>
                <w:szCs w:val="17"/>
                <w:color w:val="auto"/>
              </w:rPr>
              <w:t>Mr. Bassham</w:t>
            </w:r>
          </w:p>
        </w:tc>
        <w:tc>
          <w:tcPr>
            <w:tcW w:w="248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color w:val="auto"/>
              </w:rPr>
              <w:t>KCP&amp;L Pension Plan</w:t>
            </w:r>
          </w:p>
        </w:tc>
        <w:tc>
          <w:tcPr>
            <w:tcW w:w="1380" w:type="dxa"/>
            <w:vAlign w:val="bottom"/>
            <w:tcBorders>
              <w:bottom w:val="single" w:sz="8" w:color="307CC0"/>
            </w:tcBorders>
            <w:shd w:val="clear" w:color="auto" w:fill="D6E7FF"/>
          </w:tcPr>
          <w:p>
            <w:pPr>
              <w:jc w:val="right"/>
              <w:ind w:right="101"/>
              <w:spacing w:after="0"/>
              <w:rPr>
                <w:sz w:val="20"/>
                <w:szCs w:val="20"/>
                <w:color w:val="auto"/>
              </w:rPr>
            </w:pPr>
            <w:r>
              <w:rPr>
                <w:rFonts w:ascii="Arial" w:cs="Arial" w:eastAsia="Arial" w:hAnsi="Arial"/>
                <w:sz w:val="17"/>
                <w:szCs w:val="17"/>
                <w:color w:val="auto"/>
              </w:rPr>
              <w:t>14.5</w:t>
            </w:r>
          </w:p>
        </w:tc>
        <w:tc>
          <w:tcPr>
            <w:tcW w:w="1380" w:type="dxa"/>
            <w:vAlign w:val="bottom"/>
            <w:tcBorders>
              <w:bottom w:val="single" w:sz="8" w:color="307CC0"/>
            </w:tcBorders>
            <w:shd w:val="clear" w:color="auto" w:fill="D6E7FF"/>
          </w:tcPr>
          <w:p>
            <w:pPr>
              <w:jc w:val="right"/>
              <w:ind w:right="121"/>
              <w:spacing w:after="0"/>
              <w:rPr>
                <w:sz w:val="20"/>
                <w:szCs w:val="20"/>
                <w:color w:val="auto"/>
              </w:rPr>
            </w:pPr>
            <w:r>
              <w:rPr>
                <w:rFonts w:ascii="Arial" w:cs="Arial" w:eastAsia="Arial" w:hAnsi="Arial"/>
                <w:sz w:val="17"/>
                <w:szCs w:val="17"/>
                <w:color w:val="auto"/>
              </w:rPr>
              <w:t>693,196</w:t>
            </w:r>
          </w:p>
        </w:tc>
        <w:tc>
          <w:tcPr>
            <w:tcW w:w="1060" w:type="dxa"/>
            <w:vAlign w:val="bottom"/>
            <w:tcBorders>
              <w:bottom w:val="single" w:sz="8" w:color="307CC0"/>
            </w:tcBorders>
            <w:shd w:val="clear" w:color="auto" w:fill="D6E7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7"/>
        </w:trPr>
        <w:tc>
          <w:tcPr>
            <w:tcW w:w="2860" w:type="dxa"/>
            <w:vAlign w:val="bottom"/>
            <w:vMerge w:val="continue"/>
            <w:shd w:val="clear" w:color="auto" w:fill="D6E7FF"/>
          </w:tcPr>
          <w:p>
            <w:pPr>
              <w:spacing w:after="0"/>
              <w:rPr>
                <w:sz w:val="8"/>
                <w:szCs w:val="8"/>
                <w:color w:val="auto"/>
              </w:rPr>
            </w:pPr>
          </w:p>
        </w:tc>
        <w:tc>
          <w:tcPr>
            <w:tcW w:w="2480" w:type="dxa"/>
            <w:vAlign w:val="bottom"/>
            <w:vMerge w:val="restart"/>
            <w:shd w:val="clear" w:color="auto" w:fill="D6E7FF"/>
          </w:tcPr>
          <w:p>
            <w:pPr>
              <w:ind w:left="120"/>
              <w:spacing w:after="0"/>
              <w:rPr>
                <w:sz w:val="20"/>
                <w:szCs w:val="20"/>
                <w:color w:val="auto"/>
              </w:rPr>
            </w:pPr>
            <w:r>
              <w:rPr>
                <w:rFonts w:ascii="Arial" w:cs="Arial" w:eastAsia="Arial" w:hAnsi="Arial"/>
                <w:sz w:val="17"/>
                <w:szCs w:val="17"/>
                <w:color w:val="auto"/>
              </w:rPr>
              <w:t>KCP&amp;L SERP</w:t>
            </w:r>
          </w:p>
        </w:tc>
        <w:tc>
          <w:tcPr>
            <w:tcW w:w="1380" w:type="dxa"/>
            <w:vAlign w:val="bottom"/>
            <w:vMerge w:val="restart"/>
            <w:shd w:val="clear" w:color="auto" w:fill="D6E7FF"/>
          </w:tcPr>
          <w:p>
            <w:pPr>
              <w:jc w:val="right"/>
              <w:ind w:right="101"/>
              <w:spacing w:after="0"/>
              <w:rPr>
                <w:sz w:val="20"/>
                <w:szCs w:val="20"/>
                <w:color w:val="auto"/>
              </w:rPr>
            </w:pPr>
            <w:r>
              <w:rPr>
                <w:rFonts w:ascii="Arial" w:cs="Arial" w:eastAsia="Arial" w:hAnsi="Arial"/>
                <w:sz w:val="17"/>
                <w:szCs w:val="17"/>
                <w:color w:val="auto"/>
              </w:rPr>
              <w:t>14.0</w:t>
            </w:r>
          </w:p>
        </w:tc>
        <w:tc>
          <w:tcPr>
            <w:tcW w:w="1380" w:type="dxa"/>
            <w:vAlign w:val="bottom"/>
            <w:vMerge w:val="restart"/>
            <w:shd w:val="clear" w:color="auto" w:fill="D6E7FF"/>
          </w:tcPr>
          <w:p>
            <w:pPr>
              <w:jc w:val="right"/>
              <w:ind w:right="121"/>
              <w:spacing w:after="0"/>
              <w:rPr>
                <w:sz w:val="20"/>
                <w:szCs w:val="20"/>
                <w:color w:val="auto"/>
              </w:rPr>
            </w:pPr>
            <w:r>
              <w:rPr>
                <w:rFonts w:ascii="Arial" w:cs="Arial" w:eastAsia="Arial" w:hAnsi="Arial"/>
                <w:sz w:val="17"/>
                <w:szCs w:val="17"/>
                <w:color w:val="auto"/>
              </w:rPr>
              <w:t>2,171,776</w:t>
            </w:r>
          </w:p>
        </w:tc>
        <w:tc>
          <w:tcPr>
            <w:tcW w:w="1060" w:type="dxa"/>
            <w:vAlign w:val="bottom"/>
            <w:vMerge w:val="restart"/>
            <w:shd w:val="clear" w:color="auto" w:fill="D6E7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6"/>
        </w:trPr>
        <w:tc>
          <w:tcPr>
            <w:tcW w:w="2860" w:type="dxa"/>
            <w:vAlign w:val="bottom"/>
            <w:tcBorders>
              <w:bottom w:val="single" w:sz="8" w:color="307CC0"/>
            </w:tcBorders>
            <w:shd w:val="clear" w:color="auto" w:fill="D6E7FF"/>
          </w:tcPr>
          <w:p>
            <w:pPr>
              <w:spacing w:after="0"/>
              <w:rPr>
                <w:sz w:val="10"/>
                <w:szCs w:val="10"/>
                <w:color w:val="auto"/>
              </w:rPr>
            </w:pPr>
          </w:p>
        </w:tc>
        <w:tc>
          <w:tcPr>
            <w:tcW w:w="2480" w:type="dxa"/>
            <w:vAlign w:val="bottom"/>
            <w:tcBorders>
              <w:bottom w:val="single" w:sz="8" w:color="307CC0"/>
            </w:tcBorders>
            <w:vMerge w:val="continue"/>
            <w:shd w:val="clear" w:color="auto" w:fill="D6E7FF"/>
          </w:tcPr>
          <w:p>
            <w:pPr>
              <w:spacing w:after="0"/>
              <w:rPr>
                <w:sz w:val="10"/>
                <w:szCs w:val="10"/>
                <w:color w:val="auto"/>
              </w:rPr>
            </w:pPr>
          </w:p>
        </w:tc>
        <w:tc>
          <w:tcPr>
            <w:tcW w:w="1380" w:type="dxa"/>
            <w:vAlign w:val="bottom"/>
            <w:tcBorders>
              <w:bottom w:val="single" w:sz="8" w:color="307CC0"/>
            </w:tcBorders>
            <w:vMerge w:val="continue"/>
            <w:shd w:val="clear" w:color="auto" w:fill="D6E7FF"/>
          </w:tcPr>
          <w:p>
            <w:pPr>
              <w:spacing w:after="0"/>
              <w:rPr>
                <w:sz w:val="10"/>
                <w:szCs w:val="10"/>
                <w:color w:val="auto"/>
              </w:rPr>
            </w:pPr>
          </w:p>
        </w:tc>
        <w:tc>
          <w:tcPr>
            <w:tcW w:w="1380" w:type="dxa"/>
            <w:vAlign w:val="bottom"/>
            <w:tcBorders>
              <w:bottom w:val="single" w:sz="8" w:color="307CC0"/>
            </w:tcBorders>
            <w:vMerge w:val="continue"/>
            <w:shd w:val="clear" w:color="auto" w:fill="D6E7FF"/>
          </w:tcPr>
          <w:p>
            <w:pPr>
              <w:spacing w:after="0"/>
              <w:rPr>
                <w:sz w:val="10"/>
                <w:szCs w:val="10"/>
                <w:color w:val="auto"/>
              </w:rPr>
            </w:pPr>
          </w:p>
        </w:tc>
        <w:tc>
          <w:tcPr>
            <w:tcW w:w="1060" w:type="dxa"/>
            <w:vAlign w:val="bottom"/>
            <w:tcBorders>
              <w:bottom w:val="single" w:sz="8" w:color="307CC0"/>
            </w:tcBorders>
            <w:vMerge w:val="continue"/>
            <w:shd w:val="clear" w:color="auto" w:fill="D6E7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7"/>
                <w:szCs w:val="17"/>
                <w:color w:val="auto"/>
              </w:rPr>
              <w:t>Mr. Bryant</w:t>
            </w:r>
          </w:p>
        </w:tc>
        <w:tc>
          <w:tcPr>
            <w:tcW w:w="2480" w:type="dxa"/>
            <w:vAlign w:val="bottom"/>
            <w:tcBorders>
              <w:bottom w:val="single" w:sz="8" w:color="307CC0"/>
            </w:tcBorders>
            <w:shd w:val="clear" w:color="auto" w:fill="CCEEFF"/>
          </w:tcPr>
          <w:p>
            <w:pPr>
              <w:ind w:left="120"/>
              <w:spacing w:after="0"/>
              <w:rPr>
                <w:sz w:val="20"/>
                <w:szCs w:val="20"/>
                <w:color w:val="auto"/>
              </w:rPr>
            </w:pPr>
            <w:r>
              <w:rPr>
                <w:rFonts w:ascii="Arial" w:cs="Arial" w:eastAsia="Arial" w:hAnsi="Arial"/>
                <w:sz w:val="17"/>
                <w:szCs w:val="17"/>
                <w:color w:val="auto"/>
              </w:rPr>
              <w:t>KCP&amp;L Pension Plan</w:t>
            </w:r>
          </w:p>
        </w:tc>
        <w:tc>
          <w:tcPr>
            <w:tcW w:w="1380" w:type="dxa"/>
            <w:vAlign w:val="bottom"/>
            <w:tcBorders>
              <w:bottom w:val="single" w:sz="8" w:color="307CC0"/>
            </w:tcBorders>
            <w:shd w:val="clear" w:color="auto" w:fill="CCEEFF"/>
          </w:tcPr>
          <w:p>
            <w:pPr>
              <w:jc w:val="right"/>
              <w:ind w:right="101"/>
              <w:spacing w:after="0"/>
              <w:rPr>
                <w:sz w:val="20"/>
                <w:szCs w:val="20"/>
                <w:color w:val="auto"/>
              </w:rPr>
            </w:pPr>
            <w:r>
              <w:rPr>
                <w:rFonts w:ascii="Arial" w:cs="Arial" w:eastAsia="Arial" w:hAnsi="Arial"/>
                <w:sz w:val="17"/>
                <w:szCs w:val="17"/>
                <w:color w:val="auto"/>
              </w:rPr>
              <w:t>16.0</w:t>
            </w:r>
          </w:p>
        </w:tc>
        <w:tc>
          <w:tcPr>
            <w:tcW w:w="1380" w:type="dxa"/>
            <w:vAlign w:val="bottom"/>
            <w:tcBorders>
              <w:bottom w:val="single" w:sz="8" w:color="307CC0"/>
            </w:tcBorders>
            <w:shd w:val="clear" w:color="auto" w:fill="CCEEFF"/>
          </w:tcPr>
          <w:p>
            <w:pPr>
              <w:jc w:val="right"/>
              <w:ind w:right="121"/>
              <w:spacing w:after="0"/>
              <w:rPr>
                <w:sz w:val="20"/>
                <w:szCs w:val="20"/>
                <w:color w:val="auto"/>
              </w:rPr>
            </w:pPr>
            <w:r>
              <w:rPr>
                <w:rFonts w:ascii="Arial" w:cs="Arial" w:eastAsia="Arial" w:hAnsi="Arial"/>
                <w:sz w:val="17"/>
                <w:szCs w:val="17"/>
                <w:color w:val="auto"/>
              </w:rPr>
              <w:t>471,565</w:t>
            </w:r>
          </w:p>
        </w:tc>
        <w:tc>
          <w:tcPr>
            <w:tcW w:w="1060" w:type="dxa"/>
            <w:vAlign w:val="bottom"/>
            <w:tcBorders>
              <w:bottom w:val="single" w:sz="8" w:color="307CC0"/>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7"/>
        </w:trPr>
        <w:tc>
          <w:tcPr>
            <w:tcW w:w="2860" w:type="dxa"/>
            <w:vAlign w:val="bottom"/>
            <w:vMerge w:val="continue"/>
            <w:shd w:val="clear" w:color="auto" w:fill="CCEEFF"/>
          </w:tcPr>
          <w:p>
            <w:pPr>
              <w:spacing w:after="0"/>
              <w:rPr>
                <w:sz w:val="8"/>
                <w:szCs w:val="8"/>
                <w:color w:val="auto"/>
              </w:rPr>
            </w:pPr>
          </w:p>
        </w:tc>
        <w:tc>
          <w:tcPr>
            <w:tcW w:w="2480" w:type="dxa"/>
            <w:vAlign w:val="bottom"/>
            <w:vMerge w:val="restart"/>
          </w:tcPr>
          <w:p>
            <w:pPr>
              <w:ind w:left="120"/>
              <w:spacing w:after="0"/>
              <w:rPr>
                <w:sz w:val="20"/>
                <w:szCs w:val="20"/>
                <w:color w:val="auto"/>
              </w:rPr>
            </w:pPr>
            <w:r>
              <w:rPr>
                <w:rFonts w:ascii="Arial" w:cs="Arial" w:eastAsia="Arial" w:hAnsi="Arial"/>
                <w:sz w:val="17"/>
                <w:szCs w:val="17"/>
                <w:color w:val="auto"/>
              </w:rPr>
              <w:t>KCP&amp;L SERP</w:t>
            </w:r>
          </w:p>
        </w:tc>
        <w:tc>
          <w:tcPr>
            <w:tcW w:w="1380" w:type="dxa"/>
            <w:vAlign w:val="bottom"/>
            <w:vMerge w:val="restart"/>
          </w:tcPr>
          <w:p>
            <w:pPr>
              <w:jc w:val="right"/>
              <w:ind w:right="101"/>
              <w:spacing w:after="0"/>
              <w:rPr>
                <w:sz w:val="20"/>
                <w:szCs w:val="20"/>
                <w:color w:val="auto"/>
              </w:rPr>
            </w:pPr>
            <w:r>
              <w:rPr>
                <w:rFonts w:ascii="Arial" w:cs="Arial" w:eastAsia="Arial" w:hAnsi="Arial"/>
                <w:sz w:val="17"/>
                <w:szCs w:val="17"/>
                <w:color w:val="auto"/>
              </w:rPr>
              <w:t>16.0</w:t>
            </w:r>
          </w:p>
        </w:tc>
        <w:tc>
          <w:tcPr>
            <w:tcW w:w="1380" w:type="dxa"/>
            <w:vAlign w:val="bottom"/>
            <w:vMerge w:val="restart"/>
          </w:tcPr>
          <w:p>
            <w:pPr>
              <w:jc w:val="right"/>
              <w:ind w:right="121"/>
              <w:spacing w:after="0"/>
              <w:rPr>
                <w:sz w:val="20"/>
                <w:szCs w:val="20"/>
                <w:color w:val="auto"/>
              </w:rPr>
            </w:pPr>
            <w:r>
              <w:rPr>
                <w:rFonts w:ascii="Arial" w:cs="Arial" w:eastAsia="Arial" w:hAnsi="Arial"/>
                <w:sz w:val="17"/>
                <w:szCs w:val="17"/>
                <w:color w:val="auto"/>
              </w:rPr>
              <w:t>631,229</w:t>
            </w:r>
          </w:p>
        </w:tc>
        <w:tc>
          <w:tcPr>
            <w:tcW w:w="1060" w:type="dxa"/>
            <w:vAlign w:val="bottom"/>
            <w:vMerge w:val="restart"/>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6"/>
        </w:trPr>
        <w:tc>
          <w:tcPr>
            <w:tcW w:w="2860" w:type="dxa"/>
            <w:vAlign w:val="bottom"/>
            <w:tcBorders>
              <w:bottom w:val="single" w:sz="8" w:color="307CC0"/>
            </w:tcBorders>
            <w:shd w:val="clear" w:color="auto" w:fill="CCEEFF"/>
          </w:tcPr>
          <w:p>
            <w:pPr>
              <w:spacing w:after="0"/>
              <w:rPr>
                <w:sz w:val="10"/>
                <w:szCs w:val="10"/>
                <w:color w:val="auto"/>
              </w:rPr>
            </w:pPr>
          </w:p>
        </w:tc>
        <w:tc>
          <w:tcPr>
            <w:tcW w:w="2480" w:type="dxa"/>
            <w:vAlign w:val="bottom"/>
            <w:tcBorders>
              <w:bottom w:val="single" w:sz="8" w:color="307CC0"/>
            </w:tcBorders>
            <w:vMerge w:val="continue"/>
          </w:tcPr>
          <w:p>
            <w:pPr>
              <w:spacing w:after="0"/>
              <w:rPr>
                <w:sz w:val="10"/>
                <w:szCs w:val="10"/>
                <w:color w:val="auto"/>
              </w:rPr>
            </w:pPr>
          </w:p>
        </w:tc>
        <w:tc>
          <w:tcPr>
            <w:tcW w:w="1380" w:type="dxa"/>
            <w:vAlign w:val="bottom"/>
            <w:tcBorders>
              <w:bottom w:val="single" w:sz="8" w:color="307CC0"/>
            </w:tcBorders>
            <w:vMerge w:val="continue"/>
          </w:tcPr>
          <w:p>
            <w:pPr>
              <w:spacing w:after="0"/>
              <w:rPr>
                <w:sz w:val="10"/>
                <w:szCs w:val="10"/>
                <w:color w:val="auto"/>
              </w:rPr>
            </w:pPr>
          </w:p>
        </w:tc>
        <w:tc>
          <w:tcPr>
            <w:tcW w:w="1380" w:type="dxa"/>
            <w:vAlign w:val="bottom"/>
            <w:tcBorders>
              <w:bottom w:val="single" w:sz="8" w:color="307CC0"/>
            </w:tcBorders>
            <w:vMerge w:val="continue"/>
          </w:tcPr>
          <w:p>
            <w:pPr>
              <w:spacing w:after="0"/>
              <w:rPr>
                <w:sz w:val="10"/>
                <w:szCs w:val="10"/>
                <w:color w:val="auto"/>
              </w:rPr>
            </w:pPr>
          </w:p>
        </w:tc>
        <w:tc>
          <w:tcPr>
            <w:tcW w:w="1060" w:type="dxa"/>
            <w:vAlign w:val="bottom"/>
            <w:tcBorders>
              <w:bottom w:val="single" w:sz="8" w:color="307CC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860" w:type="dxa"/>
            <w:vAlign w:val="bottom"/>
            <w:tcBorders>
              <w:bottom w:val="single" w:sz="8" w:color="D6E7FF"/>
            </w:tcBorders>
            <w:vMerge w:val="restart"/>
            <w:shd w:val="clear" w:color="auto" w:fill="D6E7FF"/>
          </w:tcPr>
          <w:p>
            <w:pPr>
              <w:ind w:left="40"/>
              <w:spacing w:after="0"/>
              <w:rPr>
                <w:sz w:val="20"/>
                <w:szCs w:val="20"/>
                <w:color w:val="auto"/>
              </w:rPr>
            </w:pPr>
            <w:r>
              <w:rPr>
                <w:rFonts w:ascii="Arial" w:cs="Arial" w:eastAsia="Arial" w:hAnsi="Arial"/>
                <w:sz w:val="17"/>
                <w:szCs w:val="17"/>
                <w:color w:val="auto"/>
              </w:rPr>
              <w:t>Mr. Greenwood</w:t>
            </w:r>
          </w:p>
        </w:tc>
        <w:tc>
          <w:tcPr>
            <w:tcW w:w="248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color w:val="auto"/>
              </w:rPr>
              <w:t>Westar Pension Plan</w:t>
            </w:r>
          </w:p>
        </w:tc>
        <w:tc>
          <w:tcPr>
            <w:tcW w:w="1380" w:type="dxa"/>
            <w:vAlign w:val="bottom"/>
            <w:tcBorders>
              <w:bottom w:val="single" w:sz="8" w:color="307CC0"/>
            </w:tcBorders>
            <w:shd w:val="clear" w:color="auto" w:fill="D6E7FF"/>
          </w:tcPr>
          <w:p>
            <w:pPr>
              <w:jc w:val="right"/>
              <w:ind w:right="101"/>
              <w:spacing w:after="0"/>
              <w:rPr>
                <w:sz w:val="20"/>
                <w:szCs w:val="20"/>
                <w:color w:val="auto"/>
              </w:rPr>
            </w:pPr>
            <w:r>
              <w:rPr>
                <w:rFonts w:ascii="Arial" w:cs="Arial" w:eastAsia="Arial" w:hAnsi="Arial"/>
                <w:sz w:val="17"/>
                <w:szCs w:val="17"/>
                <w:color w:val="auto"/>
              </w:rPr>
              <w:t>27.0</w:t>
            </w:r>
          </w:p>
        </w:tc>
        <w:tc>
          <w:tcPr>
            <w:tcW w:w="1380" w:type="dxa"/>
            <w:vAlign w:val="bottom"/>
            <w:tcBorders>
              <w:bottom w:val="single" w:sz="8" w:color="307CC0"/>
            </w:tcBorders>
            <w:shd w:val="clear" w:color="auto" w:fill="D6E7FF"/>
          </w:tcPr>
          <w:p>
            <w:pPr>
              <w:jc w:val="right"/>
              <w:ind w:right="121"/>
              <w:spacing w:after="0"/>
              <w:rPr>
                <w:sz w:val="20"/>
                <w:szCs w:val="20"/>
                <w:color w:val="auto"/>
              </w:rPr>
            </w:pPr>
            <w:r>
              <w:rPr>
                <w:rFonts w:ascii="Arial" w:cs="Arial" w:eastAsia="Arial" w:hAnsi="Arial"/>
                <w:sz w:val="17"/>
                <w:szCs w:val="17"/>
                <w:color w:val="auto"/>
              </w:rPr>
              <w:t>1,347,811</w:t>
            </w:r>
          </w:p>
        </w:tc>
        <w:tc>
          <w:tcPr>
            <w:tcW w:w="1060" w:type="dxa"/>
            <w:vAlign w:val="bottom"/>
            <w:tcBorders>
              <w:bottom w:val="single" w:sz="8" w:color="307CC0"/>
            </w:tcBorders>
            <w:shd w:val="clear" w:color="auto" w:fill="D6E7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7"/>
        </w:trPr>
        <w:tc>
          <w:tcPr>
            <w:tcW w:w="2860" w:type="dxa"/>
            <w:vAlign w:val="bottom"/>
            <w:vMerge w:val="continue"/>
            <w:shd w:val="clear" w:color="auto" w:fill="D6E7FF"/>
          </w:tcPr>
          <w:p>
            <w:pPr>
              <w:spacing w:after="0"/>
              <w:rPr>
                <w:sz w:val="8"/>
                <w:szCs w:val="8"/>
                <w:color w:val="auto"/>
              </w:rPr>
            </w:pPr>
          </w:p>
        </w:tc>
        <w:tc>
          <w:tcPr>
            <w:tcW w:w="2480" w:type="dxa"/>
            <w:vAlign w:val="bottom"/>
            <w:vMerge w:val="restart"/>
            <w:shd w:val="clear" w:color="auto" w:fill="D6E7FF"/>
          </w:tcPr>
          <w:p>
            <w:pPr>
              <w:ind w:left="120"/>
              <w:spacing w:after="0"/>
              <w:rPr>
                <w:sz w:val="20"/>
                <w:szCs w:val="20"/>
                <w:color w:val="auto"/>
              </w:rPr>
            </w:pPr>
            <w:r>
              <w:rPr>
                <w:rFonts w:ascii="Arial" w:cs="Arial" w:eastAsia="Arial" w:hAnsi="Arial"/>
                <w:sz w:val="17"/>
                <w:szCs w:val="17"/>
                <w:color w:val="auto"/>
              </w:rPr>
              <w:t>Westar Restoration Plan</w:t>
            </w:r>
          </w:p>
        </w:tc>
        <w:tc>
          <w:tcPr>
            <w:tcW w:w="1380" w:type="dxa"/>
            <w:vAlign w:val="bottom"/>
            <w:vMerge w:val="restart"/>
            <w:shd w:val="clear" w:color="auto" w:fill="D6E7FF"/>
          </w:tcPr>
          <w:p>
            <w:pPr>
              <w:jc w:val="right"/>
              <w:ind w:right="101"/>
              <w:spacing w:after="0"/>
              <w:rPr>
                <w:sz w:val="20"/>
                <w:szCs w:val="20"/>
                <w:color w:val="auto"/>
              </w:rPr>
            </w:pPr>
            <w:r>
              <w:rPr>
                <w:rFonts w:ascii="Arial" w:cs="Arial" w:eastAsia="Arial" w:hAnsi="Arial"/>
                <w:sz w:val="17"/>
                <w:szCs w:val="17"/>
                <w:color w:val="auto"/>
              </w:rPr>
              <w:t>27.0</w:t>
            </w:r>
          </w:p>
        </w:tc>
        <w:tc>
          <w:tcPr>
            <w:tcW w:w="1380" w:type="dxa"/>
            <w:vAlign w:val="bottom"/>
            <w:vMerge w:val="restart"/>
            <w:shd w:val="clear" w:color="auto" w:fill="D6E7FF"/>
          </w:tcPr>
          <w:p>
            <w:pPr>
              <w:jc w:val="right"/>
              <w:ind w:right="121"/>
              <w:spacing w:after="0"/>
              <w:rPr>
                <w:sz w:val="20"/>
                <w:szCs w:val="20"/>
                <w:color w:val="auto"/>
              </w:rPr>
            </w:pPr>
            <w:r>
              <w:rPr>
                <w:rFonts w:ascii="Arial" w:cs="Arial" w:eastAsia="Arial" w:hAnsi="Arial"/>
                <w:sz w:val="17"/>
                <w:szCs w:val="17"/>
                <w:color w:val="auto"/>
              </w:rPr>
              <w:t>1,000,166</w:t>
            </w:r>
          </w:p>
        </w:tc>
        <w:tc>
          <w:tcPr>
            <w:tcW w:w="1060" w:type="dxa"/>
            <w:vAlign w:val="bottom"/>
            <w:vMerge w:val="restart"/>
            <w:shd w:val="clear" w:color="auto" w:fill="D6E7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6"/>
        </w:trPr>
        <w:tc>
          <w:tcPr>
            <w:tcW w:w="2860" w:type="dxa"/>
            <w:vAlign w:val="bottom"/>
            <w:tcBorders>
              <w:bottom w:val="single" w:sz="8" w:color="307CC0"/>
            </w:tcBorders>
            <w:shd w:val="clear" w:color="auto" w:fill="D6E7FF"/>
          </w:tcPr>
          <w:p>
            <w:pPr>
              <w:spacing w:after="0"/>
              <w:rPr>
                <w:sz w:val="10"/>
                <w:szCs w:val="10"/>
                <w:color w:val="auto"/>
              </w:rPr>
            </w:pPr>
          </w:p>
        </w:tc>
        <w:tc>
          <w:tcPr>
            <w:tcW w:w="2480" w:type="dxa"/>
            <w:vAlign w:val="bottom"/>
            <w:tcBorders>
              <w:bottom w:val="single" w:sz="8" w:color="307CC0"/>
            </w:tcBorders>
            <w:vMerge w:val="continue"/>
            <w:shd w:val="clear" w:color="auto" w:fill="D6E7FF"/>
          </w:tcPr>
          <w:p>
            <w:pPr>
              <w:spacing w:after="0"/>
              <w:rPr>
                <w:sz w:val="10"/>
                <w:szCs w:val="10"/>
                <w:color w:val="auto"/>
              </w:rPr>
            </w:pPr>
          </w:p>
        </w:tc>
        <w:tc>
          <w:tcPr>
            <w:tcW w:w="1380" w:type="dxa"/>
            <w:vAlign w:val="bottom"/>
            <w:tcBorders>
              <w:bottom w:val="single" w:sz="8" w:color="307CC0"/>
            </w:tcBorders>
            <w:vMerge w:val="continue"/>
            <w:shd w:val="clear" w:color="auto" w:fill="D6E7FF"/>
          </w:tcPr>
          <w:p>
            <w:pPr>
              <w:spacing w:after="0"/>
              <w:rPr>
                <w:sz w:val="10"/>
                <w:szCs w:val="10"/>
                <w:color w:val="auto"/>
              </w:rPr>
            </w:pPr>
          </w:p>
        </w:tc>
        <w:tc>
          <w:tcPr>
            <w:tcW w:w="1380" w:type="dxa"/>
            <w:vAlign w:val="bottom"/>
            <w:tcBorders>
              <w:bottom w:val="single" w:sz="8" w:color="307CC0"/>
            </w:tcBorders>
            <w:vMerge w:val="continue"/>
            <w:shd w:val="clear" w:color="auto" w:fill="D6E7FF"/>
          </w:tcPr>
          <w:p>
            <w:pPr>
              <w:spacing w:after="0"/>
              <w:rPr>
                <w:sz w:val="10"/>
                <w:szCs w:val="10"/>
                <w:color w:val="auto"/>
              </w:rPr>
            </w:pPr>
          </w:p>
        </w:tc>
        <w:tc>
          <w:tcPr>
            <w:tcW w:w="1060" w:type="dxa"/>
            <w:vAlign w:val="bottom"/>
            <w:tcBorders>
              <w:bottom w:val="single" w:sz="8" w:color="307CC0"/>
            </w:tcBorders>
            <w:vMerge w:val="continue"/>
            <w:shd w:val="clear" w:color="auto" w:fill="D6E7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7"/>
                <w:szCs w:val="17"/>
                <w:color w:val="auto"/>
              </w:rPr>
              <w:t>Mr. Somma</w:t>
            </w:r>
          </w:p>
        </w:tc>
        <w:tc>
          <w:tcPr>
            <w:tcW w:w="2480" w:type="dxa"/>
            <w:vAlign w:val="bottom"/>
            <w:tcBorders>
              <w:bottom w:val="single" w:sz="8" w:color="307CC0"/>
            </w:tcBorders>
            <w:shd w:val="clear" w:color="auto" w:fill="CCEEFF"/>
          </w:tcPr>
          <w:p>
            <w:pPr>
              <w:ind w:left="120"/>
              <w:spacing w:after="0"/>
              <w:rPr>
                <w:sz w:val="20"/>
                <w:szCs w:val="20"/>
                <w:color w:val="auto"/>
              </w:rPr>
            </w:pPr>
            <w:r>
              <w:rPr>
                <w:rFonts w:ascii="Arial" w:cs="Arial" w:eastAsia="Arial" w:hAnsi="Arial"/>
                <w:sz w:val="17"/>
                <w:szCs w:val="17"/>
                <w:color w:val="auto"/>
              </w:rPr>
              <w:t>Westar Pension Plan</w:t>
            </w:r>
          </w:p>
        </w:tc>
        <w:tc>
          <w:tcPr>
            <w:tcW w:w="1380" w:type="dxa"/>
            <w:vAlign w:val="bottom"/>
            <w:tcBorders>
              <w:bottom w:val="single" w:sz="8" w:color="307CC0"/>
            </w:tcBorders>
            <w:shd w:val="clear" w:color="auto" w:fill="CCEEFF"/>
          </w:tcPr>
          <w:p>
            <w:pPr>
              <w:jc w:val="right"/>
              <w:ind w:right="101"/>
              <w:spacing w:after="0"/>
              <w:rPr>
                <w:sz w:val="20"/>
                <w:szCs w:val="20"/>
                <w:color w:val="auto"/>
              </w:rPr>
            </w:pPr>
            <w:r>
              <w:rPr>
                <w:rFonts w:ascii="Arial" w:cs="Arial" w:eastAsia="Arial" w:hAnsi="Arial"/>
                <w:sz w:val="17"/>
                <w:szCs w:val="17"/>
                <w:color w:val="auto"/>
              </w:rPr>
              <w:t>21.0</w:t>
            </w:r>
          </w:p>
        </w:tc>
        <w:tc>
          <w:tcPr>
            <w:tcW w:w="1380" w:type="dxa"/>
            <w:vAlign w:val="bottom"/>
            <w:tcBorders>
              <w:bottom w:val="single" w:sz="8" w:color="307CC0"/>
            </w:tcBorders>
            <w:shd w:val="clear" w:color="auto" w:fill="CCEEFF"/>
          </w:tcPr>
          <w:p>
            <w:pPr>
              <w:jc w:val="right"/>
              <w:ind w:right="121"/>
              <w:spacing w:after="0"/>
              <w:rPr>
                <w:sz w:val="20"/>
                <w:szCs w:val="20"/>
                <w:color w:val="auto"/>
              </w:rPr>
            </w:pPr>
            <w:r>
              <w:rPr>
                <w:rFonts w:ascii="Arial" w:cs="Arial" w:eastAsia="Arial" w:hAnsi="Arial"/>
                <w:sz w:val="17"/>
                <w:szCs w:val="17"/>
                <w:color w:val="auto"/>
              </w:rPr>
              <w:t>1,231,538</w:t>
            </w:r>
          </w:p>
        </w:tc>
        <w:tc>
          <w:tcPr>
            <w:tcW w:w="1060" w:type="dxa"/>
            <w:vAlign w:val="bottom"/>
            <w:tcBorders>
              <w:bottom w:val="single" w:sz="8" w:color="307CC0"/>
            </w:tcBorders>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7"/>
        </w:trPr>
        <w:tc>
          <w:tcPr>
            <w:tcW w:w="2860" w:type="dxa"/>
            <w:vAlign w:val="bottom"/>
            <w:vMerge w:val="continue"/>
            <w:shd w:val="clear" w:color="auto" w:fill="CCEEFF"/>
          </w:tcPr>
          <w:p>
            <w:pPr>
              <w:spacing w:after="0"/>
              <w:rPr>
                <w:sz w:val="8"/>
                <w:szCs w:val="8"/>
                <w:color w:val="auto"/>
              </w:rPr>
            </w:pPr>
          </w:p>
        </w:tc>
        <w:tc>
          <w:tcPr>
            <w:tcW w:w="2480" w:type="dxa"/>
            <w:vAlign w:val="bottom"/>
            <w:vMerge w:val="restart"/>
          </w:tcPr>
          <w:p>
            <w:pPr>
              <w:ind w:left="120"/>
              <w:spacing w:after="0"/>
              <w:rPr>
                <w:sz w:val="20"/>
                <w:szCs w:val="20"/>
                <w:color w:val="auto"/>
              </w:rPr>
            </w:pPr>
            <w:r>
              <w:rPr>
                <w:rFonts w:ascii="Arial" w:cs="Arial" w:eastAsia="Arial" w:hAnsi="Arial"/>
                <w:sz w:val="17"/>
                <w:szCs w:val="17"/>
                <w:color w:val="auto"/>
              </w:rPr>
              <w:t>Westar Restoration Plan</w:t>
            </w:r>
          </w:p>
        </w:tc>
        <w:tc>
          <w:tcPr>
            <w:tcW w:w="1380" w:type="dxa"/>
            <w:vAlign w:val="bottom"/>
            <w:vMerge w:val="restart"/>
          </w:tcPr>
          <w:p>
            <w:pPr>
              <w:jc w:val="right"/>
              <w:ind w:right="101"/>
              <w:spacing w:after="0"/>
              <w:rPr>
                <w:sz w:val="20"/>
                <w:szCs w:val="20"/>
                <w:color w:val="auto"/>
              </w:rPr>
            </w:pPr>
            <w:r>
              <w:rPr>
                <w:rFonts w:ascii="Arial" w:cs="Arial" w:eastAsia="Arial" w:hAnsi="Arial"/>
                <w:sz w:val="17"/>
                <w:szCs w:val="17"/>
                <w:color w:val="auto"/>
              </w:rPr>
              <w:t>25.0</w:t>
            </w:r>
          </w:p>
        </w:tc>
        <w:tc>
          <w:tcPr>
            <w:tcW w:w="1380" w:type="dxa"/>
            <w:vAlign w:val="bottom"/>
            <w:vMerge w:val="restart"/>
          </w:tcPr>
          <w:p>
            <w:pPr>
              <w:jc w:val="right"/>
              <w:ind w:right="121"/>
              <w:spacing w:after="0"/>
              <w:rPr>
                <w:sz w:val="20"/>
                <w:szCs w:val="20"/>
                <w:color w:val="auto"/>
              </w:rPr>
            </w:pPr>
            <w:r>
              <w:rPr>
                <w:rFonts w:ascii="Arial" w:cs="Arial" w:eastAsia="Arial" w:hAnsi="Arial"/>
                <w:sz w:val="17"/>
                <w:szCs w:val="17"/>
                <w:color w:val="auto"/>
              </w:rPr>
              <w:t>1,028,424</w:t>
            </w:r>
          </w:p>
        </w:tc>
        <w:tc>
          <w:tcPr>
            <w:tcW w:w="1060" w:type="dxa"/>
            <w:vAlign w:val="bottom"/>
            <w:vMerge w:val="restart"/>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6"/>
        </w:trPr>
        <w:tc>
          <w:tcPr>
            <w:tcW w:w="2860" w:type="dxa"/>
            <w:vAlign w:val="bottom"/>
            <w:tcBorders>
              <w:bottom w:val="single" w:sz="8" w:color="307CC0"/>
            </w:tcBorders>
            <w:shd w:val="clear" w:color="auto" w:fill="CCEEFF"/>
          </w:tcPr>
          <w:p>
            <w:pPr>
              <w:spacing w:after="0"/>
              <w:rPr>
                <w:sz w:val="10"/>
                <w:szCs w:val="10"/>
                <w:color w:val="auto"/>
              </w:rPr>
            </w:pPr>
          </w:p>
        </w:tc>
        <w:tc>
          <w:tcPr>
            <w:tcW w:w="2480" w:type="dxa"/>
            <w:vAlign w:val="bottom"/>
            <w:tcBorders>
              <w:bottom w:val="single" w:sz="8" w:color="307CC0"/>
            </w:tcBorders>
            <w:vMerge w:val="continue"/>
          </w:tcPr>
          <w:p>
            <w:pPr>
              <w:spacing w:after="0"/>
              <w:rPr>
                <w:sz w:val="10"/>
                <w:szCs w:val="10"/>
                <w:color w:val="auto"/>
              </w:rPr>
            </w:pPr>
          </w:p>
        </w:tc>
        <w:tc>
          <w:tcPr>
            <w:tcW w:w="1380" w:type="dxa"/>
            <w:vAlign w:val="bottom"/>
            <w:tcBorders>
              <w:bottom w:val="single" w:sz="8" w:color="307CC0"/>
            </w:tcBorders>
            <w:vMerge w:val="continue"/>
          </w:tcPr>
          <w:p>
            <w:pPr>
              <w:spacing w:after="0"/>
              <w:rPr>
                <w:sz w:val="10"/>
                <w:szCs w:val="10"/>
                <w:color w:val="auto"/>
              </w:rPr>
            </w:pPr>
          </w:p>
        </w:tc>
        <w:tc>
          <w:tcPr>
            <w:tcW w:w="1380" w:type="dxa"/>
            <w:vAlign w:val="bottom"/>
            <w:tcBorders>
              <w:bottom w:val="single" w:sz="8" w:color="307CC0"/>
            </w:tcBorders>
            <w:vMerge w:val="continue"/>
          </w:tcPr>
          <w:p>
            <w:pPr>
              <w:spacing w:after="0"/>
              <w:rPr>
                <w:sz w:val="10"/>
                <w:szCs w:val="10"/>
                <w:color w:val="auto"/>
              </w:rPr>
            </w:pPr>
          </w:p>
        </w:tc>
        <w:tc>
          <w:tcPr>
            <w:tcW w:w="1060" w:type="dxa"/>
            <w:vAlign w:val="bottom"/>
            <w:tcBorders>
              <w:bottom w:val="single" w:sz="8" w:color="307CC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860" w:type="dxa"/>
            <w:vAlign w:val="bottom"/>
            <w:tcBorders>
              <w:bottom w:val="single" w:sz="8" w:color="D6E7FF"/>
            </w:tcBorders>
            <w:vMerge w:val="restart"/>
            <w:shd w:val="clear" w:color="auto" w:fill="D6E7FF"/>
          </w:tcPr>
          <w:p>
            <w:pPr>
              <w:ind w:left="40"/>
              <w:spacing w:after="0"/>
              <w:rPr>
                <w:sz w:val="20"/>
                <w:szCs w:val="20"/>
                <w:color w:val="auto"/>
              </w:rPr>
            </w:pPr>
            <w:r>
              <w:rPr>
                <w:rFonts w:ascii="Arial" w:cs="Arial" w:eastAsia="Arial" w:hAnsi="Arial"/>
                <w:sz w:val="17"/>
                <w:szCs w:val="17"/>
                <w:color w:val="auto"/>
              </w:rPr>
              <w:t>Ms. Humphrey</w:t>
            </w:r>
          </w:p>
        </w:tc>
        <w:tc>
          <w:tcPr>
            <w:tcW w:w="248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color w:val="auto"/>
              </w:rPr>
              <w:t>KCP&amp;L Pension Plan</w:t>
            </w:r>
          </w:p>
        </w:tc>
        <w:tc>
          <w:tcPr>
            <w:tcW w:w="1380" w:type="dxa"/>
            <w:vAlign w:val="bottom"/>
            <w:tcBorders>
              <w:bottom w:val="single" w:sz="8" w:color="307CC0"/>
            </w:tcBorders>
            <w:shd w:val="clear" w:color="auto" w:fill="D6E7FF"/>
          </w:tcPr>
          <w:p>
            <w:pPr>
              <w:jc w:val="right"/>
              <w:ind w:right="101"/>
              <w:spacing w:after="0"/>
              <w:rPr>
                <w:sz w:val="20"/>
                <w:szCs w:val="20"/>
                <w:color w:val="auto"/>
              </w:rPr>
            </w:pPr>
            <w:r>
              <w:rPr>
                <w:rFonts w:ascii="Arial" w:cs="Arial" w:eastAsia="Arial" w:hAnsi="Arial"/>
                <w:sz w:val="17"/>
                <w:szCs w:val="17"/>
                <w:color w:val="auto"/>
              </w:rPr>
              <w:t>12.9</w:t>
            </w:r>
          </w:p>
        </w:tc>
        <w:tc>
          <w:tcPr>
            <w:tcW w:w="1380" w:type="dxa"/>
            <w:vAlign w:val="bottom"/>
            <w:tcBorders>
              <w:bottom w:val="single" w:sz="8" w:color="307CC0"/>
            </w:tcBorders>
            <w:shd w:val="clear" w:color="auto" w:fill="D6E7FF"/>
          </w:tcPr>
          <w:p>
            <w:pPr>
              <w:jc w:val="right"/>
              <w:ind w:right="121"/>
              <w:spacing w:after="0"/>
              <w:rPr>
                <w:sz w:val="20"/>
                <w:szCs w:val="20"/>
                <w:color w:val="auto"/>
              </w:rPr>
            </w:pPr>
            <w:r>
              <w:rPr>
                <w:rFonts w:ascii="Arial" w:cs="Arial" w:eastAsia="Arial" w:hAnsi="Arial"/>
                <w:sz w:val="17"/>
                <w:szCs w:val="17"/>
                <w:color w:val="auto"/>
              </w:rPr>
              <w:t>439,932</w:t>
            </w:r>
          </w:p>
        </w:tc>
        <w:tc>
          <w:tcPr>
            <w:tcW w:w="1060" w:type="dxa"/>
            <w:vAlign w:val="bottom"/>
            <w:tcBorders>
              <w:bottom w:val="single" w:sz="8" w:color="307CC0"/>
            </w:tcBorders>
            <w:shd w:val="clear" w:color="auto" w:fill="D6E7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7"/>
        </w:trPr>
        <w:tc>
          <w:tcPr>
            <w:tcW w:w="2860" w:type="dxa"/>
            <w:vAlign w:val="bottom"/>
            <w:vMerge w:val="continue"/>
            <w:shd w:val="clear" w:color="auto" w:fill="D6E7FF"/>
          </w:tcPr>
          <w:p>
            <w:pPr>
              <w:spacing w:after="0"/>
              <w:rPr>
                <w:sz w:val="8"/>
                <w:szCs w:val="8"/>
                <w:color w:val="auto"/>
              </w:rPr>
            </w:pPr>
          </w:p>
        </w:tc>
        <w:tc>
          <w:tcPr>
            <w:tcW w:w="2480" w:type="dxa"/>
            <w:vAlign w:val="bottom"/>
            <w:vMerge w:val="restart"/>
            <w:shd w:val="clear" w:color="auto" w:fill="D6E7FF"/>
          </w:tcPr>
          <w:p>
            <w:pPr>
              <w:ind w:left="120"/>
              <w:spacing w:after="0"/>
              <w:rPr>
                <w:sz w:val="20"/>
                <w:szCs w:val="20"/>
                <w:color w:val="auto"/>
              </w:rPr>
            </w:pPr>
            <w:r>
              <w:rPr>
                <w:rFonts w:ascii="Arial" w:cs="Arial" w:eastAsia="Arial" w:hAnsi="Arial"/>
                <w:sz w:val="17"/>
                <w:szCs w:val="17"/>
                <w:color w:val="auto"/>
              </w:rPr>
              <w:t>KCP&amp;L SERP</w:t>
            </w:r>
          </w:p>
        </w:tc>
        <w:tc>
          <w:tcPr>
            <w:tcW w:w="1380" w:type="dxa"/>
            <w:vAlign w:val="bottom"/>
            <w:vMerge w:val="restart"/>
            <w:shd w:val="clear" w:color="auto" w:fill="D6E7FF"/>
          </w:tcPr>
          <w:p>
            <w:pPr>
              <w:jc w:val="right"/>
              <w:ind w:right="101"/>
              <w:spacing w:after="0"/>
              <w:rPr>
                <w:sz w:val="20"/>
                <w:szCs w:val="20"/>
                <w:color w:val="auto"/>
              </w:rPr>
            </w:pPr>
            <w:r>
              <w:rPr>
                <w:rFonts w:ascii="Arial" w:cs="Arial" w:eastAsia="Arial" w:hAnsi="Arial"/>
                <w:sz w:val="17"/>
                <w:szCs w:val="17"/>
                <w:color w:val="auto"/>
              </w:rPr>
              <w:t>12.4</w:t>
            </w:r>
          </w:p>
        </w:tc>
        <w:tc>
          <w:tcPr>
            <w:tcW w:w="1380" w:type="dxa"/>
            <w:vAlign w:val="bottom"/>
            <w:vMerge w:val="restart"/>
            <w:shd w:val="clear" w:color="auto" w:fill="D6E7FF"/>
          </w:tcPr>
          <w:p>
            <w:pPr>
              <w:jc w:val="right"/>
              <w:ind w:right="121"/>
              <w:spacing w:after="0"/>
              <w:rPr>
                <w:sz w:val="20"/>
                <w:szCs w:val="20"/>
                <w:color w:val="auto"/>
              </w:rPr>
            </w:pPr>
            <w:r>
              <w:rPr>
                <w:rFonts w:ascii="Arial" w:cs="Arial" w:eastAsia="Arial" w:hAnsi="Arial"/>
                <w:sz w:val="17"/>
                <w:szCs w:val="17"/>
                <w:color w:val="auto"/>
              </w:rPr>
              <w:t>493,978</w:t>
            </w:r>
          </w:p>
        </w:tc>
        <w:tc>
          <w:tcPr>
            <w:tcW w:w="1060" w:type="dxa"/>
            <w:vAlign w:val="bottom"/>
            <w:vMerge w:val="restart"/>
            <w:shd w:val="clear" w:color="auto" w:fill="D6E7FF"/>
          </w:tcPr>
          <w:p>
            <w:pPr>
              <w:ind w:left="8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6"/>
        </w:trPr>
        <w:tc>
          <w:tcPr>
            <w:tcW w:w="2860" w:type="dxa"/>
            <w:vAlign w:val="bottom"/>
            <w:tcBorders>
              <w:bottom w:val="single" w:sz="8" w:color="307CC0"/>
            </w:tcBorders>
            <w:shd w:val="clear" w:color="auto" w:fill="D6E7FF"/>
          </w:tcPr>
          <w:p>
            <w:pPr>
              <w:spacing w:after="0"/>
              <w:rPr>
                <w:sz w:val="10"/>
                <w:szCs w:val="10"/>
                <w:color w:val="auto"/>
              </w:rPr>
            </w:pPr>
          </w:p>
        </w:tc>
        <w:tc>
          <w:tcPr>
            <w:tcW w:w="2480" w:type="dxa"/>
            <w:vAlign w:val="bottom"/>
            <w:tcBorders>
              <w:bottom w:val="single" w:sz="8" w:color="307CC0"/>
            </w:tcBorders>
            <w:vMerge w:val="continue"/>
            <w:shd w:val="clear" w:color="auto" w:fill="D6E7FF"/>
          </w:tcPr>
          <w:p>
            <w:pPr>
              <w:spacing w:after="0"/>
              <w:rPr>
                <w:sz w:val="10"/>
                <w:szCs w:val="10"/>
                <w:color w:val="auto"/>
              </w:rPr>
            </w:pPr>
          </w:p>
        </w:tc>
        <w:tc>
          <w:tcPr>
            <w:tcW w:w="1380" w:type="dxa"/>
            <w:vAlign w:val="bottom"/>
            <w:tcBorders>
              <w:bottom w:val="single" w:sz="8" w:color="307CC0"/>
            </w:tcBorders>
            <w:vMerge w:val="continue"/>
            <w:shd w:val="clear" w:color="auto" w:fill="D6E7FF"/>
          </w:tcPr>
          <w:p>
            <w:pPr>
              <w:spacing w:after="0"/>
              <w:rPr>
                <w:sz w:val="10"/>
                <w:szCs w:val="10"/>
                <w:color w:val="auto"/>
              </w:rPr>
            </w:pPr>
          </w:p>
        </w:tc>
        <w:tc>
          <w:tcPr>
            <w:tcW w:w="1380" w:type="dxa"/>
            <w:vAlign w:val="bottom"/>
            <w:tcBorders>
              <w:bottom w:val="single" w:sz="8" w:color="307CC0"/>
            </w:tcBorders>
            <w:vMerge w:val="continue"/>
            <w:shd w:val="clear" w:color="auto" w:fill="D6E7FF"/>
          </w:tcPr>
          <w:p>
            <w:pPr>
              <w:spacing w:after="0"/>
              <w:rPr>
                <w:sz w:val="10"/>
                <w:szCs w:val="10"/>
                <w:color w:val="auto"/>
              </w:rPr>
            </w:pPr>
          </w:p>
        </w:tc>
        <w:tc>
          <w:tcPr>
            <w:tcW w:w="1060" w:type="dxa"/>
            <w:vAlign w:val="bottom"/>
            <w:tcBorders>
              <w:bottom w:val="single" w:sz="8" w:color="307CC0"/>
            </w:tcBorders>
            <w:vMerge w:val="continue"/>
            <w:shd w:val="clear" w:color="auto" w:fill="D6E7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-1189355</wp:posOffset>
            </wp:positionV>
            <wp:extent cx="5808980" cy="295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08980" cy="2952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-598170</wp:posOffset>
            </wp:positionV>
            <wp:extent cx="5808980" cy="295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08980" cy="29527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KCP&amp;L Pension Plan</w:t>
      </w:r>
    </w:p>
    <w:p>
      <w:pPr>
        <w:spacing w:after="0" w:line="120" w:lineRule="exact"/>
        <w:rPr>
          <w:sz w:val="20"/>
          <w:szCs w:val="20"/>
          <w:color w:val="auto"/>
        </w:rPr>
      </w:pPr>
    </w:p>
    <w:p>
      <w:pPr>
        <w:jc w:val="both"/>
        <w:ind w:left="20" w:firstLine="172"/>
        <w:spacing w:after="0" w:line="254" w:lineRule="auto"/>
        <w:rPr>
          <w:sz w:val="20"/>
          <w:szCs w:val="20"/>
          <w:color w:val="auto"/>
        </w:rPr>
      </w:pPr>
      <w:r>
        <w:rPr>
          <w:rFonts w:ascii="Arial" w:cs="Arial" w:eastAsia="Arial" w:hAnsi="Arial"/>
          <w:sz w:val="17"/>
          <w:szCs w:val="17"/>
          <w:color w:val="auto"/>
        </w:rPr>
        <w:t>The KCP&amp;L Pension Plan is a funded, tax-qualified, noncontributory defined benefit pension plan for non-union employees hired or rehired on or before December 31, 2013. In 2007, non-union employees who participated in the plan were given a one-time election to remain in their existing Pension Plan and 401(k) Plan (“Old Retirement Plan”) or choose a new retirement program that includes a slightly reduced benefit accrual formula under the KCP&amp;L Pension Plan paired with an enhanced benefit under the KCP&amp;L 401(k) Plan (“Current Retirement Plan”). Mr. Bassham, Mr. Bryant and Ms. Humphrey elected to participate in the Current Retirement Plan. Benefits under the KCP&amp;L Pension Plan are based on the participant’s years of service and the average annual base salary over a specified period. Participants who elected to remain in the Old Retirement Plan and retire after they reach 65, or whose age and years of service at or after age 52 add up to 85 (the “Rule of 85”), are entitled under the KCP&amp;L Pension Plan to a total monthly annuity for the rest of their life (a “single life” annuity) equal to 50 percent of their average base monthly salary for the period of 36 consecutive months in which their earnings were highest. This reflects an accrual rate of 1.67 percent per year, capped at 30 years of service. The 50 percent single life annuity will be proportionately reduced if years of credited service are less than 30. Participants may also elect to retire and receive an unreduced benefit at age 62 with at least 5 years of credited service, in which case the benefit is based on their average base monthly salary for the period of 48 consecutive months in which their earnings were highest. Participants may also elect early retirement benefits if they retire between the ages of 55 and 62; in such a case the benefit is reduced by three percent for each year that commencement precedes age 62. Participants may elect other annuity options, such as joint and survivor annuities or annuities with payments guaranteed for a period of time. The present value of each annuity option is the same; however, the monthly amounts payable under these options are less than the amount payable under the single life annuity option. Participants also may elect to receive their retirement benefits in a lump sum equal to the actuarial equivalent of a single life pension under the KCP&amp;L Pension Plan.</w:t>
      </w:r>
    </w:p>
    <w:p>
      <w:pPr>
        <w:spacing w:after="0" w:line="100"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Participants, such as Mr. Bassham, Mr. Bryant and Ms. Humphrey, who elected the Current Retirement Plan, retained the benefit they accrued as of December 31, 2007, under the old formula with the old early retirement reductions. Participants in the Current Retirement Plan earn a benefit equal to 1.25 percent of their final average base earnings (averaged over 48 consecutive months), multiplied by the years of credited service earned after 2007. There is no cap on the years of credited service that can be earned. Participants under the Current Retirement Plan may begin receiving their retirement benefit at age 55, but with a five percent per year reduction for each year before age 62. There is no Rule of 85 for post-2007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123825</wp:posOffset>
            </wp:positionV>
            <wp:extent cx="5808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9"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accrued benefits; however, participants may receive post-2007 accrued benefits (subject to the five percent per year reduction if they retire at or after age 55 and before age 62) when they start receiving pre-2008 accrued benefits. Participants in the Current Retirement Plan may elect to receive their accrued benefits in the form of one of the annuities described in the preceding paragraph or in a lump sum.</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KCP&amp;L SERP</w:t>
      </w:r>
    </w:p>
    <w:p>
      <w:pPr>
        <w:spacing w:after="0" w:line="120" w:lineRule="exact"/>
        <w:rPr>
          <w:sz w:val="20"/>
          <w:szCs w:val="20"/>
          <w:color w:val="auto"/>
        </w:rPr>
      </w:pPr>
    </w:p>
    <w:p>
      <w:pPr>
        <w:jc w:val="both"/>
        <w:ind w:firstLine="172"/>
        <w:spacing w:after="0" w:line="254" w:lineRule="auto"/>
        <w:rPr>
          <w:sz w:val="20"/>
          <w:szCs w:val="20"/>
          <w:color w:val="auto"/>
        </w:rPr>
      </w:pPr>
      <w:r>
        <w:rPr>
          <w:rFonts w:ascii="Arial" w:cs="Arial" w:eastAsia="Arial" w:hAnsi="Arial"/>
          <w:sz w:val="17"/>
          <w:szCs w:val="17"/>
          <w:color w:val="auto"/>
        </w:rPr>
        <w:t>The KCP&amp;L SERP is unfunded and provides out of general assets an amount substantially equal to the difference between the amount that would have been payable under the KCP&amp;L Pension Plan in the absence of tax laws limiting pension benefits and earnings that may be considered in calculating pension benefits, and the amount actually payable under the KCP&amp;L Pension Plan. For participants under the Old Retirement Plan, it adds an additional one-third percent of highest average annual base salary for each year of credited service when the executive was eligible for supplemental benefits, up to a maximum of 30 years, and also makes up the difference (if any) between using a 36-month earnings averaging period and the averaging period used for the participant’s benefits under the KCP&amp;L Pension Plan. Participants under the Current Retirement Plan receive this same benefit; however, there is no cap on the years of credited service for benefits accrued after 2007. Participants may elect the timing of the receipt of their benefits, as well as the form of their benefits (a lump sum payment or a variety of annuity options, all of which have the same present value). Mr. Bassham, Mr. Bryant and Ms. Humphrey have elected to receive their benefits in a lump sum upon separation from service. For participants, such as Mr. Bassham, Mr. Bryant and Ms. Humphrey, who are “specified employees” under Internal Revenue Code Section 409A and who elect payment on separation of service, payment of benefits accrued prior to 2005 will be made, or commence, when they separate from service; payment of benefits accrued after 2004 will be made, or commence, on the first business day of the seventh calendar month following their separation from service.</w:t>
      </w:r>
    </w:p>
    <w:p>
      <w:pPr>
        <w:spacing w:after="0" w:line="308"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The present value of the accumulated benefits under the KCP&amp;L Pension Plan and KCP&amp;L SERP with respect to each of the participant NEOs is based on the following assumptions: retirement at the later of the age of such officer as of December 31, 2019, or age 62; full vesting of accumulated benefits; a discount rate of 3.61 percent for the KCP&amp;L Pension Plan and 3.60 percent for the KCP&amp;L SERP; and use of the Pension Protection Act mortality and lump sum interest rate tables.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Westar Pension Plan</w:t>
      </w:r>
    </w:p>
    <w:p>
      <w:pPr>
        <w:spacing w:after="0" w:line="120"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The Westar Pension Plan is a broad-based tax-qualified defined benefit pension plan in which generally all of Westar Energy’s employees hired or rehired on or before May 30, 2018, including NEOs who were formally officers of Westar Energy, are eligible to participate. Mr. Greenwood and Mr. Somma are fully vested in their plan benefits.</w:t>
      </w:r>
    </w:p>
    <w:p>
      <w:pPr>
        <w:spacing w:after="0" w:line="86"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The Westar Pension Plan uses two formulas to calculate benefits, a final average earnings formula for union employees hired prior to January 1, 2012 and non-union employees hired prior to January 1, 2002, and a cash balance formula for union employees hired (or re-hired) after December 31, 2011 and non-union employees hired (or re-hired) after December 31, 2001. “Final average earnings” generally means the average annual earnings of an employee measured over the sixty consecutive months that produce the highest monthly average within one hundred twenty consecutive months immediately preceding the employee’s termination or retirement date. Earnings related to restricted stock units and dividend equivalents are not included in the calculation of final average earnings. Mr. Greenwood and Mr. Somma are accruing benefits calculated under the final average earnings formula.</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Under the final average earnings formula, the accrued benefit for each non-union plan participant equals:</w:t>
      </w:r>
    </w:p>
    <w:p>
      <w:pPr>
        <w:spacing w:after="0" w:line="102" w:lineRule="exact"/>
        <w:rPr>
          <w:sz w:val="20"/>
          <w:szCs w:val="20"/>
          <w:color w:val="auto"/>
        </w:rPr>
      </w:pPr>
    </w:p>
    <w:p>
      <w:pPr>
        <w:jc w:val="both"/>
        <w:ind w:left="500" w:hanging="342"/>
        <w:spacing w:after="0" w:line="245"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1.5% times the participant’s final average earnings plus .4% times the final average earnings in excess of covered compensation (certain wages subject to Social Security taxes) multiplied by credited service up to twenty years; plus</w:t>
      </w:r>
    </w:p>
    <w:p>
      <w:pPr>
        <w:spacing w:after="0" w:line="86" w:lineRule="exact"/>
        <w:rPr>
          <w:rFonts w:ascii="Arial" w:cs="Arial" w:eastAsia="Arial" w:hAnsi="Arial"/>
          <w:sz w:val="17"/>
          <w:szCs w:val="17"/>
          <w:color w:val="auto"/>
        </w:rPr>
      </w:pPr>
    </w:p>
    <w:p>
      <w:pPr>
        <w:ind w:left="500" w:hanging="342"/>
        <w:spacing w:after="0" w:line="253"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0.8% times the final average earnings plus .4% times the final average earnings in excess of covered compensation multiplied by credited service in excess of 20 years up to a maximum of 35 years.</w:t>
      </w:r>
    </w:p>
    <w:p>
      <w:pPr>
        <w:spacing w:after="0" w:line="79"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Pension benefits accrued under the final average earnings formula are calculated as a monthly annuity generally for the participant’s lifetime. The normal form of benefit for a married participant is a 50% joint and survivor annuity, which provides reduced monthly payments during the participant’s lifetime and lifetime payments to the spouse following the participant’s death in the amount of 50% of the reduced payments. Full benefits may be received when a participant reaches retirement age of 62 or age 60 with 35 years of service. Benefits are reduced if a participant elects to receive payments before attaining such age and years of service. The Westar Pension Plan also allows certain final average earning participants to elect a lump sum payment in lieu of a monthly annuity. In general, the lump sum payment is equivalent to the present value of the accrued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122555</wp:posOffset>
            </wp:positionV>
            <wp:extent cx="58089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8"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We calculated the amounts in the Present Value of Accumulated Benefit column in the Pension Benefits table above based on the same assumptions used for financial reporting purposes with respect to the Westar Pension Plan in our 2018 consolidated financial statements. For each Mr. Greenwood and Mr. Somma, we calculated the present value of his accrued pension benefit as of December 31, 2019, using a discount rate of 3.61% and use of a Pension Protection Act mortality and lump sum interest rate tables. Benefits under the final average earnings formula were assumed to commence at the earliest unreduced retirement age (62) and be paid in a lump sum 90% of the time and a life annuity 10% of the time. The calculations assume that Mr. Greenwood and Mr. Somma continue to live and will work until the earliest unreduced retirement age.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Westar Restoration Plan</w:t>
      </w:r>
    </w:p>
    <w:p>
      <w:pPr>
        <w:spacing w:after="0" w:line="120"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The Westar Restoration Plan replaces benefits lost under the Westar Pension Plan because of limitations imposed by the Internal Revenue Code on annual compensation that can be used in calculating pension benefits. Mr. Greenwood and Mr. Somma participate in the Westar Restoration Plan. As a result of having this plan, the retirement benefits for Mr. Greenwood and Mr. Somma are calculated on the same basis as benefits for other covered Westar Energy employees.</w:t>
      </w:r>
    </w:p>
    <w:p>
      <w:pPr>
        <w:spacing w:after="0" w:line="90"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Under the terms of the Westar Restoration Plan, the benefit payable will be a monthly amount that is equal to the difference between the monthly amount that is payable to the participant under the Westar Pension Plan and the monthly amount that would be payable if the Westar Pension Plan were not subject to such limitations. The amount payable under the Westar Restoration Plan will be determined in the form of a straight life annuity over the lifetime of the participant and will commence on the participant’s normal retirement date. We calculated the present value of the benefits as of December 31, 2019 using a discount rate of 3.60% and use of a Pension Protection Act mortality and lump sum interest rate tables. For this purpose, benefits were assumed to commence at the earliest unreduced retirement age (62).</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Nonqualified Deferred Compensation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60" w:type="dxa"/>
            <w:vAlign w:val="bottom"/>
            <w:shd w:val="clear" w:color="auto" w:fill="307CC0"/>
          </w:tcPr>
          <w:p>
            <w:pPr>
              <w:spacing w:after="0"/>
              <w:rPr>
                <w:sz w:val="13"/>
                <w:szCs w:val="13"/>
                <w:color w:val="auto"/>
              </w:rPr>
            </w:pPr>
          </w:p>
        </w:tc>
        <w:tc>
          <w:tcPr>
            <w:tcW w:w="11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Executive</w:t>
            </w:r>
          </w:p>
        </w:tc>
        <w:tc>
          <w:tcPr>
            <w:tcW w:w="11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Registrant</w:t>
            </w:r>
          </w:p>
        </w:tc>
        <w:tc>
          <w:tcPr>
            <w:tcW w:w="9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Aggregate</w:t>
            </w:r>
          </w:p>
        </w:tc>
        <w:tc>
          <w:tcPr>
            <w:tcW w:w="1080" w:type="dxa"/>
            <w:vAlign w:val="bottom"/>
            <w:shd w:val="clear" w:color="auto" w:fill="307CC0"/>
          </w:tcPr>
          <w:p>
            <w:pPr>
              <w:jc w:val="center"/>
              <w:ind w:right="3"/>
              <w:spacing w:after="0"/>
              <w:rPr>
                <w:sz w:val="20"/>
                <w:szCs w:val="20"/>
                <w:color w:val="auto"/>
              </w:rPr>
            </w:pPr>
            <w:r>
              <w:rPr>
                <w:rFonts w:ascii="Arial" w:cs="Arial" w:eastAsia="Arial" w:hAnsi="Arial"/>
                <w:sz w:val="13"/>
                <w:szCs w:val="13"/>
                <w:b w:val="1"/>
                <w:bCs w:val="1"/>
                <w:color w:val="FFFFFF"/>
                <w:w w:val="99"/>
              </w:rPr>
              <w:t>Aggregate</w:t>
            </w:r>
          </w:p>
        </w:tc>
        <w:tc>
          <w:tcPr>
            <w:tcW w:w="960" w:type="dxa"/>
            <w:vAlign w:val="bottom"/>
            <w:shd w:val="clear" w:color="auto" w:fill="307CC0"/>
          </w:tcPr>
          <w:p>
            <w:pPr>
              <w:jc w:val="center"/>
              <w:ind w:right="4"/>
              <w:spacing w:after="0"/>
              <w:rPr>
                <w:sz w:val="20"/>
                <w:szCs w:val="20"/>
                <w:color w:val="auto"/>
              </w:rPr>
            </w:pPr>
            <w:r>
              <w:rPr>
                <w:rFonts w:ascii="Arial" w:cs="Arial" w:eastAsia="Arial" w:hAnsi="Arial"/>
                <w:sz w:val="13"/>
                <w:szCs w:val="13"/>
                <w:b w:val="1"/>
                <w:bCs w:val="1"/>
                <w:color w:val="FFFFFF"/>
                <w:w w:val="99"/>
              </w:rPr>
              <w:t>Aggregate</w:t>
            </w:r>
          </w:p>
        </w:tc>
      </w:tr>
      <w:tr>
        <w:trPr>
          <w:trHeight w:val="142"/>
        </w:trPr>
        <w:tc>
          <w:tcPr>
            <w:tcW w:w="3860" w:type="dxa"/>
            <w:vAlign w:val="bottom"/>
            <w:shd w:val="clear" w:color="auto" w:fill="307CC0"/>
          </w:tcPr>
          <w:p>
            <w:pPr>
              <w:spacing w:after="0"/>
              <w:rPr>
                <w:sz w:val="12"/>
                <w:szCs w:val="12"/>
                <w:color w:val="auto"/>
              </w:rPr>
            </w:pPr>
          </w:p>
        </w:tc>
        <w:tc>
          <w:tcPr>
            <w:tcW w:w="11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Contributions in</w:t>
            </w:r>
          </w:p>
        </w:tc>
        <w:tc>
          <w:tcPr>
            <w:tcW w:w="11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Contributions in</w:t>
            </w:r>
          </w:p>
        </w:tc>
        <w:tc>
          <w:tcPr>
            <w:tcW w:w="90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8"/>
              </w:rPr>
              <w:t>Earnings in</w:t>
            </w:r>
          </w:p>
        </w:tc>
        <w:tc>
          <w:tcPr>
            <w:tcW w:w="1080" w:type="dxa"/>
            <w:vAlign w:val="bottom"/>
            <w:shd w:val="clear" w:color="auto" w:fill="307CC0"/>
          </w:tcPr>
          <w:p>
            <w:pPr>
              <w:jc w:val="center"/>
              <w:ind w:right="23"/>
              <w:spacing w:after="0" w:line="143" w:lineRule="exact"/>
              <w:rPr>
                <w:sz w:val="20"/>
                <w:szCs w:val="20"/>
                <w:color w:val="auto"/>
              </w:rPr>
            </w:pPr>
            <w:r>
              <w:rPr>
                <w:rFonts w:ascii="Arial" w:cs="Arial" w:eastAsia="Arial" w:hAnsi="Arial"/>
                <w:sz w:val="13"/>
                <w:szCs w:val="13"/>
                <w:b w:val="1"/>
                <w:bCs w:val="1"/>
                <w:color w:val="FFFFFF"/>
                <w:w w:val="99"/>
              </w:rPr>
              <w:t>withdrawals/</w:t>
            </w:r>
          </w:p>
        </w:tc>
        <w:tc>
          <w:tcPr>
            <w:tcW w:w="96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Balance at</w:t>
            </w:r>
          </w:p>
        </w:tc>
      </w:tr>
      <w:tr>
        <w:trPr>
          <w:trHeight w:val="140"/>
        </w:trPr>
        <w:tc>
          <w:tcPr>
            <w:tcW w:w="3860" w:type="dxa"/>
            <w:vAlign w:val="bottom"/>
            <w:shd w:val="clear" w:color="auto" w:fill="307CC0"/>
          </w:tcPr>
          <w:p>
            <w:pPr>
              <w:spacing w:after="0"/>
              <w:rPr>
                <w:sz w:val="12"/>
                <w:szCs w:val="12"/>
                <w:color w:val="auto"/>
              </w:rPr>
            </w:pPr>
          </w:p>
        </w:tc>
        <w:tc>
          <w:tcPr>
            <w:tcW w:w="118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7"/>
              </w:rPr>
              <w:t>Last FY</w:t>
            </w:r>
          </w:p>
        </w:tc>
        <w:tc>
          <w:tcPr>
            <w:tcW w:w="118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7"/>
              </w:rPr>
              <w:t>Last FY</w:t>
            </w:r>
          </w:p>
        </w:tc>
        <w:tc>
          <w:tcPr>
            <w:tcW w:w="90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7"/>
              </w:rPr>
              <w:t>Last FY</w:t>
            </w:r>
          </w:p>
        </w:tc>
        <w:tc>
          <w:tcPr>
            <w:tcW w:w="1080" w:type="dxa"/>
            <w:vAlign w:val="bottom"/>
            <w:shd w:val="clear" w:color="auto" w:fill="307CC0"/>
          </w:tcPr>
          <w:p>
            <w:pPr>
              <w:jc w:val="center"/>
              <w:ind w:right="23"/>
              <w:spacing w:after="0" w:line="140" w:lineRule="exact"/>
              <w:rPr>
                <w:sz w:val="20"/>
                <w:szCs w:val="20"/>
                <w:color w:val="auto"/>
              </w:rPr>
            </w:pPr>
            <w:r>
              <w:rPr>
                <w:rFonts w:ascii="Arial" w:cs="Arial" w:eastAsia="Arial" w:hAnsi="Arial"/>
                <w:sz w:val="13"/>
                <w:szCs w:val="13"/>
                <w:b w:val="1"/>
                <w:bCs w:val="1"/>
                <w:color w:val="FFFFFF"/>
                <w:w w:val="99"/>
              </w:rPr>
              <w:t>distributions</w:t>
            </w:r>
          </w:p>
        </w:tc>
        <w:tc>
          <w:tcPr>
            <w:tcW w:w="96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w w:val="96"/>
              </w:rPr>
              <w:t>Last FYE</w:t>
            </w:r>
          </w:p>
        </w:tc>
      </w:tr>
      <w:tr>
        <w:trPr>
          <w:trHeight w:val="187"/>
        </w:trPr>
        <w:tc>
          <w:tcPr>
            <w:tcW w:w="386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1180" w:type="dxa"/>
            <w:vAlign w:val="bottom"/>
            <w:shd w:val="clear" w:color="auto" w:fill="307CC0"/>
          </w:tcPr>
          <w:p>
            <w:pPr>
              <w:jc w:val="center"/>
              <w:spacing w:after="0" w:line="174" w:lineRule="exact"/>
              <w:rPr>
                <w:sz w:val="20"/>
                <w:szCs w:val="20"/>
                <w:color w:val="auto"/>
              </w:rPr>
            </w:pPr>
            <w:r>
              <w:rPr>
                <w:rFonts w:ascii="Arial" w:cs="Arial" w:eastAsia="Arial" w:hAnsi="Arial"/>
                <w:sz w:val="12"/>
                <w:szCs w:val="12"/>
                <w:b w:val="1"/>
                <w:bCs w:val="1"/>
                <w:color w:val="FFFFFF"/>
                <w:w w:val="96"/>
              </w:rPr>
              <w:t>($)</w:t>
            </w:r>
            <w:r>
              <w:rPr>
                <w:rFonts w:ascii="Arial" w:cs="Arial" w:eastAsia="Arial" w:hAnsi="Arial"/>
                <w:sz w:val="20"/>
                <w:szCs w:val="20"/>
                <w:b w:val="1"/>
                <w:bCs w:val="1"/>
                <w:color w:val="FFFFFF"/>
                <w:w w:val="96"/>
                <w:vertAlign w:val="superscript"/>
              </w:rPr>
              <w:t>(1)</w:t>
            </w:r>
          </w:p>
        </w:tc>
        <w:tc>
          <w:tcPr>
            <w:tcW w:w="1180" w:type="dxa"/>
            <w:vAlign w:val="bottom"/>
            <w:shd w:val="clear" w:color="auto" w:fill="307CC0"/>
          </w:tcPr>
          <w:p>
            <w:pPr>
              <w:jc w:val="center"/>
              <w:spacing w:after="0" w:line="174" w:lineRule="exact"/>
              <w:rPr>
                <w:sz w:val="20"/>
                <w:szCs w:val="20"/>
                <w:color w:val="auto"/>
              </w:rPr>
            </w:pPr>
            <w:r>
              <w:rPr>
                <w:rFonts w:ascii="Arial" w:cs="Arial" w:eastAsia="Arial" w:hAnsi="Arial"/>
                <w:sz w:val="12"/>
                <w:szCs w:val="12"/>
                <w:b w:val="1"/>
                <w:bCs w:val="1"/>
                <w:color w:val="FFFFFF"/>
                <w:w w:val="90"/>
              </w:rPr>
              <w:t>($)</w:t>
            </w:r>
            <w:r>
              <w:rPr>
                <w:rFonts w:ascii="Arial" w:cs="Arial" w:eastAsia="Arial" w:hAnsi="Arial"/>
                <w:sz w:val="20"/>
                <w:szCs w:val="20"/>
                <w:b w:val="1"/>
                <w:bCs w:val="1"/>
                <w:color w:val="FFFFFF"/>
                <w:w w:val="90"/>
                <w:vertAlign w:val="superscript"/>
              </w:rPr>
              <w:t>(2)</w:t>
            </w:r>
          </w:p>
        </w:tc>
        <w:tc>
          <w:tcPr>
            <w:tcW w:w="900" w:type="dxa"/>
            <w:vAlign w:val="bottom"/>
            <w:shd w:val="clear" w:color="auto" w:fill="307CC0"/>
          </w:tcPr>
          <w:p>
            <w:pPr>
              <w:jc w:val="center"/>
              <w:spacing w:after="0" w:line="174" w:lineRule="exact"/>
              <w:rPr>
                <w:sz w:val="20"/>
                <w:szCs w:val="20"/>
                <w:color w:val="auto"/>
              </w:rPr>
            </w:pPr>
            <w:r>
              <w:rPr>
                <w:rFonts w:ascii="Arial" w:cs="Arial" w:eastAsia="Arial" w:hAnsi="Arial"/>
                <w:sz w:val="12"/>
                <w:szCs w:val="12"/>
                <w:b w:val="1"/>
                <w:bCs w:val="1"/>
                <w:color w:val="FFFFFF"/>
                <w:w w:val="90"/>
              </w:rPr>
              <w:t>($)</w:t>
            </w:r>
            <w:r>
              <w:rPr>
                <w:rFonts w:ascii="Arial" w:cs="Arial" w:eastAsia="Arial" w:hAnsi="Arial"/>
                <w:sz w:val="20"/>
                <w:szCs w:val="20"/>
                <w:b w:val="1"/>
                <w:bCs w:val="1"/>
                <w:color w:val="FFFFFF"/>
                <w:w w:val="90"/>
                <w:vertAlign w:val="superscript"/>
              </w:rPr>
              <w:t>(3)</w:t>
            </w:r>
          </w:p>
        </w:tc>
        <w:tc>
          <w:tcPr>
            <w:tcW w:w="1080" w:type="dxa"/>
            <w:vAlign w:val="bottom"/>
            <w:shd w:val="clear" w:color="auto" w:fill="307CC0"/>
          </w:tcPr>
          <w:p>
            <w:pPr>
              <w:jc w:val="center"/>
              <w:ind w:right="3"/>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307CC0"/>
          </w:tcPr>
          <w:p>
            <w:pPr>
              <w:jc w:val="center"/>
              <w:spacing w:after="0" w:line="174" w:lineRule="exact"/>
              <w:rPr>
                <w:sz w:val="20"/>
                <w:szCs w:val="20"/>
                <w:color w:val="auto"/>
              </w:rPr>
            </w:pPr>
            <w:r>
              <w:rPr>
                <w:rFonts w:ascii="Arial" w:cs="Arial" w:eastAsia="Arial" w:hAnsi="Arial"/>
                <w:sz w:val="12"/>
                <w:szCs w:val="12"/>
                <w:b w:val="1"/>
                <w:bCs w:val="1"/>
                <w:color w:val="FFFFFF"/>
                <w:w w:val="96"/>
              </w:rPr>
              <w:t>($)</w:t>
            </w:r>
            <w:r>
              <w:rPr>
                <w:rFonts w:ascii="Arial" w:cs="Arial" w:eastAsia="Arial" w:hAnsi="Arial"/>
                <w:sz w:val="20"/>
                <w:szCs w:val="20"/>
                <w:b w:val="1"/>
                <w:bCs w:val="1"/>
                <w:color w:val="FFFFFF"/>
                <w:w w:val="96"/>
                <w:vertAlign w:val="superscript"/>
              </w:rPr>
              <w:t>(4)</w:t>
            </w:r>
          </w:p>
        </w:tc>
      </w:tr>
      <w:tr>
        <w:trPr>
          <w:trHeight w:val="220"/>
        </w:trPr>
        <w:tc>
          <w:tcPr>
            <w:tcW w:w="38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Mr. Bassham</w:t>
            </w:r>
          </w:p>
        </w:tc>
        <w:tc>
          <w:tcPr>
            <w:tcW w:w="118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200,000</w:t>
            </w:r>
          </w:p>
        </w:tc>
        <w:tc>
          <w:tcPr>
            <w:tcW w:w="118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78,903</w:t>
            </w:r>
          </w:p>
        </w:tc>
        <w:tc>
          <w:tcPr>
            <w:tcW w:w="90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137,000</w:t>
            </w:r>
          </w:p>
        </w:tc>
        <w:tc>
          <w:tcPr>
            <w:tcW w:w="1080" w:type="dxa"/>
            <w:vAlign w:val="bottom"/>
            <w:tcBorders>
              <w:bottom w:val="single" w:sz="8" w:color="307CC0"/>
            </w:tcBorders>
            <w:shd w:val="clear" w:color="auto" w:fill="CCEEFF"/>
          </w:tcPr>
          <w:p>
            <w:pPr>
              <w:jc w:val="right"/>
              <w:ind w:right="10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2,155,133</w:t>
            </w:r>
          </w:p>
        </w:tc>
      </w:tr>
      <w:tr>
        <w:trPr>
          <w:trHeight w:val="213"/>
        </w:trPr>
        <w:tc>
          <w:tcPr>
            <w:tcW w:w="38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Mr. Bryant</w:t>
            </w:r>
          </w:p>
        </w:tc>
        <w:tc>
          <w:tcPr>
            <w:tcW w:w="1180" w:type="dxa"/>
            <w:vAlign w:val="bottom"/>
            <w:tcBorders>
              <w:bottom w:val="single" w:sz="8" w:color="307CC0"/>
            </w:tcBorders>
            <w:shd w:val="clear" w:color="auto" w:fill="D6E7FF"/>
          </w:tcPr>
          <w:p>
            <w:pPr>
              <w:jc w:val="right"/>
              <w:ind w:right="24"/>
              <w:spacing w:after="0"/>
              <w:rPr>
                <w:sz w:val="20"/>
                <w:szCs w:val="20"/>
                <w:color w:val="auto"/>
              </w:rPr>
            </w:pPr>
            <w:r>
              <w:rPr>
                <w:rFonts w:ascii="Arial" w:cs="Arial" w:eastAsia="Arial" w:hAnsi="Arial"/>
                <w:sz w:val="17"/>
                <w:szCs w:val="17"/>
                <w:color w:val="auto"/>
              </w:rPr>
              <w:t>31,200</w:t>
            </w:r>
          </w:p>
        </w:tc>
        <w:tc>
          <w:tcPr>
            <w:tcW w:w="1180" w:type="dxa"/>
            <w:vAlign w:val="bottom"/>
            <w:tcBorders>
              <w:bottom w:val="single" w:sz="8" w:color="307CC0"/>
            </w:tcBorders>
            <w:shd w:val="clear" w:color="auto" w:fill="D6E7FF"/>
          </w:tcPr>
          <w:p>
            <w:pPr>
              <w:jc w:val="right"/>
              <w:ind w:right="24"/>
              <w:spacing w:after="0"/>
              <w:rPr>
                <w:sz w:val="20"/>
                <w:szCs w:val="20"/>
                <w:color w:val="auto"/>
              </w:rPr>
            </w:pPr>
            <w:r>
              <w:rPr>
                <w:rFonts w:ascii="Arial" w:cs="Arial" w:eastAsia="Arial" w:hAnsi="Arial"/>
                <w:sz w:val="17"/>
                <w:szCs w:val="17"/>
                <w:color w:val="auto"/>
              </w:rPr>
              <w:t>31,348</w:t>
            </w:r>
          </w:p>
        </w:tc>
        <w:tc>
          <w:tcPr>
            <w:tcW w:w="900" w:type="dxa"/>
            <w:vAlign w:val="bottom"/>
            <w:tcBorders>
              <w:bottom w:val="single" w:sz="8" w:color="307CC0"/>
            </w:tcBorders>
            <w:shd w:val="clear" w:color="auto" w:fill="D6E7FF"/>
          </w:tcPr>
          <w:p>
            <w:pPr>
              <w:jc w:val="right"/>
              <w:ind w:right="24"/>
              <w:spacing w:after="0"/>
              <w:rPr>
                <w:sz w:val="20"/>
                <w:szCs w:val="20"/>
                <w:color w:val="auto"/>
              </w:rPr>
            </w:pPr>
            <w:r>
              <w:rPr>
                <w:rFonts w:ascii="Arial" w:cs="Arial" w:eastAsia="Arial" w:hAnsi="Arial"/>
                <w:sz w:val="17"/>
                <w:szCs w:val="17"/>
                <w:color w:val="auto"/>
              </w:rPr>
              <w:t>9,172</w:t>
            </w:r>
          </w:p>
        </w:tc>
        <w:tc>
          <w:tcPr>
            <w:tcW w:w="1080" w:type="dxa"/>
            <w:vAlign w:val="bottom"/>
            <w:tcBorders>
              <w:bottom w:val="single" w:sz="8" w:color="307CC0"/>
            </w:tcBorders>
            <w:shd w:val="clear" w:color="auto" w:fill="D6E7FF"/>
          </w:tcPr>
          <w:p>
            <w:pPr>
              <w:jc w:val="right"/>
              <w:ind w:right="10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307CC0"/>
            </w:tcBorders>
            <w:shd w:val="clear" w:color="auto" w:fill="D6E7FF"/>
          </w:tcPr>
          <w:p>
            <w:pPr>
              <w:jc w:val="right"/>
              <w:ind w:right="24"/>
              <w:spacing w:after="0"/>
              <w:rPr>
                <w:sz w:val="20"/>
                <w:szCs w:val="20"/>
                <w:color w:val="auto"/>
              </w:rPr>
            </w:pPr>
            <w:r>
              <w:rPr>
                <w:rFonts w:ascii="Arial" w:cs="Arial" w:eastAsia="Arial" w:hAnsi="Arial"/>
                <w:sz w:val="17"/>
                <w:szCs w:val="17"/>
                <w:color w:val="auto"/>
              </w:rPr>
              <w:t>201,753</w:t>
            </w:r>
          </w:p>
        </w:tc>
      </w:tr>
      <w:tr>
        <w:trPr>
          <w:trHeight w:val="213"/>
        </w:trPr>
        <w:tc>
          <w:tcPr>
            <w:tcW w:w="38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Mr. Greenwood</w:t>
            </w:r>
          </w:p>
        </w:tc>
        <w:tc>
          <w:tcPr>
            <w:tcW w:w="118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52,000</w:t>
            </w:r>
          </w:p>
        </w:tc>
        <w:tc>
          <w:tcPr>
            <w:tcW w:w="118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23,511</w:t>
            </w:r>
          </w:p>
        </w:tc>
        <w:tc>
          <w:tcPr>
            <w:tcW w:w="90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2,657</w:t>
            </w:r>
          </w:p>
        </w:tc>
        <w:tc>
          <w:tcPr>
            <w:tcW w:w="1080" w:type="dxa"/>
            <w:vAlign w:val="bottom"/>
            <w:tcBorders>
              <w:bottom w:val="single" w:sz="8" w:color="307CC0"/>
            </w:tcBorders>
            <w:shd w:val="clear" w:color="auto" w:fill="CCEEFF"/>
          </w:tcPr>
          <w:p>
            <w:pPr>
              <w:jc w:val="right"/>
              <w:ind w:right="10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457,248</w:t>
            </w:r>
          </w:p>
        </w:tc>
      </w:tr>
      <w:tr>
        <w:trPr>
          <w:trHeight w:val="213"/>
        </w:trPr>
        <w:tc>
          <w:tcPr>
            <w:tcW w:w="386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Mr. Somma</w:t>
            </w:r>
          </w:p>
        </w:tc>
        <w:tc>
          <w:tcPr>
            <w:tcW w:w="1180" w:type="dxa"/>
            <w:vAlign w:val="bottom"/>
            <w:tcBorders>
              <w:bottom w:val="single" w:sz="8" w:color="307CC0"/>
            </w:tcBorders>
            <w:shd w:val="clear" w:color="auto" w:fill="D6E7FF"/>
          </w:tcPr>
          <w:p>
            <w:pPr>
              <w:jc w:val="right"/>
              <w:ind w:right="24"/>
              <w:spacing w:after="0"/>
              <w:rPr>
                <w:sz w:val="20"/>
                <w:szCs w:val="20"/>
                <w:color w:val="auto"/>
              </w:rPr>
            </w:pPr>
            <w:r>
              <w:rPr>
                <w:rFonts w:ascii="Arial" w:cs="Arial" w:eastAsia="Arial" w:hAnsi="Arial"/>
                <w:sz w:val="17"/>
                <w:szCs w:val="17"/>
                <w:color w:val="auto"/>
              </w:rPr>
              <w:t>24,750</w:t>
            </w:r>
          </w:p>
        </w:tc>
        <w:tc>
          <w:tcPr>
            <w:tcW w:w="1180" w:type="dxa"/>
            <w:vAlign w:val="bottom"/>
            <w:tcBorders>
              <w:bottom w:val="single" w:sz="8" w:color="307CC0"/>
            </w:tcBorders>
            <w:shd w:val="clear" w:color="auto" w:fill="D6E7FF"/>
          </w:tcPr>
          <w:p>
            <w:pPr>
              <w:jc w:val="right"/>
              <w:ind w:right="24"/>
              <w:spacing w:after="0"/>
              <w:rPr>
                <w:sz w:val="20"/>
                <w:szCs w:val="20"/>
                <w:color w:val="auto"/>
              </w:rPr>
            </w:pPr>
            <w:r>
              <w:rPr>
                <w:rFonts w:ascii="Arial" w:cs="Arial" w:eastAsia="Arial" w:hAnsi="Arial"/>
                <w:sz w:val="17"/>
                <w:szCs w:val="17"/>
                <w:color w:val="auto"/>
              </w:rPr>
              <w:t>5,963</w:t>
            </w:r>
          </w:p>
        </w:tc>
        <w:tc>
          <w:tcPr>
            <w:tcW w:w="900" w:type="dxa"/>
            <w:vAlign w:val="bottom"/>
            <w:tcBorders>
              <w:bottom w:val="single" w:sz="8" w:color="307CC0"/>
            </w:tcBorders>
            <w:shd w:val="clear" w:color="auto" w:fill="D6E7FF"/>
          </w:tcPr>
          <w:p>
            <w:pPr>
              <w:jc w:val="right"/>
              <w:ind w:right="24"/>
              <w:spacing w:after="0"/>
              <w:rPr>
                <w:sz w:val="20"/>
                <w:szCs w:val="20"/>
                <w:color w:val="auto"/>
              </w:rPr>
            </w:pPr>
            <w:r>
              <w:rPr>
                <w:rFonts w:ascii="Arial" w:cs="Arial" w:eastAsia="Arial" w:hAnsi="Arial"/>
                <w:sz w:val="17"/>
                <w:szCs w:val="17"/>
                <w:color w:val="auto"/>
              </w:rPr>
              <w:t>1,081</w:t>
            </w:r>
          </w:p>
        </w:tc>
        <w:tc>
          <w:tcPr>
            <w:tcW w:w="1080" w:type="dxa"/>
            <w:vAlign w:val="bottom"/>
            <w:tcBorders>
              <w:bottom w:val="single" w:sz="8" w:color="307CC0"/>
            </w:tcBorders>
            <w:shd w:val="clear" w:color="auto" w:fill="D6E7FF"/>
          </w:tcPr>
          <w:p>
            <w:pPr>
              <w:jc w:val="right"/>
              <w:ind w:right="10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307CC0"/>
            </w:tcBorders>
            <w:shd w:val="clear" w:color="auto" w:fill="D6E7FF"/>
          </w:tcPr>
          <w:p>
            <w:pPr>
              <w:jc w:val="right"/>
              <w:ind w:right="24"/>
              <w:spacing w:after="0"/>
              <w:rPr>
                <w:sz w:val="20"/>
                <w:szCs w:val="20"/>
                <w:color w:val="auto"/>
              </w:rPr>
            </w:pPr>
            <w:r>
              <w:rPr>
                <w:rFonts w:ascii="Arial" w:cs="Arial" w:eastAsia="Arial" w:hAnsi="Arial"/>
                <w:sz w:val="17"/>
                <w:szCs w:val="17"/>
                <w:color w:val="auto"/>
              </w:rPr>
              <w:t>128,022</w:t>
            </w:r>
          </w:p>
        </w:tc>
      </w:tr>
      <w:tr>
        <w:trPr>
          <w:trHeight w:val="213"/>
        </w:trPr>
        <w:tc>
          <w:tcPr>
            <w:tcW w:w="386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Ms. Humphrey</w:t>
            </w:r>
          </w:p>
        </w:tc>
        <w:tc>
          <w:tcPr>
            <w:tcW w:w="118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72,600</w:t>
            </w:r>
          </w:p>
        </w:tc>
        <w:tc>
          <w:tcPr>
            <w:tcW w:w="118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25,057</w:t>
            </w:r>
          </w:p>
        </w:tc>
        <w:tc>
          <w:tcPr>
            <w:tcW w:w="90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22,734</w:t>
            </w:r>
          </w:p>
        </w:tc>
        <w:tc>
          <w:tcPr>
            <w:tcW w:w="1080" w:type="dxa"/>
            <w:vAlign w:val="bottom"/>
            <w:tcBorders>
              <w:bottom w:val="single" w:sz="8" w:color="307CC0"/>
            </w:tcBorders>
            <w:shd w:val="clear" w:color="auto" w:fill="CCEEFF"/>
          </w:tcPr>
          <w:p>
            <w:pPr>
              <w:jc w:val="right"/>
              <w:ind w:right="43"/>
              <w:spacing w:after="0"/>
              <w:rPr>
                <w:sz w:val="20"/>
                <w:szCs w:val="20"/>
                <w:color w:val="auto"/>
              </w:rPr>
            </w:pPr>
            <w:r>
              <w:rPr>
                <w:rFonts w:ascii="Arial" w:cs="Arial" w:eastAsia="Arial" w:hAnsi="Arial"/>
                <w:sz w:val="17"/>
                <w:szCs w:val="17"/>
                <w:color w:val="auto"/>
              </w:rPr>
              <w:t>(117,752)</w:t>
            </w:r>
          </w:p>
        </w:tc>
        <w:tc>
          <w:tcPr>
            <w:tcW w:w="960" w:type="dxa"/>
            <w:vAlign w:val="bottom"/>
            <w:tcBorders>
              <w:bottom w:val="single" w:sz="8" w:color="307CC0"/>
            </w:tcBorders>
            <w:shd w:val="clear" w:color="auto" w:fill="CCEEFF"/>
          </w:tcPr>
          <w:p>
            <w:pPr>
              <w:jc w:val="right"/>
              <w:ind w:right="24"/>
              <w:spacing w:after="0"/>
              <w:rPr>
                <w:sz w:val="20"/>
                <w:szCs w:val="20"/>
                <w:color w:val="auto"/>
              </w:rPr>
            </w:pPr>
            <w:r>
              <w:rPr>
                <w:rFonts w:ascii="Arial" w:cs="Arial" w:eastAsia="Arial" w:hAnsi="Arial"/>
                <w:sz w:val="17"/>
                <w:szCs w:val="17"/>
                <w:color w:val="auto"/>
              </w:rPr>
              <w:t>442,950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-746125</wp:posOffset>
            </wp:positionV>
            <wp:extent cx="5808980" cy="147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-450850</wp:posOffset>
            </wp:positionV>
            <wp:extent cx="5808980" cy="147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-154940</wp:posOffset>
            </wp:positionV>
            <wp:extent cx="5808980" cy="147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88" w:lineRule="exact"/>
        <w:rPr>
          <w:sz w:val="20"/>
          <w:szCs w:val="20"/>
          <w:color w:val="auto"/>
        </w:rPr>
      </w:pPr>
    </w:p>
    <w:p>
      <w:pPr>
        <w:jc w:val="both"/>
        <w:ind w:left="340" w:hanging="330"/>
        <w:spacing w:after="0" w:line="255"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entire amount shown for each NEO is included in the 2019 salary and non-equity incentive plan compensation information shown for such person in the Summary Compensation Table. To provide consistency with the Summary Compensation Table, this table shows deferrals of compensation earned in 2019 (whether paid in 2019 or 2020). The amounts of 2019 salary deferred are: Mr. Bassham, $200,000; Mr. Bryant, $31,200; Mr. Greenwood, $52,000; Mr. Somma, $24,750; and Ms. Humphrey, $72,600. The amounts of 2019 deferred non-equity incentive award compensation are: Mr. Bassham, $0; Mr. Bryant, $30,326; Mr. Greenwood, $379,080; Mr. Somma, $96,228; and Ms. Humphrey, $57,336.</w:t>
      </w:r>
    </w:p>
    <w:p>
      <w:pPr>
        <w:spacing w:after="0" w:line="84" w:lineRule="exact"/>
        <w:rPr>
          <w:rFonts w:ascii="Arial" w:cs="Arial" w:eastAsia="Arial" w:hAnsi="Arial"/>
          <w:sz w:val="13"/>
          <w:szCs w:val="13"/>
          <w:color w:val="auto"/>
        </w:rPr>
      </w:pPr>
    </w:p>
    <w:p>
      <w:pPr>
        <w:ind w:left="340" w:hanging="330"/>
        <w:spacing w:after="0" w:line="23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entire amount shown in this column for each NEO is included in the amount shown for each NEO in the “All Other Compensation” column in the Summary Compensation Table.</w:t>
      </w:r>
    </w:p>
    <w:p>
      <w:pPr>
        <w:spacing w:after="0" w:line="94" w:lineRule="exact"/>
        <w:rPr>
          <w:rFonts w:ascii="Arial" w:cs="Arial" w:eastAsia="Arial" w:hAnsi="Arial"/>
          <w:sz w:val="14"/>
          <w:szCs w:val="14"/>
          <w:color w:val="auto"/>
        </w:rPr>
      </w:pPr>
    </w:p>
    <w:p>
      <w:pPr>
        <w:ind w:left="340" w:right="20" w:hanging="330"/>
        <w:spacing w:after="0" w:line="23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Only the above-market earnings are reported in the Summary Compensation Table. The above-market earnings were: Mr. Bassham, $137,000; Mr. Bryant, $9,172; Mr. Greenwood, $2,657; Mr. Somma, $1,081; and Ms. Humphrey, $22,734.</w:t>
      </w:r>
    </w:p>
    <w:p>
      <w:pPr>
        <w:spacing w:after="0" w:line="94" w:lineRule="exact"/>
        <w:rPr>
          <w:rFonts w:ascii="Arial" w:cs="Arial" w:eastAsia="Arial" w:hAnsi="Arial"/>
          <w:sz w:val="14"/>
          <w:szCs w:val="14"/>
          <w:color w:val="auto"/>
        </w:rPr>
      </w:pPr>
    </w:p>
    <w:p>
      <w:pPr>
        <w:jc w:val="both"/>
        <w:ind w:left="340" w:hanging="330"/>
        <w:spacing w:after="0" w:line="235"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following amounts reported in this column were reported as compensation to the NEOs in the Summary Compensation Table for previous years: Mr. Bassham, $417,010 (2018) and $308,585 (2017); Mr. Bryant, $81,581 (2018) and $0 (2017); Mr. Greenwood, $0 (2018) and $0 (2017); Mr. Somma, $0 (2018) and $0 (2017); and Ms. Humphrey, $111,309 (2018) and $151,621 (2017).</w:t>
      </w:r>
    </w:p>
    <w:p>
      <w:pPr>
        <w:spacing w:after="0" w:line="90" w:lineRule="exact"/>
        <w:rPr>
          <w:sz w:val="20"/>
          <w:szCs w:val="20"/>
          <w:color w:val="auto"/>
        </w:rPr>
      </w:pPr>
    </w:p>
    <w:p>
      <w:pPr>
        <w:jc w:val="both"/>
        <w:ind w:left="20" w:firstLine="172"/>
        <w:spacing w:after="0" w:line="255" w:lineRule="auto"/>
        <w:rPr>
          <w:sz w:val="20"/>
          <w:szCs w:val="20"/>
          <w:color w:val="auto"/>
        </w:rPr>
      </w:pPr>
      <w:r>
        <w:rPr>
          <w:rFonts w:ascii="Arial" w:cs="Arial" w:eastAsia="Arial" w:hAnsi="Arial"/>
          <w:sz w:val="17"/>
          <w:szCs w:val="17"/>
          <w:color w:val="auto"/>
        </w:rPr>
        <w:t>Our DCP is a nonqualified and unfunded plan. It allows officers, including our NEOs, to defer the receipt of compensation. All participants can defer up to 50 percent of their January 1 base salary and up to 100 percent of awards under the annual incentive plan. The DCP provides for a matching contribution credited to the participants’ DCP account and this matching contribution is determined by applying the participant’s applicable 401(k) matching formula to the deferral amount, subject to other deferral provisions as outlined in the plan. Officers who are legacy Great Plains Energy officers and officers who are legacy Westar Energy officers participated in different 401(k) plans until the legacy company 401(k) plans were merged into a single plan effective December 1, 2019. Mr. Bassham, Mr. Bryant and Ms. Humphrey receive a matching contribution in an amount equal to 100 percent of the first 6 percent of the base salary, and annual incentive plan deferred, reduced by the amount of the matching contribution made for the year to the participant’s 401(k) account. Mr. Greenwood and Mr. Somma receive a matching contribution in an amount equal to 75 percent of the first 6 percent of the base salary, bonus and incentive pay deferred, reduced by the amount of the matching contribution made for the year to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808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90"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401(k) account. An earnings rate is applied to the deferral amounts. This rate is determined annually by the Committee and is based on Evergy’s weighted average cost of capital. The rate was set at 7.4 percent for 2019 and this interest rate applies to all deferral amounts, compounded monthly. Prior to rendering the services to which deferred compensation relates, participants must elect to have the deferred compensation paid either at a specified date or upon separation from service. For participants, such as our NEOs, who are “specified employees” under Internal Revenue Code Section 409A and who elect payment on separation of service, payment will be made, or commence, on the first business day of the seventh calendar month following their separation from service.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Potential Payments Upon Termination or Change-in-Control</w:t>
      </w:r>
    </w:p>
    <w:p>
      <w:pPr>
        <w:spacing w:after="0" w:line="126"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In 2019, the Committee replaced the legacy agreements with a new change-in-control agreement to conform terms and reflect current market practices. For information on why the Committee believes change-in-control agreements are necessary and in the best interests of shareholders, see “Compensation Discussion and Analysis - Summary and Analysis of Executive Compensation - Change-in-Control Severance Agreements” above.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under Evergy Change-in-Control Severance Agreements</w:t>
      </w:r>
    </w:p>
    <w:p>
      <w:pPr>
        <w:spacing w:after="0" w:line="122"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The change-in-control agreements Evergy entered into with its officers, including its NEOs, specify the benefits payable in the event their employment is terminated within two years of a “Change-in-Control” or within a “protected period.” Generally, a “Change-in-Control” occurs if:</w:t>
      </w:r>
    </w:p>
    <w:p>
      <w:pPr>
        <w:spacing w:after="0" w:line="86" w:lineRule="exact"/>
        <w:rPr>
          <w:sz w:val="20"/>
          <w:szCs w:val="20"/>
          <w:color w:val="auto"/>
        </w:rPr>
      </w:pPr>
    </w:p>
    <w:p>
      <w:pPr>
        <w:ind w:left="500" w:hanging="342"/>
        <w:spacing w:after="0"/>
        <w:tabs>
          <w:tab w:leader="none" w:pos="500" w:val="left"/>
        </w:tabs>
        <w:numPr>
          <w:ilvl w:val="0"/>
          <w:numId w:val="46"/>
        </w:numPr>
        <w:rPr>
          <w:rFonts w:ascii="Arial" w:cs="Arial" w:eastAsia="Arial" w:hAnsi="Arial"/>
          <w:sz w:val="17"/>
          <w:szCs w:val="17"/>
          <w:color w:val="307CC0"/>
        </w:rPr>
      </w:pPr>
      <w:r>
        <w:rPr>
          <w:rFonts w:ascii="Arial" w:cs="Arial" w:eastAsia="Arial" w:hAnsi="Arial"/>
          <w:sz w:val="17"/>
          <w:szCs w:val="17"/>
          <w:color w:val="auto"/>
        </w:rPr>
        <w:t>any person becomes the beneficial owner of at least 35 percent of our outstanding voting securities;</w:t>
      </w:r>
    </w:p>
    <w:p>
      <w:pPr>
        <w:spacing w:after="0" w:line="101" w:lineRule="exact"/>
        <w:rPr>
          <w:rFonts w:ascii="Arial" w:cs="Arial" w:eastAsia="Arial" w:hAnsi="Arial"/>
          <w:sz w:val="17"/>
          <w:szCs w:val="17"/>
          <w:color w:val="307CC0"/>
        </w:rPr>
      </w:pPr>
    </w:p>
    <w:p>
      <w:pPr>
        <w:ind w:left="500" w:hanging="342"/>
        <w:spacing w:after="0"/>
        <w:tabs>
          <w:tab w:leader="none" w:pos="500" w:val="left"/>
        </w:tabs>
        <w:numPr>
          <w:ilvl w:val="0"/>
          <w:numId w:val="46"/>
        </w:numPr>
        <w:rPr>
          <w:rFonts w:ascii="Arial" w:cs="Arial" w:eastAsia="Arial" w:hAnsi="Arial"/>
          <w:sz w:val="17"/>
          <w:szCs w:val="17"/>
          <w:color w:val="307CC0"/>
        </w:rPr>
      </w:pPr>
      <w:r>
        <w:rPr>
          <w:rFonts w:ascii="Arial" w:cs="Arial" w:eastAsia="Arial" w:hAnsi="Arial"/>
          <w:sz w:val="17"/>
          <w:szCs w:val="17"/>
          <w:color w:val="auto"/>
        </w:rPr>
        <w:t>a change occurs in the majority of our Board;</w:t>
      </w:r>
    </w:p>
    <w:p>
      <w:pPr>
        <w:spacing w:after="0" w:line="101"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46"/>
        </w:numPr>
        <w:rPr>
          <w:rFonts w:ascii="Arial" w:cs="Arial" w:eastAsia="Arial" w:hAnsi="Arial"/>
          <w:sz w:val="17"/>
          <w:szCs w:val="17"/>
          <w:color w:val="307CC0"/>
        </w:rPr>
      </w:pPr>
      <w:r>
        <w:rPr>
          <w:rFonts w:ascii="Arial" w:cs="Arial" w:eastAsia="Arial" w:hAnsi="Arial"/>
          <w:sz w:val="17"/>
          <w:szCs w:val="17"/>
          <w:color w:val="auto"/>
        </w:rPr>
        <w:t>a merger, consolidation, reorganization or similar transaction is consummated (unless our shareholders continue to hold at least 60 percent of the voting power of the surviving entity); or</w:t>
      </w:r>
    </w:p>
    <w:p>
      <w:pPr>
        <w:spacing w:after="0" w:line="78" w:lineRule="exact"/>
        <w:rPr>
          <w:rFonts w:ascii="Arial" w:cs="Arial" w:eastAsia="Arial" w:hAnsi="Arial"/>
          <w:sz w:val="17"/>
          <w:szCs w:val="17"/>
          <w:color w:val="307CC0"/>
        </w:rPr>
      </w:pPr>
    </w:p>
    <w:p>
      <w:pPr>
        <w:jc w:val="both"/>
        <w:ind w:left="500" w:hanging="342"/>
        <w:spacing w:after="0" w:line="245" w:lineRule="auto"/>
        <w:tabs>
          <w:tab w:leader="none" w:pos="500" w:val="left"/>
        </w:tabs>
        <w:numPr>
          <w:ilvl w:val="0"/>
          <w:numId w:val="46"/>
        </w:numPr>
        <w:rPr>
          <w:rFonts w:ascii="Arial" w:cs="Arial" w:eastAsia="Arial" w:hAnsi="Arial"/>
          <w:sz w:val="17"/>
          <w:szCs w:val="17"/>
          <w:color w:val="307CC0"/>
        </w:rPr>
      </w:pPr>
      <w:r>
        <w:rPr>
          <w:rFonts w:ascii="Arial" w:cs="Arial" w:eastAsia="Arial" w:hAnsi="Arial"/>
          <w:sz w:val="17"/>
          <w:szCs w:val="17"/>
          <w:color w:val="auto"/>
        </w:rPr>
        <w:t>a complete liquidation, complete dissolution or an agreement for the sale or disposition of substantially all of our assets occurs or is approved by our shareholders (unless our shareholders continue to hold at least 60 percent of the voting power after such disposition or sale).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“protected period” starts when:</w:t>
      </w:r>
    </w:p>
    <w:p>
      <w:pPr>
        <w:spacing w:after="0" w:line="102" w:lineRule="exact"/>
        <w:rPr>
          <w:sz w:val="20"/>
          <w:szCs w:val="20"/>
          <w:color w:val="auto"/>
        </w:rPr>
      </w:pPr>
    </w:p>
    <w:p>
      <w:pPr>
        <w:ind w:left="500" w:hanging="342"/>
        <w:spacing w:after="0"/>
        <w:tabs>
          <w:tab w:leader="none" w:pos="500" w:val="left"/>
        </w:tabs>
        <w:numPr>
          <w:ilvl w:val="0"/>
          <w:numId w:val="47"/>
        </w:numPr>
        <w:rPr>
          <w:rFonts w:ascii="Arial" w:cs="Arial" w:eastAsia="Arial" w:hAnsi="Arial"/>
          <w:sz w:val="17"/>
          <w:szCs w:val="17"/>
          <w:color w:val="307CC0"/>
        </w:rPr>
      </w:pPr>
      <w:r>
        <w:rPr>
          <w:rFonts w:ascii="Arial" w:cs="Arial" w:eastAsia="Arial" w:hAnsi="Arial"/>
          <w:sz w:val="17"/>
          <w:szCs w:val="17"/>
          <w:color w:val="auto"/>
        </w:rPr>
        <w:t>we enter into an agreement that, if consummated, would result in a Change-in-Control;</w:t>
      </w:r>
    </w:p>
    <w:p>
      <w:pPr>
        <w:spacing w:after="0" w:line="101" w:lineRule="exact"/>
        <w:rPr>
          <w:rFonts w:ascii="Arial" w:cs="Arial" w:eastAsia="Arial" w:hAnsi="Arial"/>
          <w:sz w:val="17"/>
          <w:szCs w:val="17"/>
          <w:color w:val="307CC0"/>
        </w:rPr>
      </w:pPr>
    </w:p>
    <w:p>
      <w:pPr>
        <w:ind w:left="500" w:right="20" w:hanging="342"/>
        <w:spacing w:after="0" w:line="253" w:lineRule="auto"/>
        <w:tabs>
          <w:tab w:leader="none" w:pos="500" w:val="left"/>
        </w:tabs>
        <w:numPr>
          <w:ilvl w:val="0"/>
          <w:numId w:val="47"/>
        </w:numPr>
        <w:rPr>
          <w:rFonts w:ascii="Arial" w:cs="Arial" w:eastAsia="Arial" w:hAnsi="Arial"/>
          <w:sz w:val="17"/>
          <w:szCs w:val="17"/>
          <w:color w:val="307CC0"/>
        </w:rPr>
      </w:pPr>
      <w:r>
        <w:rPr>
          <w:rFonts w:ascii="Arial" w:cs="Arial" w:eastAsia="Arial" w:hAnsi="Arial"/>
          <w:sz w:val="17"/>
          <w:szCs w:val="17"/>
          <w:color w:val="auto"/>
        </w:rPr>
        <w:t>we, or another person, publicly announces an intention to take or to consider taking actions which, if consummated, would constitute a Change-in-Control;</w:t>
      </w:r>
    </w:p>
    <w:p>
      <w:pPr>
        <w:spacing w:after="0" w:line="78" w:lineRule="exact"/>
        <w:rPr>
          <w:rFonts w:ascii="Arial" w:cs="Arial" w:eastAsia="Arial" w:hAnsi="Arial"/>
          <w:sz w:val="17"/>
          <w:szCs w:val="17"/>
          <w:color w:val="307CC0"/>
        </w:rPr>
      </w:pPr>
    </w:p>
    <w:p>
      <w:pPr>
        <w:ind w:left="500" w:hanging="342"/>
        <w:spacing w:after="0"/>
        <w:tabs>
          <w:tab w:leader="none" w:pos="500" w:val="left"/>
        </w:tabs>
        <w:numPr>
          <w:ilvl w:val="0"/>
          <w:numId w:val="47"/>
        </w:numPr>
        <w:rPr>
          <w:rFonts w:ascii="Arial" w:cs="Arial" w:eastAsia="Arial" w:hAnsi="Arial"/>
          <w:sz w:val="17"/>
          <w:szCs w:val="17"/>
          <w:color w:val="307CC0"/>
        </w:rPr>
      </w:pPr>
      <w:r>
        <w:rPr>
          <w:rFonts w:ascii="Arial" w:cs="Arial" w:eastAsia="Arial" w:hAnsi="Arial"/>
          <w:sz w:val="17"/>
          <w:szCs w:val="17"/>
          <w:color w:val="auto"/>
        </w:rPr>
        <w:t>any person becomes the beneficial owner of 10 percent or more of our outstanding voting securities; or</w:t>
      </w:r>
    </w:p>
    <w:p>
      <w:pPr>
        <w:spacing w:after="0" w:line="101"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47"/>
        </w:numPr>
        <w:rPr>
          <w:rFonts w:ascii="Arial" w:cs="Arial" w:eastAsia="Arial" w:hAnsi="Arial"/>
          <w:sz w:val="17"/>
          <w:szCs w:val="17"/>
          <w:color w:val="307CC0"/>
        </w:rPr>
      </w:pPr>
      <w:r>
        <w:rPr>
          <w:rFonts w:ascii="Arial" w:cs="Arial" w:eastAsia="Arial" w:hAnsi="Arial"/>
          <w:sz w:val="17"/>
          <w:szCs w:val="17"/>
          <w:color w:val="auto"/>
        </w:rPr>
        <w:t>our Board, or our shareholders, adopt a resolution approving any of the foregoing matters or approving a Change-in-Control.</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protected period ends when the Change-in-Control transaction is consummated, abandoned or terminated.</w:t>
      </w:r>
    </w:p>
    <w:p>
      <w:pPr>
        <w:spacing w:after="0" w:line="102"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Our Change-in-Control arrangements are “double trigger,” meaning that benefits are only paid if we experience a Change-in-Control and the NEO’s employment is terminated by the Company other than for “Cause” or by the NEO for “Good Reason” within two years of a Change-in-Control or protected period. “Cause” includes:</w:t>
      </w:r>
    </w:p>
    <w:p>
      <w:pPr>
        <w:spacing w:after="0" w:line="86" w:lineRule="exact"/>
        <w:rPr>
          <w:sz w:val="20"/>
          <w:szCs w:val="20"/>
          <w:color w:val="auto"/>
        </w:rPr>
      </w:pPr>
    </w:p>
    <w:p>
      <w:pPr>
        <w:ind w:left="500" w:hanging="342"/>
        <w:spacing w:after="0"/>
        <w:tabs>
          <w:tab w:leader="none" w:pos="500" w:val="left"/>
        </w:tabs>
        <w:numPr>
          <w:ilvl w:val="0"/>
          <w:numId w:val="48"/>
        </w:numPr>
        <w:rPr>
          <w:rFonts w:ascii="Arial" w:cs="Arial" w:eastAsia="Arial" w:hAnsi="Arial"/>
          <w:sz w:val="17"/>
          <w:szCs w:val="17"/>
          <w:color w:val="307CC0"/>
        </w:rPr>
      </w:pPr>
      <w:r>
        <w:rPr>
          <w:rFonts w:ascii="Arial" w:cs="Arial" w:eastAsia="Arial" w:hAnsi="Arial"/>
          <w:sz w:val="17"/>
          <w:szCs w:val="17"/>
          <w:color w:val="auto"/>
        </w:rPr>
        <w:t>fraud, embezzlement or material misappropriation of any funds, confidential information or property;</w:t>
      </w:r>
    </w:p>
    <w:p>
      <w:pPr>
        <w:spacing w:after="0" w:line="101" w:lineRule="exact"/>
        <w:rPr>
          <w:rFonts w:ascii="Arial" w:cs="Arial" w:eastAsia="Arial" w:hAnsi="Arial"/>
          <w:sz w:val="17"/>
          <w:szCs w:val="17"/>
          <w:color w:val="307CC0"/>
        </w:rPr>
      </w:pPr>
    </w:p>
    <w:p>
      <w:pPr>
        <w:jc w:val="both"/>
        <w:ind w:left="500" w:hanging="342"/>
        <w:spacing w:after="0" w:line="245" w:lineRule="auto"/>
        <w:tabs>
          <w:tab w:leader="none" w:pos="500" w:val="left"/>
        </w:tabs>
        <w:numPr>
          <w:ilvl w:val="0"/>
          <w:numId w:val="48"/>
        </w:numPr>
        <w:rPr>
          <w:rFonts w:ascii="Arial" w:cs="Arial" w:eastAsia="Arial" w:hAnsi="Arial"/>
          <w:sz w:val="17"/>
          <w:szCs w:val="17"/>
          <w:color w:val="307CC0"/>
        </w:rPr>
      </w:pPr>
      <w:r>
        <w:rPr>
          <w:rFonts w:ascii="Arial" w:cs="Arial" w:eastAsia="Arial" w:hAnsi="Arial"/>
          <w:sz w:val="17"/>
          <w:szCs w:val="17"/>
          <w:color w:val="auto"/>
        </w:rPr>
        <w:t>indictment for or the conviction of, or the entering of a guilty plea or plea of no contest with respect to, a felony, or the equivalent thereof, or a misdemeanor involving fraud, embezzlement, theft, misappropriation or failure to be truthful;</w:t>
      </w:r>
    </w:p>
    <w:p>
      <w:pPr>
        <w:spacing w:after="0" w:line="86" w:lineRule="exact"/>
        <w:rPr>
          <w:rFonts w:ascii="Arial" w:cs="Arial" w:eastAsia="Arial" w:hAnsi="Arial"/>
          <w:sz w:val="17"/>
          <w:szCs w:val="17"/>
          <w:color w:val="307CC0"/>
        </w:rPr>
      </w:pPr>
    </w:p>
    <w:p>
      <w:pPr>
        <w:jc w:val="both"/>
        <w:ind w:left="500" w:hanging="342"/>
        <w:spacing w:after="0" w:line="243" w:lineRule="auto"/>
        <w:tabs>
          <w:tab w:leader="none" w:pos="500" w:val="left"/>
        </w:tabs>
        <w:numPr>
          <w:ilvl w:val="0"/>
          <w:numId w:val="48"/>
        </w:numPr>
        <w:rPr>
          <w:rFonts w:ascii="Arial" w:cs="Arial" w:eastAsia="Arial" w:hAnsi="Arial"/>
          <w:sz w:val="17"/>
          <w:szCs w:val="17"/>
          <w:color w:val="307CC0"/>
        </w:rPr>
      </w:pPr>
      <w:r>
        <w:rPr>
          <w:rFonts w:ascii="Arial" w:cs="Arial" w:eastAsia="Arial" w:hAnsi="Arial"/>
          <w:sz w:val="17"/>
          <w:szCs w:val="17"/>
          <w:color w:val="auto"/>
        </w:rPr>
        <w:t>any willful action or omission that (i) (a) would constitute grounds for immediate dismissal under any Evergy employment policy, (b) is a material violation of such policy and (c) in the determination of the Committee, could result in damage, liability or reputational harm to Evergy, including use of illegal drugs while on the premises of Evergy, or (ii) is a violation of sexual harassment laws or the internal sexual harassment policy of Evergy;</w:t>
      </w:r>
    </w:p>
    <w:p>
      <w:pPr>
        <w:spacing w:after="0" w:line="86"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48"/>
        </w:numPr>
        <w:rPr>
          <w:rFonts w:ascii="Arial" w:cs="Arial" w:eastAsia="Arial" w:hAnsi="Arial"/>
          <w:sz w:val="17"/>
          <w:szCs w:val="17"/>
          <w:color w:val="307CC0"/>
        </w:rPr>
      </w:pPr>
      <w:r>
        <w:rPr>
          <w:rFonts w:ascii="Arial" w:cs="Arial" w:eastAsia="Arial" w:hAnsi="Arial"/>
          <w:sz w:val="17"/>
          <w:szCs w:val="17"/>
          <w:color w:val="auto"/>
        </w:rPr>
        <w:t>gross negligence or willful misconduct in performance of duties or in following reasonable instructions of the Board; or</w:t>
      </w:r>
    </w:p>
    <w:p>
      <w:pPr>
        <w:spacing w:after="0" w:line="78" w:lineRule="exact"/>
        <w:rPr>
          <w:rFonts w:ascii="Arial" w:cs="Arial" w:eastAsia="Arial" w:hAnsi="Arial"/>
          <w:sz w:val="17"/>
          <w:szCs w:val="17"/>
          <w:color w:val="307CC0"/>
        </w:rPr>
      </w:pPr>
    </w:p>
    <w:p>
      <w:pPr>
        <w:ind w:left="500" w:hanging="342"/>
        <w:spacing w:after="0"/>
        <w:tabs>
          <w:tab w:leader="none" w:pos="500" w:val="left"/>
        </w:tabs>
        <w:numPr>
          <w:ilvl w:val="0"/>
          <w:numId w:val="48"/>
        </w:numPr>
        <w:rPr>
          <w:rFonts w:ascii="Arial" w:cs="Arial" w:eastAsia="Arial" w:hAnsi="Arial"/>
          <w:sz w:val="17"/>
          <w:szCs w:val="17"/>
          <w:color w:val="307CC0"/>
        </w:rPr>
      </w:pPr>
      <w:r>
        <w:rPr>
          <w:rFonts w:ascii="Arial" w:cs="Arial" w:eastAsia="Arial" w:hAnsi="Arial"/>
          <w:sz w:val="17"/>
          <w:szCs w:val="17"/>
          <w:color w:val="auto"/>
        </w:rPr>
        <w:t>any material breach or violation of any material provision of the restrictive covenants contained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808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0"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 employee has “Good Reason” to terminate employment if:</w:t>
      </w:r>
    </w:p>
    <w:p>
      <w:pPr>
        <w:spacing w:after="0" w:line="102" w:lineRule="exact"/>
        <w:rPr>
          <w:sz w:val="20"/>
          <w:szCs w:val="20"/>
          <w:color w:val="auto"/>
        </w:rPr>
      </w:pPr>
    </w:p>
    <w:p>
      <w:pPr>
        <w:ind w:left="520" w:right="20" w:hanging="342"/>
        <w:spacing w:after="0" w:line="253" w:lineRule="auto"/>
        <w:tabs>
          <w:tab w:leader="none" w:pos="520" w:val="left"/>
        </w:tabs>
        <w:numPr>
          <w:ilvl w:val="0"/>
          <w:numId w:val="49"/>
        </w:numPr>
        <w:rPr>
          <w:rFonts w:ascii="Arial" w:cs="Arial" w:eastAsia="Arial" w:hAnsi="Arial"/>
          <w:sz w:val="17"/>
          <w:szCs w:val="17"/>
          <w:color w:val="307CC0"/>
        </w:rPr>
      </w:pPr>
      <w:r>
        <w:rPr>
          <w:rFonts w:ascii="Arial" w:cs="Arial" w:eastAsia="Arial" w:hAnsi="Arial"/>
          <w:sz w:val="17"/>
          <w:szCs w:val="17"/>
          <w:color w:val="auto"/>
        </w:rPr>
        <w:t>there is any material and adverse reduction or diminution in position, authority, duties or responsibilities below the level provided at any time during the 90-day period before the “protected period;”</w:t>
      </w:r>
    </w:p>
    <w:p>
      <w:pPr>
        <w:spacing w:after="0" w:line="78" w:lineRule="exact"/>
        <w:rPr>
          <w:rFonts w:ascii="Arial" w:cs="Arial" w:eastAsia="Arial" w:hAnsi="Arial"/>
          <w:sz w:val="17"/>
          <w:szCs w:val="17"/>
          <w:color w:val="307CC0"/>
        </w:rPr>
      </w:pPr>
    </w:p>
    <w:p>
      <w:pPr>
        <w:ind w:left="520" w:hanging="342"/>
        <w:spacing w:after="0" w:line="253" w:lineRule="auto"/>
        <w:tabs>
          <w:tab w:leader="none" w:pos="520" w:val="left"/>
        </w:tabs>
        <w:numPr>
          <w:ilvl w:val="0"/>
          <w:numId w:val="49"/>
        </w:numPr>
        <w:rPr>
          <w:rFonts w:ascii="Arial" w:cs="Arial" w:eastAsia="Arial" w:hAnsi="Arial"/>
          <w:sz w:val="17"/>
          <w:szCs w:val="17"/>
          <w:color w:val="307CC0"/>
        </w:rPr>
      </w:pPr>
      <w:r>
        <w:rPr>
          <w:rFonts w:ascii="Arial" w:cs="Arial" w:eastAsia="Arial" w:hAnsi="Arial"/>
          <w:sz w:val="17"/>
          <w:szCs w:val="17"/>
          <w:color w:val="auto"/>
        </w:rPr>
        <w:t>there is any reduction in annual base salary after the start of the “protected period” (unless such reduction is in connection with a company-wide reduction);</w:t>
      </w:r>
    </w:p>
    <w:p>
      <w:pPr>
        <w:spacing w:after="0" w:line="78" w:lineRule="exact"/>
        <w:rPr>
          <w:rFonts w:ascii="Arial" w:cs="Arial" w:eastAsia="Arial" w:hAnsi="Arial"/>
          <w:sz w:val="17"/>
          <w:szCs w:val="17"/>
          <w:color w:val="307CC0"/>
        </w:rPr>
      </w:pPr>
    </w:p>
    <w:p>
      <w:pPr>
        <w:ind w:left="520" w:hanging="342"/>
        <w:spacing w:after="0" w:line="253" w:lineRule="auto"/>
        <w:tabs>
          <w:tab w:leader="none" w:pos="520" w:val="left"/>
        </w:tabs>
        <w:numPr>
          <w:ilvl w:val="0"/>
          <w:numId w:val="49"/>
        </w:numPr>
        <w:rPr>
          <w:rFonts w:ascii="Arial" w:cs="Arial" w:eastAsia="Arial" w:hAnsi="Arial"/>
          <w:sz w:val="17"/>
          <w:szCs w:val="17"/>
          <w:color w:val="307CC0"/>
        </w:rPr>
      </w:pPr>
      <w:r>
        <w:rPr>
          <w:rFonts w:ascii="Arial" w:cs="Arial" w:eastAsia="Arial" w:hAnsi="Arial"/>
          <w:sz w:val="17"/>
          <w:szCs w:val="17"/>
          <w:color w:val="auto"/>
        </w:rPr>
        <w:t>there is any material reduction in benefits below the level provided at any time during the 90-day period prior to the “protected period;”</w:t>
      </w:r>
    </w:p>
    <w:p>
      <w:pPr>
        <w:spacing w:after="0" w:line="78" w:lineRule="exact"/>
        <w:rPr>
          <w:rFonts w:ascii="Arial" w:cs="Arial" w:eastAsia="Arial" w:hAnsi="Arial"/>
          <w:sz w:val="17"/>
          <w:szCs w:val="17"/>
          <w:color w:val="307CC0"/>
        </w:rPr>
      </w:pPr>
    </w:p>
    <w:p>
      <w:pPr>
        <w:ind w:left="520" w:hanging="342"/>
        <w:spacing w:after="0" w:line="253" w:lineRule="auto"/>
        <w:tabs>
          <w:tab w:leader="none" w:pos="520" w:val="left"/>
        </w:tabs>
        <w:numPr>
          <w:ilvl w:val="0"/>
          <w:numId w:val="49"/>
        </w:numPr>
        <w:rPr>
          <w:rFonts w:ascii="Arial" w:cs="Arial" w:eastAsia="Arial" w:hAnsi="Arial"/>
          <w:sz w:val="17"/>
          <w:szCs w:val="17"/>
          <w:color w:val="307CC0"/>
        </w:rPr>
      </w:pPr>
      <w:r>
        <w:rPr>
          <w:rFonts w:ascii="Arial" w:cs="Arial" w:eastAsia="Arial" w:hAnsi="Arial"/>
          <w:sz w:val="17"/>
          <w:szCs w:val="17"/>
          <w:color w:val="auto"/>
        </w:rPr>
        <w:t>the employee is required to be based at any office or location that is more than 70 miles from where the employee was based immediately before the start of the “protected period;” or</w:t>
      </w:r>
    </w:p>
    <w:p>
      <w:pPr>
        <w:spacing w:after="0" w:line="78" w:lineRule="exact"/>
        <w:rPr>
          <w:rFonts w:ascii="Arial" w:cs="Arial" w:eastAsia="Arial" w:hAnsi="Arial"/>
          <w:sz w:val="17"/>
          <w:szCs w:val="17"/>
          <w:color w:val="307CC0"/>
        </w:rPr>
      </w:pPr>
    </w:p>
    <w:p>
      <w:pPr>
        <w:ind w:left="520" w:hanging="342"/>
        <w:spacing w:after="0" w:line="253" w:lineRule="auto"/>
        <w:tabs>
          <w:tab w:leader="none" w:pos="520" w:val="left"/>
        </w:tabs>
        <w:numPr>
          <w:ilvl w:val="0"/>
          <w:numId w:val="49"/>
        </w:numPr>
        <w:rPr>
          <w:rFonts w:ascii="Arial" w:cs="Arial" w:eastAsia="Arial" w:hAnsi="Arial"/>
          <w:sz w:val="17"/>
          <w:szCs w:val="17"/>
          <w:color w:val="307CC0"/>
        </w:rPr>
      </w:pPr>
      <w:r>
        <w:rPr>
          <w:rFonts w:ascii="Arial" w:cs="Arial" w:eastAsia="Arial" w:hAnsi="Arial"/>
          <w:sz w:val="17"/>
          <w:szCs w:val="17"/>
          <w:color w:val="auto"/>
        </w:rPr>
        <w:t>Evergy fails to require any successor to all or substantially all of the Company’s business or assets to assume expressly and agree to perform under the change-in-control agreements.</w:t>
      </w:r>
    </w:p>
    <w:p>
      <w:pPr>
        <w:spacing w:after="0" w:line="79"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The change-in-control agreements do not provide to any officer a gross-up payment in connection with any excise taxes that may be imposed on payments and benefits received by the officer. Any change-in-control benefits payable under the agreement are subject to execution of an agreement by the officer releasing claims against Evergy as well as the officer’s compliance with certain covenants contained in the agreement, including confidentiality, non-competition, non-solicitation, non-disparagement and assistance to Evergy with respect to any disputes.</w:t>
      </w:r>
    </w:p>
    <w:p>
      <w:pPr>
        <w:spacing w:after="0" w:line="90"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Under the change-in-control agreements, in the event of a triggering event, as described above and subject to other terms in the change-in-control agreements, an officer, including each NEO, would be entitled to accrued but unpaid compensation and other benefits, as well as a cash amount equal to the aggregate sum of (i) two times the officer’s highest annual base salary in effect during the twelve-month period prior to the date of termination, plus (ii) two times the officer’s five-year average short-term bonus, plus (iii) the value of any unvested portion of employer contributions made on behalf of the officer under Evergy’s DCP, plus (iv) the premium cost to cover the officer and, if applicable, his or her beneficiaries under Evergy’s health and welfare plans for two years.</w:t>
      </w:r>
    </w:p>
    <w:p>
      <w:pPr>
        <w:spacing w:after="0" w:line="91"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The following table sets forth our payment obligations under the Evergy change-in-control agreements and other compensatory plans if, following a change-in-control, we terminate the NEO without “Cause” or the NEO leaves for “Good Reason.” The table does not include amounts that are due to the NEOs, such as accrued salary and amounts due under retirement and deferred compensation plans except as noted. The amounts shown in the table assume that the termination took place on December 31,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40" w:type="dxa"/>
            <w:vAlign w:val="bottom"/>
            <w:shd w:val="clear" w:color="auto" w:fill="307CC0"/>
          </w:tcPr>
          <w:p>
            <w:pPr>
              <w:spacing w:after="0"/>
              <w:rPr>
                <w:sz w:val="13"/>
                <w:szCs w:val="13"/>
                <w:color w:val="auto"/>
              </w:rPr>
            </w:pPr>
          </w:p>
        </w:tc>
        <w:tc>
          <w:tcPr>
            <w:tcW w:w="11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Mr.</w:t>
            </w:r>
          </w:p>
        </w:tc>
        <w:tc>
          <w:tcPr>
            <w:tcW w:w="1040" w:type="dxa"/>
            <w:vAlign w:val="bottom"/>
            <w:shd w:val="clear" w:color="auto" w:fill="307CC0"/>
          </w:tcPr>
          <w:p>
            <w:pPr>
              <w:jc w:val="center"/>
              <w:ind w:right="19"/>
              <w:spacing w:after="0"/>
              <w:rPr>
                <w:sz w:val="20"/>
                <w:szCs w:val="20"/>
                <w:color w:val="auto"/>
              </w:rPr>
            </w:pPr>
            <w:r>
              <w:rPr>
                <w:rFonts w:ascii="Arial" w:cs="Arial" w:eastAsia="Arial" w:hAnsi="Arial"/>
                <w:sz w:val="13"/>
                <w:szCs w:val="13"/>
                <w:b w:val="1"/>
                <w:bCs w:val="1"/>
                <w:color w:val="FFFFFF"/>
                <w:w w:val="92"/>
              </w:rPr>
              <w:t>Mr.</w:t>
            </w:r>
          </w:p>
        </w:tc>
        <w:tc>
          <w:tcPr>
            <w:tcW w:w="1060" w:type="dxa"/>
            <w:vAlign w:val="bottom"/>
            <w:shd w:val="clear" w:color="auto" w:fill="307CC0"/>
          </w:tcPr>
          <w:p>
            <w:pPr>
              <w:jc w:val="center"/>
              <w:ind w:right="19"/>
              <w:spacing w:after="0"/>
              <w:rPr>
                <w:sz w:val="20"/>
                <w:szCs w:val="20"/>
                <w:color w:val="auto"/>
              </w:rPr>
            </w:pPr>
            <w:r>
              <w:rPr>
                <w:rFonts w:ascii="Arial" w:cs="Arial" w:eastAsia="Arial" w:hAnsi="Arial"/>
                <w:sz w:val="13"/>
                <w:szCs w:val="13"/>
                <w:b w:val="1"/>
                <w:bCs w:val="1"/>
                <w:color w:val="FFFFFF"/>
              </w:rPr>
              <w:t>Mr.</w:t>
            </w:r>
          </w:p>
        </w:tc>
        <w:tc>
          <w:tcPr>
            <w:tcW w:w="1040" w:type="dxa"/>
            <w:vAlign w:val="bottom"/>
            <w:shd w:val="clear" w:color="auto" w:fill="307CC0"/>
          </w:tcPr>
          <w:p>
            <w:pPr>
              <w:jc w:val="center"/>
              <w:ind w:right="19"/>
              <w:spacing w:after="0"/>
              <w:rPr>
                <w:sz w:val="20"/>
                <w:szCs w:val="20"/>
                <w:color w:val="auto"/>
              </w:rPr>
            </w:pPr>
            <w:r>
              <w:rPr>
                <w:rFonts w:ascii="Arial" w:cs="Arial" w:eastAsia="Arial" w:hAnsi="Arial"/>
                <w:sz w:val="13"/>
                <w:szCs w:val="13"/>
                <w:b w:val="1"/>
                <w:bCs w:val="1"/>
                <w:color w:val="FFFFFF"/>
                <w:w w:val="92"/>
              </w:rPr>
              <w:t>Mr.</w:t>
            </w:r>
          </w:p>
        </w:tc>
        <w:tc>
          <w:tcPr>
            <w:tcW w:w="10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Ms.</w:t>
            </w:r>
          </w:p>
        </w:tc>
      </w:tr>
      <w:tr>
        <w:trPr>
          <w:trHeight w:val="142"/>
        </w:trPr>
        <w:tc>
          <w:tcPr>
            <w:tcW w:w="3840" w:type="dxa"/>
            <w:vAlign w:val="bottom"/>
            <w:shd w:val="clear" w:color="auto" w:fill="307CC0"/>
          </w:tcPr>
          <w:p>
            <w:pPr>
              <w:spacing w:after="0"/>
              <w:rPr>
                <w:sz w:val="12"/>
                <w:szCs w:val="12"/>
                <w:color w:val="auto"/>
              </w:rPr>
            </w:pPr>
          </w:p>
        </w:tc>
        <w:tc>
          <w:tcPr>
            <w:tcW w:w="11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Bassham</w:t>
            </w:r>
          </w:p>
        </w:tc>
        <w:tc>
          <w:tcPr>
            <w:tcW w:w="10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7"/>
              </w:rPr>
              <w:t>Bryant</w:t>
            </w:r>
          </w:p>
        </w:tc>
        <w:tc>
          <w:tcPr>
            <w:tcW w:w="1060" w:type="dxa"/>
            <w:vAlign w:val="bottom"/>
            <w:shd w:val="clear" w:color="auto" w:fill="307CC0"/>
          </w:tcPr>
          <w:p>
            <w:pPr>
              <w:jc w:val="center"/>
              <w:ind w:right="19"/>
              <w:spacing w:after="0" w:line="143" w:lineRule="exact"/>
              <w:rPr>
                <w:sz w:val="20"/>
                <w:szCs w:val="20"/>
                <w:color w:val="auto"/>
              </w:rPr>
            </w:pPr>
            <w:r>
              <w:rPr>
                <w:rFonts w:ascii="Arial" w:cs="Arial" w:eastAsia="Arial" w:hAnsi="Arial"/>
                <w:sz w:val="13"/>
                <w:szCs w:val="13"/>
                <w:b w:val="1"/>
                <w:bCs w:val="1"/>
                <w:color w:val="FFFFFF"/>
              </w:rPr>
              <w:t>Greenwood</w:t>
            </w:r>
          </w:p>
        </w:tc>
        <w:tc>
          <w:tcPr>
            <w:tcW w:w="1040" w:type="dxa"/>
            <w:vAlign w:val="bottom"/>
            <w:shd w:val="clear" w:color="auto" w:fill="307CC0"/>
          </w:tcPr>
          <w:p>
            <w:pPr>
              <w:jc w:val="center"/>
              <w:ind w:right="19"/>
              <w:spacing w:after="0" w:line="143" w:lineRule="exact"/>
              <w:rPr>
                <w:sz w:val="20"/>
                <w:szCs w:val="20"/>
                <w:color w:val="auto"/>
              </w:rPr>
            </w:pPr>
            <w:r>
              <w:rPr>
                <w:rFonts w:ascii="Arial" w:cs="Arial" w:eastAsia="Arial" w:hAnsi="Arial"/>
                <w:sz w:val="13"/>
                <w:szCs w:val="13"/>
                <w:b w:val="1"/>
                <w:bCs w:val="1"/>
                <w:color w:val="FFFFFF"/>
                <w:w w:val="97"/>
              </w:rPr>
              <w:t>Somma</w:t>
            </w:r>
          </w:p>
        </w:tc>
        <w:tc>
          <w:tcPr>
            <w:tcW w:w="100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6"/>
              </w:rPr>
              <w:t>Humphrey</w:t>
            </w:r>
          </w:p>
        </w:tc>
      </w:tr>
      <w:tr>
        <w:trPr>
          <w:trHeight w:val="185"/>
        </w:trPr>
        <w:tc>
          <w:tcPr>
            <w:tcW w:w="384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Benefit</w:t>
            </w:r>
          </w:p>
        </w:tc>
        <w:tc>
          <w:tcPr>
            <w:tcW w:w="11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307CC0"/>
          </w:tcPr>
          <w:p>
            <w:pPr>
              <w:jc w:val="center"/>
              <w:ind w:right="19"/>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307CC0"/>
          </w:tcPr>
          <w:p>
            <w:pPr>
              <w:jc w:val="center"/>
              <w:ind w:right="39"/>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87"/>
              </w:rPr>
              <w:t>($)</w:t>
            </w:r>
          </w:p>
        </w:tc>
      </w:tr>
      <w:tr>
        <w:trPr>
          <w:trHeight w:val="220"/>
        </w:trPr>
        <w:tc>
          <w:tcPr>
            <w:tcW w:w="3840" w:type="dxa"/>
            <w:vAlign w:val="bottom"/>
            <w:tcBorders>
              <w:bottom w:val="single" w:sz="8" w:color="307CC0"/>
            </w:tcBorders>
            <w:shd w:val="clear" w:color="auto" w:fill="CCEEFF"/>
          </w:tcPr>
          <w:p>
            <w:pPr>
              <w:ind w:left="40"/>
              <w:spacing w:after="0" w:line="220" w:lineRule="exact"/>
              <w:rPr>
                <w:sz w:val="20"/>
                <w:szCs w:val="20"/>
                <w:color w:val="auto"/>
              </w:rPr>
            </w:pPr>
            <w:r>
              <w:rPr>
                <w:rFonts w:ascii="Arial" w:cs="Arial" w:eastAsia="Arial" w:hAnsi="Arial"/>
                <w:sz w:val="16"/>
                <w:szCs w:val="16"/>
                <w:color w:val="auto"/>
              </w:rPr>
              <w:t>Two Times Salary</w:t>
            </w:r>
            <w:r>
              <w:rPr>
                <w:rFonts w:ascii="Arial" w:cs="Arial" w:eastAsia="Arial" w:hAnsi="Arial"/>
                <w:sz w:val="25"/>
                <w:szCs w:val="25"/>
                <w:color w:val="auto"/>
                <w:vertAlign w:val="superscript"/>
              </w:rPr>
              <w:t>(1)</w:t>
            </w:r>
          </w:p>
        </w:tc>
        <w:tc>
          <w:tcPr>
            <w:tcW w:w="118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1,900,000</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1,040,000</w:t>
            </w:r>
          </w:p>
        </w:tc>
        <w:tc>
          <w:tcPr>
            <w:tcW w:w="10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1,040,000</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990,000</w:t>
            </w:r>
          </w:p>
        </w:tc>
        <w:tc>
          <w:tcPr>
            <w:tcW w:w="1000" w:type="dxa"/>
            <w:vAlign w:val="bottom"/>
            <w:tcBorders>
              <w:bottom w:val="single" w:sz="8" w:color="307CC0"/>
            </w:tcBorders>
            <w:shd w:val="clear" w:color="auto" w:fill="CCEEFF"/>
          </w:tcPr>
          <w:p>
            <w:pPr>
              <w:jc w:val="right"/>
              <w:ind w:right="19"/>
              <w:spacing w:after="0"/>
              <w:rPr>
                <w:sz w:val="20"/>
                <w:szCs w:val="20"/>
                <w:color w:val="auto"/>
              </w:rPr>
            </w:pPr>
            <w:r>
              <w:rPr>
                <w:rFonts w:ascii="Arial" w:cs="Arial" w:eastAsia="Arial" w:hAnsi="Arial"/>
                <w:sz w:val="17"/>
                <w:szCs w:val="17"/>
                <w:color w:val="auto"/>
              </w:rPr>
              <w:t>968,000</w:t>
            </w:r>
          </w:p>
        </w:tc>
      </w:tr>
      <w:tr>
        <w:trPr>
          <w:trHeight w:val="213"/>
        </w:trPr>
        <w:tc>
          <w:tcPr>
            <w:tcW w:w="3840" w:type="dxa"/>
            <w:vAlign w:val="bottom"/>
            <w:tcBorders>
              <w:bottom w:val="single" w:sz="8" w:color="307CC0"/>
            </w:tcBorders>
            <w:shd w:val="clear" w:color="auto" w:fill="D6E7FF"/>
          </w:tcPr>
          <w:p>
            <w:pPr>
              <w:ind w:left="40"/>
              <w:spacing w:after="0" w:line="212" w:lineRule="exact"/>
              <w:rPr>
                <w:sz w:val="20"/>
                <w:szCs w:val="20"/>
                <w:color w:val="auto"/>
              </w:rPr>
            </w:pPr>
            <w:r>
              <w:rPr>
                <w:rFonts w:ascii="Arial" w:cs="Arial" w:eastAsia="Arial" w:hAnsi="Arial"/>
                <w:sz w:val="15"/>
                <w:szCs w:val="15"/>
                <w:color w:val="auto"/>
              </w:rPr>
              <w:t>Two Times Bonus</w:t>
            </w:r>
            <w:r>
              <w:rPr>
                <w:rFonts w:ascii="Arial" w:cs="Arial" w:eastAsia="Arial" w:hAnsi="Arial"/>
                <w:sz w:val="24"/>
                <w:szCs w:val="24"/>
                <w:color w:val="auto"/>
                <w:vertAlign w:val="superscript"/>
              </w:rPr>
              <w:t>(2)</w:t>
            </w:r>
          </w:p>
        </w:tc>
        <w:tc>
          <w:tcPr>
            <w:tcW w:w="118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1,390,816</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478,418</w:t>
            </w:r>
          </w:p>
        </w:tc>
        <w:tc>
          <w:tcPr>
            <w:tcW w:w="10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564,928</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537,768</w:t>
            </w:r>
          </w:p>
        </w:tc>
        <w:tc>
          <w:tcPr>
            <w:tcW w:w="1000" w:type="dxa"/>
            <w:vAlign w:val="bottom"/>
            <w:tcBorders>
              <w:bottom w:val="single" w:sz="8" w:color="307CC0"/>
            </w:tcBorders>
            <w:shd w:val="clear" w:color="auto" w:fill="D6E7FF"/>
          </w:tcPr>
          <w:p>
            <w:pPr>
              <w:jc w:val="right"/>
              <w:ind w:right="19"/>
              <w:spacing w:after="0"/>
              <w:rPr>
                <w:sz w:val="20"/>
                <w:szCs w:val="20"/>
                <w:color w:val="auto"/>
              </w:rPr>
            </w:pPr>
            <w:r>
              <w:rPr>
                <w:rFonts w:ascii="Arial" w:cs="Arial" w:eastAsia="Arial" w:hAnsi="Arial"/>
                <w:sz w:val="17"/>
                <w:szCs w:val="17"/>
                <w:color w:val="auto"/>
              </w:rPr>
              <w:t>464,347</w:t>
            </w:r>
          </w:p>
        </w:tc>
      </w:tr>
      <w:tr>
        <w:trPr>
          <w:trHeight w:val="213"/>
        </w:trPr>
        <w:tc>
          <w:tcPr>
            <w:tcW w:w="3840" w:type="dxa"/>
            <w:vAlign w:val="bottom"/>
            <w:tcBorders>
              <w:bottom w:val="single" w:sz="8" w:color="307CC0"/>
            </w:tcBorders>
            <w:shd w:val="clear" w:color="auto" w:fill="CCEEFF"/>
          </w:tcPr>
          <w:p>
            <w:pPr>
              <w:ind w:left="40"/>
              <w:spacing w:after="0" w:line="212" w:lineRule="exact"/>
              <w:rPr>
                <w:sz w:val="20"/>
                <w:szCs w:val="20"/>
                <w:color w:val="auto"/>
              </w:rPr>
            </w:pPr>
            <w:r>
              <w:rPr>
                <w:rFonts w:ascii="Arial" w:cs="Arial" w:eastAsia="Arial" w:hAnsi="Arial"/>
                <w:sz w:val="15"/>
                <w:szCs w:val="15"/>
                <w:color w:val="auto"/>
              </w:rPr>
              <w:t>Annual Bonus</w:t>
            </w:r>
            <w:r>
              <w:rPr>
                <w:rFonts w:ascii="Arial" w:cs="Arial" w:eastAsia="Arial" w:hAnsi="Arial"/>
                <w:sz w:val="24"/>
                <w:szCs w:val="24"/>
                <w:color w:val="auto"/>
                <w:vertAlign w:val="superscript"/>
              </w:rPr>
              <w:t>(3)</w:t>
            </w:r>
          </w:p>
        </w:tc>
        <w:tc>
          <w:tcPr>
            <w:tcW w:w="118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950,000</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416,000</w:t>
            </w:r>
          </w:p>
        </w:tc>
        <w:tc>
          <w:tcPr>
            <w:tcW w:w="10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416,000</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396,000</w:t>
            </w:r>
          </w:p>
        </w:tc>
        <w:tc>
          <w:tcPr>
            <w:tcW w:w="1000" w:type="dxa"/>
            <w:vAlign w:val="bottom"/>
            <w:tcBorders>
              <w:bottom w:val="single" w:sz="8" w:color="307CC0"/>
            </w:tcBorders>
            <w:shd w:val="clear" w:color="auto" w:fill="CCEEFF"/>
          </w:tcPr>
          <w:p>
            <w:pPr>
              <w:jc w:val="right"/>
              <w:ind w:right="19"/>
              <w:spacing w:after="0"/>
              <w:rPr>
                <w:sz w:val="20"/>
                <w:szCs w:val="20"/>
                <w:color w:val="auto"/>
              </w:rPr>
            </w:pPr>
            <w:r>
              <w:rPr>
                <w:rFonts w:ascii="Arial" w:cs="Arial" w:eastAsia="Arial" w:hAnsi="Arial"/>
                <w:sz w:val="17"/>
                <w:szCs w:val="17"/>
                <w:color w:val="auto"/>
              </w:rPr>
              <w:t>314,600</w:t>
            </w:r>
          </w:p>
        </w:tc>
      </w:tr>
      <w:tr>
        <w:trPr>
          <w:trHeight w:val="213"/>
        </w:trPr>
        <w:tc>
          <w:tcPr>
            <w:tcW w:w="3840" w:type="dxa"/>
            <w:vAlign w:val="bottom"/>
            <w:tcBorders>
              <w:bottom w:val="single" w:sz="8" w:color="307CC0"/>
            </w:tcBorders>
            <w:shd w:val="clear" w:color="auto" w:fill="D6E7FF"/>
          </w:tcPr>
          <w:p>
            <w:pPr>
              <w:ind w:left="40"/>
              <w:spacing w:after="0" w:line="212" w:lineRule="exact"/>
              <w:rPr>
                <w:sz w:val="20"/>
                <w:szCs w:val="20"/>
                <w:color w:val="auto"/>
              </w:rPr>
            </w:pPr>
            <w:r>
              <w:rPr>
                <w:rFonts w:ascii="Arial" w:cs="Arial" w:eastAsia="Arial" w:hAnsi="Arial"/>
                <w:sz w:val="15"/>
                <w:szCs w:val="15"/>
                <w:color w:val="auto"/>
              </w:rPr>
              <w:t xml:space="preserve">Retirement Benefit Enhancement </w:t>
            </w:r>
            <w:r>
              <w:rPr>
                <w:rFonts w:ascii="Arial" w:cs="Arial" w:eastAsia="Arial" w:hAnsi="Arial"/>
                <w:sz w:val="24"/>
                <w:szCs w:val="24"/>
                <w:color w:val="auto"/>
                <w:vertAlign w:val="superscript"/>
              </w:rPr>
              <w:t>(4)</w:t>
            </w:r>
          </w:p>
        </w:tc>
        <w:tc>
          <w:tcPr>
            <w:tcW w:w="118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804,992</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123,433</w:t>
            </w:r>
          </w:p>
        </w:tc>
        <w:tc>
          <w:tcPr>
            <w:tcW w:w="10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519,418</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477,508</w:t>
            </w:r>
          </w:p>
        </w:tc>
        <w:tc>
          <w:tcPr>
            <w:tcW w:w="1000" w:type="dxa"/>
            <w:vAlign w:val="bottom"/>
            <w:tcBorders>
              <w:bottom w:val="single" w:sz="8" w:color="307CC0"/>
            </w:tcBorders>
            <w:shd w:val="clear" w:color="auto" w:fill="D6E7FF"/>
          </w:tcPr>
          <w:p>
            <w:pPr>
              <w:jc w:val="right"/>
              <w:ind w:right="19"/>
              <w:spacing w:after="0"/>
              <w:rPr>
                <w:sz w:val="20"/>
                <w:szCs w:val="20"/>
                <w:color w:val="auto"/>
              </w:rPr>
            </w:pPr>
            <w:r>
              <w:rPr>
                <w:rFonts w:ascii="Arial" w:cs="Arial" w:eastAsia="Arial" w:hAnsi="Arial"/>
                <w:sz w:val="17"/>
                <w:szCs w:val="17"/>
                <w:color w:val="auto"/>
              </w:rPr>
              <w:t>147,868</w:t>
            </w:r>
          </w:p>
        </w:tc>
      </w:tr>
      <w:tr>
        <w:trPr>
          <w:trHeight w:val="213"/>
        </w:trPr>
        <w:tc>
          <w:tcPr>
            <w:tcW w:w="3840" w:type="dxa"/>
            <w:vAlign w:val="bottom"/>
            <w:tcBorders>
              <w:bottom w:val="single" w:sz="8" w:color="307CC0"/>
            </w:tcBorders>
            <w:shd w:val="clear" w:color="auto" w:fill="CCEEFF"/>
          </w:tcPr>
          <w:p>
            <w:pPr>
              <w:ind w:left="40"/>
              <w:spacing w:after="0" w:line="212" w:lineRule="exact"/>
              <w:rPr>
                <w:sz w:val="20"/>
                <w:szCs w:val="20"/>
                <w:color w:val="auto"/>
              </w:rPr>
            </w:pPr>
            <w:r>
              <w:rPr>
                <w:rFonts w:ascii="Arial" w:cs="Arial" w:eastAsia="Arial" w:hAnsi="Arial"/>
                <w:sz w:val="15"/>
                <w:szCs w:val="15"/>
                <w:color w:val="auto"/>
              </w:rPr>
              <w:t>Performance Share Awards Vesting</w:t>
            </w:r>
            <w:r>
              <w:rPr>
                <w:rFonts w:ascii="Arial" w:cs="Arial" w:eastAsia="Arial" w:hAnsi="Arial"/>
                <w:sz w:val="24"/>
                <w:szCs w:val="24"/>
                <w:color w:val="auto"/>
                <w:vertAlign w:val="superscript"/>
              </w:rPr>
              <w:t>(5)</w:t>
            </w:r>
          </w:p>
        </w:tc>
        <w:tc>
          <w:tcPr>
            <w:tcW w:w="118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8,532,648</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2,210,261</w:t>
            </w:r>
          </w:p>
        </w:tc>
        <w:tc>
          <w:tcPr>
            <w:tcW w:w="10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661,379</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629,616</w:t>
            </w:r>
          </w:p>
        </w:tc>
        <w:tc>
          <w:tcPr>
            <w:tcW w:w="1000" w:type="dxa"/>
            <w:vAlign w:val="bottom"/>
            <w:tcBorders>
              <w:bottom w:val="single" w:sz="8" w:color="307CC0"/>
            </w:tcBorders>
            <w:shd w:val="clear" w:color="auto" w:fill="CCEEFF"/>
          </w:tcPr>
          <w:p>
            <w:pPr>
              <w:jc w:val="right"/>
              <w:ind w:right="19"/>
              <w:spacing w:after="0"/>
              <w:rPr>
                <w:sz w:val="20"/>
                <w:szCs w:val="20"/>
                <w:color w:val="auto"/>
              </w:rPr>
            </w:pPr>
            <w:r>
              <w:rPr>
                <w:rFonts w:ascii="Arial" w:cs="Arial" w:eastAsia="Arial" w:hAnsi="Arial"/>
                <w:sz w:val="17"/>
                <w:szCs w:val="17"/>
                <w:color w:val="auto"/>
              </w:rPr>
              <w:t>1,677,760</w:t>
            </w:r>
          </w:p>
        </w:tc>
      </w:tr>
      <w:tr>
        <w:trPr>
          <w:trHeight w:val="213"/>
        </w:trPr>
        <w:tc>
          <w:tcPr>
            <w:tcW w:w="3840" w:type="dxa"/>
            <w:vAlign w:val="bottom"/>
            <w:tcBorders>
              <w:bottom w:val="single" w:sz="8" w:color="307CC0"/>
            </w:tcBorders>
            <w:shd w:val="clear" w:color="auto" w:fill="D6E7FF"/>
          </w:tcPr>
          <w:p>
            <w:pPr>
              <w:ind w:left="40"/>
              <w:spacing w:after="0" w:line="212" w:lineRule="exact"/>
              <w:rPr>
                <w:sz w:val="20"/>
                <w:szCs w:val="20"/>
                <w:color w:val="auto"/>
              </w:rPr>
            </w:pPr>
            <w:r>
              <w:rPr>
                <w:rFonts w:ascii="Arial" w:cs="Arial" w:eastAsia="Arial" w:hAnsi="Arial"/>
                <w:sz w:val="15"/>
                <w:szCs w:val="15"/>
                <w:color w:val="auto"/>
              </w:rPr>
              <w:t>Restricted Stock (Units) Vesting</w:t>
            </w:r>
            <w:r>
              <w:rPr>
                <w:rFonts w:ascii="Arial" w:cs="Arial" w:eastAsia="Arial" w:hAnsi="Arial"/>
                <w:sz w:val="24"/>
                <w:szCs w:val="24"/>
                <w:color w:val="auto"/>
                <w:vertAlign w:val="superscript"/>
              </w:rPr>
              <w:t>(6)</w:t>
            </w:r>
          </w:p>
        </w:tc>
        <w:tc>
          <w:tcPr>
            <w:tcW w:w="118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4,086,090</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1,564,308</w:t>
            </w:r>
          </w:p>
        </w:tc>
        <w:tc>
          <w:tcPr>
            <w:tcW w:w="10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1,026,144</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935,408</w:t>
            </w:r>
          </w:p>
        </w:tc>
        <w:tc>
          <w:tcPr>
            <w:tcW w:w="1000" w:type="dxa"/>
            <w:vAlign w:val="bottom"/>
            <w:tcBorders>
              <w:bottom w:val="single" w:sz="8" w:color="307CC0"/>
            </w:tcBorders>
            <w:shd w:val="clear" w:color="auto" w:fill="D6E7FF"/>
          </w:tcPr>
          <w:p>
            <w:pPr>
              <w:jc w:val="right"/>
              <w:ind w:right="19"/>
              <w:spacing w:after="0"/>
              <w:rPr>
                <w:sz w:val="20"/>
                <w:szCs w:val="20"/>
                <w:color w:val="auto"/>
              </w:rPr>
            </w:pPr>
            <w:r>
              <w:rPr>
                <w:rFonts w:ascii="Arial" w:cs="Arial" w:eastAsia="Arial" w:hAnsi="Arial"/>
                <w:sz w:val="17"/>
                <w:szCs w:val="17"/>
                <w:color w:val="auto"/>
              </w:rPr>
              <w:t>1,389,541</w:t>
            </w:r>
          </w:p>
        </w:tc>
      </w:tr>
      <w:tr>
        <w:trPr>
          <w:trHeight w:val="213"/>
        </w:trPr>
        <w:tc>
          <w:tcPr>
            <w:tcW w:w="3840" w:type="dxa"/>
            <w:vAlign w:val="bottom"/>
            <w:tcBorders>
              <w:bottom w:val="single" w:sz="8" w:color="307CC0"/>
            </w:tcBorders>
            <w:shd w:val="clear" w:color="auto" w:fill="CCEEFF"/>
          </w:tcPr>
          <w:p>
            <w:pPr>
              <w:ind w:left="40"/>
              <w:spacing w:after="0" w:line="212" w:lineRule="exact"/>
              <w:rPr>
                <w:sz w:val="20"/>
                <w:szCs w:val="20"/>
                <w:color w:val="auto"/>
              </w:rPr>
            </w:pPr>
            <w:r>
              <w:rPr>
                <w:rFonts w:ascii="Arial" w:cs="Arial" w:eastAsia="Arial" w:hAnsi="Arial"/>
                <w:sz w:val="15"/>
                <w:szCs w:val="15"/>
                <w:color w:val="auto"/>
              </w:rPr>
              <w:t>Health and Welfare</w:t>
            </w:r>
            <w:r>
              <w:rPr>
                <w:rFonts w:ascii="Arial" w:cs="Arial" w:eastAsia="Arial" w:hAnsi="Arial"/>
                <w:sz w:val="24"/>
                <w:szCs w:val="24"/>
                <w:color w:val="auto"/>
                <w:vertAlign w:val="superscript"/>
              </w:rPr>
              <w:t>(7)</w:t>
            </w:r>
          </w:p>
        </w:tc>
        <w:tc>
          <w:tcPr>
            <w:tcW w:w="118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69,121</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67,955</w:t>
            </w:r>
          </w:p>
        </w:tc>
        <w:tc>
          <w:tcPr>
            <w:tcW w:w="10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64,807</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65,163</w:t>
            </w:r>
          </w:p>
        </w:tc>
        <w:tc>
          <w:tcPr>
            <w:tcW w:w="1000" w:type="dxa"/>
            <w:vAlign w:val="bottom"/>
            <w:tcBorders>
              <w:bottom w:val="single" w:sz="8" w:color="307CC0"/>
            </w:tcBorders>
            <w:shd w:val="clear" w:color="auto" w:fill="CCEEFF"/>
          </w:tcPr>
          <w:p>
            <w:pPr>
              <w:jc w:val="right"/>
              <w:ind w:right="19"/>
              <w:spacing w:after="0"/>
              <w:rPr>
                <w:sz w:val="20"/>
                <w:szCs w:val="20"/>
                <w:color w:val="auto"/>
              </w:rPr>
            </w:pPr>
            <w:r>
              <w:rPr>
                <w:rFonts w:ascii="Arial" w:cs="Arial" w:eastAsia="Arial" w:hAnsi="Arial"/>
                <w:sz w:val="17"/>
                <w:szCs w:val="17"/>
                <w:color w:val="auto"/>
              </w:rPr>
              <w:t>50,726</w:t>
            </w:r>
          </w:p>
        </w:tc>
      </w:tr>
      <w:tr>
        <w:trPr>
          <w:trHeight w:val="213"/>
        </w:trPr>
        <w:tc>
          <w:tcPr>
            <w:tcW w:w="384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Accrued Vacation</w:t>
            </w:r>
          </w:p>
        </w:tc>
        <w:tc>
          <w:tcPr>
            <w:tcW w:w="118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73,077</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40,000</w:t>
            </w:r>
          </w:p>
        </w:tc>
        <w:tc>
          <w:tcPr>
            <w:tcW w:w="10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color w:val="auto"/>
              </w:rPr>
              <w:t>15,231</w:t>
            </w:r>
          </w:p>
        </w:tc>
        <w:tc>
          <w:tcPr>
            <w:tcW w:w="1000" w:type="dxa"/>
            <w:vAlign w:val="bottom"/>
            <w:tcBorders>
              <w:bottom w:val="single" w:sz="8" w:color="307CC0"/>
            </w:tcBorders>
            <w:shd w:val="clear" w:color="auto" w:fill="D6E7FF"/>
          </w:tcPr>
          <w:p>
            <w:pPr>
              <w:jc w:val="right"/>
              <w:ind w:right="19"/>
              <w:spacing w:after="0"/>
              <w:rPr>
                <w:sz w:val="20"/>
                <w:szCs w:val="20"/>
                <w:color w:val="auto"/>
              </w:rPr>
            </w:pPr>
            <w:r>
              <w:rPr>
                <w:rFonts w:ascii="Arial" w:cs="Arial" w:eastAsia="Arial" w:hAnsi="Arial"/>
                <w:sz w:val="17"/>
                <w:szCs w:val="17"/>
                <w:color w:val="auto"/>
              </w:rPr>
              <w:t>37,231</w:t>
            </w:r>
          </w:p>
        </w:tc>
      </w:tr>
      <w:tr>
        <w:trPr>
          <w:trHeight w:val="213"/>
        </w:trPr>
        <w:tc>
          <w:tcPr>
            <w:tcW w:w="3840" w:type="dxa"/>
            <w:vAlign w:val="bottom"/>
            <w:tcBorders>
              <w:bottom w:val="single" w:sz="8" w:color="307CC0"/>
            </w:tcBorders>
            <w:shd w:val="clear" w:color="auto" w:fill="CCEEFF"/>
          </w:tcPr>
          <w:p>
            <w:pPr>
              <w:ind w:left="40"/>
              <w:spacing w:after="0" w:line="212" w:lineRule="exact"/>
              <w:rPr>
                <w:sz w:val="20"/>
                <w:szCs w:val="20"/>
                <w:color w:val="auto"/>
              </w:rPr>
            </w:pPr>
            <w:r>
              <w:rPr>
                <w:rFonts w:ascii="Arial" w:cs="Arial" w:eastAsia="Arial" w:hAnsi="Arial"/>
                <w:sz w:val="15"/>
                <w:szCs w:val="15"/>
                <w:color w:val="auto"/>
              </w:rPr>
              <w:t>Tax Gross-Up</w:t>
            </w:r>
            <w:r>
              <w:rPr>
                <w:rFonts w:ascii="Arial" w:cs="Arial" w:eastAsia="Arial" w:hAnsi="Arial"/>
                <w:sz w:val="24"/>
                <w:szCs w:val="24"/>
                <w:color w:val="auto"/>
                <w:vertAlign w:val="superscript"/>
              </w:rPr>
              <w:t>(8)</w:t>
            </w:r>
          </w:p>
        </w:tc>
        <w:tc>
          <w:tcPr>
            <w:tcW w:w="118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307CC0"/>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307CC0"/>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13"/>
        </w:trPr>
        <w:tc>
          <w:tcPr>
            <w:tcW w:w="384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Total</w:t>
            </w:r>
          </w:p>
        </w:tc>
        <w:tc>
          <w:tcPr>
            <w:tcW w:w="118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b w:val="1"/>
                <w:bCs w:val="1"/>
                <w:color w:val="auto"/>
              </w:rPr>
              <w:t>17,806,744</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b w:val="1"/>
                <w:bCs w:val="1"/>
                <w:color w:val="auto"/>
              </w:rPr>
              <w:t>5,940,375</w:t>
            </w:r>
          </w:p>
        </w:tc>
        <w:tc>
          <w:tcPr>
            <w:tcW w:w="106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b w:val="1"/>
                <w:bCs w:val="1"/>
                <w:color w:val="auto"/>
              </w:rPr>
              <w:t>4,292,676</w:t>
            </w:r>
          </w:p>
        </w:tc>
        <w:tc>
          <w:tcPr>
            <w:tcW w:w="1040" w:type="dxa"/>
            <w:vAlign w:val="bottom"/>
            <w:tcBorders>
              <w:bottom w:val="single" w:sz="8" w:color="307CC0"/>
            </w:tcBorders>
            <w:shd w:val="clear" w:color="auto" w:fill="D6E7FF"/>
          </w:tcPr>
          <w:p>
            <w:pPr>
              <w:jc w:val="right"/>
              <w:ind w:right="59"/>
              <w:spacing w:after="0"/>
              <w:rPr>
                <w:sz w:val="20"/>
                <w:szCs w:val="20"/>
                <w:color w:val="auto"/>
              </w:rPr>
            </w:pPr>
            <w:r>
              <w:rPr>
                <w:rFonts w:ascii="Arial" w:cs="Arial" w:eastAsia="Arial" w:hAnsi="Arial"/>
                <w:sz w:val="17"/>
                <w:szCs w:val="17"/>
                <w:b w:val="1"/>
                <w:bCs w:val="1"/>
                <w:color w:val="auto"/>
              </w:rPr>
              <w:t>4,046,694</w:t>
            </w:r>
          </w:p>
        </w:tc>
        <w:tc>
          <w:tcPr>
            <w:tcW w:w="1000" w:type="dxa"/>
            <w:vAlign w:val="bottom"/>
            <w:tcBorders>
              <w:bottom w:val="single" w:sz="8" w:color="307CC0"/>
            </w:tcBorders>
            <w:shd w:val="clear" w:color="auto" w:fill="D6E7FF"/>
          </w:tcPr>
          <w:p>
            <w:pPr>
              <w:jc w:val="right"/>
              <w:ind w:right="19"/>
              <w:spacing w:after="0"/>
              <w:rPr>
                <w:sz w:val="20"/>
                <w:szCs w:val="20"/>
                <w:color w:val="auto"/>
              </w:rPr>
            </w:pPr>
            <w:r>
              <w:rPr>
                <w:rFonts w:ascii="Arial" w:cs="Arial" w:eastAsia="Arial" w:hAnsi="Arial"/>
                <w:sz w:val="17"/>
                <w:szCs w:val="17"/>
                <w:b w:val="1"/>
                <w:bCs w:val="1"/>
                <w:color w:val="auto"/>
              </w:rPr>
              <w:t>5,050,073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-1484630</wp:posOffset>
            </wp:positionV>
            <wp:extent cx="5808980" cy="147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-1189355</wp:posOffset>
            </wp:positionV>
            <wp:extent cx="5808980" cy="147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-893445</wp:posOffset>
            </wp:positionV>
            <wp:extent cx="5808980" cy="147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-598170</wp:posOffset>
            </wp:positionV>
            <wp:extent cx="5808980" cy="147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-302895</wp:posOffset>
            </wp:positionV>
            <wp:extent cx="5808980" cy="147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88" w:lineRule="exact"/>
        <w:rPr>
          <w:sz w:val="20"/>
          <w:szCs w:val="20"/>
          <w:color w:val="auto"/>
        </w:rPr>
      </w:pPr>
    </w:p>
    <w:p>
      <w:pPr>
        <w:ind w:left="340" w:hanging="330"/>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NEOs receive two times their highest annual base salary during the twelve-month period prior to the date of termination.</w:t>
      </w:r>
    </w:p>
    <w:p>
      <w:pPr>
        <w:spacing w:after="0" w:line="97" w:lineRule="exact"/>
        <w:rPr>
          <w:rFonts w:ascii="Arial" w:cs="Arial" w:eastAsia="Arial" w:hAnsi="Arial"/>
          <w:sz w:val="14"/>
          <w:szCs w:val="14"/>
          <w:color w:val="auto"/>
        </w:rPr>
      </w:pPr>
    </w:p>
    <w:p>
      <w:pPr>
        <w:ind w:left="340" w:hanging="330"/>
        <w:spacing w:after="0" w:line="23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NEOs receive two times their average annualized amount paid during the five fiscal years immediately preceding the year in which the Change-in-Control occurs.</w:t>
      </w:r>
    </w:p>
    <w:p>
      <w:pPr>
        <w:spacing w:after="0" w:line="94" w:lineRule="exact"/>
        <w:rPr>
          <w:rFonts w:ascii="Arial" w:cs="Arial" w:eastAsia="Arial" w:hAnsi="Arial"/>
          <w:sz w:val="14"/>
          <w:szCs w:val="14"/>
          <w:color w:val="auto"/>
        </w:rPr>
      </w:pPr>
    </w:p>
    <w:p>
      <w:pPr>
        <w:ind w:left="340" w:right="20" w:hanging="330"/>
        <w:spacing w:after="0" w:line="23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amounts reflect an accrued bonus for each NEO for the fiscal year ended December 31, 2019 based on target achievement which would be payable under the annual incentive plan regardless of the Change-in-Control.</w:t>
      </w:r>
    </w:p>
    <w:p>
      <w:pPr>
        <w:spacing w:after="0" w:line="94" w:lineRule="exact"/>
        <w:rPr>
          <w:rFonts w:ascii="Arial" w:cs="Arial" w:eastAsia="Arial" w:hAnsi="Arial"/>
          <w:sz w:val="14"/>
          <w:szCs w:val="14"/>
          <w:color w:val="auto"/>
        </w:rPr>
      </w:pPr>
    </w:p>
    <w:p>
      <w:pPr>
        <w:ind w:left="340" w:hanging="330"/>
        <w:spacing w:after="0" w:line="23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reflect the present value of the benefit arising from additional years of service credited upon a Change-in-Control. The NEOs are credited for two additional years of service. These benefits are paid through our SERP and Retirement Restoration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8089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54" w:name="page55"/>
    <w:bookmarkEnd w:id="54"/>
    <w:p>
      <w:pPr>
        <w:ind w:left="1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7" w:lineRule="exact"/>
        <w:rPr>
          <w:sz w:val="20"/>
          <w:szCs w:val="20"/>
          <w:color w:val="auto"/>
        </w:rPr>
      </w:pPr>
    </w:p>
    <w:p>
      <w:pPr>
        <w:jc w:val="both"/>
        <w:ind w:left="330" w:hanging="330"/>
        <w:spacing w:after="0" w:line="235" w:lineRule="auto"/>
        <w:tabs>
          <w:tab w:leader="none" w:pos="33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event of a Change-in-Control and termination of employment without cause or for good reason, the LTIP provides that all performance-based restricted stock units and performance share grants are deemed to have been fully earned. The amounts shown reflect the aggregate target number of performance shares, valued at the $65.09 closing price of our stock on December 31, 2019, plus accrued cash dividends.</w:t>
      </w:r>
    </w:p>
    <w:p>
      <w:pPr>
        <w:spacing w:after="0" w:line="95" w:lineRule="exact"/>
        <w:rPr>
          <w:rFonts w:ascii="Arial" w:cs="Arial" w:eastAsia="Arial" w:hAnsi="Arial"/>
          <w:sz w:val="14"/>
          <w:szCs w:val="14"/>
          <w:color w:val="auto"/>
        </w:rPr>
      </w:pPr>
    </w:p>
    <w:p>
      <w:pPr>
        <w:jc w:val="both"/>
        <w:ind w:left="330" w:hanging="330"/>
        <w:spacing w:after="0" w:line="234" w:lineRule="auto"/>
        <w:tabs>
          <w:tab w:leader="none" w:pos="33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 the event of a Change-in-Control and termination of employment without cause or for good reason, the LTIP provides that all restrictions on restricted stock and restricted stock unit grants are removed. The amounts shown reflect the aggregate number of restricted stock (unit) grants outstanding as of December 31, 2019, plus reinvested dividends carrying the same restrictions, valued at the $65.09 closing price of our stock on December 31, 2019.</w:t>
      </w:r>
    </w:p>
    <w:p>
      <w:pPr>
        <w:spacing w:after="0" w:line="95" w:lineRule="exact"/>
        <w:rPr>
          <w:rFonts w:ascii="Arial" w:cs="Arial" w:eastAsia="Arial" w:hAnsi="Arial"/>
          <w:sz w:val="14"/>
          <w:szCs w:val="14"/>
          <w:color w:val="auto"/>
        </w:rPr>
      </w:pPr>
    </w:p>
    <w:p>
      <w:pPr>
        <w:jc w:val="both"/>
        <w:ind w:left="330" w:hanging="330"/>
        <w:spacing w:after="0" w:line="235" w:lineRule="auto"/>
        <w:tabs>
          <w:tab w:leader="none" w:pos="33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include medical, accident, disability and life insurance for two years following termination and are estimated based on the current premiums for medical coverage and premiums for private insurance coverage for the individuals, as well as for financial advisory services for one year.</w:t>
      </w:r>
    </w:p>
    <w:p>
      <w:pPr>
        <w:spacing w:after="0" w:line="95" w:lineRule="exact"/>
        <w:rPr>
          <w:rFonts w:ascii="Arial" w:cs="Arial" w:eastAsia="Arial" w:hAnsi="Arial"/>
          <w:sz w:val="14"/>
          <w:szCs w:val="14"/>
          <w:color w:val="auto"/>
        </w:rPr>
      </w:pPr>
    </w:p>
    <w:p>
      <w:pPr>
        <w:jc w:val="both"/>
        <w:ind w:left="330" w:hanging="330"/>
        <w:spacing w:after="0" w:line="261" w:lineRule="auto"/>
        <w:tabs>
          <w:tab w:leader="none" w:pos="330" w:val="left"/>
        </w:tabs>
        <w:numPr>
          <w:ilvl w:val="0"/>
          <w:numId w:val="51"/>
        </w:numPr>
        <w:rPr>
          <w:rFonts w:ascii="Arial" w:cs="Arial" w:eastAsia="Arial" w:hAnsi="Arial"/>
          <w:sz w:val="13"/>
          <w:szCs w:val="13"/>
          <w:color w:val="auto"/>
        </w:rPr>
      </w:pPr>
      <w:r>
        <w:rPr>
          <w:rFonts w:ascii="Arial" w:cs="Arial" w:eastAsia="Arial" w:hAnsi="Arial"/>
          <w:sz w:val="13"/>
          <w:szCs w:val="13"/>
          <w:color w:val="auto"/>
        </w:rPr>
        <w:t>Under our change-in-control agreements, officers are not entitled to a gross-up payment in connection with any payments and benefits received. Instead, the benefits payable in connection with a Change-in-Control will be reduced to the extent necessary to avoid the imposition of the excise taxes imposed by Section 4999, if such a reduction would result in greater after-tax benefits than if no such reduction had been made.</w:t>
      </w:r>
    </w:p>
    <w:p>
      <w:pPr>
        <w:spacing w:after="0" w:line="133" w:lineRule="exact"/>
        <w:rPr>
          <w:sz w:val="20"/>
          <w:szCs w:val="20"/>
          <w:color w:val="auto"/>
        </w:rPr>
      </w:pPr>
    </w:p>
    <w:p>
      <w:pPr>
        <w:ind w:left="10"/>
        <w:spacing w:after="0"/>
        <w:rPr>
          <w:sz w:val="20"/>
          <w:szCs w:val="20"/>
          <w:color w:val="auto"/>
        </w:rPr>
      </w:pPr>
      <w:r>
        <w:rPr>
          <w:rFonts w:ascii="Arial" w:cs="Arial" w:eastAsia="Arial" w:hAnsi="Arial"/>
          <w:sz w:val="17"/>
          <w:szCs w:val="17"/>
          <w:b w:val="1"/>
          <w:bCs w:val="1"/>
          <w:i w:val="1"/>
          <w:iCs w:val="1"/>
          <w:color w:val="auto"/>
        </w:rPr>
        <w:t>Payments under Legacy Change-in-Control Severance Agreements</w:t>
      </w:r>
    </w:p>
    <w:p>
      <w:pPr>
        <w:spacing w:after="0" w:line="122" w:lineRule="exact"/>
        <w:rPr>
          <w:sz w:val="20"/>
          <w:szCs w:val="20"/>
          <w:color w:val="auto"/>
        </w:rPr>
      </w:pPr>
    </w:p>
    <w:p>
      <w:pPr>
        <w:jc w:val="both"/>
        <w:ind w:left="10" w:firstLine="172"/>
        <w:spacing w:after="0" w:line="256" w:lineRule="auto"/>
        <w:rPr>
          <w:sz w:val="20"/>
          <w:szCs w:val="20"/>
          <w:color w:val="auto"/>
        </w:rPr>
      </w:pPr>
      <w:r>
        <w:rPr>
          <w:rFonts w:ascii="Arial" w:cs="Arial" w:eastAsia="Arial" w:hAnsi="Arial"/>
          <w:sz w:val="17"/>
          <w:szCs w:val="17"/>
          <w:color w:val="auto"/>
        </w:rPr>
        <w:t>As of December 31, 2019, we were bound by the change-in-control agreements that Great Plains Energy and Westar Energy had previously entered into with their officers. These legacy change-in-control agreements were replaced by the Evergy agreements described above in 2019 and will not apply to any transaction following the merger of Westar Energy and Great Plains Energy. The merger involving Great Plains Energy and Westar Energy constituted a change-in-control transaction under the agreements from both companies. Information regarding the terms of these legacy change-in-control agreements and the payments that would be made to our NEOs under these legacy agreements is included in Appendix B to this proxy statement.</w:t>
      </w:r>
    </w:p>
    <w:p>
      <w:pPr>
        <w:spacing w:after="0" w:line="136" w:lineRule="exact"/>
        <w:rPr>
          <w:sz w:val="20"/>
          <w:szCs w:val="20"/>
          <w:color w:val="auto"/>
        </w:rPr>
      </w:pPr>
    </w:p>
    <w:p>
      <w:pPr>
        <w:ind w:left="10"/>
        <w:spacing w:after="0"/>
        <w:rPr>
          <w:sz w:val="20"/>
          <w:szCs w:val="20"/>
          <w:color w:val="auto"/>
        </w:rPr>
      </w:pPr>
      <w:r>
        <w:rPr>
          <w:rFonts w:ascii="Arial" w:cs="Arial" w:eastAsia="Arial" w:hAnsi="Arial"/>
          <w:sz w:val="17"/>
          <w:szCs w:val="17"/>
          <w:b w:val="1"/>
          <w:bCs w:val="1"/>
          <w:i w:val="1"/>
          <w:iCs w:val="1"/>
          <w:color w:val="auto"/>
        </w:rPr>
        <w:t>Executive Severance Plan</w:t>
      </w:r>
    </w:p>
    <w:p>
      <w:pPr>
        <w:spacing w:after="0" w:line="122" w:lineRule="exact"/>
        <w:rPr>
          <w:sz w:val="20"/>
          <w:szCs w:val="20"/>
          <w:color w:val="auto"/>
        </w:rPr>
      </w:pPr>
    </w:p>
    <w:p>
      <w:pPr>
        <w:jc w:val="both"/>
        <w:ind w:left="10" w:firstLine="172"/>
        <w:spacing w:after="0" w:line="258" w:lineRule="auto"/>
        <w:rPr>
          <w:sz w:val="20"/>
          <w:szCs w:val="20"/>
          <w:color w:val="auto"/>
        </w:rPr>
      </w:pPr>
      <w:r>
        <w:rPr>
          <w:rFonts w:ascii="Arial" w:cs="Arial" w:eastAsia="Arial" w:hAnsi="Arial"/>
          <w:sz w:val="17"/>
          <w:szCs w:val="17"/>
          <w:color w:val="auto"/>
        </w:rPr>
        <w:t>Pursuant to our Executive Severance Plan, Evergy’s Chief Executive Officer, Chief Financial Officer, President and Chief Operating Officer and any Vice President of Evergy who is appointed by the Evergy Board is entitled to certain benefits if the eligible officer’s employment is terminated by Evergy without Cause, other than in a situation that is governed by a change-in-control severance agreement.</w:t>
      </w:r>
    </w:p>
    <w:p>
      <w:pPr>
        <w:spacing w:after="0" w:line="90" w:lineRule="exact"/>
        <w:rPr>
          <w:sz w:val="20"/>
          <w:szCs w:val="20"/>
          <w:color w:val="auto"/>
        </w:rPr>
      </w:pPr>
    </w:p>
    <w:p>
      <w:pPr>
        <w:jc w:val="both"/>
        <w:ind w:left="10" w:firstLine="172"/>
        <w:spacing w:after="0" w:line="261" w:lineRule="auto"/>
        <w:rPr>
          <w:sz w:val="20"/>
          <w:szCs w:val="20"/>
          <w:color w:val="auto"/>
        </w:rPr>
      </w:pPr>
      <w:r>
        <w:rPr>
          <w:rFonts w:ascii="Arial" w:cs="Arial" w:eastAsia="Arial" w:hAnsi="Arial"/>
          <w:sz w:val="17"/>
          <w:szCs w:val="17"/>
          <w:color w:val="auto"/>
        </w:rPr>
        <w:t>Subject to the terms of the severance plan, if an eligible officer’s employment is terminated by Evergy without cause, the officer would be entitled to accrued but unpaid compensation and other benefits, as well as a cash amount equal to the aggregate sum of:</w:t>
      </w:r>
    </w:p>
    <w:p>
      <w:pPr>
        <w:spacing w:after="0" w:line="86" w:lineRule="exact"/>
        <w:rPr>
          <w:sz w:val="20"/>
          <w:szCs w:val="20"/>
          <w:color w:val="auto"/>
        </w:rPr>
      </w:pPr>
    </w:p>
    <w:p>
      <w:pPr>
        <w:ind w:left="510" w:hanging="342"/>
        <w:spacing w:after="0" w:line="253" w:lineRule="auto"/>
        <w:tabs>
          <w:tab w:leader="none" w:pos="510" w:val="left"/>
        </w:tabs>
        <w:numPr>
          <w:ilvl w:val="0"/>
          <w:numId w:val="52"/>
        </w:numPr>
        <w:rPr>
          <w:rFonts w:ascii="Arial" w:cs="Arial" w:eastAsia="Arial" w:hAnsi="Arial"/>
          <w:sz w:val="17"/>
          <w:szCs w:val="17"/>
          <w:color w:val="307CC0"/>
        </w:rPr>
      </w:pPr>
      <w:r>
        <w:rPr>
          <w:rFonts w:ascii="Arial" w:cs="Arial" w:eastAsia="Arial" w:hAnsi="Arial"/>
          <w:sz w:val="17"/>
          <w:szCs w:val="17"/>
          <w:color w:val="auto"/>
        </w:rPr>
        <w:t>one (or two for the Chief Executive Officer) times the officer’s annual base salary in effect on the date of termination; plus</w:t>
      </w:r>
    </w:p>
    <w:p>
      <w:pPr>
        <w:spacing w:after="0" w:line="78" w:lineRule="exact"/>
        <w:rPr>
          <w:rFonts w:ascii="Arial" w:cs="Arial" w:eastAsia="Arial" w:hAnsi="Arial"/>
          <w:sz w:val="17"/>
          <w:szCs w:val="17"/>
          <w:color w:val="307CC0"/>
        </w:rPr>
      </w:pPr>
    </w:p>
    <w:p>
      <w:pPr>
        <w:ind w:left="510" w:hanging="342"/>
        <w:spacing w:after="0" w:line="253" w:lineRule="auto"/>
        <w:tabs>
          <w:tab w:leader="none" w:pos="510" w:val="left"/>
        </w:tabs>
        <w:numPr>
          <w:ilvl w:val="0"/>
          <w:numId w:val="52"/>
        </w:numPr>
        <w:rPr>
          <w:rFonts w:ascii="Arial" w:cs="Arial" w:eastAsia="Arial" w:hAnsi="Arial"/>
          <w:sz w:val="17"/>
          <w:szCs w:val="17"/>
          <w:color w:val="307CC0"/>
        </w:rPr>
      </w:pPr>
      <w:r>
        <w:rPr>
          <w:rFonts w:ascii="Arial" w:cs="Arial" w:eastAsia="Arial" w:hAnsi="Arial"/>
          <w:sz w:val="17"/>
          <w:szCs w:val="17"/>
          <w:color w:val="auto"/>
        </w:rPr>
        <w:t>one (or two for the Chief Executive Officer) times the officer’s target annual incentive award with respect to the fiscal year in which the termination occurs; plus</w:t>
      </w:r>
    </w:p>
    <w:p>
      <w:pPr>
        <w:spacing w:after="0" w:line="78" w:lineRule="exact"/>
        <w:rPr>
          <w:rFonts w:ascii="Arial" w:cs="Arial" w:eastAsia="Arial" w:hAnsi="Arial"/>
          <w:sz w:val="17"/>
          <w:szCs w:val="17"/>
          <w:color w:val="307CC0"/>
        </w:rPr>
      </w:pPr>
    </w:p>
    <w:p>
      <w:pPr>
        <w:ind w:left="510" w:hanging="342"/>
        <w:spacing w:after="0" w:line="253" w:lineRule="auto"/>
        <w:tabs>
          <w:tab w:leader="none" w:pos="510" w:val="left"/>
        </w:tabs>
        <w:numPr>
          <w:ilvl w:val="0"/>
          <w:numId w:val="52"/>
        </w:numPr>
        <w:rPr>
          <w:rFonts w:ascii="Arial" w:cs="Arial" w:eastAsia="Arial" w:hAnsi="Arial"/>
          <w:sz w:val="17"/>
          <w:szCs w:val="17"/>
          <w:color w:val="307CC0"/>
        </w:rPr>
      </w:pPr>
      <w:r>
        <w:rPr>
          <w:rFonts w:ascii="Arial" w:cs="Arial" w:eastAsia="Arial" w:hAnsi="Arial"/>
          <w:sz w:val="17"/>
          <w:szCs w:val="17"/>
          <w:color w:val="auto"/>
        </w:rPr>
        <w:t>a cash amount equal to the pro rata portion of the officer’s target annual incentive award for the fiscal year in which the termination occurs, to the extent not theretofore paid; plus</w:t>
      </w:r>
    </w:p>
    <w:p>
      <w:pPr>
        <w:spacing w:after="0" w:line="78" w:lineRule="exact"/>
        <w:rPr>
          <w:rFonts w:ascii="Arial" w:cs="Arial" w:eastAsia="Arial" w:hAnsi="Arial"/>
          <w:sz w:val="17"/>
          <w:szCs w:val="17"/>
          <w:color w:val="307CC0"/>
        </w:rPr>
      </w:pPr>
    </w:p>
    <w:p>
      <w:pPr>
        <w:jc w:val="both"/>
        <w:ind w:left="510" w:hanging="342"/>
        <w:spacing w:after="0" w:line="245" w:lineRule="auto"/>
        <w:tabs>
          <w:tab w:leader="none" w:pos="510" w:val="left"/>
        </w:tabs>
        <w:numPr>
          <w:ilvl w:val="0"/>
          <w:numId w:val="52"/>
        </w:numPr>
        <w:rPr>
          <w:rFonts w:ascii="Arial" w:cs="Arial" w:eastAsia="Arial" w:hAnsi="Arial"/>
          <w:sz w:val="17"/>
          <w:szCs w:val="17"/>
          <w:color w:val="307CC0"/>
        </w:rPr>
      </w:pPr>
      <w:r>
        <w:rPr>
          <w:rFonts w:ascii="Arial" w:cs="Arial" w:eastAsia="Arial" w:hAnsi="Arial"/>
          <w:sz w:val="17"/>
          <w:szCs w:val="17"/>
          <w:color w:val="auto"/>
        </w:rPr>
        <w:t>a cash amount equal to twelve (12) (or twenty-four (24) for the Chief Executive Officer) times Evergy’s monthly COBRA premium cost to cover the officer, and if applicable his or her beneficiaries, under Evergy’s health, vision and dental plans.</w:t>
      </w:r>
    </w:p>
    <w:p>
      <w:pPr>
        <w:spacing w:after="0" w:line="86" w:lineRule="exact"/>
        <w:rPr>
          <w:sz w:val="20"/>
          <w:szCs w:val="20"/>
          <w:color w:val="auto"/>
        </w:rPr>
      </w:pPr>
    </w:p>
    <w:p>
      <w:pPr>
        <w:jc w:val="both"/>
        <w:ind w:left="10" w:firstLine="172"/>
        <w:spacing w:after="0" w:line="257" w:lineRule="auto"/>
        <w:rPr>
          <w:sz w:val="20"/>
          <w:szCs w:val="20"/>
          <w:color w:val="auto"/>
        </w:rPr>
      </w:pPr>
      <w:r>
        <w:rPr>
          <w:rFonts w:ascii="Arial" w:cs="Arial" w:eastAsia="Arial" w:hAnsi="Arial"/>
          <w:sz w:val="17"/>
          <w:szCs w:val="17"/>
          <w:color w:val="auto"/>
        </w:rPr>
        <w:t>In addition to the cash lump sum payment described above, an officer will vest in a pro rata portion of any outstanding time-based and performance-based long-term incentive awards (e.g., equity awards). Performance-based long-term incentive awards will only vest pro rata following completion of the applicable performance period. The officer is also eligible to receive outplacement counseling services during the twelve-month period following termination, up to a $25,000 limit.</w:t>
      </w:r>
    </w:p>
    <w:p>
      <w:pPr>
        <w:spacing w:after="0" w:line="90" w:lineRule="exact"/>
        <w:rPr>
          <w:sz w:val="20"/>
          <w:szCs w:val="20"/>
          <w:color w:val="auto"/>
        </w:rPr>
      </w:pPr>
    </w:p>
    <w:p>
      <w:pPr>
        <w:jc w:val="both"/>
        <w:ind w:left="10" w:firstLine="172"/>
        <w:spacing w:after="0" w:line="261" w:lineRule="auto"/>
        <w:rPr>
          <w:sz w:val="20"/>
          <w:szCs w:val="20"/>
          <w:color w:val="auto"/>
        </w:rPr>
      </w:pPr>
      <w:r>
        <w:rPr>
          <w:rFonts w:ascii="Arial" w:cs="Arial" w:eastAsia="Arial" w:hAnsi="Arial"/>
          <w:sz w:val="17"/>
          <w:szCs w:val="17"/>
          <w:color w:val="auto"/>
        </w:rPr>
        <w:t>Any benefits payable under the severance plan are subject to execution of an agreement by the officer releasing claims against Evergy as well as the officer’s compliance with certain covenants contained in the severance plan, including confidentiality, non-solicitation of employees, non-disparagement and assistance to Evergy with respect to any disputes.</w:t>
      </w:r>
    </w:p>
    <w:p>
      <w:pPr>
        <w:spacing w:after="0" w:line="293" w:lineRule="exact"/>
        <w:rPr>
          <w:sz w:val="20"/>
          <w:szCs w:val="20"/>
          <w:color w:val="auto"/>
        </w:rPr>
      </w:pPr>
    </w:p>
    <w:p>
      <w:pPr>
        <w:jc w:val="both"/>
        <w:ind w:left="10" w:firstLine="172"/>
        <w:spacing w:after="0" w:line="218" w:lineRule="auto"/>
        <w:rPr>
          <w:sz w:val="20"/>
          <w:szCs w:val="20"/>
          <w:color w:val="auto"/>
        </w:rPr>
      </w:pPr>
      <w:r>
        <w:rPr>
          <w:rFonts w:ascii="Arial" w:cs="Arial" w:eastAsia="Arial" w:hAnsi="Arial"/>
          <w:sz w:val="17"/>
          <w:szCs w:val="17"/>
          <w:color w:val="auto"/>
        </w:rPr>
        <w:t>Evergy may amend or terminate the severance plan, in whole or in part, at any time and in any way except that, without the consent of the officer, no amendment that materially reduces an officer’s rights or potential benefits under the severance plan may become effective before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after such amendment or termination is approved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5808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204"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580898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50"/>
          </w:cols>
          <w:pgMar w:left="1370" w:top="272" w:right="1379"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The following table sets forth our payment obligations under the severance plan. The table does not include amounts that are due to the NEOs, such as accrued salary and bonus and amounts due under retirement and deferred compensation plans, and also excludes the optional use of outplacement counseling services. The amounts shown in the table assume that the termination took place on December 31,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40" w:type="dxa"/>
            <w:vAlign w:val="bottom"/>
            <w:shd w:val="clear" w:color="auto" w:fill="307CC0"/>
          </w:tcPr>
          <w:p>
            <w:pPr>
              <w:spacing w:after="0"/>
              <w:rPr>
                <w:sz w:val="13"/>
                <w:szCs w:val="13"/>
                <w:color w:val="auto"/>
              </w:rPr>
            </w:pPr>
          </w:p>
        </w:tc>
        <w:tc>
          <w:tcPr>
            <w:tcW w:w="11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Mr.</w:t>
            </w:r>
          </w:p>
        </w:tc>
        <w:tc>
          <w:tcPr>
            <w:tcW w:w="1040" w:type="dxa"/>
            <w:vAlign w:val="bottom"/>
            <w:shd w:val="clear" w:color="auto" w:fill="307CC0"/>
          </w:tcPr>
          <w:p>
            <w:pPr>
              <w:jc w:val="center"/>
              <w:ind w:right="20"/>
              <w:spacing w:after="0"/>
              <w:rPr>
                <w:sz w:val="20"/>
                <w:szCs w:val="20"/>
                <w:color w:val="auto"/>
              </w:rPr>
            </w:pPr>
            <w:r>
              <w:rPr>
                <w:rFonts w:ascii="Arial" w:cs="Arial" w:eastAsia="Arial" w:hAnsi="Arial"/>
                <w:sz w:val="13"/>
                <w:szCs w:val="13"/>
                <w:b w:val="1"/>
                <w:bCs w:val="1"/>
                <w:color w:val="FFFFFF"/>
                <w:w w:val="92"/>
              </w:rPr>
              <w:t>Mr.</w:t>
            </w:r>
          </w:p>
        </w:tc>
        <w:tc>
          <w:tcPr>
            <w:tcW w:w="1060" w:type="dxa"/>
            <w:vAlign w:val="bottom"/>
            <w:shd w:val="clear" w:color="auto" w:fill="307CC0"/>
          </w:tcPr>
          <w:p>
            <w:pPr>
              <w:jc w:val="center"/>
              <w:ind w:right="20"/>
              <w:spacing w:after="0"/>
              <w:rPr>
                <w:sz w:val="20"/>
                <w:szCs w:val="20"/>
                <w:color w:val="auto"/>
              </w:rPr>
            </w:pPr>
            <w:r>
              <w:rPr>
                <w:rFonts w:ascii="Arial" w:cs="Arial" w:eastAsia="Arial" w:hAnsi="Arial"/>
                <w:sz w:val="13"/>
                <w:szCs w:val="13"/>
                <w:b w:val="1"/>
                <w:bCs w:val="1"/>
                <w:color w:val="FFFFFF"/>
              </w:rPr>
              <w:t>Mr.</w:t>
            </w:r>
          </w:p>
        </w:tc>
        <w:tc>
          <w:tcPr>
            <w:tcW w:w="1040" w:type="dxa"/>
            <w:vAlign w:val="bottom"/>
            <w:shd w:val="clear" w:color="auto" w:fill="307CC0"/>
          </w:tcPr>
          <w:p>
            <w:pPr>
              <w:jc w:val="center"/>
              <w:ind w:right="20"/>
              <w:spacing w:after="0"/>
              <w:rPr>
                <w:sz w:val="20"/>
                <w:szCs w:val="20"/>
                <w:color w:val="auto"/>
              </w:rPr>
            </w:pPr>
            <w:r>
              <w:rPr>
                <w:rFonts w:ascii="Arial" w:cs="Arial" w:eastAsia="Arial" w:hAnsi="Arial"/>
                <w:sz w:val="13"/>
                <w:szCs w:val="13"/>
                <w:b w:val="1"/>
                <w:bCs w:val="1"/>
                <w:color w:val="FFFFFF"/>
                <w:w w:val="92"/>
              </w:rPr>
              <w:t>Mr.</w:t>
            </w:r>
          </w:p>
        </w:tc>
        <w:tc>
          <w:tcPr>
            <w:tcW w:w="10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2"/>
              </w:rPr>
              <w:t>Ms.</w:t>
            </w:r>
          </w:p>
        </w:tc>
      </w:tr>
      <w:tr>
        <w:trPr>
          <w:trHeight w:val="142"/>
        </w:trPr>
        <w:tc>
          <w:tcPr>
            <w:tcW w:w="3840" w:type="dxa"/>
            <w:vAlign w:val="bottom"/>
            <w:shd w:val="clear" w:color="auto" w:fill="307CC0"/>
          </w:tcPr>
          <w:p>
            <w:pPr>
              <w:spacing w:after="0"/>
              <w:rPr>
                <w:sz w:val="12"/>
                <w:szCs w:val="12"/>
                <w:color w:val="auto"/>
              </w:rPr>
            </w:pPr>
          </w:p>
        </w:tc>
        <w:tc>
          <w:tcPr>
            <w:tcW w:w="118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Bassham</w:t>
            </w:r>
          </w:p>
        </w:tc>
        <w:tc>
          <w:tcPr>
            <w:tcW w:w="104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7"/>
              </w:rPr>
              <w:t>Bryant</w:t>
            </w:r>
          </w:p>
        </w:tc>
        <w:tc>
          <w:tcPr>
            <w:tcW w:w="1060" w:type="dxa"/>
            <w:vAlign w:val="bottom"/>
            <w:shd w:val="clear" w:color="auto" w:fill="307CC0"/>
          </w:tcPr>
          <w:p>
            <w:pPr>
              <w:jc w:val="center"/>
              <w:ind w:right="20"/>
              <w:spacing w:after="0" w:line="143" w:lineRule="exact"/>
              <w:rPr>
                <w:sz w:val="20"/>
                <w:szCs w:val="20"/>
                <w:color w:val="auto"/>
              </w:rPr>
            </w:pPr>
            <w:r>
              <w:rPr>
                <w:rFonts w:ascii="Arial" w:cs="Arial" w:eastAsia="Arial" w:hAnsi="Arial"/>
                <w:sz w:val="13"/>
                <w:szCs w:val="13"/>
                <w:b w:val="1"/>
                <w:bCs w:val="1"/>
                <w:color w:val="FFFFFF"/>
              </w:rPr>
              <w:t>Greenwood</w:t>
            </w:r>
          </w:p>
        </w:tc>
        <w:tc>
          <w:tcPr>
            <w:tcW w:w="1040" w:type="dxa"/>
            <w:vAlign w:val="bottom"/>
            <w:shd w:val="clear" w:color="auto" w:fill="307CC0"/>
          </w:tcPr>
          <w:p>
            <w:pPr>
              <w:jc w:val="center"/>
              <w:ind w:right="20"/>
              <w:spacing w:after="0" w:line="143" w:lineRule="exact"/>
              <w:rPr>
                <w:sz w:val="20"/>
                <w:szCs w:val="20"/>
                <w:color w:val="auto"/>
              </w:rPr>
            </w:pPr>
            <w:r>
              <w:rPr>
                <w:rFonts w:ascii="Arial" w:cs="Arial" w:eastAsia="Arial" w:hAnsi="Arial"/>
                <w:sz w:val="13"/>
                <w:szCs w:val="13"/>
                <w:b w:val="1"/>
                <w:bCs w:val="1"/>
                <w:color w:val="FFFFFF"/>
                <w:w w:val="97"/>
              </w:rPr>
              <w:t>Somma</w:t>
            </w:r>
          </w:p>
        </w:tc>
        <w:tc>
          <w:tcPr>
            <w:tcW w:w="100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9"/>
              </w:rPr>
              <w:t>Humphrey</w:t>
            </w:r>
          </w:p>
        </w:tc>
      </w:tr>
      <w:tr>
        <w:trPr>
          <w:trHeight w:val="185"/>
        </w:trPr>
        <w:tc>
          <w:tcPr>
            <w:tcW w:w="3840" w:type="dxa"/>
            <w:vAlign w:val="bottom"/>
            <w:shd w:val="clear" w:color="auto" w:fill="307CC0"/>
          </w:tcPr>
          <w:p>
            <w:pPr>
              <w:ind w:left="40"/>
              <w:spacing w:after="0"/>
              <w:rPr>
                <w:sz w:val="20"/>
                <w:szCs w:val="20"/>
                <w:color w:val="auto"/>
              </w:rPr>
            </w:pPr>
            <w:r>
              <w:rPr>
                <w:rFonts w:ascii="Arial" w:cs="Arial" w:eastAsia="Arial" w:hAnsi="Arial"/>
                <w:sz w:val="13"/>
                <w:szCs w:val="13"/>
                <w:b w:val="1"/>
                <w:bCs w:val="1"/>
                <w:color w:val="FFFFFF"/>
              </w:rPr>
              <w:t>Benefit</w:t>
            </w:r>
          </w:p>
        </w:tc>
        <w:tc>
          <w:tcPr>
            <w:tcW w:w="118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307CC0"/>
          </w:tcPr>
          <w:p>
            <w:pPr>
              <w:jc w:val="center"/>
              <w:ind w:right="20"/>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307CC0"/>
          </w:tcPr>
          <w:p>
            <w:pPr>
              <w:jc w:val="center"/>
              <w:ind w:right="40"/>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rPr>
              <w:t>($)</w:t>
            </w:r>
          </w:p>
        </w:tc>
      </w:tr>
      <w:tr>
        <w:trPr>
          <w:trHeight w:val="220"/>
        </w:trPr>
        <w:tc>
          <w:tcPr>
            <w:tcW w:w="384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Salary</w:t>
            </w:r>
          </w:p>
        </w:tc>
        <w:tc>
          <w:tcPr>
            <w:tcW w:w="118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1,900,000</w:t>
            </w:r>
          </w:p>
        </w:tc>
        <w:tc>
          <w:tcPr>
            <w:tcW w:w="104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520,000</w:t>
            </w:r>
          </w:p>
        </w:tc>
        <w:tc>
          <w:tcPr>
            <w:tcW w:w="106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520,000</w:t>
            </w:r>
          </w:p>
        </w:tc>
        <w:tc>
          <w:tcPr>
            <w:tcW w:w="104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495,000</w:t>
            </w:r>
          </w:p>
        </w:tc>
        <w:tc>
          <w:tcPr>
            <w:tcW w:w="1000" w:type="dxa"/>
            <w:vAlign w:val="bottom"/>
            <w:tcBorders>
              <w:bottom w:val="single" w:sz="8" w:color="307CC0"/>
            </w:tcBorders>
            <w:shd w:val="clear" w:color="auto" w:fill="CCEEFF"/>
          </w:tcPr>
          <w:p>
            <w:pPr>
              <w:jc w:val="right"/>
              <w:ind w:right="20"/>
              <w:spacing w:after="0"/>
              <w:rPr>
                <w:sz w:val="20"/>
                <w:szCs w:val="20"/>
                <w:color w:val="auto"/>
              </w:rPr>
            </w:pPr>
            <w:r>
              <w:rPr>
                <w:rFonts w:ascii="Arial" w:cs="Arial" w:eastAsia="Arial" w:hAnsi="Arial"/>
                <w:sz w:val="17"/>
                <w:szCs w:val="17"/>
                <w:color w:val="auto"/>
              </w:rPr>
              <w:t>484,000</w:t>
            </w:r>
          </w:p>
        </w:tc>
      </w:tr>
      <w:tr>
        <w:trPr>
          <w:trHeight w:val="213"/>
        </w:trPr>
        <w:tc>
          <w:tcPr>
            <w:tcW w:w="384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Bonus</w:t>
            </w:r>
          </w:p>
        </w:tc>
        <w:tc>
          <w:tcPr>
            <w:tcW w:w="118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1,900,000</w:t>
            </w:r>
          </w:p>
        </w:tc>
        <w:tc>
          <w:tcPr>
            <w:tcW w:w="104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416,000</w:t>
            </w:r>
          </w:p>
        </w:tc>
        <w:tc>
          <w:tcPr>
            <w:tcW w:w="106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416,000</w:t>
            </w:r>
          </w:p>
        </w:tc>
        <w:tc>
          <w:tcPr>
            <w:tcW w:w="104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396,000</w:t>
            </w:r>
          </w:p>
        </w:tc>
        <w:tc>
          <w:tcPr>
            <w:tcW w:w="1000" w:type="dxa"/>
            <w:vAlign w:val="bottom"/>
            <w:tcBorders>
              <w:bottom w:val="single" w:sz="8" w:color="307CC0"/>
            </w:tcBorders>
            <w:shd w:val="clear" w:color="auto" w:fill="D6E7FF"/>
          </w:tcPr>
          <w:p>
            <w:pPr>
              <w:jc w:val="right"/>
              <w:ind w:right="20"/>
              <w:spacing w:after="0"/>
              <w:rPr>
                <w:sz w:val="20"/>
                <w:szCs w:val="20"/>
                <w:color w:val="auto"/>
              </w:rPr>
            </w:pPr>
            <w:r>
              <w:rPr>
                <w:rFonts w:ascii="Arial" w:cs="Arial" w:eastAsia="Arial" w:hAnsi="Arial"/>
                <w:sz w:val="17"/>
                <w:szCs w:val="17"/>
                <w:color w:val="auto"/>
              </w:rPr>
              <w:t>314,600</w:t>
            </w:r>
          </w:p>
        </w:tc>
      </w:tr>
      <w:tr>
        <w:trPr>
          <w:trHeight w:val="213"/>
        </w:trPr>
        <w:tc>
          <w:tcPr>
            <w:tcW w:w="3840" w:type="dxa"/>
            <w:vAlign w:val="bottom"/>
            <w:tcBorders>
              <w:bottom w:val="single" w:sz="8" w:color="307CC0"/>
            </w:tcBorders>
            <w:shd w:val="clear" w:color="auto" w:fill="CCEEFF"/>
          </w:tcPr>
          <w:p>
            <w:pPr>
              <w:ind w:left="40"/>
              <w:spacing w:after="0" w:line="212" w:lineRule="exact"/>
              <w:rPr>
                <w:sz w:val="20"/>
                <w:szCs w:val="20"/>
                <w:color w:val="auto"/>
              </w:rPr>
            </w:pPr>
            <w:r>
              <w:rPr>
                <w:rFonts w:ascii="Arial" w:cs="Arial" w:eastAsia="Arial" w:hAnsi="Arial"/>
                <w:sz w:val="15"/>
                <w:szCs w:val="15"/>
                <w:color w:val="auto"/>
              </w:rPr>
              <w:t>Performance Share (Unit) Vesting</w:t>
            </w:r>
            <w:r>
              <w:rPr>
                <w:rFonts w:ascii="Arial" w:cs="Arial" w:eastAsia="Arial" w:hAnsi="Arial"/>
                <w:sz w:val="24"/>
                <w:szCs w:val="24"/>
                <w:color w:val="auto"/>
                <w:vertAlign w:val="superscript"/>
              </w:rPr>
              <w:t>(1)</w:t>
            </w:r>
          </w:p>
        </w:tc>
        <w:tc>
          <w:tcPr>
            <w:tcW w:w="118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4,638,399</w:t>
            </w:r>
          </w:p>
        </w:tc>
        <w:tc>
          <w:tcPr>
            <w:tcW w:w="104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1,275,576</w:t>
            </w:r>
          </w:p>
        </w:tc>
        <w:tc>
          <w:tcPr>
            <w:tcW w:w="106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812,693</w:t>
            </w:r>
          </w:p>
        </w:tc>
        <w:tc>
          <w:tcPr>
            <w:tcW w:w="104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741,018</w:t>
            </w:r>
          </w:p>
        </w:tc>
        <w:tc>
          <w:tcPr>
            <w:tcW w:w="1000" w:type="dxa"/>
            <w:vAlign w:val="bottom"/>
            <w:tcBorders>
              <w:bottom w:val="single" w:sz="8" w:color="307CC0"/>
            </w:tcBorders>
            <w:shd w:val="clear" w:color="auto" w:fill="CCEEFF"/>
          </w:tcPr>
          <w:p>
            <w:pPr>
              <w:jc w:val="right"/>
              <w:ind w:right="20"/>
              <w:spacing w:after="0"/>
              <w:rPr>
                <w:sz w:val="20"/>
                <w:szCs w:val="20"/>
                <w:color w:val="auto"/>
              </w:rPr>
            </w:pPr>
            <w:r>
              <w:rPr>
                <w:rFonts w:ascii="Arial" w:cs="Arial" w:eastAsia="Arial" w:hAnsi="Arial"/>
                <w:sz w:val="17"/>
                <w:szCs w:val="17"/>
                <w:color w:val="auto"/>
              </w:rPr>
              <w:t>951,369</w:t>
            </w:r>
          </w:p>
        </w:tc>
      </w:tr>
      <w:tr>
        <w:trPr>
          <w:trHeight w:val="213"/>
        </w:trPr>
        <w:tc>
          <w:tcPr>
            <w:tcW w:w="3840" w:type="dxa"/>
            <w:vAlign w:val="bottom"/>
            <w:tcBorders>
              <w:bottom w:val="single" w:sz="8" w:color="307CC0"/>
            </w:tcBorders>
            <w:shd w:val="clear" w:color="auto" w:fill="D6E7FF"/>
          </w:tcPr>
          <w:p>
            <w:pPr>
              <w:ind w:left="40"/>
              <w:spacing w:after="0" w:line="212" w:lineRule="exact"/>
              <w:rPr>
                <w:sz w:val="20"/>
                <w:szCs w:val="20"/>
                <w:color w:val="auto"/>
              </w:rPr>
            </w:pPr>
            <w:r>
              <w:rPr>
                <w:rFonts w:ascii="Arial" w:cs="Arial" w:eastAsia="Arial" w:hAnsi="Arial"/>
                <w:sz w:val="15"/>
                <w:szCs w:val="15"/>
                <w:color w:val="auto"/>
              </w:rPr>
              <w:t>Restricted Stock (Unit) Vesting</w:t>
            </w:r>
            <w:r>
              <w:rPr>
                <w:rFonts w:ascii="Arial" w:cs="Arial" w:eastAsia="Arial" w:hAnsi="Arial"/>
                <w:sz w:val="24"/>
                <w:szCs w:val="24"/>
                <w:color w:val="auto"/>
                <w:vertAlign w:val="superscript"/>
              </w:rPr>
              <w:t>(2)</w:t>
            </w:r>
          </w:p>
        </w:tc>
        <w:tc>
          <w:tcPr>
            <w:tcW w:w="118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2,312,043</w:t>
            </w:r>
          </w:p>
        </w:tc>
        <w:tc>
          <w:tcPr>
            <w:tcW w:w="104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893,662</w:t>
            </w:r>
          </w:p>
        </w:tc>
        <w:tc>
          <w:tcPr>
            <w:tcW w:w="106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63,157</w:t>
            </w:r>
          </w:p>
        </w:tc>
        <w:tc>
          <w:tcPr>
            <w:tcW w:w="104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60,121</w:t>
            </w:r>
          </w:p>
        </w:tc>
        <w:tc>
          <w:tcPr>
            <w:tcW w:w="1000" w:type="dxa"/>
            <w:vAlign w:val="bottom"/>
            <w:tcBorders>
              <w:bottom w:val="single" w:sz="8" w:color="307CC0"/>
            </w:tcBorders>
            <w:shd w:val="clear" w:color="auto" w:fill="D6E7FF"/>
          </w:tcPr>
          <w:p>
            <w:pPr>
              <w:jc w:val="right"/>
              <w:ind w:right="20"/>
              <w:spacing w:after="0"/>
              <w:rPr>
                <w:sz w:val="20"/>
                <w:szCs w:val="20"/>
                <w:color w:val="auto"/>
              </w:rPr>
            </w:pPr>
            <w:r>
              <w:rPr>
                <w:rFonts w:ascii="Arial" w:cs="Arial" w:eastAsia="Arial" w:hAnsi="Arial"/>
                <w:sz w:val="17"/>
                <w:szCs w:val="17"/>
                <w:color w:val="auto"/>
              </w:rPr>
              <w:t>777,254</w:t>
            </w:r>
          </w:p>
        </w:tc>
      </w:tr>
      <w:tr>
        <w:trPr>
          <w:trHeight w:val="213"/>
        </w:trPr>
        <w:tc>
          <w:tcPr>
            <w:tcW w:w="384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COBRA</w:t>
            </w:r>
          </w:p>
        </w:tc>
        <w:tc>
          <w:tcPr>
            <w:tcW w:w="118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24,235</w:t>
            </w:r>
          </w:p>
        </w:tc>
        <w:tc>
          <w:tcPr>
            <w:tcW w:w="104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24,235</w:t>
            </w:r>
          </w:p>
        </w:tc>
        <w:tc>
          <w:tcPr>
            <w:tcW w:w="106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23,022</w:t>
            </w:r>
          </w:p>
        </w:tc>
        <w:tc>
          <w:tcPr>
            <w:tcW w:w="104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color w:val="auto"/>
              </w:rPr>
              <w:t>23,294</w:t>
            </w:r>
          </w:p>
        </w:tc>
        <w:tc>
          <w:tcPr>
            <w:tcW w:w="1000" w:type="dxa"/>
            <w:vAlign w:val="bottom"/>
            <w:tcBorders>
              <w:bottom w:val="single" w:sz="8" w:color="307CC0"/>
            </w:tcBorders>
            <w:shd w:val="clear" w:color="auto" w:fill="CCEEFF"/>
          </w:tcPr>
          <w:p>
            <w:pPr>
              <w:jc w:val="right"/>
              <w:ind w:right="20"/>
              <w:spacing w:after="0"/>
              <w:rPr>
                <w:sz w:val="20"/>
                <w:szCs w:val="20"/>
                <w:color w:val="auto"/>
              </w:rPr>
            </w:pPr>
            <w:r>
              <w:rPr>
                <w:rFonts w:ascii="Arial" w:cs="Arial" w:eastAsia="Arial" w:hAnsi="Arial"/>
                <w:sz w:val="17"/>
                <w:szCs w:val="17"/>
                <w:color w:val="auto"/>
              </w:rPr>
              <w:t>15,498</w:t>
            </w:r>
          </w:p>
        </w:tc>
      </w:tr>
      <w:tr>
        <w:trPr>
          <w:trHeight w:val="213"/>
        </w:trPr>
        <w:tc>
          <w:tcPr>
            <w:tcW w:w="384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Accrued Vacation</w:t>
            </w:r>
          </w:p>
        </w:tc>
        <w:tc>
          <w:tcPr>
            <w:tcW w:w="118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73,077</w:t>
            </w:r>
          </w:p>
        </w:tc>
        <w:tc>
          <w:tcPr>
            <w:tcW w:w="104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40,000</w:t>
            </w:r>
          </w:p>
        </w:tc>
        <w:tc>
          <w:tcPr>
            <w:tcW w:w="106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50,000</w:t>
            </w:r>
          </w:p>
        </w:tc>
        <w:tc>
          <w:tcPr>
            <w:tcW w:w="1040" w:type="dxa"/>
            <w:vAlign w:val="bottom"/>
            <w:tcBorders>
              <w:bottom w:val="single" w:sz="8" w:color="307CC0"/>
            </w:tcBorders>
            <w:shd w:val="clear" w:color="auto" w:fill="D6E7FF"/>
          </w:tcPr>
          <w:p>
            <w:pPr>
              <w:jc w:val="right"/>
              <w:ind w:right="60"/>
              <w:spacing w:after="0"/>
              <w:rPr>
                <w:sz w:val="20"/>
                <w:szCs w:val="20"/>
                <w:color w:val="auto"/>
              </w:rPr>
            </w:pPr>
            <w:r>
              <w:rPr>
                <w:rFonts w:ascii="Arial" w:cs="Arial" w:eastAsia="Arial" w:hAnsi="Arial"/>
                <w:sz w:val="17"/>
                <w:szCs w:val="17"/>
                <w:color w:val="auto"/>
              </w:rPr>
              <w:t>47,596</w:t>
            </w:r>
          </w:p>
        </w:tc>
        <w:tc>
          <w:tcPr>
            <w:tcW w:w="1000" w:type="dxa"/>
            <w:vAlign w:val="bottom"/>
            <w:tcBorders>
              <w:bottom w:val="single" w:sz="8" w:color="307CC0"/>
            </w:tcBorders>
            <w:shd w:val="clear" w:color="auto" w:fill="D6E7FF"/>
          </w:tcPr>
          <w:p>
            <w:pPr>
              <w:jc w:val="right"/>
              <w:ind w:right="20"/>
              <w:spacing w:after="0"/>
              <w:rPr>
                <w:sz w:val="20"/>
                <w:szCs w:val="20"/>
                <w:color w:val="auto"/>
              </w:rPr>
            </w:pPr>
            <w:r>
              <w:rPr>
                <w:rFonts w:ascii="Arial" w:cs="Arial" w:eastAsia="Arial" w:hAnsi="Arial"/>
                <w:sz w:val="17"/>
                <w:szCs w:val="17"/>
                <w:color w:val="auto"/>
              </w:rPr>
              <w:t>37,231</w:t>
            </w:r>
          </w:p>
        </w:tc>
      </w:tr>
      <w:tr>
        <w:trPr>
          <w:trHeight w:val="213"/>
        </w:trPr>
        <w:tc>
          <w:tcPr>
            <w:tcW w:w="384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18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10,847,754</w:t>
            </w:r>
          </w:p>
        </w:tc>
        <w:tc>
          <w:tcPr>
            <w:tcW w:w="104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3,169,473</w:t>
            </w:r>
          </w:p>
        </w:tc>
        <w:tc>
          <w:tcPr>
            <w:tcW w:w="106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1,884,872</w:t>
            </w:r>
          </w:p>
        </w:tc>
        <w:tc>
          <w:tcPr>
            <w:tcW w:w="1040" w:type="dxa"/>
            <w:vAlign w:val="bottom"/>
            <w:tcBorders>
              <w:bottom w:val="single" w:sz="8" w:color="307CC0"/>
            </w:tcBorders>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1,763,029</w:t>
            </w:r>
          </w:p>
        </w:tc>
        <w:tc>
          <w:tcPr>
            <w:tcW w:w="1000" w:type="dxa"/>
            <w:vAlign w:val="bottom"/>
            <w:tcBorders>
              <w:bottom w:val="single" w:sz="8" w:color="307CC0"/>
            </w:tcBorders>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2,579,952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-1041400</wp:posOffset>
            </wp:positionV>
            <wp:extent cx="5808980" cy="147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-746125</wp:posOffset>
            </wp:positionV>
            <wp:extent cx="5808980" cy="147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-450850</wp:posOffset>
            </wp:positionV>
            <wp:extent cx="5808980" cy="147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-154940</wp:posOffset>
            </wp:positionV>
            <wp:extent cx="5808980" cy="147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88" w:lineRule="exact"/>
        <w:rPr>
          <w:sz w:val="20"/>
          <w:szCs w:val="20"/>
          <w:color w:val="auto"/>
        </w:rPr>
      </w:pPr>
    </w:p>
    <w:p>
      <w:pPr>
        <w:jc w:val="both"/>
        <w:ind w:left="340" w:hanging="330"/>
        <w:spacing w:after="0" w:line="220" w:lineRule="auto"/>
        <w:tabs>
          <w:tab w:leader="none" w:pos="340" w:val="left"/>
        </w:tabs>
        <w:numPr>
          <w:ilvl w:val="0"/>
          <w:numId w:val="53"/>
        </w:numPr>
        <w:rPr>
          <w:rFonts w:ascii="Arial" w:cs="Arial" w:eastAsia="Arial" w:hAnsi="Arial"/>
          <w:sz w:val="17"/>
          <w:szCs w:val="17"/>
          <w:color w:val="auto"/>
          <w:vertAlign w:val="superscript"/>
        </w:rPr>
      </w:pPr>
      <w:r>
        <w:rPr>
          <w:rFonts w:ascii="Arial" w:cs="Arial" w:eastAsia="Arial" w:hAnsi="Arial"/>
          <w:sz w:val="14"/>
          <w:szCs w:val="14"/>
          <w:color w:val="auto"/>
        </w:rPr>
        <w:t>Under the severance plan, a pro-rata portion of any performance-based long-term incentive will vest following completion of the performance period. The amounts shown reflect the pro rata portion of these incentives, at target, valued at the $65.09 closing price of our stock on December 31, 2019, plus accrued cash dividends.</w:t>
      </w:r>
    </w:p>
    <w:p>
      <w:pPr>
        <w:spacing w:after="0" w:line="94" w:lineRule="exact"/>
        <w:rPr>
          <w:rFonts w:ascii="Arial" w:cs="Arial" w:eastAsia="Arial" w:hAnsi="Arial"/>
          <w:sz w:val="17"/>
          <w:szCs w:val="17"/>
          <w:color w:val="auto"/>
          <w:vertAlign w:val="superscript"/>
        </w:rPr>
      </w:pPr>
    </w:p>
    <w:p>
      <w:pPr>
        <w:jc w:val="both"/>
        <w:ind w:left="340" w:right="20" w:hanging="330"/>
        <w:spacing w:after="0" w:line="230" w:lineRule="auto"/>
        <w:tabs>
          <w:tab w:leader="none" w:pos="340" w:val="left"/>
        </w:tabs>
        <w:numPr>
          <w:ilvl w:val="0"/>
          <w:numId w:val="53"/>
        </w:numPr>
        <w:rPr>
          <w:rFonts w:ascii="Arial" w:cs="Arial" w:eastAsia="Arial" w:hAnsi="Arial"/>
          <w:sz w:val="16"/>
          <w:szCs w:val="16"/>
          <w:color w:val="auto"/>
          <w:vertAlign w:val="superscript"/>
        </w:rPr>
      </w:pPr>
      <w:r>
        <w:rPr>
          <w:rFonts w:ascii="Arial" w:cs="Arial" w:eastAsia="Arial" w:hAnsi="Arial"/>
          <w:sz w:val="13"/>
          <w:szCs w:val="13"/>
          <w:color w:val="auto"/>
        </w:rPr>
        <w:t>Under the severance plan, a pro-rata portion of any time-based long-term incentive will vest. The amounts shown reflect the pro rata portion of these incentives, plus reinvested dividends carrying the same restrictions, valued at the $65.09 closing price of our stock on December 31, 2019.</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Retirement</w:t>
      </w:r>
    </w:p>
    <w:p>
      <w:pPr>
        <w:spacing w:after="0" w:line="122"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Upon retirement, each NEO would receive a lump sum cash payment of all earned and unpaid salary, accrued but unused vacation, retirement benefits and deferred compensation, among other benefits. Please refer to the “Pension Benefits” section of this proxy statement for information regarding retirement benefits and the “Non-qualified Deferred Compensation” section of this proxy statement for information on deferred compensation.</w:t>
      </w:r>
    </w:p>
    <w:p>
      <w:pPr>
        <w:spacing w:after="0" w:line="90"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Restricted stock units granted by Evergy vest on a pro rata basis (based on actual performance in the case of performance-based restricted stock units) on the scheduled vesting date in the case of retirement. Retirement means an officer’s separation from service (i) after reaching age 60 and having ten years of service and (ii) the officer having provided a minimum of six-months’ advance notice of retirement.</w:t>
      </w:r>
    </w:p>
    <w:p>
      <w:pPr>
        <w:spacing w:after="0" w:line="90" w:lineRule="exact"/>
        <w:rPr>
          <w:sz w:val="20"/>
          <w:szCs w:val="20"/>
          <w:color w:val="auto"/>
        </w:rPr>
      </w:pPr>
    </w:p>
    <w:p>
      <w:pPr>
        <w:jc w:val="both"/>
        <w:ind w:left="20" w:firstLine="172"/>
        <w:spacing w:after="0" w:line="261" w:lineRule="auto"/>
        <w:rPr>
          <w:sz w:val="20"/>
          <w:szCs w:val="20"/>
          <w:color w:val="auto"/>
        </w:rPr>
      </w:pPr>
      <w:r>
        <w:rPr>
          <w:rFonts w:ascii="Arial" w:cs="Arial" w:eastAsia="Arial" w:hAnsi="Arial"/>
          <w:sz w:val="17"/>
          <w:szCs w:val="17"/>
          <w:color w:val="auto"/>
        </w:rPr>
        <w:t>Unvested performance share and restricted stock awards previously granted by Great Plains Energy, and time -based restricted stock units previously granted by Westar Energy, are forfeited upon retirement, absent Board action to the contrary. Retirees are eligible for a prorated portion of annual incentive plan awards.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Death or Disability</w:t>
      </w:r>
    </w:p>
    <w:p>
      <w:pPr>
        <w:spacing w:after="0" w:line="122" w:lineRule="exact"/>
        <w:rPr>
          <w:sz w:val="20"/>
          <w:szCs w:val="20"/>
          <w:color w:val="auto"/>
        </w:rPr>
      </w:pPr>
    </w:p>
    <w:p>
      <w:pPr>
        <w:jc w:val="both"/>
        <w:ind w:left="20" w:firstLine="172"/>
        <w:spacing w:after="0" w:line="269" w:lineRule="auto"/>
        <w:rPr>
          <w:sz w:val="20"/>
          <w:szCs w:val="20"/>
          <w:color w:val="auto"/>
        </w:rPr>
      </w:pPr>
      <w:r>
        <w:rPr>
          <w:rFonts w:ascii="Arial" w:cs="Arial" w:eastAsia="Arial" w:hAnsi="Arial"/>
          <w:sz w:val="17"/>
          <w:szCs w:val="17"/>
          <w:color w:val="auto"/>
        </w:rPr>
        <w:t>In the event of death or disability, the NEO or their beneficiary would receive a lump sum cash payment of all accrued and unpaid salary, unused vacation and the retirement benefits and deferred compensation discussed above.</w:t>
      </w:r>
    </w:p>
    <w:p>
      <w:pPr>
        <w:spacing w:after="0" w:line="79"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Restricted stock units granted by Evergy vest in full (at target in the case of performance-based restricted stock units) upon death or disability. Performance share and restricted stock awards previously granted by Great Plains Energy are forfeited upon death or disability, absent Board action to the contrary. Time-based restricted stock units previously granted by Westar Energy vest on a prorated basis upon death or disability. NEOs or their beneficiaries are eligible for a prorated portion of annual incentive plan awards.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Resignation or Termination</w:t>
      </w:r>
    </w:p>
    <w:p>
      <w:pPr>
        <w:spacing w:after="0" w:line="122"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In the event of resignation or termination not covered by the severance plan, the NEO would receive a lump sum cash payment of all accrued and unpaid salary, unused vacation and the retirement benefits and deferred compensation discussed above. The NEO would also be entitled to continue health insurance benefits, at his or her own cost, as mandated by COBRA, or to elect retiree medical coverage if eligible to do so. All outstanding equity and annual incentive awards would be terminated, unless the Board took other action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123825</wp:posOffset>
            </wp:positionV>
            <wp:extent cx="5808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9"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FFFFFF"/>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-148590</wp:posOffset>
            </wp:positionV>
            <wp:extent cx="5808980"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08980" cy="180340"/>
                    </a:xfrm>
                    <a:prstGeom prst="rect">
                      <a:avLst/>
                    </a:prstGeom>
                    <a:noFill/>
                  </pic:spPr>
                </pic:pic>
              </a:graphicData>
            </a:graphic>
          </wp:anchor>
        </w:drawing>
      </w:r>
    </w:p>
    <w:p>
      <w:pPr>
        <w:spacing w:after="0" w:line="132"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We are required to disclose the ratio of our principal executive officer’s annual total compensation to the annual total compensation of an employee whose compensation is at the median of all employee compensation (excluding the principal executive officer). Mr. Terry Bassham is our principal executive officer.</w:t>
      </w:r>
    </w:p>
    <w:p>
      <w:pPr>
        <w:spacing w:after="0" w:line="86"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The rules governing the CEO Pay Ratio allow use of the same individual median employee for a 3-year period, provided the employee is actively employed at the company and during the last completed fiscal year there have been no changes in the company’s employee population or employee compensation arrangements that it reasonably believes would result in a significant change to its pay ratio disclosure. As such, Evergy used the same individual identified in 2018 that was included in the compilation of our CEO pay ratio as reported in the 2019 proxy. The methodology used to identify that person is described below.</w:t>
      </w:r>
    </w:p>
    <w:p>
      <w:pPr>
        <w:spacing w:after="0" w:line="93"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To identify the median employee, we compiled a list of 4,876 employees who were employed full-time, part-time or seasonally on October 1, 2018. Our workforce is located almost exclusively in two states, with approximately 46% in Missouri and approximately 54% in Kansas in 2018, and those percentages have not significantly changed. The average tenure for employees compiled in this list was 14 years of service, approximately 99% were full-time employees and 55% were bargaining unit (union) employees.</w:t>
      </w:r>
    </w:p>
    <w:p>
      <w:pPr>
        <w:spacing w:after="0" w:line="90" w:lineRule="exact"/>
        <w:rPr>
          <w:sz w:val="20"/>
          <w:szCs w:val="20"/>
          <w:color w:val="auto"/>
        </w:rPr>
      </w:pPr>
    </w:p>
    <w:p>
      <w:pPr>
        <w:jc w:val="both"/>
        <w:ind w:firstLine="172"/>
        <w:spacing w:after="0" w:line="254" w:lineRule="auto"/>
        <w:rPr>
          <w:sz w:val="20"/>
          <w:szCs w:val="20"/>
          <w:color w:val="auto"/>
        </w:rPr>
      </w:pPr>
      <w:r>
        <w:rPr>
          <w:rFonts w:ascii="Arial" w:cs="Arial" w:eastAsia="Arial" w:hAnsi="Arial"/>
          <w:sz w:val="17"/>
          <w:szCs w:val="17"/>
          <w:color w:val="auto"/>
        </w:rPr>
        <w:t>We reviewed annual total cash compensation for each employee on the list to identify the “median employee” and then calculated the median employee’s annual total compensation using the same methodology used in compiling the Summary Compensation Table for our NEOs. Annual total compensation includes among other items, base wages, overtime, short-term incentive and recognition payments, change in pension value and other elements of pay such as 401(k) employer match and equity incentives, as applicable. Our “median employee” is a nonunion employee at manager level with an annual base salary of $97,822 for 2019, and annual total compensation, calculated in the same manner as is done for Mr. Bassham, of $153,717. The calculation for annual total compensation does not represent the amount of cash compensation realized by our median employee and does not represent the amount of compensation that the employee will receive. Rather, SEC rules require that we include in this amount any change in the present value of estimated accrued pension payments, even though no cash pension benefits were paid to or received by the median employee. Year-over-year changes in pension value are driven by two primary factors; additional service/benefit accruals (which increases the value) and changes in actuarial pension assumptions. For 2019, the decrease in discount rates (used to discount the expected pension payments back to today) of roughly 70 basis points substantially increased the pension value calculated as part of annual total compensation.</w:t>
      </w:r>
    </w:p>
    <w:p>
      <w:pPr>
        <w:spacing w:after="0" w:line="101"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Mr. Bassham had 2019 total annual compensation of $5,793,975 as reflected in the Summary Compensation Table. As a result, we estimate that the ratio of Mr. Bassham’s total annual compensation to that of our median employee was approximately 38:1.</w:t>
      </w:r>
    </w:p>
    <w:p>
      <w:pPr>
        <w:spacing w:after="0" w:line="86"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Due to the complexity of the work associated with operating public utilities, our workforce tends to be more highly skilled than workforces at companies in other industries. In addition, our employees often have a relatively long tenure with Evergy.</w:t>
      </w:r>
    </w:p>
    <w:p>
      <w:pPr>
        <w:spacing w:after="0" w:line="86"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Because the SEC rules for identifying the median of the annual total compensation of our employees and calculating the pay ratio based on that employee’s annual total compensation allow companies to adopt a variety of methodologies, and to make reasonable estimates and assumptions that reflect their employee populations and compensation practices, the pay ratio reported by other companies may not be comparable to the pay ratio for Evergy, as other companies have different employee populations and compensation practices and may utilize different methodologies, estimates and assumptions in calculating their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58089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91" w:lineRule="exact"/>
        <w:rPr>
          <w:sz w:val="20"/>
          <w:szCs w:val="20"/>
          <w:color w:val="auto"/>
        </w:rPr>
      </w:pPr>
    </w:p>
    <w:p>
      <w:pPr>
        <w:jc w:val="right"/>
        <w:spacing w:after="0"/>
        <w:tabs>
          <w:tab w:leader="none" w:pos="4380" w:val="left"/>
        </w:tabs>
        <w:rPr>
          <w:sz w:val="20"/>
          <w:szCs w:val="20"/>
          <w:color w:val="auto"/>
        </w:rPr>
      </w:pPr>
      <w:r>
        <w:rPr>
          <w:rFonts w:ascii="Arial" w:cs="Arial" w:eastAsia="Arial" w:hAnsi="Arial"/>
          <w:sz w:val="14"/>
          <w:szCs w:val="14"/>
          <w:b w:val="1"/>
          <w:bCs w:val="1"/>
          <w:color w:val="307CC0"/>
        </w:rPr>
        <w:t>Executive Compensation</w:t>
      </w:r>
      <w:r>
        <w:rPr>
          <w:sz w:val="20"/>
          <w:szCs w:val="20"/>
          <w:color w:val="auto"/>
        </w:rPr>
        <w:tab/>
      </w:r>
      <w:r>
        <w:rPr>
          <w:rFonts w:ascii="Arial" w:cs="Arial" w:eastAsia="Arial" w:hAnsi="Arial"/>
          <w:sz w:val="13"/>
          <w:szCs w:val="13"/>
          <w:b w:val="1"/>
          <w:bCs w:val="1"/>
          <w:color w:val="7F7F7F"/>
        </w:rPr>
        <w:t xml:space="preserve">Executive Compensation Tables </w:t>
      </w:r>
      <w:r>
        <w:rPr>
          <w:rFonts w:ascii="Arial" w:cs="Arial" w:eastAsia="Arial" w:hAnsi="Arial"/>
          <w:sz w:val="13"/>
          <w:szCs w:val="13"/>
          <w:color w:val="000000"/>
        </w:rPr>
        <w:t>|</w:t>
      </w:r>
      <w:r>
        <w:rPr>
          <w:rFonts w:ascii="Arial" w:cs="Arial" w:eastAsia="Arial" w:hAnsi="Arial"/>
          <w:sz w:val="13"/>
          <w:szCs w:val="13"/>
          <w:b w:val="1"/>
          <w:bCs w:val="1"/>
          <w:color w:val="7F7F7F"/>
        </w:rPr>
        <w:t xml:space="preserve"> </w:t>
      </w:r>
      <w:r>
        <w:rPr>
          <w:rFonts w:ascii="Arial" w:cs="Arial" w:eastAsia="Arial" w:hAnsi="Arial"/>
          <w:sz w:val="13"/>
          <w:szCs w:val="13"/>
          <w:b w:val="1"/>
          <w:bCs w:val="1"/>
          <w:color w:val="000000"/>
        </w:rPr>
        <w:t>Evergy 2020 Proxy Statement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57" w:name="page58"/>
    <w:bookmarkEnd w:id="57"/>
    <w:p>
      <w:pPr>
        <w:ind w:left="20"/>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337820</wp:posOffset>
            </wp:positionV>
            <wp:extent cx="5808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left="60"/>
        <w:spacing w:after="0"/>
        <w:rPr>
          <w:sz w:val="20"/>
          <w:szCs w:val="20"/>
          <w:color w:val="auto"/>
        </w:rPr>
      </w:pPr>
      <w:r>
        <w:rPr>
          <w:rFonts w:ascii="Arial" w:cs="Arial" w:eastAsia="Arial" w:hAnsi="Arial"/>
          <w:sz w:val="27"/>
          <w:szCs w:val="27"/>
          <w:b w:val="1"/>
          <w:bCs w:val="1"/>
          <w:color w:val="00215D"/>
        </w:rPr>
        <w:t>Proposal</w:t>
      </w:r>
    </w:p>
    <w:p>
      <w:pPr>
        <w:spacing w:after="0" w:line="47" w:lineRule="exact"/>
        <w:rPr>
          <w:sz w:val="20"/>
          <w:szCs w:val="20"/>
          <w:color w:val="auto"/>
        </w:rPr>
      </w:pPr>
    </w:p>
    <w:p>
      <w:pPr>
        <w:jc w:val="center"/>
        <w:ind w:left="60"/>
        <w:spacing w:after="0"/>
        <w:rPr>
          <w:sz w:val="20"/>
          <w:szCs w:val="20"/>
          <w:color w:val="auto"/>
        </w:rPr>
      </w:pPr>
      <w:r>
        <w:rPr>
          <w:rFonts w:ascii="Arial" w:cs="Arial" w:eastAsia="Arial" w:hAnsi="Arial"/>
          <w:sz w:val="28"/>
          <w:szCs w:val="28"/>
          <w:b w:val="1"/>
          <w:bCs w:val="1"/>
          <w:color w:val="00215D"/>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right="400"/>
        <w:spacing w:after="0" w:line="257" w:lineRule="auto"/>
        <w:rPr>
          <w:sz w:val="20"/>
          <w:szCs w:val="20"/>
          <w:color w:val="auto"/>
        </w:rPr>
      </w:pPr>
      <w:r>
        <w:rPr>
          <w:rFonts w:ascii="Arial" w:cs="Arial" w:eastAsia="Arial" w:hAnsi="Arial"/>
          <w:sz w:val="24"/>
          <w:szCs w:val="24"/>
          <w:b w:val="1"/>
          <w:bCs w:val="1"/>
          <w:color w:val="00215D"/>
        </w:rPr>
        <w:t>Ratification of the Appointment of Deloitte &amp; Touche LLP as the Company’s independent registered public accounting firm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-560705</wp:posOffset>
            </wp:positionV>
            <wp:extent cx="5808980" cy="935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08980" cy="935355"/>
                    </a:xfrm>
                    <a:prstGeom prst="rect">
                      <a:avLst/>
                    </a:prstGeom>
                    <a:noFill/>
                  </pic:spPr>
                </pic:pic>
              </a:graphicData>
            </a:graphic>
          </wp:anchor>
        </w:drawing>
      </w:r>
    </w:p>
    <w:p>
      <w:pPr>
        <w:ind w:left="460" w:right="140" w:hanging="457"/>
        <w:spacing w:after="0" w:line="192" w:lineRule="auto"/>
        <w:tabs>
          <w:tab w:leader="none" w:pos="460" w:val="left"/>
        </w:tabs>
        <w:numPr>
          <w:ilvl w:val="0"/>
          <w:numId w:val="54"/>
        </w:numPr>
        <w:rPr>
          <w:rFonts w:ascii="MS PGothic" w:cs="MS PGothic" w:eastAsia="MS PGothic" w:hAnsi="MS PGothic"/>
          <w:sz w:val="45"/>
          <w:szCs w:val="45"/>
          <w:color w:val="00215D"/>
          <w:vertAlign w:val="subscript"/>
        </w:rPr>
      </w:pPr>
      <w:r>
        <w:rPr>
          <w:rFonts w:ascii="Arial" w:cs="Arial" w:eastAsia="Arial" w:hAnsi="Arial"/>
          <w:sz w:val="22"/>
          <w:szCs w:val="22"/>
          <w:b w:val="1"/>
          <w:bCs w:val="1"/>
          <w:color w:val="00215D"/>
        </w:rPr>
        <w:t>The Board recommends a vote FOR ratification of the appointment of Deloitte &amp; Touche LLP for 2020.</w:t>
      </w:r>
    </w:p>
    <w:p>
      <w:pPr>
        <w:spacing w:after="0" w:line="127" w:lineRule="exact"/>
        <w:rPr>
          <w:sz w:val="20"/>
          <w:szCs w:val="20"/>
          <w:color w:val="auto"/>
        </w:rPr>
      </w:pPr>
    </w:p>
    <w:p>
      <w:pPr>
        <w:sectPr>
          <w:pgSz w:w="11900" w:h="16838" w:orient="portrait"/>
          <w:cols w:equalWidth="0" w:num="2">
            <w:col w:w="1240" w:space="240"/>
            <w:col w:w="7680"/>
          </w:cols>
          <w:pgMar w:left="1360" w:top="272" w:right="1379" w:bottom="1440" w:gutter="0" w:footer="0" w:header="0"/>
          <w:type w:val="continuous"/>
        </w:sectPr>
      </w:pPr>
    </w:p>
    <w:p>
      <w:pPr>
        <w:jc w:val="both"/>
        <w:ind w:left="20" w:firstLine="172"/>
        <w:spacing w:after="0" w:line="257" w:lineRule="auto"/>
        <w:rPr>
          <w:sz w:val="20"/>
          <w:szCs w:val="20"/>
          <w:color w:val="auto"/>
        </w:rPr>
      </w:pPr>
      <w:r>
        <w:rPr>
          <w:rFonts w:ascii="Arial" w:cs="Arial" w:eastAsia="Arial" w:hAnsi="Arial"/>
          <w:sz w:val="17"/>
          <w:szCs w:val="17"/>
          <w:color w:val="auto"/>
        </w:rPr>
        <w:t>Deloitte &amp; Touche LLP (“Deloitte &amp; Touche”) has acted as the independent registered public accounting firm for Evergy and its predecessor companies since 2002. The Audit Committee is directly responsible for the appointment, compensation, retention and oversight of the independent registered public accounting firm retained to audit our financial statements. The Audit Committee has selected Deloitte &amp; Touche as our independent registered public accounting firm for 2020 and has directed that management submit such selection to shareholders for ratification at the annual meeting.</w:t>
      </w:r>
    </w:p>
    <w:p>
      <w:pPr>
        <w:spacing w:after="0" w:line="297" w:lineRule="exact"/>
        <w:rPr>
          <w:sz w:val="20"/>
          <w:szCs w:val="20"/>
          <w:color w:val="auto"/>
        </w:rPr>
      </w:pPr>
    </w:p>
    <w:p>
      <w:pPr>
        <w:jc w:val="both"/>
        <w:ind w:left="20" w:right="100" w:firstLine="172"/>
        <w:spacing w:after="0" w:line="255" w:lineRule="auto"/>
        <w:rPr>
          <w:sz w:val="20"/>
          <w:szCs w:val="20"/>
          <w:color w:val="auto"/>
        </w:rPr>
      </w:pPr>
      <w:r>
        <w:rPr>
          <w:rFonts w:ascii="Arial" w:cs="Arial" w:eastAsia="Arial" w:hAnsi="Arial"/>
          <w:sz w:val="17"/>
          <w:szCs w:val="17"/>
          <w:color w:val="auto"/>
        </w:rPr>
        <w:t>Shareholder ratification of the selection of Deloitte &amp; Touche as our independent registered public accounting firm is not required by our By-laws or otherwise. However, we are submitting the selection of Deloitte &amp; Touche to the shareholders for ratification as a matter of good corporate governance. If our shareholders fail to ratify the selection, the Audit Committee will reconsider whether or not to retain Deloitte &amp; Touche. Even if the selection is ratified, the Audit Committee in its discretion may appoint a different independent registered public accounting firm at any time during the year if it is determined that such a change would be in the best interests of the Company and our shareholders. Representatives from Deloitte &amp; Touche are expected to be present at the annual meeting, with the opportunity to make statements if they wish to do so, and are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5808980" cy="2051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182"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FFFFFF"/>
        </w:rPr>
        <w:t>Information Regarding Audit Matters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Audit Committee Pre-Approval of Audit and Permissible Non-Audit Services</w:t>
      </w:r>
    </w:p>
    <w:p>
      <w:pPr>
        <w:spacing w:after="0" w:line="124" w:lineRule="exact"/>
        <w:rPr>
          <w:sz w:val="20"/>
          <w:szCs w:val="20"/>
          <w:color w:val="auto"/>
        </w:rPr>
      </w:pPr>
    </w:p>
    <w:p>
      <w:pPr>
        <w:jc w:val="both"/>
        <w:ind w:left="20" w:firstLine="172"/>
        <w:spacing w:after="0" w:line="255" w:lineRule="auto"/>
        <w:rPr>
          <w:sz w:val="20"/>
          <w:szCs w:val="20"/>
          <w:color w:val="auto"/>
        </w:rPr>
      </w:pPr>
      <w:r>
        <w:rPr>
          <w:rFonts w:ascii="Arial" w:cs="Arial" w:eastAsia="Arial" w:hAnsi="Arial"/>
          <w:sz w:val="17"/>
          <w:szCs w:val="17"/>
          <w:color w:val="auto"/>
        </w:rPr>
        <w:t>The Audit Committee has adopted policies and procedures for the pre-approval of all audit services, audit-related services, tax services and other services to be provided by the independent registered public accounting firm for Evergy and its subsidiaries. Under these policies and procedures, the Audit Committee may pre-approve certain types of services, up to the aggregate fee levels it sets. Any proposed service within a pre-approved type of service that would cause the applicable fee level to be exceeded cannot be provided unless the Audit Committee either amends the applicable fee level or specifically approves the proposed service. The Audit Committee, as well, may specifically approve audit, audit-related, tax or other services on a case-by-case basis. Pre-approval is generally provided for up to one year, unless the Audit Committee specifically provides for a different period. Evergy provides quarterly updates to the Audit Committee regarding actual fees spent with respect to pre-approved services. The Chair of the Audit Committee may pre-approve audit, audit-related, tax and other services provided by the independent registered public accounting firm as required between meetings and report such pre-approval at the next Audit Committee meeting.</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Fees Paid to Deloitte &amp; Touche</w:t>
      </w:r>
    </w:p>
    <w:p>
      <w:pPr>
        <w:spacing w:after="0" w:line="124"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The following table sets forth the aggregate fees billed by Deloitte &amp; Touche for audit services rendered in connection with the consolidated financial statements and reports for 2019 and 2018, and for other services rendered during 2019 and 2018 to Evergy and its subsidiaries. All such services were pre-approved by the Audit Committee. Out-of-pocket costs incurred in connection with these services are also shown.</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4760" w:type="dxa"/>
            <w:vAlign w:val="bottom"/>
            <w:tcBorders>
              <w:left w:val="single" w:sz="8" w:color="307CC0"/>
            </w:tcBorders>
            <w:shd w:val="clear" w:color="auto" w:fill="307CC0"/>
          </w:tcPr>
          <w:p>
            <w:pPr>
              <w:ind w:left="40"/>
              <w:spacing w:after="0"/>
              <w:rPr>
                <w:sz w:val="20"/>
                <w:szCs w:val="20"/>
                <w:color w:val="auto"/>
              </w:rPr>
            </w:pPr>
            <w:r>
              <w:rPr>
                <w:rFonts w:ascii="Arial" w:cs="Arial" w:eastAsia="Arial" w:hAnsi="Arial"/>
                <w:sz w:val="13"/>
                <w:szCs w:val="13"/>
                <w:b w:val="1"/>
                <w:bCs w:val="1"/>
                <w:color w:val="FFFFFF"/>
              </w:rPr>
              <w:t>Fee Category</w:t>
            </w:r>
          </w:p>
        </w:tc>
        <w:tc>
          <w:tcPr>
            <w:tcW w:w="580" w:type="dxa"/>
            <w:vAlign w:val="bottom"/>
            <w:shd w:val="clear" w:color="auto" w:fill="307CC0"/>
          </w:tcPr>
          <w:p>
            <w:pPr>
              <w:spacing w:after="0"/>
              <w:rPr>
                <w:sz w:val="16"/>
                <w:szCs w:val="16"/>
                <w:color w:val="auto"/>
              </w:rPr>
            </w:pPr>
          </w:p>
        </w:tc>
        <w:tc>
          <w:tcPr>
            <w:tcW w:w="1620" w:type="dxa"/>
            <w:vAlign w:val="bottom"/>
            <w:shd w:val="clear" w:color="auto" w:fill="307CC0"/>
          </w:tcPr>
          <w:p>
            <w:pPr>
              <w:jc w:val="right"/>
              <w:ind w:right="877"/>
              <w:spacing w:after="0"/>
              <w:rPr>
                <w:sz w:val="20"/>
                <w:szCs w:val="20"/>
                <w:color w:val="auto"/>
              </w:rPr>
            </w:pPr>
            <w:r>
              <w:rPr>
                <w:rFonts w:ascii="Arial" w:cs="Arial" w:eastAsia="Arial" w:hAnsi="Arial"/>
                <w:sz w:val="13"/>
                <w:szCs w:val="13"/>
                <w:b w:val="1"/>
                <w:bCs w:val="1"/>
                <w:color w:val="FFFFFF"/>
              </w:rPr>
              <w:t>2019</w:t>
            </w:r>
          </w:p>
        </w:tc>
        <w:tc>
          <w:tcPr>
            <w:tcW w:w="640" w:type="dxa"/>
            <w:vAlign w:val="bottom"/>
            <w:shd w:val="clear" w:color="auto" w:fill="307CC0"/>
          </w:tcPr>
          <w:p>
            <w:pPr>
              <w:spacing w:after="0"/>
              <w:rPr>
                <w:sz w:val="16"/>
                <w:szCs w:val="16"/>
                <w:color w:val="auto"/>
              </w:rPr>
            </w:pPr>
          </w:p>
        </w:tc>
        <w:tc>
          <w:tcPr>
            <w:tcW w:w="1560" w:type="dxa"/>
            <w:vAlign w:val="bottom"/>
            <w:tcBorders>
              <w:right w:val="single" w:sz="8" w:color="307CC0"/>
            </w:tcBorders>
            <w:shd w:val="clear" w:color="auto" w:fill="307CC0"/>
          </w:tcPr>
          <w:p>
            <w:pPr>
              <w:jc w:val="right"/>
              <w:ind w:right="757"/>
              <w:spacing w:after="0"/>
              <w:rPr>
                <w:sz w:val="20"/>
                <w:szCs w:val="20"/>
                <w:color w:val="auto"/>
              </w:rPr>
            </w:pPr>
            <w:r>
              <w:rPr>
                <w:rFonts w:ascii="Arial" w:cs="Arial" w:eastAsia="Arial" w:hAnsi="Arial"/>
                <w:sz w:val="13"/>
                <w:szCs w:val="13"/>
                <w:b w:val="1"/>
                <w:bCs w:val="1"/>
                <w:color w:val="FFFFFF"/>
              </w:rPr>
              <w:t>2018</w:t>
            </w:r>
          </w:p>
        </w:tc>
      </w:tr>
      <w:tr>
        <w:trPr>
          <w:trHeight w:val="220"/>
        </w:trPr>
        <w:tc>
          <w:tcPr>
            <w:tcW w:w="4760" w:type="dxa"/>
            <w:vAlign w:val="bottom"/>
            <w:tcBorders>
              <w:left w:val="single" w:sz="8" w:color="307CC0"/>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Audit Fees</w:t>
            </w:r>
          </w:p>
        </w:tc>
        <w:tc>
          <w:tcPr>
            <w:tcW w:w="580" w:type="dxa"/>
            <w:vAlign w:val="bottom"/>
            <w:tcBorders>
              <w:bottom w:val="single" w:sz="8" w:color="307CC0"/>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4,416,500</w:t>
            </w:r>
          </w:p>
        </w:tc>
        <w:tc>
          <w:tcPr>
            <w:tcW w:w="640" w:type="dxa"/>
            <w:vAlign w:val="bottom"/>
            <w:tcBorders>
              <w:bottom w:val="single" w:sz="8" w:color="307CC0"/>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307CC0"/>
              <w:right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5,735,396</w:t>
            </w:r>
          </w:p>
        </w:tc>
      </w:tr>
      <w:tr>
        <w:trPr>
          <w:trHeight w:val="213"/>
        </w:trPr>
        <w:tc>
          <w:tcPr>
            <w:tcW w:w="4760" w:type="dxa"/>
            <w:vAlign w:val="bottom"/>
            <w:tcBorders>
              <w:left w:val="single" w:sz="8" w:color="307CC0"/>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Audit-Related Fees</w:t>
            </w:r>
          </w:p>
        </w:tc>
        <w:tc>
          <w:tcPr>
            <w:tcW w:w="580" w:type="dxa"/>
            <w:vAlign w:val="bottom"/>
            <w:tcBorders>
              <w:bottom w:val="single" w:sz="8" w:color="307CC0"/>
            </w:tcBorders>
            <w:shd w:val="clear" w:color="auto" w:fill="D6E7FF"/>
          </w:tcPr>
          <w:p>
            <w:pPr>
              <w:jc w:val="right"/>
              <w:ind w:right="2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124,600</w:t>
            </w:r>
          </w:p>
        </w:tc>
        <w:tc>
          <w:tcPr>
            <w:tcW w:w="640" w:type="dxa"/>
            <w:vAlign w:val="bottom"/>
            <w:tcBorders>
              <w:bottom w:val="single" w:sz="8" w:color="307CC0"/>
            </w:tcBorders>
            <w:shd w:val="clear" w:color="auto" w:fill="D6E7FF"/>
          </w:tcPr>
          <w:p>
            <w:pPr>
              <w:jc w:val="right"/>
              <w:ind w:right="3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307CC0"/>
              <w:right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139,000</w:t>
            </w:r>
          </w:p>
        </w:tc>
      </w:tr>
      <w:tr>
        <w:trPr>
          <w:trHeight w:val="213"/>
        </w:trPr>
        <w:tc>
          <w:tcPr>
            <w:tcW w:w="4760" w:type="dxa"/>
            <w:vAlign w:val="bottom"/>
            <w:tcBorders>
              <w:left w:val="single" w:sz="8" w:color="307CC0"/>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Tax Fees</w:t>
            </w:r>
          </w:p>
        </w:tc>
        <w:tc>
          <w:tcPr>
            <w:tcW w:w="580" w:type="dxa"/>
            <w:vAlign w:val="bottom"/>
            <w:tcBorders>
              <w:bottom w:val="single" w:sz="8" w:color="307CC0"/>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28,163</w:t>
            </w:r>
          </w:p>
        </w:tc>
        <w:tc>
          <w:tcPr>
            <w:tcW w:w="640" w:type="dxa"/>
            <w:vAlign w:val="bottom"/>
            <w:tcBorders>
              <w:bottom w:val="single" w:sz="8" w:color="307CC0"/>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307CC0"/>
              <w:right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34,765</w:t>
            </w:r>
          </w:p>
        </w:tc>
      </w:tr>
      <w:tr>
        <w:trPr>
          <w:trHeight w:val="213"/>
        </w:trPr>
        <w:tc>
          <w:tcPr>
            <w:tcW w:w="4760" w:type="dxa"/>
            <w:vAlign w:val="bottom"/>
            <w:tcBorders>
              <w:left w:val="single" w:sz="8" w:color="307CC0"/>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All Other Fees</w:t>
            </w:r>
          </w:p>
        </w:tc>
        <w:tc>
          <w:tcPr>
            <w:tcW w:w="580" w:type="dxa"/>
            <w:vAlign w:val="bottom"/>
            <w:tcBorders>
              <w:bottom w:val="single" w:sz="8" w:color="307CC0"/>
            </w:tcBorders>
            <w:shd w:val="clear" w:color="auto" w:fill="D6E7FF"/>
          </w:tcPr>
          <w:p>
            <w:pPr>
              <w:jc w:val="right"/>
              <w:ind w:right="2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8,790</w:t>
            </w:r>
          </w:p>
        </w:tc>
        <w:tc>
          <w:tcPr>
            <w:tcW w:w="640" w:type="dxa"/>
            <w:vAlign w:val="bottom"/>
            <w:tcBorders>
              <w:bottom w:val="single" w:sz="8" w:color="307CC0"/>
            </w:tcBorders>
            <w:shd w:val="clear" w:color="auto" w:fill="D6E7FF"/>
          </w:tcPr>
          <w:p>
            <w:pPr>
              <w:jc w:val="right"/>
              <w:ind w:right="3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307CC0"/>
              <w:right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5,895</w:t>
            </w:r>
          </w:p>
        </w:tc>
      </w:tr>
      <w:tr>
        <w:trPr>
          <w:trHeight w:val="213"/>
        </w:trPr>
        <w:tc>
          <w:tcPr>
            <w:tcW w:w="4760" w:type="dxa"/>
            <w:vAlign w:val="bottom"/>
            <w:tcBorders>
              <w:left w:val="single" w:sz="8" w:color="307CC0"/>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Total Fees:</w:t>
            </w:r>
          </w:p>
        </w:tc>
        <w:tc>
          <w:tcPr>
            <w:tcW w:w="580" w:type="dxa"/>
            <w:vAlign w:val="bottom"/>
            <w:tcBorders>
              <w:bottom w:val="single" w:sz="8" w:color="307CC0"/>
            </w:tcBorders>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4,578,053</w:t>
            </w:r>
          </w:p>
        </w:tc>
        <w:tc>
          <w:tcPr>
            <w:tcW w:w="640" w:type="dxa"/>
            <w:vAlign w:val="bottom"/>
            <w:tcBorders>
              <w:bottom w:val="single" w:sz="8" w:color="307CC0"/>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307CC0"/>
              <w:right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5,915,056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-746125</wp:posOffset>
            </wp:positionV>
            <wp:extent cx="5800725" cy="147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00725"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-450850</wp:posOffset>
            </wp:positionV>
            <wp:extent cx="5800725" cy="147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00725"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-154940</wp:posOffset>
            </wp:positionV>
            <wp:extent cx="5800725" cy="147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00725" cy="147955"/>
                    </a:xfrm>
                    <a:prstGeom prst="rect">
                      <a:avLst/>
                    </a:prstGeom>
                    <a:noFill/>
                  </pic:spPr>
                </pic:pic>
              </a:graphicData>
            </a:graphic>
          </wp:anchor>
        </w:drawing>
      </w:r>
    </w:p>
    <w:p>
      <w:pPr>
        <w:spacing w:after="0" w:line="61" w:lineRule="exact"/>
        <w:rPr>
          <w:sz w:val="20"/>
          <w:szCs w:val="20"/>
          <w:color w:val="auto"/>
        </w:rPr>
      </w:pPr>
    </w:p>
    <w:p>
      <w:pPr>
        <w:jc w:val="both"/>
        <w:ind w:left="20" w:right="20" w:firstLine="172"/>
        <w:spacing w:after="0" w:line="286" w:lineRule="auto"/>
        <w:rPr>
          <w:sz w:val="20"/>
          <w:szCs w:val="20"/>
          <w:color w:val="auto"/>
        </w:rPr>
      </w:pPr>
      <w:r>
        <w:rPr>
          <w:rFonts w:ascii="Arial" w:cs="Arial" w:eastAsia="Arial" w:hAnsi="Arial"/>
          <w:sz w:val="17"/>
          <w:szCs w:val="17"/>
          <w:b w:val="1"/>
          <w:bCs w:val="1"/>
          <w:color w:val="auto"/>
        </w:rPr>
        <w:t xml:space="preserve">Audit Fees: </w:t>
      </w:r>
      <w:r>
        <w:rPr>
          <w:rFonts w:ascii="Arial" w:cs="Arial" w:eastAsia="Arial" w:hAnsi="Arial"/>
          <w:sz w:val="17"/>
          <w:szCs w:val="17"/>
          <w:color w:val="auto"/>
        </w:rPr>
        <w:t>Consist of fees billed for professional services rendered for the audits of the annual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statements and reviews of the interim condensed consolidated financial statements included in quarterly reports.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243840</wp:posOffset>
            </wp:positionV>
            <wp:extent cx="58089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378"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Proposal 3 − Ratification of Appointment of Deloitte &amp; Touche</w:t>
      </w:r>
      <w:r>
        <w:rPr>
          <w:rFonts w:ascii="Arial" w:cs="Arial" w:eastAsia="Arial" w:hAnsi="Arial"/>
          <w:sz w:val="14"/>
          <w:szCs w:val="14"/>
          <w:b w:val="1"/>
          <w:bCs w:val="1"/>
          <w:color w:val="auto"/>
        </w:rPr>
        <w:tab/>
        <w:t>Evergy 2020 Proxy Statement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type w:val="continuous"/>
        </w:sectPr>
      </w:pPr>
    </w:p>
    <w:bookmarkStart w:id="58" w:name="page59"/>
    <w:bookmarkEnd w:id="5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fees also include: services provided by Deloitte &amp; Touche in connection with statutory and regulatory filings or engagements; audit reports on the effectiveness of internal control over financial reporting and other attest services, except those not required by statute or regulation; services related to filings with the SEC, including comfort letters, consents and assistance with and review of documents filed with the SEC; and accounting research in support of the audit.</w:t>
      </w:r>
    </w:p>
    <w:p>
      <w:pPr>
        <w:spacing w:after="0" w:line="68" w:lineRule="exact"/>
        <w:rPr>
          <w:sz w:val="20"/>
          <w:szCs w:val="20"/>
          <w:color w:val="auto"/>
        </w:rPr>
      </w:pPr>
    </w:p>
    <w:p>
      <w:pPr>
        <w:jc w:val="both"/>
        <w:ind w:firstLine="172"/>
        <w:spacing w:after="0" w:line="274" w:lineRule="auto"/>
        <w:rPr>
          <w:sz w:val="20"/>
          <w:szCs w:val="20"/>
          <w:color w:val="auto"/>
        </w:rPr>
      </w:pPr>
      <w:r>
        <w:rPr>
          <w:rFonts w:ascii="Arial" w:cs="Arial" w:eastAsia="Arial" w:hAnsi="Arial"/>
          <w:sz w:val="17"/>
          <w:szCs w:val="17"/>
          <w:b w:val="1"/>
          <w:bCs w:val="1"/>
          <w:color w:val="auto"/>
        </w:rPr>
        <w:t xml:space="preserve">Audit-Related Fees: </w:t>
      </w:r>
      <w:r>
        <w:rPr>
          <w:rFonts w:ascii="Arial" w:cs="Arial" w:eastAsia="Arial" w:hAnsi="Arial"/>
          <w:sz w:val="17"/>
          <w:szCs w:val="17"/>
          <w:color w:val="auto"/>
        </w:rPr>
        <w:t>Consist of fees billed for assurance and related services that are reasonably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the audit or review of consolidated financial statements of the Company and are not reported under “Audit Fees.” These services include consultation concerning financial accounting and reporting standards.</w:t>
      </w:r>
    </w:p>
    <w:p>
      <w:pPr>
        <w:spacing w:after="0" w:line="54" w:lineRule="exact"/>
        <w:rPr>
          <w:sz w:val="20"/>
          <w:szCs w:val="20"/>
          <w:color w:val="auto"/>
        </w:rPr>
      </w:pPr>
    </w:p>
    <w:p>
      <w:pPr>
        <w:jc w:val="both"/>
        <w:ind w:firstLine="172"/>
        <w:spacing w:after="0" w:line="296" w:lineRule="auto"/>
        <w:rPr>
          <w:sz w:val="20"/>
          <w:szCs w:val="20"/>
          <w:color w:val="auto"/>
        </w:rPr>
      </w:pPr>
      <w:r>
        <w:rPr>
          <w:rFonts w:ascii="Arial" w:cs="Arial" w:eastAsia="Arial" w:hAnsi="Arial"/>
          <w:sz w:val="17"/>
          <w:szCs w:val="17"/>
          <w:b w:val="1"/>
          <w:bCs w:val="1"/>
          <w:color w:val="auto"/>
        </w:rPr>
        <w:t xml:space="preserve">Tax Fees: </w:t>
      </w:r>
      <w:r>
        <w:rPr>
          <w:rFonts w:ascii="Arial" w:cs="Arial" w:eastAsia="Arial" w:hAnsi="Arial"/>
          <w:sz w:val="17"/>
          <w:szCs w:val="17"/>
          <w:color w:val="auto"/>
        </w:rPr>
        <w:t>Consist of fees billed for tax compliance and related support of tax returns and other tax services,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assistance with tax audits, and tax research and planning.</w:t>
      </w:r>
    </w:p>
    <w:p>
      <w:pPr>
        <w:spacing w:after="0" w:line="35" w:lineRule="exact"/>
        <w:rPr>
          <w:sz w:val="20"/>
          <w:szCs w:val="20"/>
          <w:color w:val="auto"/>
        </w:rPr>
      </w:pPr>
    </w:p>
    <w:p>
      <w:pPr>
        <w:ind w:left="160" w:right="340"/>
        <w:spacing w:after="0" w:line="280" w:lineRule="auto"/>
        <w:rPr>
          <w:sz w:val="20"/>
          <w:szCs w:val="20"/>
          <w:color w:val="auto"/>
        </w:rPr>
      </w:pPr>
      <w:r>
        <w:rPr>
          <w:rFonts w:ascii="Arial" w:cs="Arial" w:eastAsia="Arial" w:hAnsi="Arial"/>
          <w:sz w:val="17"/>
          <w:szCs w:val="17"/>
          <w:b w:val="1"/>
          <w:bCs w:val="1"/>
          <w:color w:val="auto"/>
        </w:rPr>
        <w:t xml:space="preserve">All Other Fees: </w:t>
      </w:r>
      <w:r>
        <w:rPr>
          <w:rFonts w:ascii="Arial" w:cs="Arial" w:eastAsia="Arial" w:hAnsi="Arial"/>
          <w:sz w:val="17"/>
          <w:szCs w:val="17"/>
          <w:color w:val="auto"/>
        </w:rPr>
        <w:t>Consist of fees for technical accounting training and subscription fees for an accounting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58089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55"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Proposal 3 − Ratification of Appointment of Deloitte &amp; Touche</w:t>
      </w:r>
      <w:r>
        <w:rPr>
          <w:rFonts w:ascii="Arial" w:cs="Arial" w:eastAsia="Arial" w:hAnsi="Arial"/>
          <w:sz w:val="14"/>
          <w:szCs w:val="14"/>
          <w:b w:val="1"/>
          <w:bCs w:val="1"/>
          <w:color w:val="auto"/>
        </w:rPr>
        <w:tab/>
        <w:t>Evergy 2020 Proxy Statement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240030</wp:posOffset>
            </wp:positionV>
            <wp:extent cx="5808980" cy="2051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Audit Committee Report</w:t>
      </w:r>
    </w:p>
    <w:p>
      <w:pPr>
        <w:spacing w:after="0" w:line="171"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7"/>
          <w:szCs w:val="17"/>
          <w:color w:val="auto"/>
        </w:rPr>
        <w:t xml:space="preserve">The Audit Committee is currently comprised of seven independent directors. Each member has the accounting or related financial management experience required under the NYSE listing standards. Our Board has determined that six members of the Committee possess the qualifications of an audit committee financial expert as determined under Regulation S-K Item 407(d) of the Securities Exchange Act of 1934 and have designated Mr. Andrews, Mr. Grimes, Mr. Hawley, Mr. Hyde, Ms. Murtlow and Mr. Soderstrom as those experts. The Audit Committee operates under a written charter that was last amended on December 18, 2019. A copy of the Audit Committee’s charter is available from the Company’s Corporate Secretary and made available on the Company’s website at </w:t>
      </w:r>
      <w:r>
        <w:rPr>
          <w:rFonts w:ascii="Arial" w:cs="Arial" w:eastAsia="Arial" w:hAnsi="Arial"/>
          <w:sz w:val="17"/>
          <w:szCs w:val="17"/>
          <w:i w:val="1"/>
          <w:iCs w:val="1"/>
          <w:color w:val="auto"/>
        </w:rPr>
        <w:t>www.evergyinc.com</w:t>
      </w:r>
      <w:r>
        <w:rPr>
          <w:rFonts w:ascii="Arial" w:cs="Arial" w:eastAsia="Arial" w:hAnsi="Arial"/>
          <w:sz w:val="17"/>
          <w:szCs w:val="17"/>
          <w:color w:val="auto"/>
        </w:rPr>
        <w:t>. As required by the charter, the Audit Committee periodically reviews the charter and recommends any changes to the Board for approval.</w:t>
      </w:r>
    </w:p>
    <w:p>
      <w:pPr>
        <w:spacing w:after="0" w:line="95"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7"/>
          <w:szCs w:val="17"/>
          <w:color w:val="auto"/>
        </w:rPr>
        <w:t>Under the Audit Committee’s charter, the Audit Committee has the responsibility to, among other tasks, monitor and provide oversight of management’s preparation of the Company’s financial statements and management’s performance in establishing and maintaining an appropriate system of internal controls related to the financial reporting process. The Audit Committee also periodically reviews and discusses the Company’s policies, processes and frameworks with respect to risk assessment and risk management, and oversees the Company’s internal audit function. The Audit Committee also has the responsibility to review the qualifications, independence and performance of the Company’s independent registered public accounting firm. The Audit Committee oversees the engagement of the independent registered public accounting firm, including fees. The Audit Committee has adopted policies and procedures for the pre-approval of all audit services, audit-related services, tax services and other services to be provided by the independent registered public accounting firm for the Company and its subsidiaries. Under these policies and procedures, the Audit Committee may pre-approve certain types of services, up to the aggregate fee levels it sets. Any proposed service within a pre-approved type of service that would cause the applicable fee level to be exceeded cannot be provided unless the Audit Committee either amends the applicable fee level or specifically approves the proposed service.</w:t>
      </w:r>
    </w:p>
    <w:p>
      <w:pPr>
        <w:spacing w:after="0" w:line="91"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The independent registered public accounting firm is responsible for auditing the Company’s consolidated financial statements and expressing an opinion as to whether they are presented fairly, in all material respects, in conformity with accounting principles generally accepted in the United States of America. The independent registered public accounting firm is also responsible for expressing an opinion on the effectiveness of the Company’s internal control over financial reporting. This opinion is based on an audit conducted by the independent registered public accounting firm in accordance with the standards of the Public Company Accounting Oversight Board (“PCAOB”). During 2019, the Company’s independent registered public accounting firm was Deloitte &amp; Touche LLP. Deloitte &amp; Touche has acted as the independent registered public accounting firm for the Company and the Company’s predecessors since 2002.</w:t>
      </w:r>
    </w:p>
    <w:p>
      <w:pPr>
        <w:spacing w:after="0" w:line="89"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In performing its functions, the Audit Committee acts only in an oversight capacity and relies necessarily on the work and assurances provided to it by management and on opinions made to it by the Company’s independent registered public accounting firm in its report. Accordingly, the oversight provided by the Audit Committee should not be considered as providing an independent basis for determining that management has established and maintained appropriate internal controls related to the financial reporting process, that the financial statements have been prepared in accordance with accounting principles generally accepted in the United States of America, or that the audit of the Company’s financial statements and effectiveness of the Company’s internal control over financial reporting by the independent registered public accounting firm has been carried out in accordance with the standards of the PCAOB.</w:t>
      </w:r>
    </w:p>
    <w:p>
      <w:pPr>
        <w:spacing w:after="0" w:line="89" w:lineRule="exact"/>
        <w:rPr>
          <w:sz w:val="20"/>
          <w:szCs w:val="20"/>
          <w:color w:val="auto"/>
        </w:rPr>
      </w:pPr>
    </w:p>
    <w:p>
      <w:pPr>
        <w:jc w:val="both"/>
        <w:ind w:right="20" w:firstLine="172"/>
        <w:spacing w:after="0" w:line="269" w:lineRule="auto"/>
        <w:rPr>
          <w:sz w:val="20"/>
          <w:szCs w:val="20"/>
          <w:color w:val="auto"/>
        </w:rPr>
      </w:pPr>
      <w:r>
        <w:rPr>
          <w:rFonts w:ascii="Arial" w:cs="Arial" w:eastAsia="Arial" w:hAnsi="Arial"/>
          <w:sz w:val="17"/>
          <w:szCs w:val="17"/>
          <w:color w:val="auto"/>
        </w:rPr>
        <w:t>In connection with its function to oversee and monitor the Company’s financial reporting process, the Audit Committee’s activities in 2019 included the following:</w:t>
      </w:r>
    </w:p>
    <w:p>
      <w:pPr>
        <w:spacing w:after="0" w:line="79" w:lineRule="exact"/>
        <w:rPr>
          <w:sz w:val="20"/>
          <w:szCs w:val="20"/>
          <w:color w:val="auto"/>
        </w:rPr>
      </w:pPr>
    </w:p>
    <w:p>
      <w:pPr>
        <w:jc w:val="both"/>
        <w:ind w:left="500" w:hanging="342"/>
        <w:spacing w:after="0" w:line="241" w:lineRule="auto"/>
        <w:tabs>
          <w:tab w:leader="none" w:pos="500" w:val="left"/>
        </w:tabs>
        <w:numPr>
          <w:ilvl w:val="0"/>
          <w:numId w:val="55"/>
        </w:numPr>
        <w:rPr>
          <w:rFonts w:ascii="Arial" w:cs="Arial" w:eastAsia="Arial" w:hAnsi="Arial"/>
          <w:sz w:val="17"/>
          <w:szCs w:val="17"/>
          <w:color w:val="307CC0"/>
        </w:rPr>
      </w:pPr>
      <w:r>
        <w:rPr>
          <w:rFonts w:ascii="Arial" w:cs="Arial" w:eastAsia="Arial" w:hAnsi="Arial"/>
          <w:sz w:val="17"/>
          <w:szCs w:val="17"/>
          <w:color w:val="auto"/>
        </w:rPr>
        <w:t>reviewed and discussed the audited financial statements and the report on internal control over financial reporting with management, the Company’s chief audit executive and Deloitte &amp; Touche, including a discussion of the reasonableness of significant accounting judgments and estimates, the overall quality and adequacy of the Company’s internal controls over financial reporting, and the organizational structure and responsibilities of the Company’s internal audit function;</w:t>
      </w:r>
    </w:p>
    <w:p>
      <w:pPr>
        <w:spacing w:after="0" w:line="91"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55"/>
        </w:numPr>
        <w:rPr>
          <w:rFonts w:ascii="Arial" w:cs="Arial" w:eastAsia="Arial" w:hAnsi="Arial"/>
          <w:sz w:val="17"/>
          <w:szCs w:val="17"/>
          <w:color w:val="307CC0"/>
        </w:rPr>
      </w:pPr>
      <w:r>
        <w:rPr>
          <w:rFonts w:ascii="Arial" w:cs="Arial" w:eastAsia="Arial" w:hAnsi="Arial"/>
          <w:sz w:val="17"/>
          <w:szCs w:val="17"/>
          <w:color w:val="auto"/>
        </w:rPr>
        <w:t>discussed with Deloitte &amp; Touche the matters required to be discussed by SEC regulations and by the applicable standards adopted by the PCAOB; and</w:t>
      </w:r>
    </w:p>
    <w:p>
      <w:pPr>
        <w:spacing w:after="0" w:line="78" w:lineRule="exact"/>
        <w:rPr>
          <w:rFonts w:ascii="Arial" w:cs="Arial" w:eastAsia="Arial" w:hAnsi="Arial"/>
          <w:sz w:val="17"/>
          <w:szCs w:val="17"/>
          <w:color w:val="307CC0"/>
        </w:rPr>
      </w:pPr>
    </w:p>
    <w:p>
      <w:pPr>
        <w:jc w:val="both"/>
        <w:ind w:left="500" w:hanging="342"/>
        <w:spacing w:after="0" w:line="245" w:lineRule="auto"/>
        <w:tabs>
          <w:tab w:leader="none" w:pos="500" w:val="left"/>
        </w:tabs>
        <w:numPr>
          <w:ilvl w:val="0"/>
          <w:numId w:val="55"/>
        </w:numPr>
        <w:rPr>
          <w:rFonts w:ascii="Arial" w:cs="Arial" w:eastAsia="Arial" w:hAnsi="Arial"/>
          <w:sz w:val="17"/>
          <w:szCs w:val="17"/>
          <w:color w:val="307CC0"/>
        </w:rPr>
      </w:pPr>
      <w:r>
        <w:rPr>
          <w:rFonts w:ascii="Arial" w:cs="Arial" w:eastAsia="Arial" w:hAnsi="Arial"/>
          <w:sz w:val="17"/>
          <w:szCs w:val="17"/>
          <w:color w:val="auto"/>
        </w:rPr>
        <w:t>received the written disclosures and the letter from Deloitte &amp; Touche required by applicable requirements of the PCAOB regarding Deloitte &amp; Touche’s communications with the Audit Committee concerning independence and discussed with Deloitte &amp; Touche its independence from management and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5"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Audit Committee Report</w:t>
      </w:r>
      <w:r>
        <w:rPr>
          <w:rFonts w:ascii="Arial" w:cs="Arial" w:eastAsia="Arial" w:hAnsi="Arial"/>
          <w:sz w:val="14"/>
          <w:szCs w:val="14"/>
          <w:b w:val="1"/>
          <w:bCs w:val="1"/>
          <w:color w:val="auto"/>
        </w:rPr>
        <w:tab/>
        <w:t>Evergy 2020 Proxy Statement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During 2019, at each of its regularly scheduled meetings, the Audit Committee met in separate private sessions with either the chief executive officer or the senior members of the Company’s financial management team, the Company’s chief audit executive and, if applicable, the Company’s independent registered public accounting firm. An executive session with only the members of the Audit Committee in attendance was also held at each of these meetings. The Committee’s agenda is established by the Audit Committee’s chairman and the Company’s chief audit executive, in consultation with the Company’s Corporate Secretary.</w:t>
      </w:r>
    </w:p>
    <w:p>
      <w:pPr>
        <w:spacing w:after="0" w:line="93"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that the audited financial statements be included in the Company’s annual report on Form 10-K for the fiscal year ended December 31, 2019, for filing with the SEC.</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Audit Committee</w:t>
      </w: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Thomas D. Hyde, Chair</w:t>
      </w:r>
    </w:p>
    <w:p>
      <w:pPr>
        <w:ind w:left="4580"/>
        <w:spacing w:after="0" w:line="237" w:lineRule="auto"/>
        <w:rPr>
          <w:sz w:val="20"/>
          <w:szCs w:val="20"/>
          <w:color w:val="auto"/>
        </w:rPr>
      </w:pPr>
      <w:r>
        <w:rPr>
          <w:rFonts w:ascii="Arial" w:cs="Arial" w:eastAsia="Arial" w:hAnsi="Arial"/>
          <w:sz w:val="17"/>
          <w:szCs w:val="17"/>
          <w:color w:val="auto"/>
        </w:rPr>
        <w:t>Charles Q. Chandler IV</w:t>
      </w:r>
    </w:p>
    <w:p>
      <w:pPr>
        <w:ind w:left="4580"/>
        <w:spacing w:after="0"/>
        <w:rPr>
          <w:sz w:val="20"/>
          <w:szCs w:val="20"/>
          <w:color w:val="auto"/>
        </w:rPr>
      </w:pPr>
      <w:r>
        <w:rPr>
          <w:rFonts w:ascii="Arial" w:cs="Arial" w:eastAsia="Arial" w:hAnsi="Arial"/>
          <w:sz w:val="17"/>
          <w:szCs w:val="17"/>
          <w:color w:val="auto"/>
        </w:rPr>
        <w:t>Scott D. Grimes</w:t>
      </w:r>
    </w:p>
    <w:p>
      <w:pPr>
        <w:ind w:left="4580"/>
        <w:spacing w:after="0" w:line="237" w:lineRule="auto"/>
        <w:rPr>
          <w:sz w:val="20"/>
          <w:szCs w:val="20"/>
          <w:color w:val="auto"/>
        </w:rPr>
      </w:pPr>
      <w:r>
        <w:rPr>
          <w:rFonts w:ascii="Arial" w:cs="Arial" w:eastAsia="Arial" w:hAnsi="Arial"/>
          <w:sz w:val="17"/>
          <w:szCs w:val="17"/>
          <w:color w:val="auto"/>
        </w:rPr>
        <w:t>Richard L. Hawley</w:t>
      </w:r>
    </w:p>
    <w:p>
      <w:pPr>
        <w:ind w:left="4580"/>
        <w:spacing w:after="0"/>
        <w:rPr>
          <w:sz w:val="20"/>
          <w:szCs w:val="20"/>
          <w:color w:val="auto"/>
        </w:rPr>
      </w:pPr>
      <w:r>
        <w:rPr>
          <w:rFonts w:ascii="Arial" w:cs="Arial" w:eastAsia="Arial" w:hAnsi="Arial"/>
          <w:sz w:val="17"/>
          <w:szCs w:val="17"/>
          <w:color w:val="auto"/>
        </w:rPr>
        <w:t>Ann D. Murtlow</w:t>
      </w:r>
    </w:p>
    <w:p>
      <w:pPr>
        <w:ind w:left="4580"/>
        <w:spacing w:after="0"/>
        <w:rPr>
          <w:sz w:val="20"/>
          <w:szCs w:val="20"/>
          <w:color w:val="auto"/>
        </w:rPr>
      </w:pPr>
      <w:r>
        <w:rPr>
          <w:rFonts w:ascii="Arial" w:cs="Arial" w:eastAsia="Arial" w:hAnsi="Arial"/>
          <w:sz w:val="17"/>
          <w:szCs w:val="17"/>
          <w:color w:val="auto"/>
        </w:rPr>
        <w:t>S. Carl Soderstrom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Mr. Andrews is a current member of the Audit Committee, but joined the Board after the Company’s annual report on Form 10-K for the fiscal year ended December 31, 2019 was filed with the SEC; therefore his name is not listed as a committee member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4"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Audit Committee Report</w:t>
      </w:r>
      <w:r>
        <w:rPr>
          <w:rFonts w:ascii="Arial" w:cs="Arial" w:eastAsia="Arial" w:hAnsi="Arial"/>
          <w:sz w:val="14"/>
          <w:szCs w:val="14"/>
          <w:b w:val="1"/>
          <w:bCs w:val="1"/>
          <w:color w:val="auto"/>
        </w:rPr>
        <w:tab/>
        <w:t>Evergy 2020 Proxy Statement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240030</wp:posOffset>
            </wp:positionV>
            <wp:extent cx="5808980" cy="2051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Security Ownership of Directors, Management and Beneficial Owners</w:t>
      </w:r>
    </w:p>
    <w:p>
      <w:pPr>
        <w:spacing w:after="0" w:line="171"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The following table shows, as of March 3, 2020, beneficial ownership of Company common stock by (i) each NEO, (ii) each director, (iii) all directors and executive officers as a group and (iv) each shareholder who the Company knows is a beneficial owner of more than five percent of the outstanding shares of the Company’s common stock (based on SEC filings). We have no knowledge of any person (as defined by the SEC) who owns beneficially more than five percent of our common stock, except as described below. Except as noted below, we believe that the persons listed have sole voting and investment power with respect to the securities listed.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Security Ownership of Directors and Executive Officers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80" w:type="dxa"/>
            <w:vAlign w:val="bottom"/>
            <w:shd w:val="clear" w:color="auto" w:fill="307CC0"/>
          </w:tcPr>
          <w:p>
            <w:pPr>
              <w:spacing w:after="0"/>
              <w:rPr>
                <w:sz w:val="13"/>
                <w:szCs w:val="13"/>
                <w:color w:val="auto"/>
              </w:rPr>
            </w:pPr>
          </w:p>
        </w:tc>
        <w:tc>
          <w:tcPr>
            <w:tcW w:w="3380" w:type="dxa"/>
            <w:vAlign w:val="bottom"/>
            <w:shd w:val="clear" w:color="auto" w:fill="307CC0"/>
          </w:tcPr>
          <w:p>
            <w:pPr>
              <w:spacing w:after="0"/>
              <w:rPr>
                <w:sz w:val="13"/>
                <w:szCs w:val="13"/>
                <w:color w:val="auto"/>
              </w:rPr>
            </w:pPr>
          </w:p>
        </w:tc>
        <w:tc>
          <w:tcPr>
            <w:tcW w:w="1020" w:type="dxa"/>
            <w:vAlign w:val="bottom"/>
            <w:shd w:val="clear" w:color="auto" w:fill="307CC0"/>
          </w:tcPr>
          <w:p>
            <w:pPr>
              <w:spacing w:after="0"/>
              <w:rPr>
                <w:sz w:val="13"/>
                <w:szCs w:val="13"/>
                <w:color w:val="auto"/>
              </w:rPr>
            </w:pPr>
          </w:p>
        </w:tc>
        <w:tc>
          <w:tcPr>
            <w:tcW w:w="1260" w:type="dxa"/>
            <w:vAlign w:val="bottom"/>
            <w:shd w:val="clear" w:color="auto" w:fill="307CC0"/>
          </w:tcPr>
          <w:p>
            <w:pPr>
              <w:jc w:val="center"/>
              <w:ind w:right="24"/>
              <w:spacing w:after="0"/>
              <w:rPr>
                <w:sz w:val="20"/>
                <w:szCs w:val="20"/>
                <w:color w:val="auto"/>
              </w:rPr>
            </w:pPr>
            <w:r>
              <w:rPr>
                <w:rFonts w:ascii="Arial" w:cs="Arial" w:eastAsia="Arial" w:hAnsi="Arial"/>
                <w:sz w:val="13"/>
                <w:szCs w:val="13"/>
                <w:b w:val="1"/>
                <w:bCs w:val="1"/>
                <w:color w:val="FFFFFF"/>
                <w:w w:val="99"/>
              </w:rPr>
              <w:t>Share</w:t>
            </w:r>
          </w:p>
        </w:tc>
        <w:tc>
          <w:tcPr>
            <w:tcW w:w="1200" w:type="dxa"/>
            <w:vAlign w:val="bottom"/>
            <w:shd w:val="clear" w:color="auto" w:fill="307CC0"/>
          </w:tcPr>
          <w:p>
            <w:pPr>
              <w:spacing w:after="0"/>
              <w:rPr>
                <w:sz w:val="13"/>
                <w:szCs w:val="13"/>
                <w:color w:val="auto"/>
              </w:rPr>
            </w:pPr>
          </w:p>
        </w:tc>
        <w:tc>
          <w:tcPr>
            <w:tcW w:w="920" w:type="dxa"/>
            <w:vAlign w:val="bottom"/>
            <w:shd w:val="clear" w:color="auto" w:fill="307CC0"/>
          </w:tcPr>
          <w:p>
            <w:pPr>
              <w:spacing w:after="0"/>
              <w:rPr>
                <w:sz w:val="13"/>
                <w:szCs w:val="13"/>
                <w:color w:val="auto"/>
              </w:rPr>
            </w:pPr>
          </w:p>
        </w:tc>
      </w:tr>
      <w:tr>
        <w:trPr>
          <w:trHeight w:val="142"/>
        </w:trPr>
        <w:tc>
          <w:tcPr>
            <w:tcW w:w="1380" w:type="dxa"/>
            <w:vAlign w:val="bottom"/>
            <w:shd w:val="clear" w:color="auto" w:fill="307CC0"/>
          </w:tcPr>
          <w:p>
            <w:pPr>
              <w:spacing w:after="0"/>
              <w:rPr>
                <w:sz w:val="12"/>
                <w:szCs w:val="12"/>
                <w:color w:val="auto"/>
              </w:rPr>
            </w:pPr>
          </w:p>
        </w:tc>
        <w:tc>
          <w:tcPr>
            <w:tcW w:w="3380" w:type="dxa"/>
            <w:vAlign w:val="bottom"/>
            <w:shd w:val="clear" w:color="auto" w:fill="307CC0"/>
          </w:tcPr>
          <w:p>
            <w:pPr>
              <w:spacing w:after="0"/>
              <w:rPr>
                <w:sz w:val="12"/>
                <w:szCs w:val="12"/>
                <w:color w:val="auto"/>
              </w:rPr>
            </w:pPr>
          </w:p>
        </w:tc>
        <w:tc>
          <w:tcPr>
            <w:tcW w:w="102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6"/>
              </w:rPr>
              <w:t>Beneficially</w:t>
            </w:r>
          </w:p>
        </w:tc>
        <w:tc>
          <w:tcPr>
            <w:tcW w:w="1260" w:type="dxa"/>
            <w:vAlign w:val="bottom"/>
            <w:shd w:val="clear" w:color="auto" w:fill="307CC0"/>
          </w:tcPr>
          <w:p>
            <w:pPr>
              <w:jc w:val="center"/>
              <w:ind w:right="24"/>
              <w:spacing w:after="0" w:line="143" w:lineRule="exact"/>
              <w:rPr>
                <w:sz w:val="20"/>
                <w:szCs w:val="20"/>
                <w:color w:val="auto"/>
              </w:rPr>
            </w:pPr>
            <w:r>
              <w:rPr>
                <w:rFonts w:ascii="Arial" w:cs="Arial" w:eastAsia="Arial" w:hAnsi="Arial"/>
                <w:sz w:val="13"/>
                <w:szCs w:val="13"/>
                <w:b w:val="1"/>
                <w:bCs w:val="1"/>
                <w:color w:val="FFFFFF"/>
                <w:w w:val="98"/>
              </w:rPr>
              <w:t>Equivalents to</w:t>
            </w:r>
          </w:p>
        </w:tc>
        <w:tc>
          <w:tcPr>
            <w:tcW w:w="1200" w:type="dxa"/>
            <w:vAlign w:val="bottom"/>
            <w:shd w:val="clear" w:color="auto" w:fill="307CC0"/>
          </w:tcPr>
          <w:p>
            <w:pPr>
              <w:spacing w:after="0"/>
              <w:rPr>
                <w:sz w:val="12"/>
                <w:szCs w:val="12"/>
                <w:color w:val="auto"/>
              </w:rPr>
            </w:pPr>
          </w:p>
        </w:tc>
        <w:tc>
          <w:tcPr>
            <w:tcW w:w="920" w:type="dxa"/>
            <w:vAlign w:val="bottom"/>
            <w:shd w:val="clear" w:color="auto" w:fill="307CC0"/>
          </w:tcPr>
          <w:p>
            <w:pPr>
              <w:spacing w:after="0"/>
              <w:rPr>
                <w:sz w:val="12"/>
                <w:szCs w:val="12"/>
                <w:color w:val="auto"/>
              </w:rPr>
            </w:pPr>
          </w:p>
        </w:tc>
      </w:tr>
      <w:tr>
        <w:trPr>
          <w:trHeight w:val="142"/>
        </w:trPr>
        <w:tc>
          <w:tcPr>
            <w:tcW w:w="1380" w:type="dxa"/>
            <w:vAlign w:val="bottom"/>
            <w:shd w:val="clear" w:color="auto" w:fill="307CC0"/>
          </w:tcPr>
          <w:p>
            <w:pPr>
              <w:spacing w:after="0"/>
              <w:rPr>
                <w:sz w:val="12"/>
                <w:szCs w:val="12"/>
                <w:color w:val="auto"/>
              </w:rPr>
            </w:pPr>
          </w:p>
        </w:tc>
        <w:tc>
          <w:tcPr>
            <w:tcW w:w="3380" w:type="dxa"/>
            <w:vAlign w:val="bottom"/>
            <w:shd w:val="clear" w:color="auto" w:fill="307CC0"/>
          </w:tcPr>
          <w:p>
            <w:pPr>
              <w:spacing w:after="0"/>
              <w:rPr>
                <w:sz w:val="12"/>
                <w:szCs w:val="12"/>
                <w:color w:val="auto"/>
              </w:rPr>
            </w:pPr>
          </w:p>
        </w:tc>
        <w:tc>
          <w:tcPr>
            <w:tcW w:w="102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6"/>
              </w:rPr>
              <w:t>Owned</w:t>
            </w:r>
          </w:p>
        </w:tc>
        <w:tc>
          <w:tcPr>
            <w:tcW w:w="1260" w:type="dxa"/>
            <w:vAlign w:val="bottom"/>
            <w:shd w:val="clear" w:color="auto" w:fill="307CC0"/>
          </w:tcPr>
          <w:p>
            <w:pPr>
              <w:jc w:val="center"/>
              <w:ind w:right="24"/>
              <w:spacing w:after="0" w:line="143" w:lineRule="exact"/>
              <w:rPr>
                <w:sz w:val="20"/>
                <w:szCs w:val="20"/>
                <w:color w:val="auto"/>
              </w:rPr>
            </w:pPr>
            <w:r>
              <w:rPr>
                <w:rFonts w:ascii="Arial" w:cs="Arial" w:eastAsia="Arial" w:hAnsi="Arial"/>
                <w:sz w:val="13"/>
                <w:szCs w:val="13"/>
                <w:b w:val="1"/>
                <w:bCs w:val="1"/>
                <w:color w:val="FFFFFF"/>
                <w:w w:val="98"/>
              </w:rPr>
              <w:t>be Settled in</w:t>
            </w:r>
          </w:p>
        </w:tc>
        <w:tc>
          <w:tcPr>
            <w:tcW w:w="1200" w:type="dxa"/>
            <w:vAlign w:val="bottom"/>
            <w:shd w:val="clear" w:color="auto" w:fill="307CC0"/>
          </w:tcPr>
          <w:p>
            <w:pPr>
              <w:jc w:val="center"/>
              <w:ind w:right="58"/>
              <w:spacing w:after="0" w:line="143" w:lineRule="exact"/>
              <w:rPr>
                <w:sz w:val="20"/>
                <w:szCs w:val="20"/>
                <w:color w:val="auto"/>
              </w:rPr>
            </w:pPr>
            <w:r>
              <w:rPr>
                <w:rFonts w:ascii="Arial" w:cs="Arial" w:eastAsia="Arial" w:hAnsi="Arial"/>
                <w:sz w:val="13"/>
                <w:szCs w:val="13"/>
                <w:b w:val="1"/>
                <w:bCs w:val="1"/>
                <w:color w:val="FFFFFF"/>
                <w:w w:val="98"/>
              </w:rPr>
              <w:t>Total Share</w:t>
            </w:r>
          </w:p>
        </w:tc>
        <w:tc>
          <w:tcPr>
            <w:tcW w:w="92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Percent Of</w:t>
            </w:r>
          </w:p>
        </w:tc>
      </w:tr>
      <w:tr>
        <w:trPr>
          <w:trHeight w:val="142"/>
        </w:trPr>
        <w:tc>
          <w:tcPr>
            <w:tcW w:w="1380" w:type="dxa"/>
            <w:vAlign w:val="bottom"/>
            <w:shd w:val="clear" w:color="auto" w:fill="307CC0"/>
          </w:tcPr>
          <w:p>
            <w:pPr>
              <w:spacing w:after="0"/>
              <w:rPr>
                <w:sz w:val="12"/>
                <w:szCs w:val="12"/>
                <w:color w:val="auto"/>
              </w:rPr>
            </w:pPr>
          </w:p>
        </w:tc>
        <w:tc>
          <w:tcPr>
            <w:tcW w:w="3380" w:type="dxa"/>
            <w:vAlign w:val="bottom"/>
            <w:shd w:val="clear" w:color="auto" w:fill="307CC0"/>
          </w:tcPr>
          <w:p>
            <w:pPr>
              <w:spacing w:after="0"/>
              <w:rPr>
                <w:sz w:val="12"/>
                <w:szCs w:val="12"/>
                <w:color w:val="auto"/>
              </w:rPr>
            </w:pPr>
          </w:p>
        </w:tc>
        <w:tc>
          <w:tcPr>
            <w:tcW w:w="102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6"/>
              </w:rPr>
              <w:t>Shares</w:t>
            </w:r>
          </w:p>
        </w:tc>
        <w:tc>
          <w:tcPr>
            <w:tcW w:w="1260" w:type="dxa"/>
            <w:vAlign w:val="bottom"/>
            <w:shd w:val="clear" w:color="auto" w:fill="307CC0"/>
          </w:tcPr>
          <w:p>
            <w:pPr>
              <w:jc w:val="center"/>
              <w:ind w:right="24"/>
              <w:spacing w:after="0" w:line="143" w:lineRule="exact"/>
              <w:rPr>
                <w:sz w:val="20"/>
                <w:szCs w:val="20"/>
                <w:color w:val="auto"/>
              </w:rPr>
            </w:pPr>
            <w:r>
              <w:rPr>
                <w:rFonts w:ascii="Arial" w:cs="Arial" w:eastAsia="Arial" w:hAnsi="Arial"/>
                <w:sz w:val="13"/>
                <w:szCs w:val="13"/>
                <w:b w:val="1"/>
                <w:bCs w:val="1"/>
                <w:color w:val="FFFFFF"/>
              </w:rPr>
              <w:t>Stock</w:t>
            </w:r>
          </w:p>
        </w:tc>
        <w:tc>
          <w:tcPr>
            <w:tcW w:w="1200" w:type="dxa"/>
            <w:vAlign w:val="bottom"/>
            <w:shd w:val="clear" w:color="auto" w:fill="307CC0"/>
          </w:tcPr>
          <w:p>
            <w:pPr>
              <w:jc w:val="center"/>
              <w:ind w:right="58"/>
              <w:spacing w:after="0" w:line="143" w:lineRule="exact"/>
              <w:rPr>
                <w:sz w:val="20"/>
                <w:szCs w:val="20"/>
                <w:color w:val="auto"/>
              </w:rPr>
            </w:pPr>
            <w:r>
              <w:rPr>
                <w:rFonts w:ascii="Arial" w:cs="Arial" w:eastAsia="Arial" w:hAnsi="Arial"/>
                <w:sz w:val="13"/>
                <w:szCs w:val="13"/>
                <w:b w:val="1"/>
                <w:bCs w:val="1"/>
                <w:color w:val="FFFFFF"/>
                <w:w w:val="97"/>
              </w:rPr>
              <w:t>Interest</w:t>
            </w:r>
          </w:p>
        </w:tc>
        <w:tc>
          <w:tcPr>
            <w:tcW w:w="920" w:type="dxa"/>
            <w:vAlign w:val="bottom"/>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w w:val="97"/>
              </w:rPr>
              <w:t>Class</w:t>
            </w:r>
          </w:p>
        </w:tc>
      </w:tr>
      <w:tr>
        <w:trPr>
          <w:trHeight w:val="185"/>
        </w:trPr>
        <w:tc>
          <w:tcPr>
            <w:tcW w:w="4760" w:type="dxa"/>
            <w:vAlign w:val="bottom"/>
            <w:gridSpan w:val="2"/>
            <w:shd w:val="clear" w:color="auto" w:fill="307CC0"/>
          </w:tcPr>
          <w:p>
            <w:pPr>
              <w:ind w:left="40"/>
              <w:spacing w:after="0"/>
              <w:rPr>
                <w:sz w:val="20"/>
                <w:szCs w:val="20"/>
                <w:color w:val="auto"/>
              </w:rPr>
            </w:pPr>
            <w:r>
              <w:rPr>
                <w:rFonts w:ascii="Arial" w:cs="Arial" w:eastAsia="Arial" w:hAnsi="Arial"/>
                <w:sz w:val="13"/>
                <w:szCs w:val="13"/>
                <w:b w:val="1"/>
                <w:bCs w:val="1"/>
                <w:color w:val="FFFFFF"/>
              </w:rPr>
              <w:t>Name</w:t>
            </w:r>
          </w:p>
        </w:tc>
        <w:tc>
          <w:tcPr>
            <w:tcW w:w="10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87"/>
              </w:rPr>
              <w:t>(#)</w:t>
            </w:r>
          </w:p>
        </w:tc>
        <w:tc>
          <w:tcPr>
            <w:tcW w:w="1260" w:type="dxa"/>
            <w:vAlign w:val="bottom"/>
            <w:shd w:val="clear" w:color="auto" w:fill="307CC0"/>
          </w:tcPr>
          <w:p>
            <w:pPr>
              <w:jc w:val="center"/>
              <w:ind w:right="24"/>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307CC0"/>
          </w:tcPr>
          <w:p>
            <w:pPr>
              <w:jc w:val="center"/>
              <w:ind w:right="78"/>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8"/>
              </w:rPr>
              <w:t>(%)</w:t>
            </w:r>
          </w:p>
        </w:tc>
      </w:tr>
      <w:tr>
        <w:trPr>
          <w:trHeight w:val="220"/>
        </w:trPr>
        <w:tc>
          <w:tcPr>
            <w:tcW w:w="476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Named Executive Officers</w:t>
            </w:r>
          </w:p>
        </w:tc>
        <w:tc>
          <w:tcPr>
            <w:tcW w:w="1020" w:type="dxa"/>
            <w:vAlign w:val="bottom"/>
            <w:tcBorders>
              <w:bottom w:val="single" w:sz="8" w:color="307CC0"/>
            </w:tcBorders>
            <w:shd w:val="clear" w:color="auto" w:fill="CCEEFF"/>
          </w:tcPr>
          <w:p>
            <w:pPr>
              <w:spacing w:after="0"/>
              <w:rPr>
                <w:sz w:val="19"/>
                <w:szCs w:val="19"/>
                <w:color w:val="auto"/>
              </w:rPr>
            </w:pPr>
          </w:p>
        </w:tc>
        <w:tc>
          <w:tcPr>
            <w:tcW w:w="1260" w:type="dxa"/>
            <w:vAlign w:val="bottom"/>
            <w:tcBorders>
              <w:bottom w:val="single" w:sz="8" w:color="307CC0"/>
            </w:tcBorders>
            <w:shd w:val="clear" w:color="auto" w:fill="CCEEFF"/>
          </w:tcPr>
          <w:p>
            <w:pPr>
              <w:spacing w:after="0"/>
              <w:rPr>
                <w:sz w:val="19"/>
                <w:szCs w:val="19"/>
                <w:color w:val="auto"/>
              </w:rPr>
            </w:pPr>
          </w:p>
        </w:tc>
        <w:tc>
          <w:tcPr>
            <w:tcW w:w="1200" w:type="dxa"/>
            <w:vAlign w:val="bottom"/>
            <w:tcBorders>
              <w:bottom w:val="single" w:sz="8" w:color="307CC0"/>
            </w:tcBorders>
            <w:shd w:val="clear" w:color="auto" w:fill="CCEEFF"/>
          </w:tcPr>
          <w:p>
            <w:pPr>
              <w:spacing w:after="0"/>
              <w:rPr>
                <w:sz w:val="19"/>
                <w:szCs w:val="19"/>
                <w:color w:val="auto"/>
              </w:rPr>
            </w:pPr>
          </w:p>
        </w:tc>
        <w:tc>
          <w:tcPr>
            <w:tcW w:w="920" w:type="dxa"/>
            <w:vAlign w:val="bottom"/>
            <w:tcBorders>
              <w:bottom w:val="single" w:sz="8" w:color="307CC0"/>
            </w:tcBorders>
            <w:shd w:val="clear" w:color="auto" w:fill="CCEEFF"/>
          </w:tcPr>
          <w:p>
            <w:pPr>
              <w:spacing w:after="0"/>
              <w:rPr>
                <w:sz w:val="19"/>
                <w:szCs w:val="19"/>
                <w:color w:val="auto"/>
              </w:rPr>
            </w:pP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Terry Bassham</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178,771</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63,378</w:t>
            </w:r>
            <w:r>
              <w:rPr>
                <w:rFonts w:ascii="Arial" w:cs="Arial" w:eastAsia="Arial" w:hAnsi="Arial"/>
                <w:sz w:val="24"/>
                <w:szCs w:val="24"/>
                <w:color w:val="auto"/>
                <w:vertAlign w:val="superscript"/>
              </w:rPr>
              <w:t>(1)</w:t>
            </w:r>
          </w:p>
        </w:tc>
        <w:tc>
          <w:tcPr>
            <w:tcW w:w="1200" w:type="dxa"/>
            <w:vAlign w:val="bottom"/>
            <w:tcBorders>
              <w:bottom w:val="single" w:sz="8" w:color="307CC0"/>
            </w:tcBorders>
            <w:shd w:val="clear" w:color="auto" w:fill="D6E7FF"/>
          </w:tcPr>
          <w:p>
            <w:pPr>
              <w:jc w:val="right"/>
              <w:ind w:right="58"/>
              <w:spacing w:after="0" w:line="212" w:lineRule="exact"/>
              <w:rPr>
                <w:sz w:val="20"/>
                <w:szCs w:val="20"/>
                <w:color w:val="auto"/>
              </w:rPr>
            </w:pPr>
            <w:r>
              <w:rPr>
                <w:rFonts w:ascii="Arial" w:cs="Arial" w:eastAsia="Arial" w:hAnsi="Arial"/>
                <w:sz w:val="15"/>
                <w:szCs w:val="15"/>
                <w:color w:val="auto"/>
              </w:rPr>
              <w:t>242,149</w:t>
            </w:r>
            <w:r>
              <w:rPr>
                <w:rFonts w:ascii="Arial" w:cs="Arial" w:eastAsia="Arial" w:hAnsi="Arial"/>
                <w:sz w:val="24"/>
                <w:szCs w:val="24"/>
                <w:color w:val="auto"/>
                <w:vertAlign w:val="superscript"/>
              </w:rPr>
              <w:t>(1)</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Kevin Bryant</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23,649</w:t>
            </w:r>
          </w:p>
        </w:tc>
        <w:tc>
          <w:tcPr>
            <w:tcW w:w="1260" w:type="dxa"/>
            <w:vAlign w:val="bottom"/>
            <w:tcBorders>
              <w:bottom w:val="single" w:sz="8" w:color="307CC0"/>
            </w:tcBorders>
            <w:shd w:val="clear" w:color="auto" w:fill="CCEEFF"/>
          </w:tcPr>
          <w:p>
            <w:pPr>
              <w:jc w:val="right"/>
              <w:ind w:right="44"/>
              <w:spacing w:after="0" w:line="212" w:lineRule="exact"/>
              <w:rPr>
                <w:sz w:val="20"/>
                <w:szCs w:val="20"/>
                <w:color w:val="auto"/>
              </w:rPr>
            </w:pPr>
            <w:r>
              <w:rPr>
                <w:rFonts w:ascii="Arial" w:cs="Arial" w:eastAsia="Arial" w:hAnsi="Arial"/>
                <w:sz w:val="15"/>
                <w:szCs w:val="15"/>
                <w:color w:val="auto"/>
              </w:rPr>
              <w:t>23,613</w:t>
            </w:r>
            <w:r>
              <w:rPr>
                <w:rFonts w:ascii="Arial" w:cs="Arial" w:eastAsia="Arial" w:hAnsi="Arial"/>
                <w:sz w:val="24"/>
                <w:szCs w:val="24"/>
                <w:color w:val="auto"/>
                <w:vertAlign w:val="superscript"/>
              </w:rPr>
              <w:t>(2)</w:t>
            </w:r>
          </w:p>
        </w:tc>
        <w:tc>
          <w:tcPr>
            <w:tcW w:w="1200" w:type="dxa"/>
            <w:vAlign w:val="bottom"/>
            <w:tcBorders>
              <w:bottom w:val="single" w:sz="8" w:color="307CC0"/>
            </w:tcBorders>
            <w:shd w:val="clear" w:color="auto" w:fill="CCEEFF"/>
          </w:tcPr>
          <w:p>
            <w:pPr>
              <w:jc w:val="right"/>
              <w:ind w:right="58"/>
              <w:spacing w:after="0" w:line="212" w:lineRule="exact"/>
              <w:rPr>
                <w:sz w:val="20"/>
                <w:szCs w:val="20"/>
                <w:color w:val="auto"/>
              </w:rPr>
            </w:pPr>
            <w:r>
              <w:rPr>
                <w:rFonts w:ascii="Arial" w:cs="Arial" w:eastAsia="Arial" w:hAnsi="Arial"/>
                <w:sz w:val="15"/>
                <w:szCs w:val="15"/>
                <w:color w:val="auto"/>
              </w:rPr>
              <w:t>47,262</w:t>
            </w:r>
            <w:r>
              <w:rPr>
                <w:rFonts w:ascii="Arial" w:cs="Arial" w:eastAsia="Arial" w:hAnsi="Arial"/>
                <w:sz w:val="24"/>
                <w:szCs w:val="24"/>
                <w:color w:val="auto"/>
                <w:vertAlign w:val="superscript"/>
              </w:rPr>
              <w:t>(2)</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Greg Greenwood</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21,898</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18,509</w:t>
            </w:r>
            <w:r>
              <w:rPr>
                <w:rFonts w:ascii="Arial" w:cs="Arial" w:eastAsia="Arial" w:hAnsi="Arial"/>
                <w:sz w:val="24"/>
                <w:szCs w:val="24"/>
                <w:color w:val="auto"/>
                <w:vertAlign w:val="superscript"/>
              </w:rPr>
              <w:t>(3)</w:t>
            </w:r>
          </w:p>
        </w:tc>
        <w:tc>
          <w:tcPr>
            <w:tcW w:w="1200" w:type="dxa"/>
            <w:vAlign w:val="bottom"/>
            <w:tcBorders>
              <w:bottom w:val="single" w:sz="8" w:color="307CC0"/>
            </w:tcBorders>
            <w:shd w:val="clear" w:color="auto" w:fill="D6E7FF"/>
          </w:tcPr>
          <w:p>
            <w:pPr>
              <w:jc w:val="right"/>
              <w:ind w:right="58"/>
              <w:spacing w:after="0" w:line="212" w:lineRule="exact"/>
              <w:rPr>
                <w:sz w:val="20"/>
                <w:szCs w:val="20"/>
                <w:color w:val="auto"/>
              </w:rPr>
            </w:pPr>
            <w:r>
              <w:rPr>
                <w:rFonts w:ascii="Arial" w:cs="Arial" w:eastAsia="Arial" w:hAnsi="Arial"/>
                <w:sz w:val="15"/>
                <w:szCs w:val="15"/>
                <w:color w:val="auto"/>
              </w:rPr>
              <w:t>40,407</w:t>
            </w:r>
            <w:r>
              <w:rPr>
                <w:rFonts w:ascii="Arial" w:cs="Arial" w:eastAsia="Arial" w:hAnsi="Arial"/>
                <w:sz w:val="24"/>
                <w:szCs w:val="24"/>
                <w:color w:val="auto"/>
                <w:vertAlign w:val="superscript"/>
              </w:rPr>
              <w:t>(3)</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Tony Somma</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48,011</w:t>
            </w:r>
          </w:p>
        </w:tc>
        <w:tc>
          <w:tcPr>
            <w:tcW w:w="1260" w:type="dxa"/>
            <w:vAlign w:val="bottom"/>
            <w:tcBorders>
              <w:bottom w:val="single" w:sz="8" w:color="307CC0"/>
            </w:tcBorders>
            <w:shd w:val="clear" w:color="auto" w:fill="CCEEFF"/>
          </w:tcPr>
          <w:p>
            <w:pPr>
              <w:jc w:val="right"/>
              <w:ind w:right="44"/>
              <w:spacing w:after="0" w:line="212" w:lineRule="exact"/>
              <w:rPr>
                <w:sz w:val="20"/>
                <w:szCs w:val="20"/>
                <w:color w:val="auto"/>
              </w:rPr>
            </w:pPr>
            <w:r>
              <w:rPr>
                <w:rFonts w:ascii="Arial" w:cs="Arial" w:eastAsia="Arial" w:hAnsi="Arial"/>
                <w:sz w:val="15"/>
                <w:szCs w:val="15"/>
                <w:color w:val="auto"/>
              </w:rPr>
              <w:t>17,270</w:t>
            </w:r>
            <w:r>
              <w:rPr>
                <w:rFonts w:ascii="Arial" w:cs="Arial" w:eastAsia="Arial" w:hAnsi="Arial"/>
                <w:sz w:val="24"/>
                <w:szCs w:val="24"/>
                <w:color w:val="auto"/>
                <w:vertAlign w:val="superscript"/>
              </w:rPr>
              <w:t>(4)</w:t>
            </w:r>
          </w:p>
        </w:tc>
        <w:tc>
          <w:tcPr>
            <w:tcW w:w="1200" w:type="dxa"/>
            <w:vAlign w:val="bottom"/>
            <w:tcBorders>
              <w:bottom w:val="single" w:sz="8" w:color="307CC0"/>
            </w:tcBorders>
            <w:shd w:val="clear" w:color="auto" w:fill="CCEEFF"/>
          </w:tcPr>
          <w:p>
            <w:pPr>
              <w:jc w:val="right"/>
              <w:ind w:right="58"/>
              <w:spacing w:after="0" w:line="212" w:lineRule="exact"/>
              <w:rPr>
                <w:sz w:val="20"/>
                <w:szCs w:val="20"/>
                <w:color w:val="auto"/>
              </w:rPr>
            </w:pPr>
            <w:r>
              <w:rPr>
                <w:rFonts w:ascii="Arial" w:cs="Arial" w:eastAsia="Arial" w:hAnsi="Arial"/>
                <w:sz w:val="15"/>
                <w:szCs w:val="15"/>
                <w:color w:val="auto"/>
              </w:rPr>
              <w:t>65,281</w:t>
            </w:r>
            <w:r>
              <w:rPr>
                <w:rFonts w:ascii="Arial" w:cs="Arial" w:eastAsia="Arial" w:hAnsi="Arial"/>
                <w:sz w:val="24"/>
                <w:szCs w:val="24"/>
                <w:color w:val="auto"/>
                <w:vertAlign w:val="superscript"/>
              </w:rPr>
              <w:t>(4)</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Heather Humphrey</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38,349</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21,001</w:t>
            </w:r>
            <w:r>
              <w:rPr>
                <w:rFonts w:ascii="Arial" w:cs="Arial" w:eastAsia="Arial" w:hAnsi="Arial"/>
                <w:sz w:val="24"/>
                <w:szCs w:val="24"/>
                <w:color w:val="auto"/>
                <w:vertAlign w:val="superscript"/>
              </w:rPr>
              <w:t>(5)</w:t>
            </w:r>
          </w:p>
        </w:tc>
        <w:tc>
          <w:tcPr>
            <w:tcW w:w="1200" w:type="dxa"/>
            <w:vAlign w:val="bottom"/>
            <w:tcBorders>
              <w:bottom w:val="single" w:sz="8" w:color="307CC0"/>
            </w:tcBorders>
            <w:shd w:val="clear" w:color="auto" w:fill="D6E7FF"/>
          </w:tcPr>
          <w:p>
            <w:pPr>
              <w:jc w:val="right"/>
              <w:ind w:right="58"/>
              <w:spacing w:after="0" w:line="212" w:lineRule="exact"/>
              <w:rPr>
                <w:sz w:val="20"/>
                <w:szCs w:val="20"/>
                <w:color w:val="auto"/>
              </w:rPr>
            </w:pPr>
            <w:r>
              <w:rPr>
                <w:rFonts w:ascii="Arial" w:cs="Arial" w:eastAsia="Arial" w:hAnsi="Arial"/>
                <w:sz w:val="15"/>
                <w:szCs w:val="15"/>
                <w:color w:val="auto"/>
              </w:rPr>
              <w:t>59,350</w:t>
            </w:r>
            <w:r>
              <w:rPr>
                <w:rFonts w:ascii="Arial" w:cs="Arial" w:eastAsia="Arial" w:hAnsi="Arial"/>
                <w:sz w:val="24"/>
                <w:szCs w:val="24"/>
                <w:color w:val="auto"/>
                <w:vertAlign w:val="superscript"/>
              </w:rPr>
              <w:t>(5)</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Executive Officer Total</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376,715</w:t>
            </w:r>
          </w:p>
        </w:tc>
        <w:tc>
          <w:tcPr>
            <w:tcW w:w="1260" w:type="dxa"/>
            <w:vAlign w:val="bottom"/>
            <w:tcBorders>
              <w:bottom w:val="single" w:sz="8" w:color="307CC0"/>
            </w:tcBorders>
            <w:shd w:val="clear" w:color="auto" w:fill="CCEEFF"/>
          </w:tcPr>
          <w:p>
            <w:pPr>
              <w:jc w:val="right"/>
              <w:ind w:right="224"/>
              <w:spacing w:after="0"/>
              <w:rPr>
                <w:sz w:val="20"/>
                <w:szCs w:val="20"/>
                <w:color w:val="auto"/>
              </w:rPr>
            </w:pPr>
            <w:r>
              <w:rPr>
                <w:rFonts w:ascii="Arial" w:cs="Arial" w:eastAsia="Arial" w:hAnsi="Arial"/>
                <w:sz w:val="17"/>
                <w:szCs w:val="17"/>
                <w:b w:val="1"/>
                <w:bCs w:val="1"/>
                <w:color w:val="auto"/>
              </w:rPr>
              <w:t>178,311</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b w:val="1"/>
                <w:bCs w:val="1"/>
                <w:color w:val="auto"/>
              </w:rPr>
              <w:t>544,273</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1380" w:type="dxa"/>
            <w:vAlign w:val="bottom"/>
            <w:tcBorders>
              <w:bottom w:val="single" w:sz="8" w:color="307CC0"/>
            </w:tcBorders>
            <w:shd w:val="clear" w:color="auto" w:fill="D6E7FF"/>
          </w:tcPr>
          <w:p>
            <w:pPr>
              <w:spacing w:after="0"/>
              <w:rPr>
                <w:sz w:val="18"/>
                <w:szCs w:val="18"/>
                <w:color w:val="auto"/>
              </w:rPr>
            </w:pPr>
          </w:p>
        </w:tc>
        <w:tc>
          <w:tcPr>
            <w:tcW w:w="3380" w:type="dxa"/>
            <w:vAlign w:val="bottom"/>
            <w:tcBorders>
              <w:bottom w:val="single" w:sz="8" w:color="307CC0"/>
            </w:tcBorders>
            <w:shd w:val="clear" w:color="auto" w:fill="D6E7FF"/>
          </w:tcPr>
          <w:p>
            <w:pPr>
              <w:spacing w:after="0"/>
              <w:rPr>
                <w:sz w:val="18"/>
                <w:szCs w:val="18"/>
                <w:color w:val="auto"/>
              </w:rPr>
            </w:pPr>
          </w:p>
        </w:tc>
        <w:tc>
          <w:tcPr>
            <w:tcW w:w="1020" w:type="dxa"/>
            <w:vAlign w:val="bottom"/>
            <w:tcBorders>
              <w:bottom w:val="single" w:sz="8" w:color="307CC0"/>
            </w:tcBorders>
            <w:shd w:val="clear" w:color="auto" w:fill="D6E7FF"/>
          </w:tcPr>
          <w:p>
            <w:pPr>
              <w:spacing w:after="0"/>
              <w:rPr>
                <w:sz w:val="18"/>
                <w:szCs w:val="18"/>
                <w:color w:val="auto"/>
              </w:rPr>
            </w:pPr>
          </w:p>
        </w:tc>
        <w:tc>
          <w:tcPr>
            <w:tcW w:w="1260" w:type="dxa"/>
            <w:vAlign w:val="bottom"/>
            <w:tcBorders>
              <w:bottom w:val="single" w:sz="8" w:color="307CC0"/>
            </w:tcBorders>
            <w:shd w:val="clear" w:color="auto" w:fill="D6E7FF"/>
          </w:tcPr>
          <w:p>
            <w:pPr>
              <w:spacing w:after="0"/>
              <w:rPr>
                <w:sz w:val="18"/>
                <w:szCs w:val="18"/>
                <w:color w:val="auto"/>
              </w:rPr>
            </w:pPr>
          </w:p>
        </w:tc>
        <w:tc>
          <w:tcPr>
            <w:tcW w:w="1200" w:type="dxa"/>
            <w:vAlign w:val="bottom"/>
            <w:tcBorders>
              <w:bottom w:val="single" w:sz="8" w:color="307CC0"/>
            </w:tcBorders>
            <w:shd w:val="clear" w:color="auto" w:fill="D6E7FF"/>
          </w:tcPr>
          <w:p>
            <w:pPr>
              <w:spacing w:after="0"/>
              <w:rPr>
                <w:sz w:val="18"/>
                <w:szCs w:val="18"/>
                <w:color w:val="auto"/>
              </w:rPr>
            </w:pPr>
          </w:p>
        </w:tc>
        <w:tc>
          <w:tcPr>
            <w:tcW w:w="920" w:type="dxa"/>
            <w:vAlign w:val="bottom"/>
            <w:tcBorders>
              <w:bottom w:val="single" w:sz="8" w:color="307CC0"/>
            </w:tcBorders>
            <w:shd w:val="clear" w:color="auto" w:fill="D6E7FF"/>
          </w:tcPr>
          <w:p>
            <w:pPr>
              <w:spacing w:after="0"/>
              <w:rPr>
                <w:sz w:val="18"/>
                <w:szCs w:val="18"/>
                <w:color w:val="auto"/>
              </w:rPr>
            </w:pPr>
          </w:p>
        </w:tc>
      </w:tr>
      <w:tr>
        <w:trPr>
          <w:trHeight w:val="213"/>
        </w:trPr>
        <w:tc>
          <w:tcPr>
            <w:tcW w:w="476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Non-Management Directors</w:t>
            </w:r>
          </w:p>
        </w:tc>
        <w:tc>
          <w:tcPr>
            <w:tcW w:w="1020" w:type="dxa"/>
            <w:vAlign w:val="bottom"/>
            <w:tcBorders>
              <w:bottom w:val="single" w:sz="8" w:color="307CC0"/>
            </w:tcBorders>
            <w:shd w:val="clear" w:color="auto" w:fill="CCEEFF"/>
          </w:tcPr>
          <w:p>
            <w:pPr>
              <w:spacing w:after="0"/>
              <w:rPr>
                <w:sz w:val="18"/>
                <w:szCs w:val="18"/>
                <w:color w:val="auto"/>
              </w:rPr>
            </w:pPr>
          </w:p>
        </w:tc>
        <w:tc>
          <w:tcPr>
            <w:tcW w:w="1260" w:type="dxa"/>
            <w:vAlign w:val="bottom"/>
            <w:tcBorders>
              <w:bottom w:val="single" w:sz="8" w:color="307CC0"/>
            </w:tcBorders>
            <w:shd w:val="clear" w:color="auto" w:fill="CCEEFF"/>
          </w:tcPr>
          <w:p>
            <w:pPr>
              <w:spacing w:after="0"/>
              <w:rPr>
                <w:sz w:val="18"/>
                <w:szCs w:val="18"/>
                <w:color w:val="auto"/>
              </w:rPr>
            </w:pPr>
          </w:p>
        </w:tc>
        <w:tc>
          <w:tcPr>
            <w:tcW w:w="1200" w:type="dxa"/>
            <w:vAlign w:val="bottom"/>
            <w:tcBorders>
              <w:bottom w:val="single" w:sz="8" w:color="307CC0"/>
            </w:tcBorders>
            <w:shd w:val="clear" w:color="auto" w:fill="CCEEFF"/>
          </w:tcPr>
          <w:p>
            <w:pPr>
              <w:spacing w:after="0"/>
              <w:rPr>
                <w:sz w:val="18"/>
                <w:szCs w:val="18"/>
                <w:color w:val="auto"/>
              </w:rPr>
            </w:pPr>
          </w:p>
        </w:tc>
        <w:tc>
          <w:tcPr>
            <w:tcW w:w="920" w:type="dxa"/>
            <w:vAlign w:val="bottom"/>
            <w:tcBorders>
              <w:bottom w:val="single" w:sz="8" w:color="307CC0"/>
            </w:tcBorders>
            <w:shd w:val="clear" w:color="auto" w:fill="CCEEFF"/>
          </w:tcPr>
          <w:p>
            <w:pPr>
              <w:spacing w:after="0"/>
              <w:rPr>
                <w:sz w:val="18"/>
                <w:szCs w:val="18"/>
                <w:color w:val="auto"/>
              </w:rPr>
            </w:pP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Kirkland B. Andrews</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1,874</w:t>
            </w:r>
          </w:p>
        </w:tc>
        <w:tc>
          <w:tcPr>
            <w:tcW w:w="1260" w:type="dxa"/>
            <w:vAlign w:val="bottom"/>
            <w:tcBorders>
              <w:bottom w:val="single" w:sz="8" w:color="307CC0"/>
            </w:tcBorders>
            <w:shd w:val="clear" w:color="auto" w:fill="D6E7FF"/>
          </w:tcPr>
          <w:p>
            <w:pPr>
              <w:jc w:val="right"/>
              <w:ind w:right="22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1,874</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Mollie Hale Carter</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44"/>
              <w:spacing w:after="0" w:line="212" w:lineRule="exact"/>
              <w:rPr>
                <w:sz w:val="20"/>
                <w:szCs w:val="20"/>
                <w:color w:val="auto"/>
              </w:rPr>
            </w:pPr>
            <w:r>
              <w:rPr>
                <w:rFonts w:ascii="Arial" w:cs="Arial" w:eastAsia="Arial" w:hAnsi="Arial"/>
                <w:sz w:val="15"/>
                <w:szCs w:val="15"/>
                <w:color w:val="auto"/>
              </w:rPr>
              <w:t>95,984</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color w:val="auto"/>
              </w:rPr>
              <w:t>96,984</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Charles Q. Chandler IV</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5,767</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101,501</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107,278</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Gary D. Forsee</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3,333</w:t>
            </w:r>
          </w:p>
        </w:tc>
        <w:tc>
          <w:tcPr>
            <w:tcW w:w="1260" w:type="dxa"/>
            <w:vAlign w:val="bottom"/>
            <w:tcBorders>
              <w:bottom w:val="single" w:sz="8" w:color="307CC0"/>
            </w:tcBorders>
            <w:shd w:val="clear" w:color="auto" w:fill="CCEEFF"/>
          </w:tcPr>
          <w:p>
            <w:pPr>
              <w:jc w:val="right"/>
              <w:ind w:right="44"/>
              <w:spacing w:after="0" w:line="212" w:lineRule="exact"/>
              <w:rPr>
                <w:sz w:val="20"/>
                <w:szCs w:val="20"/>
                <w:color w:val="auto"/>
              </w:rPr>
            </w:pPr>
            <w:r>
              <w:rPr>
                <w:rFonts w:ascii="Arial" w:cs="Arial" w:eastAsia="Arial" w:hAnsi="Arial"/>
                <w:sz w:val="15"/>
                <w:szCs w:val="15"/>
                <w:color w:val="auto"/>
              </w:rPr>
              <w:t>26,100</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color w:val="auto"/>
              </w:rPr>
              <w:t>28,433</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Scott D. Grimes</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788</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13,089</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13,877</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Richard L. Hawley</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20,713</w:t>
            </w:r>
          </w:p>
        </w:tc>
        <w:tc>
          <w:tcPr>
            <w:tcW w:w="1260" w:type="dxa"/>
            <w:vAlign w:val="bottom"/>
            <w:tcBorders>
              <w:bottom w:val="single" w:sz="8" w:color="307CC0"/>
            </w:tcBorders>
            <w:shd w:val="clear" w:color="auto" w:fill="CCEEFF"/>
          </w:tcPr>
          <w:p>
            <w:pPr>
              <w:jc w:val="right"/>
              <w:ind w:right="22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color w:val="auto"/>
              </w:rPr>
              <w:t>20,713</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Thomas D. Hyde</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2,733</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19,267</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22,040</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B. Anthony Isaac</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37,535</w:t>
            </w:r>
          </w:p>
        </w:tc>
        <w:tc>
          <w:tcPr>
            <w:tcW w:w="1260" w:type="dxa"/>
            <w:vAlign w:val="bottom"/>
            <w:tcBorders>
              <w:bottom w:val="single" w:sz="8" w:color="307CC0"/>
            </w:tcBorders>
            <w:shd w:val="clear" w:color="auto" w:fill="CCEEFF"/>
          </w:tcPr>
          <w:p>
            <w:pPr>
              <w:jc w:val="right"/>
              <w:ind w:right="22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color w:val="auto"/>
              </w:rPr>
              <w:t>37,535</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Paul M. Keglevic</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1,874</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1,874</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Sandra A.J. Lawrence</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4,760</w:t>
            </w:r>
          </w:p>
        </w:tc>
        <w:tc>
          <w:tcPr>
            <w:tcW w:w="1260" w:type="dxa"/>
            <w:vAlign w:val="bottom"/>
            <w:tcBorders>
              <w:bottom w:val="single" w:sz="8" w:color="307CC0"/>
            </w:tcBorders>
            <w:shd w:val="clear" w:color="auto" w:fill="CCEEFF"/>
          </w:tcPr>
          <w:p>
            <w:pPr>
              <w:jc w:val="right"/>
              <w:ind w:right="44"/>
              <w:spacing w:after="0" w:line="212" w:lineRule="exact"/>
              <w:rPr>
                <w:sz w:val="20"/>
                <w:szCs w:val="20"/>
                <w:color w:val="auto"/>
              </w:rPr>
            </w:pPr>
            <w:r>
              <w:rPr>
                <w:rFonts w:ascii="Arial" w:cs="Arial" w:eastAsia="Arial" w:hAnsi="Arial"/>
                <w:sz w:val="15"/>
                <w:szCs w:val="15"/>
                <w:color w:val="auto"/>
              </w:rPr>
              <w:t>58,965</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color w:val="auto"/>
              </w:rPr>
              <w:t>63,725</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Ann D. Murtlow</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3,302</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12,704</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16,006</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Sandra J. Price</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307CC0"/>
            </w:tcBorders>
            <w:shd w:val="clear" w:color="auto" w:fill="CCEEFF"/>
          </w:tcPr>
          <w:p>
            <w:pPr>
              <w:jc w:val="right"/>
              <w:ind w:right="44"/>
              <w:spacing w:after="0" w:line="212" w:lineRule="exact"/>
              <w:rPr>
                <w:sz w:val="20"/>
                <w:szCs w:val="20"/>
                <w:color w:val="auto"/>
              </w:rPr>
            </w:pPr>
            <w:r>
              <w:rPr>
                <w:rFonts w:ascii="Arial" w:cs="Arial" w:eastAsia="Arial" w:hAnsi="Arial"/>
                <w:sz w:val="15"/>
                <w:szCs w:val="15"/>
                <w:color w:val="auto"/>
              </w:rPr>
              <w:t>10,216</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color w:val="auto"/>
              </w:rPr>
              <w:t>10,216</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Mark A. Ruelle</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98,898</w:t>
            </w:r>
          </w:p>
        </w:tc>
        <w:tc>
          <w:tcPr>
            <w:tcW w:w="1260" w:type="dxa"/>
            <w:vAlign w:val="bottom"/>
            <w:tcBorders>
              <w:bottom w:val="single" w:sz="8" w:color="307CC0"/>
            </w:tcBorders>
            <w:shd w:val="clear" w:color="auto" w:fill="D6E7FF"/>
          </w:tcPr>
          <w:p>
            <w:pPr>
              <w:jc w:val="right"/>
              <w:ind w:right="44"/>
              <w:spacing w:after="0" w:line="212" w:lineRule="exact"/>
              <w:rPr>
                <w:sz w:val="20"/>
                <w:szCs w:val="20"/>
                <w:color w:val="auto"/>
              </w:rPr>
            </w:pPr>
            <w:r>
              <w:rPr>
                <w:rFonts w:ascii="Arial" w:cs="Arial" w:eastAsia="Arial" w:hAnsi="Arial"/>
                <w:sz w:val="15"/>
                <w:szCs w:val="15"/>
                <w:color w:val="auto"/>
              </w:rPr>
              <w:t>6,205</w:t>
            </w:r>
            <w:r>
              <w:rPr>
                <w:rFonts w:ascii="Arial" w:cs="Arial" w:eastAsia="Arial" w:hAnsi="Arial"/>
                <w:sz w:val="24"/>
                <w:szCs w:val="24"/>
                <w:color w:val="auto"/>
                <w:vertAlign w:val="superscript"/>
              </w:rPr>
              <w:t>(6)</w:t>
            </w: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105,103</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John J. Sherman</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42,528</w:t>
            </w:r>
          </w:p>
        </w:tc>
        <w:tc>
          <w:tcPr>
            <w:tcW w:w="1260" w:type="dxa"/>
            <w:vAlign w:val="bottom"/>
            <w:tcBorders>
              <w:bottom w:val="single" w:sz="8" w:color="307CC0"/>
            </w:tcBorders>
            <w:shd w:val="clear" w:color="auto" w:fill="CCEEFF"/>
          </w:tcPr>
          <w:p>
            <w:pPr>
              <w:jc w:val="right"/>
              <w:ind w:right="22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color w:val="auto"/>
              </w:rPr>
              <w:t>42,528</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D6E7FF"/>
          </w:tcPr>
          <w:p>
            <w:pPr>
              <w:ind w:left="200"/>
              <w:spacing w:after="0"/>
              <w:rPr>
                <w:sz w:val="20"/>
                <w:szCs w:val="20"/>
                <w:color w:val="auto"/>
              </w:rPr>
            </w:pPr>
            <w:r>
              <w:rPr>
                <w:rFonts w:ascii="Arial" w:cs="Arial" w:eastAsia="Arial" w:hAnsi="Arial"/>
                <w:sz w:val="17"/>
                <w:szCs w:val="17"/>
                <w:color w:val="auto"/>
              </w:rPr>
              <w:t>S. Carl Soderstrom Jr.</w:t>
            </w:r>
          </w:p>
        </w:tc>
        <w:tc>
          <w:tcPr>
            <w:tcW w:w="1020" w:type="dxa"/>
            <w:vAlign w:val="bottom"/>
            <w:tcBorders>
              <w:bottom w:val="single" w:sz="8" w:color="307CC0"/>
            </w:tcBorders>
            <w:shd w:val="clear" w:color="auto" w:fill="D6E7FF"/>
          </w:tcPr>
          <w:p>
            <w:pPr>
              <w:jc w:val="right"/>
              <w:ind w:right="37"/>
              <w:spacing w:after="0"/>
              <w:rPr>
                <w:sz w:val="20"/>
                <w:szCs w:val="20"/>
                <w:color w:val="auto"/>
              </w:rPr>
            </w:pPr>
            <w:r>
              <w:rPr>
                <w:rFonts w:ascii="Arial" w:cs="Arial" w:eastAsia="Arial" w:hAnsi="Arial"/>
                <w:sz w:val="17"/>
                <w:szCs w:val="17"/>
                <w:color w:val="auto"/>
              </w:rPr>
              <w:t>16,589</w:t>
            </w:r>
          </w:p>
        </w:tc>
        <w:tc>
          <w:tcPr>
            <w:tcW w:w="1260" w:type="dxa"/>
            <w:vAlign w:val="bottom"/>
            <w:tcBorders>
              <w:bottom w:val="single" w:sz="8" w:color="307CC0"/>
            </w:tcBorders>
            <w:shd w:val="clear" w:color="auto" w:fill="D6E7FF"/>
          </w:tcPr>
          <w:p>
            <w:pPr>
              <w:jc w:val="right"/>
              <w:ind w:right="22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16,589</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4760" w:type="dxa"/>
            <w:vAlign w:val="bottom"/>
            <w:tcBorders>
              <w:bottom w:val="single" w:sz="8" w:color="307CC0"/>
            </w:tcBorders>
            <w:gridSpan w:val="2"/>
            <w:shd w:val="clear" w:color="auto" w:fill="CCEEFF"/>
          </w:tcPr>
          <w:p>
            <w:pPr>
              <w:ind w:left="200"/>
              <w:spacing w:after="0"/>
              <w:rPr>
                <w:sz w:val="20"/>
                <w:szCs w:val="20"/>
                <w:color w:val="auto"/>
              </w:rPr>
            </w:pPr>
            <w:r>
              <w:rPr>
                <w:rFonts w:ascii="Arial" w:cs="Arial" w:eastAsia="Arial" w:hAnsi="Arial"/>
                <w:sz w:val="17"/>
                <w:szCs w:val="17"/>
                <w:color w:val="auto"/>
              </w:rPr>
              <w:t>John A. Stall</w:t>
            </w:r>
          </w:p>
        </w:tc>
        <w:tc>
          <w:tcPr>
            <w:tcW w:w="1020" w:type="dxa"/>
            <w:vAlign w:val="bottom"/>
            <w:tcBorders>
              <w:bottom w:val="single" w:sz="8" w:color="307CC0"/>
            </w:tcBorders>
            <w:shd w:val="clear" w:color="auto" w:fill="CCEEFF"/>
          </w:tcPr>
          <w:p>
            <w:pPr>
              <w:jc w:val="right"/>
              <w:ind w:right="37"/>
              <w:spacing w:after="0"/>
              <w:rPr>
                <w:sz w:val="20"/>
                <w:szCs w:val="20"/>
                <w:color w:val="auto"/>
              </w:rPr>
            </w:pPr>
            <w:r>
              <w:rPr>
                <w:rFonts w:ascii="Arial" w:cs="Arial" w:eastAsia="Arial" w:hAnsi="Arial"/>
                <w:sz w:val="17"/>
                <w:szCs w:val="17"/>
                <w:color w:val="auto"/>
              </w:rPr>
              <w:t>4,290</w:t>
            </w:r>
          </w:p>
        </w:tc>
        <w:tc>
          <w:tcPr>
            <w:tcW w:w="1260" w:type="dxa"/>
            <w:vAlign w:val="bottom"/>
            <w:tcBorders>
              <w:bottom w:val="single" w:sz="8" w:color="307CC0"/>
            </w:tcBorders>
            <w:shd w:val="clear" w:color="auto" w:fill="CCEEFF"/>
          </w:tcPr>
          <w:p>
            <w:pPr>
              <w:jc w:val="right"/>
              <w:ind w:right="22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307CC0"/>
            </w:tcBorders>
            <w:shd w:val="clear" w:color="auto" w:fill="CCEEFF"/>
          </w:tcPr>
          <w:p>
            <w:pPr>
              <w:jc w:val="right"/>
              <w:ind w:right="218"/>
              <w:spacing w:after="0"/>
              <w:rPr>
                <w:sz w:val="20"/>
                <w:szCs w:val="20"/>
                <w:color w:val="auto"/>
              </w:rPr>
            </w:pPr>
            <w:r>
              <w:rPr>
                <w:rFonts w:ascii="Arial" w:cs="Arial" w:eastAsia="Arial" w:hAnsi="Arial"/>
                <w:sz w:val="17"/>
                <w:szCs w:val="17"/>
                <w:color w:val="auto"/>
              </w:rPr>
              <w:t>4,290</w:t>
            </w:r>
          </w:p>
        </w:tc>
        <w:tc>
          <w:tcPr>
            <w:tcW w:w="920" w:type="dxa"/>
            <w:vAlign w:val="bottom"/>
            <w:tcBorders>
              <w:bottom w:val="single" w:sz="8" w:color="307CC0"/>
            </w:tcBorders>
            <w:shd w:val="clear" w:color="auto" w:fill="CCEEFF"/>
          </w:tcPr>
          <w:p>
            <w:pPr>
              <w:jc w:val="center"/>
              <w:spacing w:after="0"/>
              <w:rPr>
                <w:sz w:val="20"/>
                <w:szCs w:val="20"/>
                <w:color w:val="auto"/>
              </w:rPr>
            </w:pPr>
            <w:r>
              <w:rPr>
                <w:rFonts w:ascii="Arial" w:cs="Arial" w:eastAsia="Arial" w:hAnsi="Arial"/>
                <w:sz w:val="17"/>
                <w:szCs w:val="17"/>
                <w:color w:val="auto"/>
                <w:w w:val="89"/>
              </w:rPr>
              <w:t>*</w:t>
            </w:r>
          </w:p>
        </w:tc>
      </w:tr>
      <w:tr>
        <w:trPr>
          <w:trHeight w:val="213"/>
        </w:trPr>
        <w:tc>
          <w:tcPr>
            <w:tcW w:w="5780" w:type="dxa"/>
            <w:vAlign w:val="bottom"/>
            <w:tcBorders>
              <w:bottom w:val="single" w:sz="8" w:color="307CC0"/>
            </w:tcBorders>
            <w:gridSpan w:val="3"/>
            <w:shd w:val="clear" w:color="auto" w:fill="D6E7FF"/>
          </w:tcPr>
          <w:p>
            <w:pPr>
              <w:ind w:left="40"/>
              <w:spacing w:after="0"/>
              <w:rPr>
                <w:sz w:val="20"/>
                <w:szCs w:val="20"/>
                <w:color w:val="auto"/>
              </w:rPr>
            </w:pPr>
            <w:r>
              <w:rPr>
                <w:rFonts w:ascii="Arial" w:cs="Arial" w:eastAsia="Arial" w:hAnsi="Arial"/>
                <w:sz w:val="17"/>
                <w:szCs w:val="17"/>
                <w:b w:val="1"/>
                <w:bCs w:val="1"/>
                <w:color w:val="auto"/>
              </w:rPr>
              <w:t>All Evergy Directors and Executive Officers as a Group (25 persons)</w:t>
            </w:r>
          </w:p>
        </w:tc>
        <w:tc>
          <w:tcPr>
            <w:tcW w:w="1260" w:type="dxa"/>
            <w:vAlign w:val="bottom"/>
            <w:tcBorders>
              <w:bottom w:val="single" w:sz="8" w:color="307CC0"/>
            </w:tcBorders>
            <w:shd w:val="clear" w:color="auto" w:fill="D6E7FF"/>
          </w:tcPr>
          <w:p>
            <w:pPr>
              <w:spacing w:after="0"/>
              <w:rPr>
                <w:sz w:val="18"/>
                <w:szCs w:val="18"/>
                <w:color w:val="auto"/>
              </w:rPr>
            </w:pPr>
          </w:p>
        </w:tc>
        <w:tc>
          <w:tcPr>
            <w:tcW w:w="1200" w:type="dxa"/>
            <w:vAlign w:val="bottom"/>
            <w:tcBorders>
              <w:bottom w:val="single" w:sz="8" w:color="307CC0"/>
            </w:tcBorders>
            <w:shd w:val="clear" w:color="auto" w:fill="D6E7FF"/>
          </w:tcPr>
          <w:p>
            <w:pPr>
              <w:jc w:val="right"/>
              <w:ind w:right="218"/>
              <w:spacing w:after="0"/>
              <w:rPr>
                <w:sz w:val="20"/>
                <w:szCs w:val="20"/>
                <w:color w:val="auto"/>
              </w:rPr>
            </w:pPr>
            <w:r>
              <w:rPr>
                <w:rFonts w:ascii="Arial" w:cs="Arial" w:eastAsia="Arial" w:hAnsi="Arial"/>
                <w:sz w:val="17"/>
                <w:szCs w:val="17"/>
                <w:color w:val="auto"/>
              </w:rPr>
              <w:t>1,133,338</w:t>
            </w:r>
          </w:p>
        </w:tc>
        <w:tc>
          <w:tcPr>
            <w:tcW w:w="920" w:type="dxa"/>
            <w:vAlign w:val="bottom"/>
            <w:tcBorders>
              <w:bottom w:val="single" w:sz="8" w:color="307CC0"/>
            </w:tcBorders>
            <w:shd w:val="clear" w:color="auto" w:fill="D6E7FF"/>
          </w:tcPr>
          <w:p>
            <w:pPr>
              <w:jc w:val="center"/>
              <w:spacing w:after="0"/>
              <w:rPr>
                <w:sz w:val="20"/>
                <w:szCs w:val="20"/>
                <w:color w:val="auto"/>
              </w:rPr>
            </w:pPr>
            <w:r>
              <w:rPr>
                <w:rFonts w:ascii="Arial" w:cs="Arial" w:eastAsia="Arial" w:hAnsi="Arial"/>
                <w:sz w:val="17"/>
                <w:szCs w:val="17"/>
                <w:color w:val="auto"/>
                <w:w w:val="89"/>
              </w:rPr>
              <w:t>*</w:t>
            </w:r>
          </w:p>
        </w:tc>
      </w:tr>
      <w:tr>
        <w:trPr>
          <w:trHeight w:val="161"/>
        </w:trPr>
        <w:tc>
          <w:tcPr>
            <w:tcW w:w="1380" w:type="dxa"/>
            <w:vAlign w:val="bottom"/>
            <w:tcBorders>
              <w:bottom w:val="single" w:sz="8" w:color="auto"/>
            </w:tcBorders>
          </w:tcPr>
          <w:p>
            <w:pPr>
              <w:spacing w:after="0"/>
              <w:rPr>
                <w:sz w:val="13"/>
                <w:szCs w:val="13"/>
                <w:color w:val="auto"/>
              </w:rPr>
            </w:pPr>
          </w:p>
        </w:tc>
        <w:tc>
          <w:tcPr>
            <w:tcW w:w="3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-3962400</wp:posOffset>
            </wp:positionV>
            <wp:extent cx="5808980" cy="147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-3667125</wp:posOffset>
            </wp:positionV>
            <wp:extent cx="5808980" cy="147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-3371850</wp:posOffset>
            </wp:positionV>
            <wp:extent cx="5808980" cy="147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-3075940</wp:posOffset>
            </wp:positionV>
            <wp:extent cx="5808980" cy="147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-2780665</wp:posOffset>
            </wp:positionV>
            <wp:extent cx="5808980" cy="147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-2485390</wp:posOffset>
            </wp:positionV>
            <wp:extent cx="5808980" cy="147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-2190115</wp:posOffset>
            </wp:positionV>
            <wp:extent cx="5808980" cy="147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-1894840</wp:posOffset>
            </wp:positionV>
            <wp:extent cx="5808980" cy="147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-1599565</wp:posOffset>
            </wp:positionV>
            <wp:extent cx="5808980" cy="147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-1303655</wp:posOffset>
            </wp:positionV>
            <wp:extent cx="5808980" cy="147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-1008380</wp:posOffset>
            </wp:positionV>
            <wp:extent cx="5808980" cy="147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-713105</wp:posOffset>
            </wp:positionV>
            <wp:extent cx="5808980" cy="147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-417830</wp:posOffset>
            </wp:positionV>
            <wp:extent cx="5808980" cy="147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88" w:lineRule="exact"/>
        <w:rPr>
          <w:sz w:val="20"/>
          <w:szCs w:val="20"/>
          <w:color w:val="auto"/>
        </w:rPr>
      </w:pPr>
    </w:p>
    <w:p>
      <w:pPr>
        <w:ind w:left="340" w:hanging="330"/>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97" w:lineRule="exact"/>
        <w:rPr>
          <w:sz w:val="20"/>
          <w:szCs w:val="20"/>
          <w:color w:val="auto"/>
        </w:rPr>
      </w:pPr>
    </w:p>
    <w:p>
      <w:pPr>
        <w:ind w:left="340" w:hanging="330"/>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13,100 shares of restricted stock and 50,278 restricted stock units.</w:t>
      </w:r>
    </w:p>
    <w:p>
      <w:pPr>
        <w:spacing w:after="0" w:line="97" w:lineRule="exact"/>
        <w:rPr>
          <w:rFonts w:ascii="Arial" w:cs="Arial" w:eastAsia="Arial" w:hAnsi="Arial"/>
          <w:sz w:val="14"/>
          <w:szCs w:val="14"/>
          <w:color w:val="auto"/>
        </w:rPr>
      </w:pPr>
    </w:p>
    <w:p>
      <w:pPr>
        <w:ind w:left="340" w:hanging="330"/>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3,821 shares of restricted stock and 19,792 restricted stock units.</w:t>
      </w:r>
    </w:p>
    <w:p>
      <w:pPr>
        <w:spacing w:after="0" w:line="97" w:lineRule="exact"/>
        <w:rPr>
          <w:rFonts w:ascii="Arial" w:cs="Arial" w:eastAsia="Arial" w:hAnsi="Arial"/>
          <w:sz w:val="14"/>
          <w:szCs w:val="14"/>
          <w:color w:val="auto"/>
        </w:rPr>
      </w:pPr>
    </w:p>
    <w:p>
      <w:pPr>
        <w:ind w:left="340" w:hanging="330"/>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18,509 restricted stock units.</w:t>
      </w:r>
    </w:p>
    <w:p>
      <w:pPr>
        <w:spacing w:after="0" w:line="97" w:lineRule="exact"/>
        <w:rPr>
          <w:rFonts w:ascii="Arial" w:cs="Arial" w:eastAsia="Arial" w:hAnsi="Arial"/>
          <w:sz w:val="14"/>
          <w:szCs w:val="14"/>
          <w:color w:val="auto"/>
        </w:rPr>
      </w:pPr>
    </w:p>
    <w:p>
      <w:pPr>
        <w:ind w:left="340" w:hanging="330"/>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17,270 restricted stock units.</w:t>
      </w:r>
    </w:p>
    <w:p>
      <w:pPr>
        <w:spacing w:after="0" w:line="97" w:lineRule="exact"/>
        <w:rPr>
          <w:rFonts w:ascii="Arial" w:cs="Arial" w:eastAsia="Arial" w:hAnsi="Arial"/>
          <w:sz w:val="14"/>
          <w:szCs w:val="14"/>
          <w:color w:val="auto"/>
        </w:rPr>
      </w:pPr>
    </w:p>
    <w:p>
      <w:pPr>
        <w:ind w:left="340" w:hanging="330"/>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2,930 shares of restricted stock and 18,071 restricted stock units.</w:t>
      </w:r>
    </w:p>
    <w:p>
      <w:pPr>
        <w:spacing w:after="0" w:line="97" w:lineRule="exact"/>
        <w:rPr>
          <w:rFonts w:ascii="Arial" w:cs="Arial" w:eastAsia="Arial" w:hAnsi="Arial"/>
          <w:sz w:val="14"/>
          <w:szCs w:val="14"/>
          <w:color w:val="auto"/>
        </w:rPr>
      </w:pPr>
    </w:p>
    <w:p>
      <w:pPr>
        <w:ind w:left="340" w:right="20" w:hanging="330"/>
        <w:spacing w:after="0" w:line="238"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equity that was deferred pursuant to a non-employee director deferred compensation plan that will settle in stock on a 1-for-1 basis and be distributed following termination of service on the Board pursuant to elections made by the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8089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Security Ownership</w:t>
      </w:r>
      <w:r>
        <w:rPr>
          <w:rFonts w:ascii="Arial" w:cs="Arial" w:eastAsia="Arial" w:hAnsi="Arial"/>
          <w:sz w:val="14"/>
          <w:szCs w:val="14"/>
          <w:b w:val="1"/>
          <w:bCs w:val="1"/>
          <w:color w:val="auto"/>
        </w:rPr>
        <w:tab/>
        <w:t>Evergy 2020 Proxy Statement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Security Ownership of Certain Beneficial Owners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80" w:type="dxa"/>
            <w:vAlign w:val="bottom"/>
            <w:shd w:val="clear" w:color="auto" w:fill="307CC0"/>
          </w:tcPr>
          <w:p>
            <w:pPr>
              <w:spacing w:after="0"/>
              <w:rPr>
                <w:sz w:val="13"/>
                <w:szCs w:val="13"/>
                <w:color w:val="auto"/>
              </w:rPr>
            </w:pPr>
          </w:p>
        </w:tc>
        <w:tc>
          <w:tcPr>
            <w:tcW w:w="4360" w:type="dxa"/>
            <w:vAlign w:val="bottom"/>
            <w:shd w:val="clear" w:color="auto" w:fill="307CC0"/>
          </w:tcPr>
          <w:p>
            <w:pPr>
              <w:spacing w:after="0"/>
              <w:rPr>
                <w:sz w:val="13"/>
                <w:szCs w:val="13"/>
                <w:color w:val="auto"/>
              </w:rPr>
            </w:pPr>
          </w:p>
        </w:tc>
        <w:tc>
          <w:tcPr>
            <w:tcW w:w="22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Beneficial Ownership of</w:t>
            </w:r>
          </w:p>
        </w:tc>
        <w:tc>
          <w:tcPr>
            <w:tcW w:w="120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Percentage of</w:t>
            </w:r>
          </w:p>
        </w:tc>
        <w:tc>
          <w:tcPr>
            <w:tcW w:w="0" w:type="dxa"/>
            <w:vAlign w:val="bottom"/>
          </w:tcPr>
          <w:p>
            <w:pPr>
              <w:spacing w:after="0"/>
              <w:rPr>
                <w:sz w:val="1"/>
                <w:szCs w:val="1"/>
                <w:color w:val="auto"/>
              </w:rPr>
            </w:pPr>
          </w:p>
        </w:tc>
      </w:tr>
      <w:tr>
        <w:trPr>
          <w:trHeight w:val="140"/>
        </w:trPr>
        <w:tc>
          <w:tcPr>
            <w:tcW w:w="1380" w:type="dxa"/>
            <w:vAlign w:val="bottom"/>
            <w:shd w:val="clear" w:color="auto" w:fill="307CC0"/>
          </w:tcPr>
          <w:p>
            <w:pPr>
              <w:spacing w:after="0"/>
              <w:rPr>
                <w:sz w:val="12"/>
                <w:szCs w:val="12"/>
                <w:color w:val="auto"/>
              </w:rPr>
            </w:pPr>
          </w:p>
        </w:tc>
        <w:tc>
          <w:tcPr>
            <w:tcW w:w="4360" w:type="dxa"/>
            <w:vAlign w:val="bottom"/>
            <w:shd w:val="clear" w:color="auto" w:fill="307CC0"/>
          </w:tcPr>
          <w:p>
            <w:pPr>
              <w:spacing w:after="0"/>
              <w:rPr>
                <w:sz w:val="12"/>
                <w:szCs w:val="12"/>
                <w:color w:val="auto"/>
              </w:rPr>
            </w:pPr>
          </w:p>
        </w:tc>
        <w:tc>
          <w:tcPr>
            <w:tcW w:w="222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rPr>
              <w:t>Common Stock</w:t>
            </w:r>
          </w:p>
        </w:tc>
        <w:tc>
          <w:tcPr>
            <w:tcW w:w="1200" w:type="dxa"/>
            <w:vAlign w:val="bottom"/>
            <w:shd w:val="clear" w:color="auto" w:fill="307CC0"/>
          </w:tcPr>
          <w:p>
            <w:pPr>
              <w:jc w:val="center"/>
              <w:spacing w:after="0" w:line="140" w:lineRule="exact"/>
              <w:rPr>
                <w:sz w:val="20"/>
                <w:szCs w:val="20"/>
                <w:color w:val="auto"/>
              </w:rPr>
            </w:pPr>
            <w:r>
              <w:rPr>
                <w:rFonts w:ascii="Arial" w:cs="Arial" w:eastAsia="Arial" w:hAnsi="Arial"/>
                <w:sz w:val="13"/>
                <w:szCs w:val="13"/>
                <w:b w:val="1"/>
                <w:bCs w:val="1"/>
                <w:color w:val="FFFFFF"/>
              </w:rPr>
              <w:t>Common Shares</w:t>
            </w:r>
          </w:p>
        </w:tc>
        <w:tc>
          <w:tcPr>
            <w:tcW w:w="0" w:type="dxa"/>
            <w:vAlign w:val="bottom"/>
          </w:tcPr>
          <w:p>
            <w:pPr>
              <w:spacing w:after="0"/>
              <w:rPr>
                <w:sz w:val="1"/>
                <w:szCs w:val="1"/>
                <w:color w:val="auto"/>
              </w:rPr>
            </w:pPr>
          </w:p>
        </w:tc>
      </w:tr>
      <w:tr>
        <w:trPr>
          <w:trHeight w:val="187"/>
        </w:trPr>
        <w:tc>
          <w:tcPr>
            <w:tcW w:w="1380" w:type="dxa"/>
            <w:vAlign w:val="bottom"/>
            <w:shd w:val="clear" w:color="auto" w:fill="307CC0"/>
          </w:tcPr>
          <w:p>
            <w:pPr>
              <w:spacing w:after="0"/>
              <w:rPr>
                <w:sz w:val="16"/>
                <w:szCs w:val="16"/>
                <w:color w:val="auto"/>
              </w:rPr>
            </w:pPr>
          </w:p>
        </w:tc>
        <w:tc>
          <w:tcPr>
            <w:tcW w:w="4360" w:type="dxa"/>
            <w:vAlign w:val="bottom"/>
            <w:shd w:val="clear" w:color="auto" w:fill="307CC0"/>
          </w:tcPr>
          <w:p>
            <w:pPr>
              <w:spacing w:after="0"/>
              <w:rPr>
                <w:sz w:val="16"/>
                <w:szCs w:val="16"/>
                <w:color w:val="auto"/>
              </w:rPr>
            </w:pPr>
          </w:p>
        </w:tc>
        <w:tc>
          <w:tcPr>
            <w:tcW w:w="2220" w:type="dxa"/>
            <w:vAlign w:val="bottom"/>
            <w:shd w:val="clear" w:color="auto" w:fill="307CC0"/>
          </w:tcPr>
          <w:p>
            <w:pPr>
              <w:jc w:val="center"/>
              <w:spacing w:after="0"/>
              <w:rPr>
                <w:sz w:val="20"/>
                <w:szCs w:val="20"/>
                <w:color w:val="auto"/>
              </w:rPr>
            </w:pPr>
            <w:r>
              <w:rPr>
                <w:rFonts w:ascii="Arial" w:cs="Arial" w:eastAsia="Arial" w:hAnsi="Arial"/>
                <w:sz w:val="13"/>
                <w:szCs w:val="13"/>
                <w:b w:val="1"/>
                <w:bCs w:val="1"/>
                <w:color w:val="FFFFFF"/>
                <w:w w:val="99"/>
              </w:rPr>
              <w:t>(Based on Schedule 13G/A Filing)</w:t>
            </w:r>
          </w:p>
        </w:tc>
        <w:tc>
          <w:tcPr>
            <w:tcW w:w="1200" w:type="dxa"/>
            <w:vAlign w:val="bottom"/>
            <w:shd w:val="clear" w:color="auto" w:fill="307CC0"/>
          </w:tcPr>
          <w:p>
            <w:pPr>
              <w:jc w:val="center"/>
              <w:spacing w:after="0" w:line="174" w:lineRule="exact"/>
              <w:rPr>
                <w:sz w:val="20"/>
                <w:szCs w:val="20"/>
                <w:color w:val="auto"/>
              </w:rPr>
            </w:pPr>
            <w:r>
              <w:rPr>
                <w:rFonts w:ascii="Arial" w:cs="Arial" w:eastAsia="Arial" w:hAnsi="Arial"/>
                <w:sz w:val="12"/>
                <w:szCs w:val="12"/>
                <w:b w:val="1"/>
                <w:bCs w:val="1"/>
                <w:color w:val="FFFFFF"/>
              </w:rPr>
              <w:t>Outstanding</w:t>
            </w:r>
            <w:r>
              <w:rPr>
                <w:rFonts w:ascii="Arial" w:cs="Arial" w:eastAsia="Arial" w:hAnsi="Arial"/>
                <w:sz w:val="20"/>
                <w:szCs w:val="20"/>
                <w:b w:val="1"/>
                <w:bCs w:val="1"/>
                <w:color w:val="FFFFFF"/>
                <w:vertAlign w:val="superscript"/>
              </w:rPr>
              <w:t>(4)</w:t>
            </w:r>
          </w:p>
        </w:tc>
        <w:tc>
          <w:tcPr>
            <w:tcW w:w="0" w:type="dxa"/>
            <w:vAlign w:val="bottom"/>
          </w:tcPr>
          <w:p>
            <w:pPr>
              <w:spacing w:after="0"/>
              <w:rPr>
                <w:sz w:val="1"/>
                <w:szCs w:val="1"/>
                <w:color w:val="auto"/>
              </w:rPr>
            </w:pPr>
          </w:p>
        </w:tc>
      </w:tr>
      <w:tr>
        <w:trPr>
          <w:trHeight w:val="206"/>
        </w:trPr>
        <w:tc>
          <w:tcPr>
            <w:tcW w:w="574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5"/>
                <w:szCs w:val="15"/>
                <w:color w:val="auto"/>
              </w:rPr>
              <w:t>Vanguard Group</w:t>
            </w:r>
            <w:r>
              <w:rPr>
                <w:rFonts w:ascii="Arial" w:cs="Arial" w:eastAsia="Arial" w:hAnsi="Arial"/>
                <w:sz w:val="23"/>
                <w:szCs w:val="23"/>
                <w:color w:val="auto"/>
                <w:vertAlign w:val="superscript"/>
              </w:rPr>
              <w:t>(1)</w:t>
            </w:r>
          </w:p>
        </w:tc>
        <w:tc>
          <w:tcPr>
            <w:tcW w:w="2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74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100 Vanguard Blvd.</w:t>
            </w:r>
          </w:p>
        </w:tc>
        <w:tc>
          <w:tcPr>
            <w:tcW w:w="22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30,228,086</w:t>
            </w:r>
          </w:p>
        </w:tc>
        <w:tc>
          <w:tcPr>
            <w:tcW w:w="12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08"/>
        </w:trPr>
        <w:tc>
          <w:tcPr>
            <w:tcW w:w="574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Malvern, PA 19355</w:t>
            </w:r>
          </w:p>
        </w:tc>
        <w:tc>
          <w:tcPr>
            <w:tcW w:w="2220" w:type="dxa"/>
            <w:vAlign w:val="bottom"/>
            <w:tcBorders>
              <w:bottom w:val="single" w:sz="8" w:color="307CC0"/>
            </w:tcBorders>
            <w:shd w:val="clear" w:color="auto" w:fill="CCEEFF"/>
          </w:tcPr>
          <w:p>
            <w:pPr>
              <w:spacing w:after="0"/>
              <w:rPr>
                <w:sz w:val="18"/>
                <w:szCs w:val="18"/>
                <w:color w:val="auto"/>
              </w:rPr>
            </w:pPr>
          </w:p>
        </w:tc>
        <w:tc>
          <w:tcPr>
            <w:tcW w:w="1200" w:type="dxa"/>
            <w:vAlign w:val="bottom"/>
            <w:tcBorders>
              <w:bottom w:val="single" w:sz="8" w:color="307CC0"/>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740" w:type="dxa"/>
            <w:vAlign w:val="bottom"/>
            <w:gridSpan w:val="2"/>
            <w:shd w:val="clear" w:color="auto" w:fill="D6E7FF"/>
          </w:tcPr>
          <w:p>
            <w:pPr>
              <w:ind w:left="40"/>
              <w:spacing w:after="0" w:line="187" w:lineRule="exact"/>
              <w:rPr>
                <w:sz w:val="20"/>
                <w:szCs w:val="20"/>
                <w:color w:val="auto"/>
              </w:rPr>
            </w:pPr>
            <w:r>
              <w:rPr>
                <w:rFonts w:ascii="Arial" w:cs="Arial" w:eastAsia="Arial" w:hAnsi="Arial"/>
                <w:sz w:val="14"/>
                <w:szCs w:val="14"/>
                <w:color w:val="auto"/>
              </w:rPr>
              <w:t>BlackRock, Inc.</w:t>
            </w:r>
            <w:r>
              <w:rPr>
                <w:rFonts w:ascii="Arial" w:cs="Arial" w:eastAsia="Arial" w:hAnsi="Arial"/>
                <w:sz w:val="21"/>
                <w:szCs w:val="21"/>
                <w:color w:val="auto"/>
                <w:vertAlign w:val="superscript"/>
              </w:rPr>
              <w:t>(2)</w:t>
            </w:r>
          </w:p>
        </w:tc>
        <w:tc>
          <w:tcPr>
            <w:tcW w:w="2220" w:type="dxa"/>
            <w:vAlign w:val="bottom"/>
            <w:shd w:val="clear" w:color="auto" w:fill="D6E7FF"/>
          </w:tcPr>
          <w:p>
            <w:pPr>
              <w:spacing w:after="0"/>
              <w:rPr>
                <w:sz w:val="16"/>
                <w:szCs w:val="16"/>
                <w:color w:val="auto"/>
              </w:rPr>
            </w:pPr>
          </w:p>
        </w:tc>
        <w:tc>
          <w:tcPr>
            <w:tcW w:w="1200" w:type="dxa"/>
            <w:vAlign w:val="bottom"/>
            <w:shd w:val="clear" w:color="auto" w:fill="D6E7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40" w:type="dxa"/>
            <w:vAlign w:val="bottom"/>
            <w:gridSpan w:val="2"/>
            <w:shd w:val="clear" w:color="auto" w:fill="D6E7FF"/>
          </w:tcPr>
          <w:p>
            <w:pPr>
              <w:ind w:left="40"/>
              <w:spacing w:after="0" w:line="207" w:lineRule="exact"/>
              <w:rPr>
                <w:sz w:val="20"/>
                <w:szCs w:val="20"/>
                <w:color w:val="auto"/>
              </w:rPr>
            </w:pPr>
            <w:r>
              <w:rPr>
                <w:rFonts w:ascii="Arial" w:cs="Arial" w:eastAsia="Arial" w:hAnsi="Arial"/>
                <w:sz w:val="15"/>
                <w:szCs w:val="15"/>
                <w:color w:val="auto"/>
              </w:rPr>
              <w:t>55 East 52</w:t>
            </w:r>
            <w:r>
              <w:rPr>
                <w:rFonts w:ascii="Arial" w:cs="Arial" w:eastAsia="Arial" w:hAnsi="Arial"/>
                <w:sz w:val="23"/>
                <w:szCs w:val="23"/>
                <w:color w:val="auto"/>
                <w:vertAlign w:val="superscript"/>
              </w:rPr>
              <w:t>nd</w:t>
            </w:r>
            <w:r>
              <w:rPr>
                <w:rFonts w:ascii="Arial" w:cs="Arial" w:eastAsia="Arial" w:hAnsi="Arial"/>
                <w:sz w:val="15"/>
                <w:szCs w:val="15"/>
                <w:color w:val="auto"/>
              </w:rPr>
              <w:t xml:space="preserve"> Street</w:t>
            </w:r>
          </w:p>
        </w:tc>
        <w:tc>
          <w:tcPr>
            <w:tcW w:w="2220" w:type="dxa"/>
            <w:vAlign w:val="bottom"/>
            <w:shd w:val="clear" w:color="auto" w:fill="D6E7FF"/>
          </w:tcPr>
          <w:p>
            <w:pPr>
              <w:jc w:val="center"/>
              <w:spacing w:after="0"/>
              <w:rPr>
                <w:sz w:val="20"/>
                <w:szCs w:val="20"/>
                <w:color w:val="auto"/>
              </w:rPr>
            </w:pPr>
            <w:r>
              <w:rPr>
                <w:rFonts w:ascii="Arial" w:cs="Arial" w:eastAsia="Arial" w:hAnsi="Arial"/>
                <w:sz w:val="17"/>
                <w:szCs w:val="17"/>
                <w:color w:val="auto"/>
              </w:rPr>
              <w:t>19,510,056</w:t>
            </w:r>
          </w:p>
        </w:tc>
        <w:tc>
          <w:tcPr>
            <w:tcW w:w="1200" w:type="dxa"/>
            <w:vAlign w:val="bottom"/>
            <w:shd w:val="clear" w:color="auto" w:fill="D6E7FF"/>
          </w:tcPr>
          <w:p>
            <w:pPr>
              <w:jc w:val="center"/>
              <w:spacing w:after="0"/>
              <w:rPr>
                <w:sz w:val="20"/>
                <w:szCs w:val="20"/>
                <w:color w:val="auto"/>
              </w:rPr>
            </w:pPr>
            <w:r>
              <w:rPr>
                <w:rFonts w:ascii="Arial" w:cs="Arial" w:eastAsia="Arial" w:hAnsi="Arial"/>
                <w:sz w:val="17"/>
                <w:szCs w:val="17"/>
                <w:color w:val="auto"/>
                <w:w w:val="99"/>
              </w:rPr>
              <w:t>8.61%</w:t>
            </w:r>
          </w:p>
        </w:tc>
        <w:tc>
          <w:tcPr>
            <w:tcW w:w="0" w:type="dxa"/>
            <w:vAlign w:val="bottom"/>
          </w:tcPr>
          <w:p>
            <w:pPr>
              <w:spacing w:after="0"/>
              <w:rPr>
                <w:sz w:val="1"/>
                <w:szCs w:val="1"/>
                <w:color w:val="auto"/>
              </w:rPr>
            </w:pPr>
          </w:p>
        </w:tc>
      </w:tr>
      <w:tr>
        <w:trPr>
          <w:trHeight w:val="208"/>
        </w:trPr>
        <w:tc>
          <w:tcPr>
            <w:tcW w:w="5740" w:type="dxa"/>
            <w:vAlign w:val="bottom"/>
            <w:tcBorders>
              <w:bottom w:val="single" w:sz="8" w:color="307CC0"/>
            </w:tcBorders>
            <w:gridSpan w:val="2"/>
            <w:shd w:val="clear" w:color="auto" w:fill="D6E7FF"/>
          </w:tcPr>
          <w:p>
            <w:pPr>
              <w:ind w:left="40"/>
              <w:spacing w:after="0"/>
              <w:rPr>
                <w:sz w:val="20"/>
                <w:szCs w:val="20"/>
                <w:color w:val="auto"/>
              </w:rPr>
            </w:pPr>
            <w:r>
              <w:rPr>
                <w:rFonts w:ascii="Arial" w:cs="Arial" w:eastAsia="Arial" w:hAnsi="Arial"/>
                <w:sz w:val="17"/>
                <w:szCs w:val="17"/>
                <w:color w:val="auto"/>
              </w:rPr>
              <w:t>New York, NY 10055</w:t>
            </w:r>
          </w:p>
        </w:tc>
        <w:tc>
          <w:tcPr>
            <w:tcW w:w="2220" w:type="dxa"/>
            <w:vAlign w:val="bottom"/>
            <w:tcBorders>
              <w:bottom w:val="single" w:sz="8" w:color="307CC0"/>
            </w:tcBorders>
            <w:shd w:val="clear" w:color="auto" w:fill="D6E7FF"/>
          </w:tcPr>
          <w:p>
            <w:pPr>
              <w:spacing w:after="0"/>
              <w:rPr>
                <w:sz w:val="18"/>
                <w:szCs w:val="18"/>
                <w:color w:val="auto"/>
              </w:rPr>
            </w:pPr>
          </w:p>
        </w:tc>
        <w:tc>
          <w:tcPr>
            <w:tcW w:w="1200" w:type="dxa"/>
            <w:vAlign w:val="bottom"/>
            <w:tcBorders>
              <w:bottom w:val="single" w:sz="8" w:color="307CC0"/>
            </w:tcBorders>
            <w:shd w:val="clear" w:color="auto" w:fill="D6E7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40" w:type="dxa"/>
            <w:vAlign w:val="bottom"/>
            <w:gridSpan w:val="2"/>
            <w:shd w:val="clear" w:color="auto" w:fill="CCEEFF"/>
          </w:tcPr>
          <w:p>
            <w:pPr>
              <w:ind w:left="40"/>
              <w:spacing w:after="0" w:line="199" w:lineRule="exact"/>
              <w:rPr>
                <w:sz w:val="20"/>
                <w:szCs w:val="20"/>
                <w:color w:val="auto"/>
              </w:rPr>
            </w:pPr>
            <w:r>
              <w:rPr>
                <w:rFonts w:ascii="Arial" w:cs="Arial" w:eastAsia="Arial" w:hAnsi="Arial"/>
                <w:sz w:val="15"/>
                <w:szCs w:val="15"/>
                <w:color w:val="auto"/>
              </w:rPr>
              <w:t>State Street Corporation</w:t>
            </w:r>
            <w:r>
              <w:rPr>
                <w:rFonts w:ascii="Arial" w:cs="Arial" w:eastAsia="Arial" w:hAnsi="Arial"/>
                <w:sz w:val="23"/>
                <w:szCs w:val="23"/>
                <w:color w:val="auto"/>
                <w:vertAlign w:val="superscript"/>
              </w:rPr>
              <w:t>(3)</w:t>
            </w:r>
          </w:p>
        </w:tc>
        <w:tc>
          <w:tcPr>
            <w:tcW w:w="2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74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State Street Financial Center</w:t>
            </w:r>
          </w:p>
        </w:tc>
        <w:tc>
          <w:tcPr>
            <w:tcW w:w="22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12,369,954</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9"/>
              </w:rPr>
              <w:t>5.46%</w:t>
            </w:r>
          </w:p>
        </w:tc>
        <w:tc>
          <w:tcPr>
            <w:tcW w:w="0" w:type="dxa"/>
            <w:vAlign w:val="bottom"/>
          </w:tcPr>
          <w:p>
            <w:pPr>
              <w:spacing w:after="0"/>
              <w:rPr>
                <w:sz w:val="1"/>
                <w:szCs w:val="1"/>
                <w:color w:val="auto"/>
              </w:rPr>
            </w:pPr>
          </w:p>
        </w:tc>
      </w:tr>
      <w:tr>
        <w:trPr>
          <w:trHeight w:val="105"/>
        </w:trPr>
        <w:tc>
          <w:tcPr>
            <w:tcW w:w="5740" w:type="dxa"/>
            <w:vAlign w:val="bottom"/>
            <w:gridSpan w:val="2"/>
            <w:vMerge w:val="restart"/>
            <w:shd w:val="clear" w:color="auto" w:fill="CCEEFF"/>
          </w:tcPr>
          <w:p>
            <w:pPr>
              <w:ind w:left="40"/>
              <w:spacing w:after="0" w:line="194" w:lineRule="exact"/>
              <w:rPr>
                <w:sz w:val="20"/>
                <w:szCs w:val="20"/>
                <w:color w:val="auto"/>
              </w:rPr>
            </w:pPr>
            <w:r>
              <w:rPr>
                <w:rFonts w:ascii="Arial" w:cs="Arial" w:eastAsia="Arial" w:hAnsi="Arial"/>
                <w:sz w:val="17"/>
                <w:szCs w:val="17"/>
                <w:color w:val="auto"/>
              </w:rPr>
              <w:t>One Lincoln Street</w:t>
            </w:r>
          </w:p>
        </w:tc>
        <w:tc>
          <w:tcPr>
            <w:tcW w:w="222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5740" w:type="dxa"/>
            <w:vAlign w:val="bottom"/>
            <w:gridSpan w:val="2"/>
            <w:vMerge w:val="continue"/>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740" w:type="dxa"/>
            <w:vAlign w:val="bottom"/>
            <w:tcBorders>
              <w:bottom w:val="single" w:sz="8" w:color="307CC0"/>
            </w:tcBorders>
            <w:gridSpan w:val="2"/>
            <w:shd w:val="clear" w:color="auto" w:fill="CCEEFF"/>
          </w:tcPr>
          <w:p>
            <w:pPr>
              <w:ind w:left="40"/>
              <w:spacing w:after="0"/>
              <w:rPr>
                <w:sz w:val="20"/>
                <w:szCs w:val="20"/>
                <w:color w:val="auto"/>
              </w:rPr>
            </w:pPr>
            <w:r>
              <w:rPr>
                <w:rFonts w:ascii="Arial" w:cs="Arial" w:eastAsia="Arial" w:hAnsi="Arial"/>
                <w:sz w:val="17"/>
                <w:szCs w:val="17"/>
                <w:color w:val="auto"/>
              </w:rPr>
              <w:t>Boston, MA 02111</w:t>
            </w:r>
          </w:p>
        </w:tc>
        <w:tc>
          <w:tcPr>
            <w:tcW w:w="2220" w:type="dxa"/>
            <w:vAlign w:val="bottom"/>
            <w:tcBorders>
              <w:bottom w:val="single" w:sz="8" w:color="307CC0"/>
            </w:tcBorders>
            <w:shd w:val="clear" w:color="auto" w:fill="CCEEFF"/>
          </w:tcPr>
          <w:p>
            <w:pPr>
              <w:spacing w:after="0"/>
              <w:rPr>
                <w:sz w:val="18"/>
                <w:szCs w:val="18"/>
                <w:color w:val="auto"/>
              </w:rPr>
            </w:pPr>
          </w:p>
        </w:tc>
        <w:tc>
          <w:tcPr>
            <w:tcW w:w="1200" w:type="dxa"/>
            <w:vAlign w:val="bottom"/>
            <w:tcBorders>
              <w:bottom w:val="single" w:sz="8" w:color="307CC0"/>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380" w:type="dxa"/>
            <w:vAlign w:val="bottom"/>
            <w:tcBorders>
              <w:bottom w:val="single" w:sz="8" w:color="auto"/>
            </w:tcBorders>
          </w:tcPr>
          <w:p>
            <w:pPr>
              <w:spacing w:after="0"/>
              <w:rPr>
                <w:sz w:val="15"/>
                <w:szCs w:val="15"/>
                <w:color w:val="auto"/>
              </w:rPr>
            </w:pPr>
          </w:p>
        </w:tc>
        <w:tc>
          <w:tcPr>
            <w:tcW w:w="4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-1435100</wp:posOffset>
            </wp:positionV>
            <wp:extent cx="5808980" cy="3937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08980" cy="3937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-647700</wp:posOffset>
            </wp:positionV>
            <wp:extent cx="5808980" cy="516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08980" cy="516890"/>
                    </a:xfrm>
                    <a:prstGeom prst="rect">
                      <a:avLst/>
                    </a:prstGeom>
                    <a:noFill/>
                  </pic:spPr>
                </pic:pic>
              </a:graphicData>
            </a:graphic>
          </wp:anchor>
        </w:drawing>
      </w:r>
    </w:p>
    <w:p>
      <w:pPr>
        <w:spacing w:after="0" w:line="88" w:lineRule="exact"/>
        <w:rPr>
          <w:sz w:val="20"/>
          <w:szCs w:val="20"/>
          <w:color w:val="auto"/>
        </w:rPr>
      </w:pPr>
    </w:p>
    <w:p>
      <w:pPr>
        <w:jc w:val="both"/>
        <w:ind w:left="340" w:hanging="330"/>
        <w:spacing w:after="0" w:line="234"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information provided in Schedule 13G/A filed by The Vanguard Group (“Vanguard”) and its affiliated reporting persons on February 11, 2020. The Vanguard Schedule 13G/A states that as of December 31, 2019, the reporting persons collectively held sole voting power with respect to 402,233 shares, shared voting power with respect to 169,130 shares, sole dispositive power with respect to 29,743,442 shares, shared dispositive power with respect to 484,644 shares and an aggregate beneficial ownership of 30,228,086 shares.</w:t>
      </w:r>
    </w:p>
    <w:p>
      <w:pPr>
        <w:spacing w:after="0" w:line="95" w:lineRule="exact"/>
        <w:rPr>
          <w:rFonts w:ascii="Arial" w:cs="Arial" w:eastAsia="Arial" w:hAnsi="Arial"/>
          <w:sz w:val="14"/>
          <w:szCs w:val="14"/>
          <w:color w:val="auto"/>
        </w:rPr>
      </w:pPr>
    </w:p>
    <w:p>
      <w:pPr>
        <w:jc w:val="both"/>
        <w:ind w:left="340" w:hanging="330"/>
        <w:spacing w:after="0" w:line="235"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information provided in Schedule 13G/A filed by BlackRock, Inc. (“BlackRock”) and its affiliated reporting persons on February 5, 2020. The BlackRock Schedule 13G/A states that as of December 31, 2019, the reporting persons collectively held sole voting power with respect to 17,417,530 shares and sole dispositive power with respect to 19,510,056 shares.</w:t>
      </w:r>
    </w:p>
    <w:p>
      <w:pPr>
        <w:spacing w:after="0" w:line="95" w:lineRule="exact"/>
        <w:rPr>
          <w:rFonts w:ascii="Arial" w:cs="Arial" w:eastAsia="Arial" w:hAnsi="Arial"/>
          <w:sz w:val="14"/>
          <w:szCs w:val="14"/>
          <w:color w:val="auto"/>
        </w:rPr>
      </w:pPr>
    </w:p>
    <w:p>
      <w:pPr>
        <w:jc w:val="both"/>
        <w:ind w:left="340" w:hanging="330"/>
        <w:spacing w:after="0" w:line="234"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information provided in Schedule 13G filed by State Street Corporation (“State Street”) and its affiliated reporting persons on February 13, 2020. The State Street Schedule 13G states that as of December 31, 2019, the reporting persons collectively held sole voting power with respect to 0 shares, shared voting power with respect to 10,688,664 shares, sole dispositive power with respect to 0 shares and shared dispositive power with respect to 12,340,471 shares.</w:t>
      </w:r>
    </w:p>
    <w:p>
      <w:pPr>
        <w:spacing w:after="0" w:line="95" w:lineRule="exact"/>
        <w:rPr>
          <w:rFonts w:ascii="Arial" w:cs="Arial" w:eastAsia="Arial" w:hAnsi="Arial"/>
          <w:sz w:val="14"/>
          <w:szCs w:val="14"/>
          <w:color w:val="auto"/>
        </w:rPr>
      </w:pPr>
    </w:p>
    <w:p>
      <w:pPr>
        <w:ind w:left="340" w:hanging="330"/>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percentage is based on approximately 226,660,735 shares of our common stock outstanding as of March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8089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91"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Security Ownership</w:t>
      </w:r>
      <w:r>
        <w:rPr>
          <w:rFonts w:ascii="Arial" w:cs="Arial" w:eastAsia="Arial" w:hAnsi="Arial"/>
          <w:sz w:val="14"/>
          <w:szCs w:val="14"/>
          <w:b w:val="1"/>
          <w:bCs w:val="1"/>
          <w:color w:val="auto"/>
        </w:rPr>
        <w:tab/>
        <w:t>Evergy 2020 Proxy Statement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240030</wp:posOffset>
            </wp:positionV>
            <wp:extent cx="5808980" cy="2051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08980" cy="205105"/>
                    </a:xfrm>
                    <a:prstGeom prst="rect">
                      <a:avLst/>
                    </a:prstGeom>
                    <a:noFill/>
                  </pic:spPr>
                </pic:pic>
              </a:graphicData>
            </a:graphic>
          </wp:anchor>
        </w:drawing>
      </w:r>
    </w:p>
    <w:p>
      <w:pPr>
        <w:spacing w:after="0" w:line="360"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FFFFFF"/>
        </w:rPr>
        <w:t>Frequently Asked Questions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What is a proxy? What is a proxy statement?</w:t>
      </w:r>
    </w:p>
    <w:p>
      <w:pPr>
        <w:spacing w:after="0" w:line="124"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A proxy is the person that you legally designate to vote your common stock. If you designate someone as your proxy in a written document, that document also is called a proxy or a proxy card. A proxy statement is a document that SEC rules require that we make available when we ask you to vote your common stock at, or provide a proxy for, an annual meeting of shareholders.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Why did you provide me this proxy statement?</w:t>
      </w:r>
    </w:p>
    <w:p>
      <w:pPr>
        <w:spacing w:after="0" w:line="124"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We provided you this proxy statement because you were a holder of our common stock as of the close of business on February 25, 2020 (the “Record Date”), and our Board is soliciting your proxy to vote at the annual meeting of shareholders. We mailed to many of our shareholders a notice regarding the internet availability of proxy materials (the “Notice”) and elected to provide those shareholders access to this proxy statement and our 2019 annual report electronically via the internet. If you received a Notice by mail, you will not receive a printed copy of the proxy materials unless you request a printed copy. The Notice explains how to access the proxy statement and our 2019 annual report and how to vote. If you would like to receive a printed copy of our proxy materials, you should follow the instructions included in the Notice.</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What will I be voting on and how does the Board recommend that I vote on these matters?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Board recommends that you vote as follows for the proposals identified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400" w:type="dxa"/>
            <w:vAlign w:val="bottom"/>
            <w:tcBorders>
              <w:bottom w:val="single" w:sz="8" w:color="307CC0"/>
            </w:tcBorders>
          </w:tcPr>
          <w:p>
            <w:pPr>
              <w:ind w:left="1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FOR</w:t>
            </w:r>
          </w:p>
        </w:tc>
        <w:tc>
          <w:tcPr>
            <w:tcW w:w="7760" w:type="dxa"/>
            <w:vAlign w:val="bottom"/>
            <w:tcBorders>
              <w:bottom w:val="single" w:sz="8" w:color="307CC0"/>
            </w:tcBorders>
          </w:tcPr>
          <w:p>
            <w:pPr>
              <w:ind w:left="720"/>
              <w:spacing w:after="0"/>
              <w:rPr>
                <w:sz w:val="20"/>
                <w:szCs w:val="20"/>
                <w:color w:val="auto"/>
              </w:rPr>
            </w:pPr>
            <w:r>
              <w:rPr>
                <w:rFonts w:ascii="Arial" w:cs="Arial" w:eastAsia="Arial" w:hAnsi="Arial"/>
                <w:sz w:val="17"/>
                <w:szCs w:val="17"/>
                <w:color w:val="auto"/>
              </w:rPr>
              <w:t>The election of the 13 nominees named in this proxy statement as directors</w:t>
            </w:r>
          </w:p>
        </w:tc>
      </w:tr>
      <w:tr>
        <w:trPr>
          <w:trHeight w:val="199"/>
        </w:trPr>
        <w:tc>
          <w:tcPr>
            <w:tcW w:w="1400" w:type="dxa"/>
            <w:vAlign w:val="bottom"/>
            <w:shd w:val="clear" w:color="auto" w:fill="D6E7FF"/>
          </w:tcPr>
          <w:p>
            <w:pPr>
              <w:ind w:left="1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FOR</w:t>
            </w:r>
          </w:p>
        </w:tc>
        <w:tc>
          <w:tcPr>
            <w:tcW w:w="7760" w:type="dxa"/>
            <w:vAlign w:val="bottom"/>
            <w:shd w:val="clear" w:color="auto" w:fill="D6E7FF"/>
          </w:tcPr>
          <w:p>
            <w:pPr>
              <w:ind w:left="720"/>
              <w:spacing w:after="0"/>
              <w:rPr>
                <w:sz w:val="20"/>
                <w:szCs w:val="20"/>
                <w:color w:val="auto"/>
              </w:rPr>
            </w:pPr>
            <w:r>
              <w:rPr>
                <w:rFonts w:ascii="Arial" w:cs="Arial" w:eastAsia="Arial" w:hAnsi="Arial"/>
                <w:sz w:val="17"/>
                <w:szCs w:val="17"/>
                <w:color w:val="auto"/>
              </w:rPr>
              <w:t>An advisory non-binding resolution approving the 2019 compensation of our named</w:t>
            </w:r>
          </w:p>
        </w:tc>
      </w:tr>
      <w:tr>
        <w:trPr>
          <w:trHeight w:val="208"/>
        </w:trPr>
        <w:tc>
          <w:tcPr>
            <w:tcW w:w="1400" w:type="dxa"/>
            <w:vAlign w:val="bottom"/>
            <w:tcBorders>
              <w:bottom w:val="single" w:sz="8" w:color="307CC0"/>
            </w:tcBorders>
            <w:shd w:val="clear" w:color="auto" w:fill="D6E7FF"/>
          </w:tcPr>
          <w:p>
            <w:pPr>
              <w:spacing w:after="0"/>
              <w:rPr>
                <w:sz w:val="18"/>
                <w:szCs w:val="18"/>
                <w:color w:val="auto"/>
              </w:rPr>
            </w:pPr>
          </w:p>
        </w:tc>
        <w:tc>
          <w:tcPr>
            <w:tcW w:w="7760" w:type="dxa"/>
            <w:vAlign w:val="bottom"/>
            <w:tcBorders>
              <w:bottom w:val="single" w:sz="8" w:color="307CC0"/>
            </w:tcBorders>
            <w:shd w:val="clear" w:color="auto" w:fill="D6E7FF"/>
          </w:tcPr>
          <w:p>
            <w:pPr>
              <w:ind w:left="720"/>
              <w:spacing w:after="0"/>
              <w:rPr>
                <w:sz w:val="20"/>
                <w:szCs w:val="20"/>
                <w:color w:val="auto"/>
              </w:rPr>
            </w:pPr>
            <w:r>
              <w:rPr>
                <w:rFonts w:ascii="Arial" w:cs="Arial" w:eastAsia="Arial" w:hAnsi="Arial"/>
                <w:sz w:val="17"/>
                <w:szCs w:val="17"/>
                <w:color w:val="auto"/>
              </w:rPr>
              <w:t>executive officers as disclosed in the proxy statement (a “say on pay resolution”)</w:t>
            </w:r>
          </w:p>
        </w:tc>
      </w:tr>
      <w:tr>
        <w:trPr>
          <w:trHeight w:val="199"/>
        </w:trPr>
        <w:tc>
          <w:tcPr>
            <w:tcW w:w="1400" w:type="dxa"/>
            <w:vAlign w:val="bottom"/>
          </w:tcPr>
          <w:p>
            <w:pPr>
              <w:ind w:left="1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FOR</w:t>
            </w:r>
          </w:p>
        </w:tc>
        <w:tc>
          <w:tcPr>
            <w:tcW w:w="7760" w:type="dxa"/>
            <w:vAlign w:val="bottom"/>
          </w:tcPr>
          <w:p>
            <w:pPr>
              <w:ind w:left="720"/>
              <w:spacing w:after="0"/>
              <w:rPr>
                <w:sz w:val="20"/>
                <w:szCs w:val="20"/>
                <w:color w:val="auto"/>
              </w:rPr>
            </w:pPr>
            <w:r>
              <w:rPr>
                <w:rFonts w:ascii="Arial" w:cs="Arial" w:eastAsia="Arial" w:hAnsi="Arial"/>
                <w:sz w:val="17"/>
                <w:szCs w:val="17"/>
                <w:color w:val="auto"/>
              </w:rPr>
              <w:t>The ratification of the appointment of Deloitte &amp; Touche LLP as our independent registered</w:t>
            </w:r>
          </w:p>
        </w:tc>
      </w:tr>
      <w:tr>
        <w:trPr>
          <w:trHeight w:val="208"/>
        </w:trPr>
        <w:tc>
          <w:tcPr>
            <w:tcW w:w="1400" w:type="dxa"/>
            <w:vAlign w:val="bottom"/>
            <w:tcBorders>
              <w:bottom w:val="single" w:sz="8" w:color="307CC0"/>
            </w:tcBorders>
          </w:tcPr>
          <w:p>
            <w:pPr>
              <w:spacing w:after="0"/>
              <w:rPr>
                <w:sz w:val="18"/>
                <w:szCs w:val="18"/>
                <w:color w:val="auto"/>
              </w:rPr>
            </w:pPr>
          </w:p>
        </w:tc>
        <w:tc>
          <w:tcPr>
            <w:tcW w:w="7760" w:type="dxa"/>
            <w:vAlign w:val="bottom"/>
            <w:tcBorders>
              <w:bottom w:val="single" w:sz="8" w:color="307CC0"/>
            </w:tcBorders>
          </w:tcPr>
          <w:p>
            <w:pPr>
              <w:ind w:left="720"/>
              <w:spacing w:after="0"/>
              <w:rPr>
                <w:sz w:val="20"/>
                <w:szCs w:val="20"/>
                <w:color w:val="auto"/>
              </w:rPr>
            </w:pPr>
            <w:r>
              <w:rPr>
                <w:rFonts w:ascii="Arial" w:cs="Arial" w:eastAsia="Arial" w:hAnsi="Arial"/>
                <w:sz w:val="17"/>
                <w:szCs w:val="17"/>
                <w:color w:val="auto"/>
              </w:rPr>
              <w:t>public accounting firm for 2020</w:t>
            </w:r>
          </w:p>
        </w:tc>
      </w:tr>
    </w:tbl>
    <w:p>
      <w:pPr>
        <w:spacing w:after="0" w:line="1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Who is entitled to vote on these matters?</w:t>
      </w:r>
    </w:p>
    <w:p>
      <w:pPr>
        <w:spacing w:after="0" w:line="124"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You are entitled to vote if you owned our common stock as of the close of business on the Record Date. On that day, 226,659,013 shares of our common stock were outstanding and eligible to be voted. Shares held by us in our treasury account are not considered to be outstanding and will not be considered present or voted at the annual meeting. Each share of common stock is entitled to one vote.</w:t>
      </w:r>
    </w:p>
    <w:p>
      <w:pPr>
        <w:spacing w:after="0" w:line="90"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A quorum is required to conduct business at the annual meeting. A quorum exists when a majority of the shares of common stock that are outstanding and entitled to vote at the meeting are represented in person or by proxy. If no quorum exists at the start of the annual meeting, the meeting may be adjourned to solicit additional proxies in order to achieve a quorum. Abstentions or withhold votes and broker non-votes will be counted to determine whether there is a quorum present.</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What is the difference between a shareholder of record and a “street name” holder?</w:t>
      </w:r>
    </w:p>
    <w:p>
      <w:pPr>
        <w:spacing w:after="0" w:line="124" w:lineRule="exact"/>
        <w:rPr>
          <w:sz w:val="20"/>
          <w:szCs w:val="20"/>
          <w:color w:val="auto"/>
        </w:rPr>
      </w:pPr>
    </w:p>
    <w:p>
      <w:pPr>
        <w:jc w:val="both"/>
        <w:ind w:left="20" w:firstLine="172"/>
        <w:spacing w:after="0" w:line="269" w:lineRule="auto"/>
        <w:rPr>
          <w:sz w:val="20"/>
          <w:szCs w:val="20"/>
          <w:color w:val="auto"/>
        </w:rPr>
      </w:pPr>
      <w:r>
        <w:rPr>
          <w:rFonts w:ascii="Arial" w:cs="Arial" w:eastAsia="Arial" w:hAnsi="Arial"/>
          <w:sz w:val="17"/>
          <w:szCs w:val="17"/>
          <w:color w:val="auto"/>
        </w:rPr>
        <w:t>If your shares are registered directly in your name with Computershare Trust Company, N.A., our transfer agent, you are a “shareholder of record,” or “registered holder,” with respect to those shares.</w:t>
      </w:r>
    </w:p>
    <w:p>
      <w:pPr>
        <w:spacing w:after="0" w:line="79" w:lineRule="exact"/>
        <w:rPr>
          <w:sz w:val="20"/>
          <w:szCs w:val="20"/>
          <w:color w:val="auto"/>
        </w:rPr>
      </w:pPr>
    </w:p>
    <w:p>
      <w:pPr>
        <w:jc w:val="both"/>
        <w:ind w:left="20" w:right="20" w:firstLine="172"/>
        <w:spacing w:after="0" w:line="269" w:lineRule="auto"/>
        <w:rPr>
          <w:sz w:val="20"/>
          <w:szCs w:val="20"/>
          <w:color w:val="auto"/>
        </w:rPr>
      </w:pPr>
      <w:r>
        <w:rPr>
          <w:rFonts w:ascii="Arial" w:cs="Arial" w:eastAsia="Arial" w:hAnsi="Arial"/>
          <w:sz w:val="17"/>
          <w:szCs w:val="17"/>
          <w:color w:val="auto"/>
        </w:rPr>
        <w:t>If your shares are held in a brokerage account or by a bank or other nominee, you are considered the “beneficial owner” of those shares, and your shares are held in “street name.”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How many votes are needed to elect the director nominees?</w:t>
      </w:r>
    </w:p>
    <w:p>
      <w:pPr>
        <w:spacing w:after="0" w:line="124" w:lineRule="exact"/>
        <w:rPr>
          <w:sz w:val="20"/>
          <w:szCs w:val="20"/>
          <w:color w:val="auto"/>
        </w:rPr>
      </w:pPr>
    </w:p>
    <w:p>
      <w:pPr>
        <w:jc w:val="both"/>
        <w:ind w:left="20" w:firstLine="172"/>
        <w:spacing w:after="0" w:line="256" w:lineRule="auto"/>
        <w:rPr>
          <w:sz w:val="20"/>
          <w:szCs w:val="20"/>
          <w:color w:val="auto"/>
        </w:rPr>
      </w:pPr>
      <w:r>
        <w:rPr>
          <w:rFonts w:ascii="Arial" w:cs="Arial" w:eastAsia="Arial" w:hAnsi="Arial"/>
          <w:sz w:val="17"/>
          <w:szCs w:val="17"/>
          <w:color w:val="auto"/>
        </w:rPr>
        <w:t>We have a majority voting standard so that, in an uncontested election, a director nominee is elected to the Board only if the number of shares voted “for” a director nominee exceeds 50% of the number of votes cast with respect to that director nominee. Votes cast for a director nominee will include a shareholder’s direction to withhold authority but will exclude abstentions. An election is considered “contested” when a shareholder solicits proxies to elect individuals nominated by the shareholder to our Board. In a contested election, director nominees are elected by a plurality of the votes cast, rather than a majority of the votes cast. The 2020 annual meeting of shareholders is not contested.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125095</wp:posOffset>
            </wp:positionV>
            <wp:extent cx="5808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91"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Frequently Asked Questions</w:t>
      </w:r>
      <w:r>
        <w:rPr>
          <w:rFonts w:ascii="Arial" w:cs="Arial" w:eastAsia="Arial" w:hAnsi="Arial"/>
          <w:sz w:val="14"/>
          <w:szCs w:val="14"/>
          <w:b w:val="1"/>
          <w:bCs w:val="1"/>
          <w:color w:val="auto"/>
        </w:rPr>
        <w:tab/>
        <w:t>Evergy 2020 Proxy Statement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808980"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Prior to being nominated, each incumbent director nominee is required to deliver to our Corporate Secretary an irrevocable letter of resignation that will take effect if the nominee fails to receive the vote required for election. If a standing director is not re-elected, our Nominating, Governance, and Corporate Responsibility Committee will recommend to the Board whether to accept or reject the resignation. The Board will publicly disclose its decision regarding the resignation following certification of the voting results.</w:t>
      </w:r>
    </w:p>
    <w:p>
      <w:pPr>
        <w:spacing w:after="0" w:line="90" w:lineRule="exact"/>
        <w:rPr>
          <w:sz w:val="20"/>
          <w:szCs w:val="20"/>
          <w:color w:val="auto"/>
        </w:rPr>
      </w:pPr>
    </w:p>
    <w:p>
      <w:pPr>
        <w:jc w:val="both"/>
        <w:ind w:firstLine="172"/>
        <w:spacing w:after="0" w:line="269" w:lineRule="auto"/>
        <w:rPr>
          <w:sz w:val="20"/>
          <w:szCs w:val="20"/>
          <w:color w:val="auto"/>
        </w:rPr>
      </w:pPr>
      <w:r>
        <w:rPr>
          <w:rFonts w:ascii="Arial" w:cs="Arial" w:eastAsia="Arial" w:hAnsi="Arial"/>
          <w:sz w:val="17"/>
          <w:szCs w:val="17"/>
          <w:color w:val="auto"/>
        </w:rPr>
        <w:t>Cumulative voting is not allowed with respect to the election of our directors. Your broker is not permitted to vote your shares on this matter if no instructions are received from you.</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are needed to approve the say on pay resolution?</w:t>
      </w:r>
    </w:p>
    <w:p>
      <w:pPr>
        <w:spacing w:after="0" w:line="124"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The say on pay resolution is advisory and is not binding on the Company, the Board or the Compensation and Leadership Development Committee. The Compensation and Leadership Development Committee will, however, consider the outcome of the vote on this resolution when making future executive compensation decisions. The affirmative vote of the holders of a majority of shares present in person or by proxy at the annual meeting and entitled to vote on the matter is required to approve (on a non-binding advisory basis) the say on pay resolution. Abstentions will have the same effect as votes against the proposal. Your broker is not entitled to vote your shares on this matter if no instructions are received from you.</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are needed to ratify the appointment of Deloitte &amp; Touche?</w:t>
      </w:r>
    </w:p>
    <w:p>
      <w:pPr>
        <w:spacing w:after="0" w:line="124"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Ratification requires the affirmative vote of the holders of a majority of shares present in person or by proxy at the annual meeting and entitled to vote on the matter. Abstentions will have the same effect as votes against ratification. Shareholder ratification of the appointment is not required, but your views are important to the Audit Committee and the Board. If shareholders do not ratify the appointment, our Audit Committee will reconsider the appointment. Even if the appointment is ratified, our Audit Committee in its discretion may direct the appointment of a different registered public accounting firm at any time during the year if it is determined that such a change would be in the best interests of the Company. Your broker is entitled to vote your shares on this matter if no instructions are received from you.</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allowed to attend the 2020 Annual Meeting?</w:t>
      </w:r>
    </w:p>
    <w:p>
      <w:pPr>
        <w:spacing w:after="0" w:line="124"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 xml:space="preserve">You are welcome to attend the annual meeting if you own our shares as of the Record Date. You will need to register when you arrive at the meeting. Registration will begin at 8:45 a.m. and seating will begin at 9:00 a.m. We may also verify your name against our shareholder list. To verify your identity, you will be required to present government-issued photo identification, such as a driver’s license, state identification card or passport. If you own shares in “street name” through a brokerage account or bank or other nominee, you must bring a brokerage account statement or other evidence of your share ownership as of the Record Date. If we cannot verify that you own our shares, you will not be admitted to the meeting. </w:t>
      </w:r>
      <w:r>
        <w:rPr>
          <w:rFonts w:ascii="Arial" w:cs="Arial" w:eastAsia="Arial" w:hAnsi="Arial"/>
          <w:sz w:val="17"/>
          <w:szCs w:val="17"/>
          <w:b w:val="1"/>
          <w:bCs w:val="1"/>
          <w:color w:val="auto"/>
        </w:rPr>
        <w:t>To avoid delays in gaining admittance to the meeting, registered shareholders should</w:t>
      </w:r>
      <w:r>
        <w:rPr>
          <w:rFonts w:ascii="Arial" w:cs="Arial" w:eastAsia="Arial" w:hAnsi="Arial"/>
          <w:sz w:val="17"/>
          <w:szCs w:val="17"/>
          <w:color w:val="auto"/>
        </w:rPr>
        <w:t xml:space="preserve"> </w:t>
      </w:r>
      <w:r>
        <w:rPr>
          <w:rFonts w:ascii="Arial" w:cs="Arial" w:eastAsia="Arial" w:hAnsi="Arial"/>
          <w:sz w:val="17"/>
          <w:szCs w:val="17"/>
          <w:b w:val="1"/>
          <w:bCs w:val="1"/>
          <w:color w:val="auto"/>
        </w:rPr>
        <w:t>bring the “Admission Ticket” found at the top of the proxy card.</w:t>
      </w:r>
    </w:p>
    <w:p>
      <w:pPr>
        <w:spacing w:after="0" w:line="89"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 xml:space="preserve">We are actively monitoring the coronavirus (COVID-19) and are sensitive to the public health and travel concerns our shareholders may have and the protocols that federal, state, and local governments may impose. In the event it is not possible or advisable to hold our annual meeting in person, we will announce alternative arrangements for the meeting as promptly as practicable, which may include holding the meeting solely by means of remote communication. Please check the Company’s investor relations website, </w:t>
      </w:r>
      <w:r>
        <w:rPr>
          <w:rFonts w:ascii="Arial" w:cs="Arial" w:eastAsia="Arial" w:hAnsi="Arial"/>
          <w:sz w:val="17"/>
          <w:szCs w:val="17"/>
          <w:i w:val="1"/>
          <w:iCs w:val="1"/>
          <w:color w:val="auto"/>
        </w:rPr>
        <w:t>evergyinc.com</w:t>
      </w:r>
      <w:r>
        <w:rPr>
          <w:rFonts w:ascii="Arial" w:cs="Arial" w:eastAsia="Arial" w:hAnsi="Arial"/>
          <w:sz w:val="17"/>
          <w:szCs w:val="17"/>
          <w:color w:val="auto"/>
        </w:rPr>
        <w:t>, prior to the meeting date.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I ask questions at the annual meeting?</w:t>
      </w:r>
    </w:p>
    <w:p>
      <w:pPr>
        <w:spacing w:after="0" w:line="124" w:lineRule="exact"/>
        <w:rPr>
          <w:sz w:val="20"/>
          <w:szCs w:val="20"/>
          <w:color w:val="auto"/>
        </w:rPr>
      </w:pPr>
    </w:p>
    <w:p>
      <w:pPr>
        <w:jc w:val="both"/>
        <w:ind w:firstLine="172"/>
        <w:spacing w:after="0" w:line="268" w:lineRule="auto"/>
        <w:rPr>
          <w:sz w:val="20"/>
          <w:szCs w:val="20"/>
          <w:color w:val="auto"/>
        </w:rPr>
      </w:pPr>
      <w:r>
        <w:rPr>
          <w:rFonts w:ascii="Arial" w:cs="Arial" w:eastAsia="Arial" w:hAnsi="Arial"/>
          <w:sz w:val="17"/>
          <w:szCs w:val="17"/>
          <w:color w:val="auto"/>
        </w:rPr>
        <w:t>Yes. We will answer your questions at the end of the annual meeting. We may impose certain procedural requirements, such as limiting repetitive or follow-up questions, so that more shareholders will have an opportunity to ask questions.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will the 2021 annual meeting be held?</w:t>
      </w:r>
    </w:p>
    <w:p>
      <w:pPr>
        <w:spacing w:after="0" w:line="124" w:lineRule="exact"/>
        <w:rPr>
          <w:sz w:val="20"/>
          <w:szCs w:val="20"/>
          <w:color w:val="auto"/>
        </w:rPr>
      </w:pPr>
    </w:p>
    <w:p>
      <w:pPr>
        <w:jc w:val="both"/>
        <w:ind w:firstLine="172"/>
        <w:spacing w:after="0" w:line="269" w:lineRule="auto"/>
        <w:rPr>
          <w:sz w:val="20"/>
          <w:szCs w:val="20"/>
          <w:color w:val="auto"/>
        </w:rPr>
      </w:pPr>
      <w:r>
        <w:rPr>
          <w:rFonts w:ascii="Arial" w:cs="Arial" w:eastAsia="Arial" w:hAnsi="Arial"/>
          <w:sz w:val="17"/>
          <w:szCs w:val="17"/>
          <w:color w:val="auto"/>
        </w:rPr>
        <w:t>Our By-laws provide that the annual meeting of shareholders will be held on the first Tuesday of May. Therefore, the 2021 annual meeting will be held on May 4, 2021, unless changed by the Board.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propose someone to be a nominee for election to the Board?</w:t>
      </w:r>
    </w:p>
    <w:p>
      <w:pPr>
        <w:spacing w:after="0" w:line="124" w:lineRule="exact"/>
        <w:rPr>
          <w:sz w:val="20"/>
          <w:szCs w:val="20"/>
          <w:color w:val="auto"/>
        </w:rPr>
      </w:pPr>
    </w:p>
    <w:p>
      <w:pPr>
        <w:jc w:val="both"/>
        <w:ind w:firstLine="172"/>
        <w:spacing w:after="0" w:line="261" w:lineRule="auto"/>
        <w:rPr>
          <w:rFonts w:ascii="Arial" w:cs="Arial" w:eastAsia="Arial" w:hAnsi="Arial"/>
          <w:sz w:val="17"/>
          <w:szCs w:val="17"/>
          <w:color w:val="0000EE"/>
        </w:rPr>
      </w:pPr>
      <w:r>
        <w:rPr>
          <w:rFonts w:ascii="Arial" w:cs="Arial" w:eastAsia="Arial" w:hAnsi="Arial"/>
          <w:sz w:val="17"/>
          <w:szCs w:val="17"/>
          <w:color w:val="auto"/>
        </w:rPr>
        <w:t xml:space="preserve">The Nominating, Governance, and Corporate Responsibility Committee of the Board will consider candidates for director suggested by shareholders, using the process described in the “Director Nominating Process” section on page </w:t>
      </w:r>
      <w:hyperlink w:anchor="page19">
        <w:r>
          <w:rPr>
            <w:rFonts w:ascii="Arial" w:cs="Arial" w:eastAsia="Arial" w:hAnsi="Arial"/>
            <w:sz w:val="17"/>
            <w:szCs w:val="17"/>
            <w:u w:val="single" w:color="auto"/>
            <w:color w:val="0000EE"/>
          </w:rPr>
          <w:t>15</w:t>
        </w:r>
      </w:hyperlink>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58089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4"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Frequently Asked Questions</w:t>
      </w:r>
      <w:r>
        <w:rPr>
          <w:rFonts w:ascii="Arial" w:cs="Arial" w:eastAsia="Arial" w:hAnsi="Arial"/>
          <w:sz w:val="14"/>
          <w:szCs w:val="14"/>
          <w:b w:val="1"/>
          <w:bCs w:val="1"/>
          <w:color w:val="auto"/>
        </w:rPr>
        <w:tab/>
        <w:t>Evergy 2020 Proxy Statement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nominate a director or submit a proposal for the 2021 annual meeting?</w:t>
      </w:r>
    </w:p>
    <w:p>
      <w:pPr>
        <w:spacing w:after="0" w:line="106" w:lineRule="exact"/>
        <w:rPr>
          <w:sz w:val="20"/>
          <w:szCs w:val="20"/>
          <w:color w:val="auto"/>
        </w:rPr>
      </w:pPr>
    </w:p>
    <w:p>
      <w:pPr>
        <w:jc w:val="both"/>
        <w:ind w:firstLine="172"/>
        <w:spacing w:after="0" w:line="263" w:lineRule="auto"/>
        <w:rPr>
          <w:sz w:val="20"/>
          <w:szCs w:val="20"/>
          <w:color w:val="auto"/>
        </w:rPr>
      </w:pPr>
      <w:r>
        <w:rPr>
          <w:rFonts w:ascii="Arial" w:cs="Arial" w:eastAsia="Arial" w:hAnsi="Arial"/>
          <w:sz w:val="17"/>
          <w:szCs w:val="17"/>
          <w:i w:val="1"/>
          <w:iCs w:val="1"/>
          <w:color w:val="auto"/>
        </w:rPr>
        <w:t>Business Proposals for Inclusion in Next Year’s Proxy Statement (Rule 14a-8)</w:t>
      </w:r>
      <w:r>
        <w:rPr>
          <w:rFonts w:ascii="Arial" w:cs="Arial" w:eastAsia="Arial" w:hAnsi="Arial"/>
          <w:sz w:val="17"/>
          <w:szCs w:val="17"/>
          <w:color w:val="auto"/>
        </w:rPr>
        <w:t>: SEC rules permit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submit proposals for inclusion in our proxy statement if the shareholder and the proposal meet the requirements specified in Rule 14a-8 of the Exchange Act. To be considered for inclusion in our proxy statement for the 2021 annual meeting, we must receive notice of the proposal on or before November 20, 2020. Shareholder proposals should be addressed to: Evergy, Inc., 1200 Main Street, Kansas City, Missouri 64105, Attention: Corporate Secretary.</w:t>
      </w:r>
    </w:p>
    <w:p>
      <w:pPr>
        <w:spacing w:after="0" w:line="66" w:lineRule="exact"/>
        <w:rPr>
          <w:sz w:val="20"/>
          <w:szCs w:val="20"/>
          <w:color w:val="auto"/>
        </w:rPr>
      </w:pPr>
    </w:p>
    <w:p>
      <w:pPr>
        <w:jc w:val="both"/>
        <w:ind w:firstLine="172"/>
        <w:spacing w:after="0" w:line="259" w:lineRule="auto"/>
        <w:rPr>
          <w:sz w:val="20"/>
          <w:szCs w:val="20"/>
          <w:color w:val="auto"/>
        </w:rPr>
      </w:pPr>
      <w:r>
        <w:rPr>
          <w:rFonts w:ascii="Arial" w:cs="Arial" w:eastAsia="Arial" w:hAnsi="Arial"/>
          <w:sz w:val="17"/>
          <w:szCs w:val="17"/>
          <w:i w:val="1"/>
          <w:iCs w:val="1"/>
          <w:color w:val="auto"/>
        </w:rPr>
        <w:t>Director Nominees for Inclusion in the 2021 Proxy Statement (Proxy Access)</w:t>
      </w:r>
      <w:r>
        <w:rPr>
          <w:rFonts w:ascii="Arial" w:cs="Arial" w:eastAsia="Arial" w:hAnsi="Arial"/>
          <w:sz w:val="17"/>
          <w:szCs w:val="17"/>
          <w:color w:val="auto"/>
        </w:rPr>
        <w:t>: Our By-Laws permit an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or a group of up to 20 eligible shareholders, who have continuously owned at least three percent of our outstanding shares for at least three years as of the date the shareholder(s) notify us of the intent to utilize our “proxy access” by-law provision. Ownership of our predecessor companies — Great Plains Energy and Westar Energy — count toward the continuous holding requirement. “Proxy access” can be used to nominate up to 25% of the total number of directors who are members of the Board as of the date that the shareholder(s) notify us of the intent to utilize “proxy access.” Director nominations submitted under this By-law provision must be delivered to us no earlier than February 3, 2021, and no later than March 5, 2021. Your notice must comply with the requirements in our By-laws.</w:t>
      </w:r>
    </w:p>
    <w:p>
      <w:pPr>
        <w:spacing w:after="0" w:line="70" w:lineRule="exact"/>
        <w:rPr>
          <w:sz w:val="20"/>
          <w:szCs w:val="20"/>
          <w:color w:val="auto"/>
        </w:rPr>
      </w:pPr>
    </w:p>
    <w:p>
      <w:pPr>
        <w:jc w:val="both"/>
        <w:ind w:firstLine="172"/>
        <w:spacing w:after="0" w:line="259" w:lineRule="auto"/>
        <w:rPr>
          <w:sz w:val="20"/>
          <w:szCs w:val="20"/>
          <w:color w:val="auto"/>
        </w:rPr>
      </w:pPr>
      <w:r>
        <w:rPr>
          <w:rFonts w:ascii="Arial" w:cs="Arial" w:eastAsia="Arial" w:hAnsi="Arial"/>
          <w:sz w:val="17"/>
          <w:szCs w:val="17"/>
          <w:i w:val="1"/>
          <w:iCs w:val="1"/>
          <w:color w:val="auto"/>
        </w:rPr>
        <w:t>Director Nominees and Other Business Proposals for Consideration at Next Year’s Annual Meeting</w:t>
      </w:r>
      <w:r>
        <w:rPr>
          <w:rFonts w:ascii="Arial" w:cs="Arial" w:eastAsia="Arial" w:hAnsi="Arial"/>
          <w:sz w:val="17"/>
          <w:szCs w:val="17"/>
          <w:color w:val="auto"/>
        </w:rPr>
        <w:t>: Our By-laws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the procedures that a shareholder must follow to nominate a candidate for election as a director or to propose other business for consideration at shareholder meetings, in each case, not submitted for inclusion in the 2021 proxy statement (either under proxy access or Rule 14a-8), but instead to be presented directly at shareholder meetings. In each case, director nominations or proposals for other business for consideration at the 2021 annual meeting submitted under these By-law provisions must be delivered to us no earlier than February 3, 2021, and no later than March 5, 2021, in order to be raised at the 2021 annual meeting. The notice regarding the director nomination or proposal must comply with the requirements in our By-laws.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vote?</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If you were a shareholder of record on the Record Date, you may:</w:t>
      </w:r>
    </w:p>
    <w:p>
      <w:pPr>
        <w:spacing w:after="0" w:line="102" w:lineRule="exact"/>
        <w:rPr>
          <w:sz w:val="20"/>
          <w:szCs w:val="20"/>
          <w:color w:val="auto"/>
        </w:rPr>
      </w:pPr>
    </w:p>
    <w:p>
      <w:pPr>
        <w:ind w:left="660" w:hanging="334"/>
        <w:spacing w:after="0"/>
        <w:tabs>
          <w:tab w:leader="none" w:pos="660" w:val="left"/>
        </w:tabs>
        <w:numPr>
          <w:ilvl w:val="0"/>
          <w:numId w:val="59"/>
        </w:numPr>
        <w:rPr>
          <w:rFonts w:ascii="Arial" w:cs="Arial" w:eastAsia="Arial" w:hAnsi="Arial"/>
          <w:sz w:val="17"/>
          <w:szCs w:val="17"/>
          <w:color w:val="307CC0"/>
        </w:rPr>
      </w:pPr>
      <w:r>
        <w:rPr>
          <w:rFonts w:ascii="Arial" w:cs="Arial" w:eastAsia="Arial" w:hAnsi="Arial"/>
          <w:sz w:val="17"/>
          <w:szCs w:val="17"/>
          <w:color w:val="auto"/>
        </w:rPr>
        <w:t>vote via the internet by following the voting instructions on the proxy card or Notice;</w:t>
      </w:r>
    </w:p>
    <w:p>
      <w:pPr>
        <w:spacing w:after="0" w:line="101" w:lineRule="exact"/>
        <w:rPr>
          <w:rFonts w:ascii="Arial" w:cs="Arial" w:eastAsia="Arial" w:hAnsi="Arial"/>
          <w:sz w:val="17"/>
          <w:szCs w:val="17"/>
          <w:color w:val="307CC0"/>
        </w:rPr>
      </w:pPr>
    </w:p>
    <w:p>
      <w:pPr>
        <w:ind w:left="660" w:hanging="334"/>
        <w:spacing w:after="0"/>
        <w:tabs>
          <w:tab w:leader="none" w:pos="660" w:val="left"/>
        </w:tabs>
        <w:numPr>
          <w:ilvl w:val="0"/>
          <w:numId w:val="59"/>
        </w:numPr>
        <w:rPr>
          <w:rFonts w:ascii="Arial" w:cs="Arial" w:eastAsia="Arial" w:hAnsi="Arial"/>
          <w:sz w:val="17"/>
          <w:szCs w:val="17"/>
          <w:color w:val="307CC0"/>
        </w:rPr>
      </w:pPr>
      <w:r>
        <w:rPr>
          <w:rFonts w:ascii="Arial" w:cs="Arial" w:eastAsia="Arial" w:hAnsi="Arial"/>
          <w:sz w:val="17"/>
          <w:szCs w:val="17"/>
          <w:color w:val="auto"/>
        </w:rPr>
        <w:t>vote by calling the toll-free number on the proxy card or Notice;</w:t>
      </w:r>
    </w:p>
    <w:p>
      <w:pPr>
        <w:spacing w:after="0" w:line="101" w:lineRule="exact"/>
        <w:rPr>
          <w:rFonts w:ascii="Arial" w:cs="Arial" w:eastAsia="Arial" w:hAnsi="Arial"/>
          <w:sz w:val="17"/>
          <w:szCs w:val="17"/>
          <w:color w:val="307CC0"/>
        </w:rPr>
      </w:pPr>
    </w:p>
    <w:p>
      <w:pPr>
        <w:ind w:left="660" w:hanging="334"/>
        <w:spacing w:after="0"/>
        <w:tabs>
          <w:tab w:leader="none" w:pos="660" w:val="left"/>
        </w:tabs>
        <w:numPr>
          <w:ilvl w:val="0"/>
          <w:numId w:val="59"/>
        </w:numPr>
        <w:rPr>
          <w:rFonts w:ascii="Arial" w:cs="Arial" w:eastAsia="Arial" w:hAnsi="Arial"/>
          <w:sz w:val="17"/>
          <w:szCs w:val="17"/>
          <w:color w:val="307CC0"/>
        </w:rPr>
      </w:pPr>
      <w:r>
        <w:rPr>
          <w:rFonts w:ascii="Arial" w:cs="Arial" w:eastAsia="Arial" w:hAnsi="Arial"/>
          <w:sz w:val="17"/>
          <w:szCs w:val="17"/>
          <w:color w:val="auto"/>
        </w:rPr>
        <w:t>vote by completing and returning your proxy card in the enclosed envelope; or</w:t>
      </w:r>
    </w:p>
    <w:p>
      <w:pPr>
        <w:spacing w:after="0" w:line="101" w:lineRule="exact"/>
        <w:rPr>
          <w:rFonts w:ascii="Arial" w:cs="Arial" w:eastAsia="Arial" w:hAnsi="Arial"/>
          <w:sz w:val="17"/>
          <w:szCs w:val="17"/>
          <w:color w:val="307CC0"/>
        </w:rPr>
      </w:pPr>
    </w:p>
    <w:p>
      <w:pPr>
        <w:ind w:left="660" w:hanging="334"/>
        <w:spacing w:after="0"/>
        <w:tabs>
          <w:tab w:leader="none" w:pos="660" w:val="left"/>
        </w:tabs>
        <w:numPr>
          <w:ilvl w:val="0"/>
          <w:numId w:val="59"/>
        </w:numPr>
        <w:rPr>
          <w:rFonts w:ascii="Arial" w:cs="Arial" w:eastAsia="Arial" w:hAnsi="Arial"/>
          <w:sz w:val="17"/>
          <w:szCs w:val="17"/>
          <w:color w:val="307CC0"/>
        </w:rPr>
      </w:pPr>
      <w:r>
        <w:rPr>
          <w:rFonts w:ascii="Arial" w:cs="Arial" w:eastAsia="Arial" w:hAnsi="Arial"/>
          <w:sz w:val="17"/>
          <w:szCs w:val="17"/>
          <w:color w:val="auto"/>
        </w:rPr>
        <w:t>vote in person by attending the annual meeting.</w:t>
      </w:r>
    </w:p>
    <w:p>
      <w:pPr>
        <w:spacing w:after="0" w:line="102" w:lineRule="exact"/>
        <w:rPr>
          <w:sz w:val="20"/>
          <w:szCs w:val="20"/>
          <w:color w:val="auto"/>
        </w:rPr>
      </w:pPr>
    </w:p>
    <w:p>
      <w:pPr>
        <w:jc w:val="both"/>
        <w:ind w:right="20" w:firstLine="172"/>
        <w:spacing w:after="0" w:line="269" w:lineRule="auto"/>
        <w:rPr>
          <w:sz w:val="20"/>
          <w:szCs w:val="20"/>
          <w:color w:val="auto"/>
        </w:rPr>
      </w:pPr>
      <w:r>
        <w:rPr>
          <w:rFonts w:ascii="Arial" w:cs="Arial" w:eastAsia="Arial" w:hAnsi="Arial"/>
          <w:sz w:val="17"/>
          <w:szCs w:val="17"/>
          <w:color w:val="auto"/>
        </w:rPr>
        <w:t>We encourage you to vote as soon as possible even if you plan to attend the meeting. Voting through the internet saves time and postage costs.</w:t>
      </w:r>
    </w:p>
    <w:p>
      <w:pPr>
        <w:spacing w:after="0" w:line="79" w:lineRule="exact"/>
        <w:rPr>
          <w:sz w:val="20"/>
          <w:szCs w:val="20"/>
          <w:color w:val="auto"/>
        </w:rPr>
      </w:pPr>
    </w:p>
    <w:p>
      <w:pPr>
        <w:jc w:val="both"/>
        <w:ind w:right="20" w:firstLine="172"/>
        <w:spacing w:after="0" w:line="269" w:lineRule="auto"/>
        <w:rPr>
          <w:sz w:val="20"/>
          <w:szCs w:val="20"/>
          <w:color w:val="auto"/>
        </w:rPr>
      </w:pPr>
      <w:r>
        <w:rPr>
          <w:rFonts w:ascii="Arial" w:cs="Arial" w:eastAsia="Arial" w:hAnsi="Arial"/>
          <w:sz w:val="17"/>
          <w:szCs w:val="17"/>
          <w:color w:val="auto"/>
        </w:rPr>
        <w:t>If your shares are held by a broker or other nominee, you will receive instructions from the broker or other nominee that you must follow in order to vote your shares.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if I do not specify a choice for a matter when returning a proxy?</w:t>
      </w:r>
    </w:p>
    <w:p>
      <w:pPr>
        <w:spacing w:after="0" w:line="124" w:lineRule="exact"/>
        <w:rPr>
          <w:sz w:val="20"/>
          <w:szCs w:val="20"/>
          <w:color w:val="auto"/>
        </w:rPr>
      </w:pPr>
    </w:p>
    <w:p>
      <w:pPr>
        <w:jc w:val="both"/>
        <w:ind w:right="20" w:firstLine="172"/>
        <w:spacing w:after="0" w:line="269" w:lineRule="auto"/>
        <w:rPr>
          <w:sz w:val="20"/>
          <w:szCs w:val="20"/>
          <w:color w:val="auto"/>
        </w:rPr>
      </w:pPr>
      <w:r>
        <w:rPr>
          <w:rFonts w:ascii="Arial" w:cs="Arial" w:eastAsia="Arial" w:hAnsi="Arial"/>
          <w:sz w:val="17"/>
          <w:szCs w:val="17"/>
          <w:color w:val="auto"/>
        </w:rPr>
        <w:t>If a properly signed proxy is returned by a shareholder of record without shareholder directions by the close of voting, the shares will be voted as recommended by the Board.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shares are included on the proxy card?</w:t>
      </w:r>
    </w:p>
    <w:p>
      <w:pPr>
        <w:spacing w:after="0" w:line="124"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You may receive more than one proxy card or Notice depending on how you hold your shares and how your shares are registered. If you hold shares through someone else, such as a bank or broker, you may also receive proxy materials from them asking how you want to vote. If you participate in our Dividend Reinvestment and Direct Stock Purchase Plan, or our 401(k) savings plan, and the account names are exactly the same on each, you will receive one proxy card or Notice for all shares of common stock held in or credited to your accounts as of the Record Date. If the names on your accounts are different, you will receive more than one proxy card or Notice. We encourage you to have all accounts registered in the same name and address whenever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5808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9"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Frequently Asked Questions</w:t>
      </w:r>
      <w:r>
        <w:rPr>
          <w:rFonts w:ascii="Arial" w:cs="Arial" w:eastAsia="Arial" w:hAnsi="Arial"/>
          <w:sz w:val="14"/>
          <w:szCs w:val="14"/>
          <w:b w:val="1"/>
          <w:bCs w:val="1"/>
          <w:color w:val="auto"/>
        </w:rPr>
        <w:tab/>
        <w:t>Evergy 2020 Proxy Statement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282575</wp:posOffset>
            </wp:positionV>
            <wp:extent cx="5808980"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For shareholders in our 401(k) savings plan, the proxy card or Notice covers all shares for which the shareholder has the right to give voting instructions to Empower Retirement, trustee of that plan. The proxy card, when properly executed, will be voted as directed. If voting instructions are not received by the proxy tabulator by 11:59 p.m. on April 30, 2020, your shares will not be voted.</w:t>
      </w:r>
    </w:p>
    <w:p>
      <w:pPr>
        <w:spacing w:after="0" w:line="90" w:lineRule="exact"/>
        <w:rPr>
          <w:sz w:val="20"/>
          <w:szCs w:val="20"/>
          <w:color w:val="auto"/>
        </w:rPr>
      </w:pPr>
    </w:p>
    <w:p>
      <w:pPr>
        <w:jc w:val="both"/>
        <w:ind w:firstLine="172"/>
        <w:spacing w:after="0" w:line="269" w:lineRule="auto"/>
        <w:rPr>
          <w:sz w:val="20"/>
          <w:szCs w:val="20"/>
          <w:color w:val="auto"/>
        </w:rPr>
      </w:pPr>
      <w:r>
        <w:rPr>
          <w:rFonts w:ascii="Arial" w:cs="Arial" w:eastAsia="Arial" w:hAnsi="Arial"/>
          <w:sz w:val="17"/>
          <w:szCs w:val="17"/>
          <w:color w:val="auto"/>
        </w:rPr>
        <w:t>Any shares that you own in street name are not included in the total number of shares that are listed on your proxy card. Your broker or other nominee will send you directions on how to vote shares held in street name.</w:t>
      </w:r>
    </w:p>
    <w:p>
      <w:pPr>
        <w:spacing w:after="0" w:line="79" w:lineRule="exact"/>
        <w:rPr>
          <w:sz w:val="20"/>
          <w:szCs w:val="20"/>
          <w:color w:val="auto"/>
        </w:rPr>
      </w:pPr>
    </w:p>
    <w:p>
      <w:pPr>
        <w:ind w:right="1400" w:firstLine="172"/>
        <w:spacing w:after="0" w:line="412" w:lineRule="auto"/>
        <w:rPr>
          <w:sz w:val="20"/>
          <w:szCs w:val="20"/>
          <w:color w:val="auto"/>
        </w:rPr>
      </w:pPr>
      <w:r>
        <w:rPr>
          <w:rFonts w:ascii="Arial" w:cs="Arial" w:eastAsia="Arial" w:hAnsi="Arial"/>
          <w:sz w:val="17"/>
          <w:szCs w:val="17"/>
          <w:color w:val="auto"/>
        </w:rPr>
        <w:t xml:space="preserve">You should complete and return all proxy cards delivered to you to vote all shares registered to you. </w:t>
      </w:r>
      <w:r>
        <w:rPr>
          <w:rFonts w:ascii="Arial" w:cs="Arial" w:eastAsia="Arial" w:hAnsi="Arial"/>
          <w:sz w:val="17"/>
          <w:szCs w:val="17"/>
          <w:b w:val="1"/>
          <w:bCs w:val="1"/>
          <w:color w:val="auto"/>
        </w:rPr>
        <w:t>Can I change my vote or revoke my proxy?</w:t>
      </w:r>
    </w:p>
    <w:p>
      <w:pPr>
        <w:spacing w:after="0" w:line="1" w:lineRule="exact"/>
        <w:rPr>
          <w:sz w:val="20"/>
          <w:szCs w:val="20"/>
          <w:color w:val="auto"/>
        </w:rPr>
      </w:pPr>
    </w:p>
    <w:p>
      <w:pPr>
        <w:jc w:val="both"/>
        <w:ind w:firstLine="172"/>
        <w:spacing w:after="0" w:line="269" w:lineRule="auto"/>
        <w:rPr>
          <w:sz w:val="20"/>
          <w:szCs w:val="20"/>
          <w:color w:val="auto"/>
        </w:rPr>
      </w:pPr>
      <w:r>
        <w:rPr>
          <w:rFonts w:ascii="Arial" w:cs="Arial" w:eastAsia="Arial" w:hAnsi="Arial"/>
          <w:sz w:val="17"/>
          <w:szCs w:val="17"/>
          <w:color w:val="auto"/>
        </w:rPr>
        <w:t>You may change your vote or revoke your proxy at any time before the close of voting by written notice to the Corporate Secretary; submission of a proxy bearing a later date; or casting a ballot at the annual meeting.</w:t>
      </w:r>
    </w:p>
    <w:p>
      <w:pPr>
        <w:spacing w:after="0" w:line="79"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If your shares are held in street name, you must contact your broker or other nominee to change your vote or revoke your proxy. If you would like to vote in person, and your shares are held in street name, you should contact your broker or other nominee to obtain a broker’s proxy card and bring it, together with proper identification and your evidence of your share ownership, with you to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my shares held in street name be voted if I do not provide instructions?</w:t>
      </w:r>
    </w:p>
    <w:p>
      <w:pPr>
        <w:spacing w:after="0" w:line="124"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NYSE rules allow brokers, banks and other nominees to vote shares on certain “routine” matters for which their customers do not provide voting instructions. The ratification of the appointment of Deloitte &amp; Touche is considered a “routine” matter on which your broker, bank or other nominee can vote your shares without your instructions. The proposals relating to the election of directors and the say on pay resolution are not “routine” proposals. Therefore, if you do not instruct your broker, bank and other nominee how to vote, your shares will not be voted on those proposals, which is referred to as “broker non-votes.” Therefore, it is important street name holders provide voting instructions to their brokers, banks and other nominees. Broker non-votes will have no effect on the results of the election of directors or the say on pay resolution.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 my vote confidential?</w:t>
      </w:r>
    </w:p>
    <w:p>
      <w:pPr>
        <w:spacing w:after="0" w:line="124" w:lineRule="exact"/>
        <w:rPr>
          <w:sz w:val="20"/>
          <w:szCs w:val="20"/>
          <w:color w:val="auto"/>
        </w:rPr>
      </w:pPr>
    </w:p>
    <w:p>
      <w:pPr>
        <w:jc w:val="both"/>
        <w:ind w:firstLine="172"/>
        <w:spacing w:after="0" w:line="269" w:lineRule="auto"/>
        <w:rPr>
          <w:sz w:val="20"/>
          <w:szCs w:val="20"/>
          <w:color w:val="auto"/>
        </w:rPr>
      </w:pPr>
      <w:r>
        <w:rPr>
          <w:rFonts w:ascii="Arial" w:cs="Arial" w:eastAsia="Arial" w:hAnsi="Arial"/>
          <w:sz w:val="17"/>
          <w:szCs w:val="17"/>
          <w:color w:val="auto"/>
        </w:rPr>
        <w:t>We have a policy of voting confidentiality. Your vote will not be disclosed to the Board or our management, except as may be required by law and in other limited circumstances.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pays for soliciting proxies for the annual meeting?</w:t>
      </w:r>
    </w:p>
    <w:p>
      <w:pPr>
        <w:spacing w:after="0" w:line="124" w:lineRule="exact"/>
        <w:rPr>
          <w:sz w:val="20"/>
          <w:szCs w:val="20"/>
          <w:color w:val="auto"/>
        </w:rPr>
      </w:pPr>
    </w:p>
    <w:p>
      <w:pPr>
        <w:jc w:val="both"/>
        <w:ind w:right="20" w:firstLine="172"/>
        <w:spacing w:after="0" w:line="269" w:lineRule="auto"/>
        <w:rPr>
          <w:sz w:val="20"/>
          <w:szCs w:val="20"/>
          <w:color w:val="auto"/>
        </w:rPr>
      </w:pPr>
      <w:r>
        <w:rPr>
          <w:rFonts w:ascii="Arial" w:cs="Arial" w:eastAsia="Arial" w:hAnsi="Arial"/>
          <w:sz w:val="17"/>
          <w:szCs w:val="17"/>
          <w:color w:val="auto"/>
        </w:rPr>
        <w:t>We will pay the costs of this solicitation. Proxies may be solicited in person, through the mail, by telephone, facsimile, e-mail or other electronic means by our directors, officers and employees without additional compensation.</w:t>
      </w:r>
    </w:p>
    <w:p>
      <w:pPr>
        <w:spacing w:after="0" w:line="79"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We have retained Innisfree M&amp;A Incorporated to assist us in the solicitation of votes for a fee of $17,500, plus a charge of $5.00 per holder for telephone solicitations and reimbursement of reasonable out-of-pocket expenses. We will also reimburse brokers, banks, nominees and fiduciaries for their costs in sending proxy materials to holders of our shares.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you “householding” for your shareholders with the same address?</w:t>
      </w:r>
    </w:p>
    <w:p>
      <w:pPr>
        <w:spacing w:after="0" w:line="124"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Yes. Shareholders of record who receive printed copies of proxy materials and share the same last name and household mailing address with multiple accounts will receive a single copy of our proxy materials unless we are instructed otherwise. Each such registered shareholder will continue to receive a separate proxy card. Any shareholder who would like to receive separate copies of our proxy materials, or who received multiple copies and would like to receive combined mailings, may call us at 1-800-245-5275, or write us at Evergy, Inc., Attn: Investor Relations, P.O. Box 418679, Kansas City, Missouri 64141-9679. Shareholders who hold their shares in street name should contact their broker or other nominee regarding combined mailings.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elect electronic delivery of annual shareholder reports, proxy statements and proxy cards?</w:t>
      </w:r>
    </w:p>
    <w:p>
      <w:pPr>
        <w:spacing w:after="0" w:line="124" w:lineRule="exact"/>
        <w:rPr>
          <w:sz w:val="20"/>
          <w:szCs w:val="20"/>
          <w:color w:val="auto"/>
        </w:rPr>
      </w:pPr>
    </w:p>
    <w:p>
      <w:pPr>
        <w:jc w:val="both"/>
        <w:ind w:firstLine="172"/>
        <w:spacing w:after="0" w:line="258" w:lineRule="auto"/>
        <w:rPr>
          <w:sz w:val="20"/>
          <w:szCs w:val="20"/>
          <w:color w:val="auto"/>
        </w:rPr>
      </w:pPr>
      <w:r>
        <w:rPr>
          <w:rFonts w:ascii="Arial" w:cs="Arial" w:eastAsia="Arial" w:hAnsi="Arial"/>
          <w:sz w:val="17"/>
          <w:szCs w:val="17"/>
          <w:color w:val="auto"/>
        </w:rPr>
        <w:t>Yes. You can elect to receive future annual shareholder reports, proxy statements and proxy cards electronically via the internet. To sign up for electronic delivery, please follow the instructions on the proxy card or the Notice to vote using the internet and, when prompted, indicate that you agree to receive or access shareholder communications electronically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58089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8" w:lineRule="exact"/>
        <w:rPr>
          <w:sz w:val="20"/>
          <w:szCs w:val="20"/>
          <w:color w:val="auto"/>
        </w:rPr>
      </w:pPr>
    </w:p>
    <w:p>
      <w:pPr>
        <w:jc w:val="right"/>
        <w:spacing w:after="0"/>
        <w:tabs>
          <w:tab w:leader="none" w:pos="2180" w:val="left"/>
        </w:tabs>
        <w:rPr>
          <w:sz w:val="20"/>
          <w:szCs w:val="20"/>
          <w:color w:val="auto"/>
        </w:rPr>
      </w:pPr>
      <w:r>
        <w:rPr>
          <w:rFonts w:ascii="Arial" w:cs="Arial" w:eastAsia="Arial" w:hAnsi="Arial"/>
          <w:sz w:val="14"/>
          <w:szCs w:val="14"/>
          <w:b w:val="1"/>
          <w:bCs w:val="1"/>
          <w:color w:val="307CC0"/>
        </w:rPr>
        <w:t>Frequently Asked Questions</w:t>
      </w:r>
      <w:r>
        <w:rPr>
          <w:rFonts w:ascii="Arial" w:cs="Arial" w:eastAsia="Arial" w:hAnsi="Arial"/>
          <w:sz w:val="14"/>
          <w:szCs w:val="14"/>
          <w:b w:val="1"/>
          <w:bCs w:val="1"/>
          <w:color w:val="auto"/>
        </w:rPr>
        <w:tab/>
        <w:t>Evergy 2020 Proxy Statement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4140" w:type="dxa"/>
            <w:vAlign w:val="bottom"/>
            <w:gridSpan w:val="2"/>
          </w:tcPr>
          <w:p>
            <w:pPr>
              <w:jc w:val="center"/>
              <w:ind w:right="3180"/>
              <w:spacing w:after="0"/>
              <w:rPr>
                <w:sz w:val="20"/>
                <w:szCs w:val="20"/>
                <w:color w:val="auto"/>
              </w:rPr>
            </w:pPr>
            <w:r>
              <w:rPr>
                <w:rFonts w:ascii="Arial" w:cs="Arial" w:eastAsia="Arial" w:hAnsi="Arial"/>
                <w:sz w:val="17"/>
                <w:szCs w:val="17"/>
                <w:b w:val="1"/>
                <w:bCs w:val="1"/>
                <w:color w:val="307CC0"/>
              </w:rPr>
              <w:t>Appendix A</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
        </w:trPr>
        <w:tc>
          <w:tcPr>
            <w:tcW w:w="4100" w:type="dxa"/>
            <w:vAlign w:val="bottom"/>
          </w:tcPr>
          <w:p>
            <w:pPr>
              <w:spacing w:after="0" w:line="20" w:lineRule="exact"/>
              <w:rPr>
                <w:sz w:val="1"/>
                <w:szCs w:val="1"/>
                <w:color w:val="auto"/>
              </w:rPr>
            </w:pPr>
          </w:p>
        </w:tc>
        <w:tc>
          <w:tcPr>
            <w:tcW w:w="960" w:type="dxa"/>
            <w:vAlign w:val="bottom"/>
            <w:shd w:val="clear" w:color="auto" w:fill="307CC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81"/>
        </w:trPr>
        <w:tc>
          <w:tcPr>
            <w:tcW w:w="8240" w:type="dxa"/>
            <w:vAlign w:val="bottom"/>
            <w:gridSpan w:val="3"/>
          </w:tcPr>
          <w:p>
            <w:pPr>
              <w:jc w:val="center"/>
              <w:ind w:left="856"/>
              <w:spacing w:after="0"/>
              <w:rPr>
                <w:sz w:val="20"/>
                <w:szCs w:val="20"/>
                <w:color w:val="auto"/>
              </w:rPr>
            </w:pPr>
            <w:r>
              <w:rPr>
                <w:rFonts w:ascii="Arial" w:cs="Arial" w:eastAsia="Arial" w:hAnsi="Arial"/>
                <w:sz w:val="17"/>
                <w:szCs w:val="17"/>
                <w:b w:val="1"/>
                <w:bCs w:val="1"/>
                <w:color w:val="auto"/>
              </w:rPr>
              <w:t>GAAP to Non-GAAP Financial Metric Reconciliation</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5"/>
        </w:trPr>
        <w:tc>
          <w:tcPr>
            <w:tcW w:w="8240" w:type="dxa"/>
            <w:vAlign w:val="bottom"/>
            <w:gridSpan w:val="3"/>
          </w:tcPr>
          <w:p>
            <w:pPr>
              <w:ind w:left="20"/>
              <w:spacing w:after="0"/>
              <w:rPr>
                <w:sz w:val="20"/>
                <w:szCs w:val="20"/>
                <w:color w:val="auto"/>
              </w:rPr>
            </w:pPr>
            <w:r>
              <w:rPr>
                <w:rFonts w:ascii="Arial" w:cs="Arial" w:eastAsia="Arial" w:hAnsi="Arial"/>
                <w:sz w:val="17"/>
                <w:szCs w:val="17"/>
                <w:b w:val="1"/>
                <w:bCs w:val="1"/>
                <w:color w:val="auto"/>
              </w:rPr>
              <w:t>Reconciliation of adjusted earnings per share for incentive compensation to earnings per share</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8"/>
        </w:trPr>
        <w:tc>
          <w:tcPr>
            <w:tcW w:w="4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51"/>
        </w:trPr>
        <w:tc>
          <w:tcPr>
            <w:tcW w:w="4100" w:type="dxa"/>
            <w:vAlign w:val="bottom"/>
            <w:shd w:val="clear" w:color="auto" w:fill="307CC0"/>
          </w:tcPr>
          <w:p>
            <w:pPr>
              <w:spacing w:after="0"/>
              <w:rPr>
                <w:sz w:val="13"/>
                <w:szCs w:val="13"/>
                <w:color w:val="auto"/>
              </w:rPr>
            </w:pPr>
          </w:p>
        </w:tc>
        <w:tc>
          <w:tcPr>
            <w:tcW w:w="960" w:type="dxa"/>
            <w:vAlign w:val="bottom"/>
            <w:shd w:val="clear" w:color="auto" w:fill="307CC0"/>
          </w:tcPr>
          <w:p>
            <w:pPr>
              <w:spacing w:after="0"/>
              <w:rPr>
                <w:sz w:val="13"/>
                <w:szCs w:val="13"/>
                <w:color w:val="auto"/>
              </w:rPr>
            </w:pPr>
          </w:p>
        </w:tc>
        <w:tc>
          <w:tcPr>
            <w:tcW w:w="3180" w:type="dxa"/>
            <w:vAlign w:val="bottom"/>
            <w:shd w:val="clear" w:color="auto" w:fill="307CC0"/>
          </w:tcPr>
          <w:p>
            <w:pPr>
              <w:spacing w:after="0"/>
              <w:rPr>
                <w:sz w:val="13"/>
                <w:szCs w:val="13"/>
                <w:color w:val="auto"/>
              </w:rPr>
            </w:pPr>
          </w:p>
        </w:tc>
        <w:tc>
          <w:tcPr>
            <w:tcW w:w="180" w:type="dxa"/>
            <w:vAlign w:val="bottom"/>
            <w:shd w:val="clear" w:color="auto" w:fill="307CC0"/>
          </w:tcPr>
          <w:p>
            <w:pPr>
              <w:spacing w:after="0"/>
              <w:rPr>
                <w:sz w:val="13"/>
                <w:szCs w:val="13"/>
                <w:color w:val="auto"/>
              </w:rPr>
            </w:pPr>
          </w:p>
        </w:tc>
        <w:tc>
          <w:tcPr>
            <w:tcW w:w="740" w:type="dxa"/>
            <w:vAlign w:val="bottom"/>
            <w:shd w:val="clear" w:color="auto" w:fill="307CC0"/>
          </w:tcPr>
          <w:p>
            <w:pPr>
              <w:jc w:val="center"/>
              <w:ind w:right="97"/>
              <w:spacing w:after="0"/>
              <w:rPr>
                <w:sz w:val="20"/>
                <w:szCs w:val="20"/>
                <w:color w:val="auto"/>
              </w:rPr>
            </w:pPr>
            <w:r>
              <w:rPr>
                <w:rFonts w:ascii="Arial" w:cs="Arial" w:eastAsia="Arial" w:hAnsi="Arial"/>
                <w:sz w:val="13"/>
                <w:szCs w:val="13"/>
                <w:b w:val="1"/>
                <w:bCs w:val="1"/>
                <w:color w:val="FFFFFF"/>
              </w:rPr>
              <w:t>Earnings</w:t>
            </w:r>
          </w:p>
        </w:tc>
      </w:tr>
      <w:tr>
        <w:trPr>
          <w:trHeight w:val="142"/>
        </w:trPr>
        <w:tc>
          <w:tcPr>
            <w:tcW w:w="4100" w:type="dxa"/>
            <w:vAlign w:val="bottom"/>
            <w:shd w:val="clear" w:color="auto" w:fill="307CC0"/>
          </w:tcPr>
          <w:p>
            <w:pPr>
              <w:spacing w:after="0"/>
              <w:rPr>
                <w:sz w:val="12"/>
                <w:szCs w:val="12"/>
                <w:color w:val="auto"/>
              </w:rPr>
            </w:pPr>
          </w:p>
        </w:tc>
        <w:tc>
          <w:tcPr>
            <w:tcW w:w="960" w:type="dxa"/>
            <w:vAlign w:val="bottom"/>
            <w:shd w:val="clear" w:color="auto" w:fill="307CC0"/>
          </w:tcPr>
          <w:p>
            <w:pPr>
              <w:spacing w:after="0"/>
              <w:rPr>
                <w:sz w:val="12"/>
                <w:szCs w:val="12"/>
                <w:color w:val="auto"/>
              </w:rPr>
            </w:pPr>
          </w:p>
        </w:tc>
        <w:tc>
          <w:tcPr>
            <w:tcW w:w="3180" w:type="dxa"/>
            <w:vAlign w:val="bottom"/>
            <w:shd w:val="clear" w:color="auto" w:fill="307CC0"/>
          </w:tcPr>
          <w:p>
            <w:pPr>
              <w:spacing w:after="0"/>
              <w:rPr>
                <w:sz w:val="12"/>
                <w:szCs w:val="12"/>
                <w:color w:val="auto"/>
              </w:rPr>
            </w:pPr>
          </w:p>
        </w:tc>
        <w:tc>
          <w:tcPr>
            <w:tcW w:w="920" w:type="dxa"/>
            <w:vAlign w:val="bottom"/>
            <w:gridSpan w:val="2"/>
            <w:shd w:val="clear" w:color="auto" w:fill="307CC0"/>
          </w:tcPr>
          <w:p>
            <w:pPr>
              <w:jc w:val="center"/>
              <w:spacing w:after="0" w:line="143" w:lineRule="exact"/>
              <w:rPr>
                <w:sz w:val="20"/>
                <w:szCs w:val="20"/>
                <w:color w:val="auto"/>
              </w:rPr>
            </w:pPr>
            <w:r>
              <w:rPr>
                <w:rFonts w:ascii="Arial" w:cs="Arial" w:eastAsia="Arial" w:hAnsi="Arial"/>
                <w:sz w:val="13"/>
                <w:szCs w:val="13"/>
                <w:b w:val="1"/>
                <w:bCs w:val="1"/>
                <w:color w:val="FFFFFF"/>
              </w:rPr>
              <w:t>(Loss) per</w:t>
            </w:r>
          </w:p>
        </w:tc>
      </w:tr>
      <w:tr>
        <w:trPr>
          <w:trHeight w:val="185"/>
        </w:trPr>
        <w:tc>
          <w:tcPr>
            <w:tcW w:w="8240" w:type="dxa"/>
            <w:vAlign w:val="bottom"/>
            <w:gridSpan w:val="3"/>
            <w:shd w:val="clear" w:color="auto" w:fill="307CC0"/>
          </w:tcPr>
          <w:p>
            <w:pPr>
              <w:ind w:left="40"/>
              <w:spacing w:after="0"/>
              <w:rPr>
                <w:sz w:val="20"/>
                <w:szCs w:val="20"/>
                <w:color w:val="auto"/>
              </w:rPr>
            </w:pPr>
            <w:r>
              <w:rPr>
                <w:rFonts w:ascii="Arial" w:cs="Arial" w:eastAsia="Arial" w:hAnsi="Arial"/>
                <w:sz w:val="13"/>
                <w:szCs w:val="13"/>
                <w:i w:val="1"/>
                <w:iCs w:val="1"/>
                <w:color w:val="FFFFFF"/>
              </w:rPr>
              <w:t>(Dollars in millions)</w:t>
            </w:r>
          </w:p>
        </w:tc>
        <w:tc>
          <w:tcPr>
            <w:tcW w:w="920" w:type="dxa"/>
            <w:vAlign w:val="bottom"/>
            <w:gridSpan w:val="2"/>
            <w:shd w:val="clear" w:color="auto" w:fill="307CC0"/>
          </w:tcPr>
          <w:p>
            <w:pPr>
              <w:jc w:val="center"/>
              <w:spacing w:after="0"/>
              <w:rPr>
                <w:sz w:val="20"/>
                <w:szCs w:val="20"/>
                <w:color w:val="auto"/>
              </w:rPr>
            </w:pPr>
            <w:r>
              <w:rPr>
                <w:rFonts w:ascii="Arial" w:cs="Arial" w:eastAsia="Arial" w:hAnsi="Arial"/>
                <w:sz w:val="13"/>
                <w:szCs w:val="13"/>
                <w:b w:val="1"/>
                <w:bCs w:val="1"/>
                <w:color w:val="FFFFFF"/>
              </w:rPr>
              <w:t>Diluted Share</w:t>
            </w:r>
          </w:p>
        </w:tc>
      </w:tr>
      <w:tr>
        <w:trPr>
          <w:trHeight w:val="220"/>
        </w:trPr>
        <w:tc>
          <w:tcPr>
            <w:tcW w:w="8240" w:type="dxa"/>
            <w:vAlign w:val="bottom"/>
            <w:tcBorders>
              <w:bottom w:val="single" w:sz="8" w:color="307CC0"/>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Year Ended December 31</w:t>
            </w:r>
          </w:p>
        </w:tc>
        <w:tc>
          <w:tcPr>
            <w:tcW w:w="180" w:type="dxa"/>
            <w:vAlign w:val="bottom"/>
            <w:tcBorders>
              <w:bottom w:val="single" w:sz="8" w:color="307CC0"/>
            </w:tcBorders>
            <w:shd w:val="clear" w:color="auto" w:fill="CCEEFF"/>
          </w:tcPr>
          <w:p>
            <w:pPr>
              <w:spacing w:after="0"/>
              <w:rPr>
                <w:sz w:val="19"/>
                <w:szCs w:val="19"/>
                <w:color w:val="auto"/>
              </w:rPr>
            </w:pPr>
          </w:p>
        </w:tc>
        <w:tc>
          <w:tcPr>
            <w:tcW w:w="740" w:type="dxa"/>
            <w:vAlign w:val="bottom"/>
            <w:tcBorders>
              <w:bottom w:val="single" w:sz="8" w:color="307CC0"/>
            </w:tcBorders>
            <w:shd w:val="clear" w:color="auto" w:fill="CCEEFF"/>
          </w:tcPr>
          <w:p>
            <w:pPr>
              <w:spacing w:after="0"/>
              <w:rPr>
                <w:sz w:val="19"/>
                <w:szCs w:val="19"/>
                <w:color w:val="auto"/>
              </w:rPr>
            </w:pPr>
          </w:p>
        </w:tc>
      </w:tr>
      <w:tr>
        <w:trPr>
          <w:trHeight w:val="213"/>
        </w:trPr>
        <w:tc>
          <w:tcPr>
            <w:tcW w:w="4100" w:type="dxa"/>
            <w:vAlign w:val="bottom"/>
            <w:tcBorders>
              <w:bottom w:val="single" w:sz="8" w:color="307CC0"/>
            </w:tcBorders>
            <w:shd w:val="clear" w:color="auto" w:fill="D6E7FF"/>
          </w:tcPr>
          <w:p>
            <w:pPr>
              <w:spacing w:after="0"/>
              <w:rPr>
                <w:sz w:val="18"/>
                <w:szCs w:val="18"/>
                <w:color w:val="auto"/>
              </w:rPr>
            </w:pPr>
          </w:p>
        </w:tc>
        <w:tc>
          <w:tcPr>
            <w:tcW w:w="960" w:type="dxa"/>
            <w:vAlign w:val="bottom"/>
            <w:tcBorders>
              <w:bottom w:val="single" w:sz="8" w:color="307CC0"/>
            </w:tcBorders>
            <w:shd w:val="clear" w:color="auto" w:fill="D6E7FF"/>
          </w:tcPr>
          <w:p>
            <w:pPr>
              <w:spacing w:after="0"/>
              <w:rPr>
                <w:sz w:val="18"/>
                <w:szCs w:val="18"/>
                <w:color w:val="auto"/>
              </w:rPr>
            </w:pPr>
          </w:p>
        </w:tc>
        <w:tc>
          <w:tcPr>
            <w:tcW w:w="3180" w:type="dxa"/>
            <w:vAlign w:val="bottom"/>
            <w:tcBorders>
              <w:bottom w:val="single" w:sz="8" w:color="307CC0"/>
            </w:tcBorders>
            <w:shd w:val="clear" w:color="auto" w:fill="D6E7FF"/>
          </w:tcPr>
          <w:p>
            <w:pPr>
              <w:spacing w:after="0"/>
              <w:rPr>
                <w:sz w:val="18"/>
                <w:szCs w:val="18"/>
                <w:color w:val="auto"/>
              </w:rPr>
            </w:pPr>
          </w:p>
        </w:tc>
        <w:tc>
          <w:tcPr>
            <w:tcW w:w="180" w:type="dxa"/>
            <w:vAlign w:val="bottom"/>
            <w:tcBorders>
              <w:bottom w:val="single" w:sz="8" w:color="307CC0"/>
            </w:tcBorders>
            <w:shd w:val="clear" w:color="auto" w:fill="D6E7FF"/>
          </w:tcPr>
          <w:p>
            <w:pPr>
              <w:spacing w:after="0"/>
              <w:rPr>
                <w:sz w:val="18"/>
                <w:szCs w:val="18"/>
                <w:color w:val="auto"/>
              </w:rPr>
            </w:pPr>
          </w:p>
        </w:tc>
        <w:tc>
          <w:tcPr>
            <w:tcW w:w="740" w:type="dxa"/>
            <w:vAlign w:val="bottom"/>
            <w:tcBorders>
              <w:bottom w:val="single" w:sz="8" w:color="307CC0"/>
            </w:tcBorders>
            <w:shd w:val="clear" w:color="auto" w:fill="D6E7FF"/>
          </w:tcPr>
          <w:p>
            <w:pPr>
              <w:spacing w:after="0"/>
              <w:rPr>
                <w:sz w:val="18"/>
                <w:szCs w:val="18"/>
                <w:color w:val="auto"/>
              </w:rPr>
            </w:pPr>
          </w:p>
        </w:tc>
      </w:tr>
      <w:tr>
        <w:trPr>
          <w:trHeight w:val="213"/>
        </w:trPr>
        <w:tc>
          <w:tcPr>
            <w:tcW w:w="8240" w:type="dxa"/>
            <w:vAlign w:val="bottom"/>
            <w:tcBorders>
              <w:bottom w:val="single" w:sz="8" w:color="307CC0"/>
            </w:tcBorders>
            <w:gridSpan w:val="3"/>
            <w:shd w:val="clear" w:color="auto" w:fill="CCEEFF"/>
          </w:tcPr>
          <w:p>
            <w:pPr>
              <w:ind w:left="40"/>
              <w:spacing w:after="0"/>
              <w:rPr>
                <w:sz w:val="20"/>
                <w:szCs w:val="20"/>
                <w:color w:val="auto"/>
              </w:rPr>
            </w:pPr>
            <w:r>
              <w:rPr>
                <w:rFonts w:ascii="Arial" w:cs="Arial" w:eastAsia="Arial" w:hAnsi="Arial"/>
                <w:sz w:val="17"/>
                <w:szCs w:val="17"/>
                <w:color w:val="auto"/>
              </w:rPr>
              <w:t>Diluted earnings per share</w:t>
            </w:r>
          </w:p>
        </w:tc>
        <w:tc>
          <w:tcPr>
            <w:tcW w:w="18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2.79</w:t>
            </w:r>
          </w:p>
        </w:tc>
      </w:tr>
      <w:tr>
        <w:trPr>
          <w:trHeight w:val="213"/>
        </w:trPr>
        <w:tc>
          <w:tcPr>
            <w:tcW w:w="8240" w:type="dxa"/>
            <w:vAlign w:val="bottom"/>
            <w:tcBorders>
              <w:bottom w:val="single" w:sz="8" w:color="307CC0"/>
            </w:tcBorders>
            <w:gridSpan w:val="3"/>
            <w:shd w:val="clear" w:color="auto" w:fill="D6E7FF"/>
          </w:tcPr>
          <w:p>
            <w:pPr>
              <w:ind w:left="40"/>
              <w:spacing w:after="0"/>
              <w:rPr>
                <w:sz w:val="20"/>
                <w:szCs w:val="20"/>
                <w:color w:val="auto"/>
              </w:rPr>
            </w:pPr>
            <w:r>
              <w:rPr>
                <w:rFonts w:ascii="Arial" w:cs="Arial" w:eastAsia="Arial" w:hAnsi="Arial"/>
                <w:sz w:val="17"/>
                <w:szCs w:val="17"/>
                <w:color w:val="auto"/>
              </w:rPr>
              <w:t>Non-GAAP reconciling items:</w:t>
            </w:r>
          </w:p>
        </w:tc>
        <w:tc>
          <w:tcPr>
            <w:tcW w:w="180" w:type="dxa"/>
            <w:vAlign w:val="bottom"/>
            <w:tcBorders>
              <w:bottom w:val="single" w:sz="8" w:color="307CC0"/>
            </w:tcBorders>
            <w:shd w:val="clear" w:color="auto" w:fill="D6E7FF"/>
          </w:tcPr>
          <w:p>
            <w:pPr>
              <w:spacing w:after="0"/>
              <w:rPr>
                <w:sz w:val="18"/>
                <w:szCs w:val="18"/>
                <w:color w:val="auto"/>
              </w:rPr>
            </w:pPr>
          </w:p>
        </w:tc>
        <w:tc>
          <w:tcPr>
            <w:tcW w:w="740" w:type="dxa"/>
            <w:vAlign w:val="bottom"/>
            <w:tcBorders>
              <w:bottom w:val="single" w:sz="8" w:color="307CC0"/>
            </w:tcBorders>
            <w:shd w:val="clear" w:color="auto" w:fill="D6E7FF"/>
          </w:tcPr>
          <w:p>
            <w:pPr>
              <w:spacing w:after="0"/>
              <w:rPr>
                <w:sz w:val="18"/>
                <w:szCs w:val="18"/>
                <w:color w:val="auto"/>
              </w:rPr>
            </w:pPr>
          </w:p>
        </w:tc>
      </w:tr>
      <w:tr>
        <w:trPr>
          <w:trHeight w:val="213"/>
        </w:trPr>
        <w:tc>
          <w:tcPr>
            <w:tcW w:w="8240" w:type="dxa"/>
            <w:vAlign w:val="bottom"/>
            <w:tcBorders>
              <w:bottom w:val="single" w:sz="8" w:color="307CC0"/>
            </w:tcBorders>
            <w:gridSpan w:val="3"/>
            <w:shd w:val="clear" w:color="auto" w:fill="CCEEFF"/>
          </w:tcPr>
          <w:p>
            <w:pPr>
              <w:ind w:left="200"/>
              <w:spacing w:after="0"/>
              <w:rPr>
                <w:sz w:val="20"/>
                <w:szCs w:val="20"/>
                <w:color w:val="auto"/>
              </w:rPr>
            </w:pPr>
            <w:r>
              <w:rPr>
                <w:rFonts w:ascii="Arial" w:cs="Arial" w:eastAsia="Arial" w:hAnsi="Arial"/>
                <w:sz w:val="17"/>
                <w:szCs w:val="17"/>
                <w:color w:val="auto"/>
              </w:rPr>
              <w:t>Rebranding costs, pre-tax</w:t>
            </w:r>
          </w:p>
        </w:tc>
        <w:tc>
          <w:tcPr>
            <w:tcW w:w="180" w:type="dxa"/>
            <w:vAlign w:val="bottom"/>
            <w:tcBorders>
              <w:bottom w:val="single" w:sz="8" w:color="307CC0"/>
            </w:tcBorders>
            <w:shd w:val="clear" w:color="auto" w:fill="CCEEFF"/>
          </w:tcPr>
          <w:p>
            <w:pPr>
              <w:spacing w:after="0"/>
              <w:rPr>
                <w:sz w:val="18"/>
                <w:szCs w:val="18"/>
                <w:color w:val="auto"/>
              </w:rPr>
            </w:pPr>
          </w:p>
        </w:tc>
        <w:tc>
          <w:tcPr>
            <w:tcW w:w="7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0.05</w:t>
            </w:r>
          </w:p>
        </w:tc>
      </w:tr>
      <w:tr>
        <w:trPr>
          <w:trHeight w:val="213"/>
        </w:trPr>
        <w:tc>
          <w:tcPr>
            <w:tcW w:w="8240" w:type="dxa"/>
            <w:vAlign w:val="bottom"/>
            <w:tcBorders>
              <w:bottom w:val="single" w:sz="8" w:color="307CC0"/>
            </w:tcBorders>
            <w:gridSpan w:val="3"/>
            <w:shd w:val="clear" w:color="auto" w:fill="D6E7FF"/>
          </w:tcPr>
          <w:p>
            <w:pPr>
              <w:ind w:left="200"/>
              <w:spacing w:after="0"/>
              <w:rPr>
                <w:sz w:val="20"/>
                <w:szCs w:val="20"/>
                <w:color w:val="auto"/>
              </w:rPr>
            </w:pPr>
            <w:r>
              <w:rPr>
                <w:rFonts w:ascii="Arial" w:cs="Arial" w:eastAsia="Arial" w:hAnsi="Arial"/>
                <w:sz w:val="17"/>
                <w:szCs w:val="17"/>
                <w:color w:val="auto"/>
              </w:rPr>
              <w:t>Voluntary severance costs, pre-tax</w:t>
            </w:r>
          </w:p>
        </w:tc>
        <w:tc>
          <w:tcPr>
            <w:tcW w:w="180" w:type="dxa"/>
            <w:vAlign w:val="bottom"/>
            <w:tcBorders>
              <w:bottom w:val="single" w:sz="8" w:color="307CC0"/>
            </w:tcBorders>
            <w:shd w:val="clear" w:color="auto" w:fill="D6E7FF"/>
          </w:tcPr>
          <w:p>
            <w:pPr>
              <w:spacing w:after="0"/>
              <w:rPr>
                <w:sz w:val="18"/>
                <w:szCs w:val="18"/>
                <w:color w:val="auto"/>
              </w:rPr>
            </w:pPr>
          </w:p>
        </w:tc>
        <w:tc>
          <w:tcPr>
            <w:tcW w:w="7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0.08</w:t>
            </w:r>
          </w:p>
        </w:tc>
      </w:tr>
      <w:tr>
        <w:trPr>
          <w:trHeight w:val="213"/>
        </w:trPr>
        <w:tc>
          <w:tcPr>
            <w:tcW w:w="8240" w:type="dxa"/>
            <w:vAlign w:val="bottom"/>
            <w:tcBorders>
              <w:bottom w:val="single" w:sz="8" w:color="307CC0"/>
            </w:tcBorders>
            <w:gridSpan w:val="3"/>
            <w:shd w:val="clear" w:color="auto" w:fill="CCEEFF"/>
          </w:tcPr>
          <w:p>
            <w:pPr>
              <w:ind w:left="200"/>
              <w:spacing w:after="0"/>
              <w:rPr>
                <w:sz w:val="20"/>
                <w:szCs w:val="20"/>
                <w:color w:val="auto"/>
              </w:rPr>
            </w:pPr>
            <w:r>
              <w:rPr>
                <w:rFonts w:ascii="Arial" w:cs="Arial" w:eastAsia="Arial" w:hAnsi="Arial"/>
                <w:sz w:val="17"/>
                <w:szCs w:val="17"/>
                <w:color w:val="auto"/>
              </w:rPr>
              <w:t>Incentive compensation costs, pre-tax</w:t>
            </w:r>
          </w:p>
        </w:tc>
        <w:tc>
          <w:tcPr>
            <w:tcW w:w="180" w:type="dxa"/>
            <w:vAlign w:val="bottom"/>
            <w:tcBorders>
              <w:bottom w:val="single" w:sz="8" w:color="307CC0"/>
            </w:tcBorders>
            <w:shd w:val="clear" w:color="auto" w:fill="CCEEFF"/>
          </w:tcPr>
          <w:p>
            <w:pPr>
              <w:spacing w:after="0"/>
              <w:rPr>
                <w:sz w:val="18"/>
                <w:szCs w:val="18"/>
                <w:color w:val="auto"/>
              </w:rPr>
            </w:pPr>
          </w:p>
        </w:tc>
        <w:tc>
          <w:tcPr>
            <w:tcW w:w="74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0.10</w:t>
            </w:r>
          </w:p>
        </w:tc>
      </w:tr>
      <w:tr>
        <w:trPr>
          <w:trHeight w:val="213"/>
        </w:trPr>
        <w:tc>
          <w:tcPr>
            <w:tcW w:w="8240" w:type="dxa"/>
            <w:vAlign w:val="bottom"/>
            <w:tcBorders>
              <w:bottom w:val="single" w:sz="8" w:color="307CC0"/>
            </w:tcBorders>
            <w:gridSpan w:val="3"/>
            <w:shd w:val="clear" w:color="auto" w:fill="D6E7FF"/>
          </w:tcPr>
          <w:p>
            <w:pPr>
              <w:ind w:left="200"/>
              <w:spacing w:after="0"/>
              <w:rPr>
                <w:sz w:val="20"/>
                <w:szCs w:val="20"/>
                <w:color w:val="auto"/>
              </w:rPr>
            </w:pPr>
            <w:r>
              <w:rPr>
                <w:rFonts w:ascii="Arial" w:cs="Arial" w:eastAsia="Arial" w:hAnsi="Arial"/>
                <w:sz w:val="17"/>
                <w:szCs w:val="17"/>
                <w:color w:val="auto"/>
              </w:rPr>
              <w:t>Incentive compensation costs at target, pre-tax</w:t>
            </w:r>
          </w:p>
        </w:tc>
        <w:tc>
          <w:tcPr>
            <w:tcW w:w="180" w:type="dxa"/>
            <w:vAlign w:val="bottom"/>
            <w:tcBorders>
              <w:bottom w:val="single" w:sz="8" w:color="307CC0"/>
            </w:tcBorders>
            <w:shd w:val="clear" w:color="auto" w:fill="D6E7FF"/>
          </w:tcPr>
          <w:p>
            <w:pPr>
              <w:spacing w:after="0"/>
              <w:rPr>
                <w:sz w:val="18"/>
                <w:szCs w:val="18"/>
                <w:color w:val="auto"/>
              </w:rPr>
            </w:pPr>
          </w:p>
        </w:tc>
        <w:tc>
          <w:tcPr>
            <w:tcW w:w="74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(0.07)</w:t>
            </w:r>
          </w:p>
        </w:tc>
      </w:tr>
      <w:tr>
        <w:trPr>
          <w:trHeight w:val="213"/>
        </w:trPr>
        <w:tc>
          <w:tcPr>
            <w:tcW w:w="8240" w:type="dxa"/>
            <w:vAlign w:val="bottom"/>
            <w:tcBorders>
              <w:bottom w:val="single" w:sz="8" w:color="307CC0"/>
            </w:tcBorders>
            <w:gridSpan w:val="3"/>
            <w:shd w:val="clear" w:color="auto" w:fill="CCEEFF"/>
          </w:tcPr>
          <w:p>
            <w:pPr>
              <w:ind w:left="200"/>
              <w:spacing w:after="0"/>
              <w:rPr>
                <w:sz w:val="20"/>
                <w:szCs w:val="20"/>
                <w:color w:val="auto"/>
              </w:rPr>
            </w:pPr>
            <w:r>
              <w:rPr>
                <w:rFonts w:ascii="Arial" w:cs="Arial" w:eastAsia="Arial" w:hAnsi="Arial"/>
                <w:sz w:val="17"/>
                <w:szCs w:val="17"/>
                <w:color w:val="auto"/>
              </w:rPr>
              <w:t>Income tax benefit</w:t>
            </w:r>
          </w:p>
        </w:tc>
        <w:tc>
          <w:tcPr>
            <w:tcW w:w="180" w:type="dxa"/>
            <w:vAlign w:val="bottom"/>
            <w:tcBorders>
              <w:bottom w:val="single" w:sz="8" w:color="307CC0"/>
            </w:tcBorders>
            <w:shd w:val="clear" w:color="auto" w:fill="CCEEFF"/>
          </w:tcPr>
          <w:p>
            <w:pPr>
              <w:spacing w:after="0"/>
              <w:rPr>
                <w:sz w:val="18"/>
                <w:szCs w:val="18"/>
                <w:color w:val="auto"/>
              </w:rPr>
            </w:pPr>
          </w:p>
        </w:tc>
        <w:tc>
          <w:tcPr>
            <w:tcW w:w="74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(0.04)</w:t>
            </w:r>
          </w:p>
        </w:tc>
      </w:tr>
      <w:tr>
        <w:trPr>
          <w:trHeight w:val="213"/>
        </w:trPr>
        <w:tc>
          <w:tcPr>
            <w:tcW w:w="8240" w:type="dxa"/>
            <w:vAlign w:val="bottom"/>
            <w:tcBorders>
              <w:bottom w:val="single" w:sz="8" w:color="307CC0"/>
            </w:tcBorders>
            <w:gridSpan w:val="3"/>
            <w:shd w:val="clear" w:color="auto" w:fill="D6E7FF"/>
          </w:tcPr>
          <w:p>
            <w:pPr>
              <w:ind w:left="40"/>
              <w:spacing w:after="0"/>
              <w:rPr>
                <w:sz w:val="20"/>
                <w:szCs w:val="20"/>
                <w:color w:val="auto"/>
              </w:rPr>
            </w:pPr>
            <w:r>
              <w:rPr>
                <w:rFonts w:ascii="Arial" w:cs="Arial" w:eastAsia="Arial" w:hAnsi="Arial"/>
                <w:sz w:val="17"/>
                <w:szCs w:val="17"/>
                <w:color w:val="auto"/>
              </w:rPr>
              <w:t>Adjusted earnings per share for incentive compensation (non-GAAP)</w:t>
            </w:r>
          </w:p>
        </w:tc>
        <w:tc>
          <w:tcPr>
            <w:tcW w:w="18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307CC0"/>
            </w:tcBorders>
            <w:shd w:val="clear" w:color="auto" w:fill="D6E7FF"/>
          </w:tcPr>
          <w:p>
            <w:pPr>
              <w:jc w:val="right"/>
              <w:ind w:right="17"/>
              <w:spacing w:after="0"/>
              <w:rPr>
                <w:sz w:val="20"/>
                <w:szCs w:val="20"/>
                <w:color w:val="auto"/>
              </w:rPr>
            </w:pPr>
            <w:r>
              <w:rPr>
                <w:rFonts w:ascii="Arial" w:cs="Arial" w:eastAsia="Arial" w:hAnsi="Arial"/>
                <w:sz w:val="17"/>
                <w:szCs w:val="17"/>
                <w:color w:val="auto"/>
              </w:rPr>
              <w:t>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-1484630</wp:posOffset>
            </wp:positionV>
            <wp:extent cx="5808980" cy="147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-1189355</wp:posOffset>
            </wp:positionV>
            <wp:extent cx="5808980" cy="147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-893445</wp:posOffset>
            </wp:positionV>
            <wp:extent cx="5808980" cy="147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-598170</wp:posOffset>
            </wp:positionV>
            <wp:extent cx="5808980" cy="147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-302895</wp:posOffset>
            </wp:positionV>
            <wp:extent cx="5808980" cy="147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pacing w:after="0" w:line="112" w:lineRule="exact"/>
        <w:rPr>
          <w:sz w:val="20"/>
          <w:szCs w:val="20"/>
          <w:color w:val="auto"/>
        </w:rPr>
      </w:pPr>
    </w:p>
    <w:p>
      <w:pPr>
        <w:ind w:left="20" w:right="760"/>
        <w:spacing w:after="0" w:line="264" w:lineRule="auto"/>
        <w:rPr>
          <w:sz w:val="20"/>
          <w:szCs w:val="20"/>
          <w:color w:val="auto"/>
        </w:rPr>
      </w:pPr>
      <w:r>
        <w:rPr>
          <w:rFonts w:ascii="Arial" w:cs="Arial" w:eastAsia="Arial" w:hAnsi="Arial"/>
          <w:sz w:val="17"/>
          <w:szCs w:val="17"/>
          <w:b w:val="1"/>
          <w:bCs w:val="1"/>
          <w:color w:val="auto"/>
        </w:rPr>
        <w:t>Reconciliation of adjusted non-fuel operating and maintenance expense for incentive compensation to operating and maintenance expense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20" w:type="dxa"/>
            <w:vAlign w:val="bottom"/>
            <w:shd w:val="clear" w:color="auto" w:fill="307CC0"/>
          </w:tcPr>
          <w:p>
            <w:pPr>
              <w:spacing w:after="0"/>
              <w:rPr>
                <w:sz w:val="13"/>
                <w:szCs w:val="13"/>
                <w:color w:val="auto"/>
              </w:rPr>
            </w:pPr>
          </w:p>
        </w:tc>
        <w:tc>
          <w:tcPr>
            <w:tcW w:w="1280" w:type="dxa"/>
            <w:vAlign w:val="bottom"/>
            <w:shd w:val="clear" w:color="auto" w:fill="307CC0"/>
          </w:tcPr>
          <w:p>
            <w:pPr>
              <w:spacing w:after="0"/>
              <w:rPr>
                <w:sz w:val="13"/>
                <w:szCs w:val="13"/>
                <w:color w:val="auto"/>
              </w:rPr>
            </w:pPr>
          </w:p>
        </w:tc>
        <w:tc>
          <w:tcPr>
            <w:tcW w:w="1060" w:type="dxa"/>
            <w:vAlign w:val="bottom"/>
            <w:shd w:val="clear" w:color="auto" w:fill="307CC0"/>
          </w:tcPr>
          <w:p>
            <w:pPr>
              <w:jc w:val="right"/>
              <w:ind w:right="217"/>
              <w:spacing w:after="0"/>
              <w:rPr>
                <w:sz w:val="20"/>
                <w:szCs w:val="20"/>
                <w:color w:val="auto"/>
              </w:rPr>
            </w:pPr>
            <w:r>
              <w:rPr>
                <w:rFonts w:ascii="Arial" w:cs="Arial" w:eastAsia="Arial" w:hAnsi="Arial"/>
                <w:sz w:val="13"/>
                <w:szCs w:val="13"/>
                <w:b w:val="1"/>
                <w:bCs w:val="1"/>
                <w:color w:val="FFFFFF"/>
              </w:rPr>
              <w:t>Year Ended</w:t>
            </w:r>
          </w:p>
        </w:tc>
      </w:tr>
      <w:tr>
        <w:trPr>
          <w:trHeight w:val="185"/>
        </w:trPr>
        <w:tc>
          <w:tcPr>
            <w:tcW w:w="6820" w:type="dxa"/>
            <w:vAlign w:val="bottom"/>
            <w:shd w:val="clear" w:color="auto" w:fill="307CC0"/>
          </w:tcPr>
          <w:p>
            <w:pPr>
              <w:ind w:left="40"/>
              <w:spacing w:after="0"/>
              <w:rPr>
                <w:sz w:val="20"/>
                <w:szCs w:val="20"/>
                <w:color w:val="auto"/>
              </w:rPr>
            </w:pPr>
            <w:r>
              <w:rPr>
                <w:rFonts w:ascii="Arial" w:cs="Arial" w:eastAsia="Arial" w:hAnsi="Arial"/>
                <w:sz w:val="13"/>
                <w:szCs w:val="13"/>
                <w:i w:val="1"/>
                <w:iCs w:val="1"/>
                <w:color w:val="FFFFFF"/>
              </w:rPr>
              <w:t>(Dollars in millions)</w:t>
            </w:r>
          </w:p>
        </w:tc>
        <w:tc>
          <w:tcPr>
            <w:tcW w:w="2340" w:type="dxa"/>
            <w:vAlign w:val="bottom"/>
            <w:gridSpan w:val="2"/>
            <w:shd w:val="clear" w:color="auto" w:fill="307CC0"/>
          </w:tcPr>
          <w:p>
            <w:pPr>
              <w:ind w:left="1120"/>
              <w:spacing w:after="0"/>
              <w:rPr>
                <w:sz w:val="20"/>
                <w:szCs w:val="20"/>
                <w:color w:val="auto"/>
              </w:rPr>
            </w:pPr>
            <w:r>
              <w:rPr>
                <w:rFonts w:ascii="Arial" w:cs="Arial" w:eastAsia="Arial" w:hAnsi="Arial"/>
                <w:sz w:val="13"/>
                <w:szCs w:val="13"/>
                <w:b w:val="1"/>
                <w:bCs w:val="1"/>
                <w:color w:val="FFFFFF"/>
              </w:rPr>
              <w:t>December 31, 2019</w:t>
            </w:r>
          </w:p>
        </w:tc>
      </w:tr>
      <w:tr>
        <w:trPr>
          <w:trHeight w:val="220"/>
        </w:trPr>
        <w:tc>
          <w:tcPr>
            <w:tcW w:w="68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Operating and maintenance expense</w:t>
            </w:r>
          </w:p>
        </w:tc>
        <w:tc>
          <w:tcPr>
            <w:tcW w:w="1280" w:type="dxa"/>
            <w:vAlign w:val="bottom"/>
            <w:tcBorders>
              <w:bottom w:val="single" w:sz="8" w:color="307CC0"/>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1,218.6</w:t>
            </w:r>
          </w:p>
        </w:tc>
      </w:tr>
      <w:tr>
        <w:trPr>
          <w:trHeight w:val="213"/>
        </w:trPr>
        <w:tc>
          <w:tcPr>
            <w:tcW w:w="6820" w:type="dxa"/>
            <w:vAlign w:val="bottom"/>
            <w:tcBorders>
              <w:bottom w:val="single" w:sz="8" w:color="307CC0"/>
            </w:tcBorders>
            <w:shd w:val="clear" w:color="auto" w:fill="D6E7FF"/>
          </w:tcPr>
          <w:p>
            <w:pPr>
              <w:ind w:left="40"/>
              <w:spacing w:after="0"/>
              <w:rPr>
                <w:sz w:val="20"/>
                <w:szCs w:val="20"/>
                <w:color w:val="auto"/>
              </w:rPr>
            </w:pPr>
            <w:r>
              <w:rPr>
                <w:rFonts w:ascii="Arial" w:cs="Arial" w:eastAsia="Arial" w:hAnsi="Arial"/>
                <w:sz w:val="17"/>
                <w:szCs w:val="17"/>
                <w:color w:val="auto"/>
              </w:rPr>
              <w:t>Non-GAAP reconciling items:</w:t>
            </w:r>
          </w:p>
        </w:tc>
        <w:tc>
          <w:tcPr>
            <w:tcW w:w="1280" w:type="dxa"/>
            <w:vAlign w:val="bottom"/>
            <w:tcBorders>
              <w:bottom w:val="single" w:sz="8" w:color="307CC0"/>
            </w:tcBorders>
            <w:shd w:val="clear" w:color="auto" w:fill="D6E7FF"/>
          </w:tcPr>
          <w:p>
            <w:pPr>
              <w:spacing w:after="0"/>
              <w:rPr>
                <w:sz w:val="18"/>
                <w:szCs w:val="18"/>
                <w:color w:val="auto"/>
              </w:rPr>
            </w:pPr>
          </w:p>
        </w:tc>
        <w:tc>
          <w:tcPr>
            <w:tcW w:w="1060" w:type="dxa"/>
            <w:vAlign w:val="bottom"/>
            <w:tcBorders>
              <w:bottom w:val="single" w:sz="8" w:color="307CC0"/>
            </w:tcBorders>
            <w:shd w:val="clear" w:color="auto" w:fill="D6E7FF"/>
          </w:tcPr>
          <w:p>
            <w:pPr>
              <w:spacing w:after="0"/>
              <w:rPr>
                <w:sz w:val="18"/>
                <w:szCs w:val="18"/>
                <w:color w:val="auto"/>
              </w:rPr>
            </w:pPr>
          </w:p>
        </w:tc>
      </w:tr>
      <w:tr>
        <w:trPr>
          <w:trHeight w:val="213"/>
        </w:trPr>
        <w:tc>
          <w:tcPr>
            <w:tcW w:w="6820" w:type="dxa"/>
            <w:vAlign w:val="bottom"/>
            <w:tcBorders>
              <w:bottom w:val="single" w:sz="8" w:color="307CC0"/>
            </w:tcBorders>
            <w:shd w:val="clear" w:color="auto" w:fill="CCEEFF"/>
          </w:tcPr>
          <w:p>
            <w:pPr>
              <w:ind w:left="200"/>
              <w:spacing w:after="0"/>
              <w:rPr>
                <w:sz w:val="20"/>
                <w:szCs w:val="20"/>
                <w:color w:val="auto"/>
              </w:rPr>
            </w:pPr>
            <w:r>
              <w:rPr>
                <w:rFonts w:ascii="Arial" w:cs="Arial" w:eastAsia="Arial" w:hAnsi="Arial"/>
                <w:sz w:val="17"/>
                <w:szCs w:val="17"/>
                <w:color w:val="auto"/>
              </w:rPr>
              <w:t>Rebranding expenses</w:t>
            </w:r>
          </w:p>
        </w:tc>
        <w:tc>
          <w:tcPr>
            <w:tcW w:w="1280" w:type="dxa"/>
            <w:vAlign w:val="bottom"/>
            <w:tcBorders>
              <w:bottom w:val="single" w:sz="8" w:color="307CC0"/>
            </w:tcBorders>
            <w:shd w:val="clear" w:color="auto" w:fill="CCEEFF"/>
          </w:tcPr>
          <w:p>
            <w:pPr>
              <w:spacing w:after="0"/>
              <w:rPr>
                <w:sz w:val="18"/>
                <w:szCs w:val="18"/>
                <w:color w:val="auto"/>
              </w:rPr>
            </w:pP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3"/>
        </w:trPr>
        <w:tc>
          <w:tcPr>
            <w:tcW w:w="6820" w:type="dxa"/>
            <w:vAlign w:val="bottom"/>
            <w:tcBorders>
              <w:bottom w:val="single" w:sz="8" w:color="307CC0"/>
            </w:tcBorders>
            <w:shd w:val="clear" w:color="auto" w:fill="D6E7FF"/>
          </w:tcPr>
          <w:p>
            <w:pPr>
              <w:ind w:left="200"/>
              <w:spacing w:after="0"/>
              <w:rPr>
                <w:sz w:val="20"/>
                <w:szCs w:val="20"/>
                <w:color w:val="auto"/>
              </w:rPr>
            </w:pPr>
            <w:r>
              <w:rPr>
                <w:rFonts w:ascii="Arial" w:cs="Arial" w:eastAsia="Arial" w:hAnsi="Arial"/>
                <w:sz w:val="17"/>
                <w:szCs w:val="17"/>
                <w:color w:val="auto"/>
              </w:rPr>
              <w:t>Lease expense</w:t>
            </w:r>
          </w:p>
        </w:tc>
        <w:tc>
          <w:tcPr>
            <w:tcW w:w="1280" w:type="dxa"/>
            <w:vAlign w:val="bottom"/>
            <w:tcBorders>
              <w:bottom w:val="single" w:sz="8" w:color="307CC0"/>
            </w:tcBorders>
            <w:shd w:val="clear" w:color="auto" w:fill="D6E7FF"/>
          </w:tcPr>
          <w:p>
            <w:pPr>
              <w:spacing w:after="0"/>
              <w:rPr>
                <w:sz w:val="18"/>
                <w:szCs w:val="18"/>
                <w:color w:val="auto"/>
              </w:rPr>
            </w:pP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(4.8)</w:t>
            </w:r>
          </w:p>
        </w:tc>
      </w:tr>
      <w:tr>
        <w:trPr>
          <w:trHeight w:val="213"/>
        </w:trPr>
        <w:tc>
          <w:tcPr>
            <w:tcW w:w="6820" w:type="dxa"/>
            <w:vAlign w:val="bottom"/>
            <w:tcBorders>
              <w:bottom w:val="single" w:sz="8" w:color="307CC0"/>
            </w:tcBorders>
            <w:shd w:val="clear" w:color="auto" w:fill="CCEEFF"/>
          </w:tcPr>
          <w:p>
            <w:pPr>
              <w:ind w:left="200"/>
              <w:spacing w:after="0"/>
              <w:rPr>
                <w:sz w:val="20"/>
                <w:szCs w:val="20"/>
                <w:color w:val="auto"/>
              </w:rPr>
            </w:pPr>
            <w:r>
              <w:rPr>
                <w:rFonts w:ascii="Arial" w:cs="Arial" w:eastAsia="Arial" w:hAnsi="Arial"/>
                <w:sz w:val="17"/>
                <w:szCs w:val="17"/>
                <w:color w:val="auto"/>
              </w:rPr>
              <w:t>Voluntary severance expenses</w:t>
            </w:r>
          </w:p>
        </w:tc>
        <w:tc>
          <w:tcPr>
            <w:tcW w:w="1280" w:type="dxa"/>
            <w:vAlign w:val="bottom"/>
            <w:tcBorders>
              <w:bottom w:val="single" w:sz="8" w:color="307CC0"/>
            </w:tcBorders>
            <w:shd w:val="clear" w:color="auto" w:fill="CCEEFF"/>
          </w:tcPr>
          <w:p>
            <w:pPr>
              <w:spacing w:after="0"/>
              <w:rPr>
                <w:sz w:val="18"/>
                <w:szCs w:val="18"/>
                <w:color w:val="auto"/>
              </w:rPr>
            </w:pPr>
          </w:p>
        </w:tc>
        <w:tc>
          <w:tcPr>
            <w:tcW w:w="1060" w:type="dxa"/>
            <w:vAlign w:val="bottom"/>
            <w:tcBorders>
              <w:bottom w:val="single" w:sz="8" w:color="307CC0"/>
            </w:tcBorders>
            <w:shd w:val="clear" w:color="auto" w:fill="CCEEFF"/>
          </w:tcPr>
          <w:p>
            <w:pPr>
              <w:jc w:val="right"/>
              <w:spacing w:after="0"/>
              <w:rPr>
                <w:sz w:val="20"/>
                <w:szCs w:val="20"/>
                <w:color w:val="auto"/>
              </w:rPr>
            </w:pPr>
            <w:r>
              <w:rPr>
                <w:rFonts w:ascii="Arial" w:cs="Arial" w:eastAsia="Arial" w:hAnsi="Arial"/>
                <w:sz w:val="17"/>
                <w:szCs w:val="17"/>
                <w:color w:val="auto"/>
              </w:rPr>
              <w:t>(19.2)</w:t>
            </w:r>
          </w:p>
        </w:tc>
      </w:tr>
      <w:tr>
        <w:trPr>
          <w:trHeight w:val="213"/>
        </w:trPr>
        <w:tc>
          <w:tcPr>
            <w:tcW w:w="6820" w:type="dxa"/>
            <w:vAlign w:val="bottom"/>
            <w:tcBorders>
              <w:bottom w:val="single" w:sz="8" w:color="307CC0"/>
            </w:tcBorders>
            <w:shd w:val="clear" w:color="auto" w:fill="D6E7FF"/>
          </w:tcPr>
          <w:p>
            <w:pPr>
              <w:ind w:left="200"/>
              <w:spacing w:after="0"/>
              <w:rPr>
                <w:sz w:val="20"/>
                <w:szCs w:val="20"/>
                <w:color w:val="auto"/>
              </w:rPr>
            </w:pPr>
            <w:r>
              <w:rPr>
                <w:rFonts w:ascii="Arial" w:cs="Arial" w:eastAsia="Arial" w:hAnsi="Arial"/>
                <w:sz w:val="17"/>
                <w:szCs w:val="17"/>
                <w:color w:val="auto"/>
              </w:rPr>
              <w:t>Incentive compensation expenses</w:t>
            </w:r>
          </w:p>
        </w:tc>
        <w:tc>
          <w:tcPr>
            <w:tcW w:w="1280" w:type="dxa"/>
            <w:vAlign w:val="bottom"/>
            <w:tcBorders>
              <w:bottom w:val="single" w:sz="8" w:color="307CC0"/>
            </w:tcBorders>
            <w:shd w:val="clear" w:color="auto" w:fill="D6E7FF"/>
          </w:tcPr>
          <w:p>
            <w:pPr>
              <w:spacing w:after="0"/>
              <w:rPr>
                <w:sz w:val="18"/>
                <w:szCs w:val="18"/>
                <w:color w:val="auto"/>
              </w:rPr>
            </w:pPr>
          </w:p>
        </w:tc>
        <w:tc>
          <w:tcPr>
            <w:tcW w:w="1060" w:type="dxa"/>
            <w:vAlign w:val="bottom"/>
            <w:tcBorders>
              <w:bottom w:val="single" w:sz="8" w:color="307CC0"/>
            </w:tcBorders>
            <w:shd w:val="clear" w:color="auto" w:fill="D6E7FF"/>
          </w:tcPr>
          <w:p>
            <w:pPr>
              <w:jc w:val="right"/>
              <w:spacing w:after="0"/>
              <w:rPr>
                <w:sz w:val="20"/>
                <w:szCs w:val="20"/>
                <w:color w:val="auto"/>
              </w:rPr>
            </w:pPr>
            <w:r>
              <w:rPr>
                <w:rFonts w:ascii="Arial" w:cs="Arial" w:eastAsia="Arial" w:hAnsi="Arial"/>
                <w:sz w:val="17"/>
                <w:szCs w:val="17"/>
                <w:color w:val="auto"/>
              </w:rPr>
              <w:t>(23.2)</w:t>
            </w:r>
          </w:p>
        </w:tc>
      </w:tr>
      <w:tr>
        <w:trPr>
          <w:trHeight w:val="213"/>
        </w:trPr>
        <w:tc>
          <w:tcPr>
            <w:tcW w:w="6820" w:type="dxa"/>
            <w:vAlign w:val="bottom"/>
            <w:tcBorders>
              <w:bottom w:val="single" w:sz="8" w:color="307CC0"/>
            </w:tcBorders>
            <w:shd w:val="clear" w:color="auto" w:fill="CCEEFF"/>
          </w:tcPr>
          <w:p>
            <w:pPr>
              <w:ind w:left="40"/>
              <w:spacing w:after="0"/>
              <w:rPr>
                <w:sz w:val="20"/>
                <w:szCs w:val="20"/>
                <w:color w:val="auto"/>
              </w:rPr>
            </w:pPr>
            <w:r>
              <w:rPr>
                <w:rFonts w:ascii="Arial" w:cs="Arial" w:eastAsia="Arial" w:hAnsi="Arial"/>
                <w:sz w:val="17"/>
                <w:szCs w:val="17"/>
                <w:color w:val="auto"/>
              </w:rPr>
              <w:t>Adjusted non-fuel operating and maintenance expense for incentive compensation</w:t>
            </w:r>
          </w:p>
        </w:tc>
        <w:tc>
          <w:tcPr>
            <w:tcW w:w="1280" w:type="dxa"/>
            <w:vAlign w:val="bottom"/>
            <w:tcBorders>
              <w:bottom w:val="single" w:sz="8" w:color="307CC0"/>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307CC0"/>
            </w:tcBorders>
            <w:shd w:val="clear" w:color="auto" w:fill="CCEEFF"/>
          </w:tcPr>
          <w:p>
            <w:pPr>
              <w:jc w:val="right"/>
              <w:ind w:right="17"/>
              <w:spacing w:after="0"/>
              <w:rPr>
                <w:sz w:val="20"/>
                <w:szCs w:val="20"/>
                <w:color w:val="auto"/>
              </w:rPr>
            </w:pPr>
            <w:r>
              <w:rPr>
                <w:rFonts w:ascii="Arial" w:cs="Arial" w:eastAsia="Arial" w:hAnsi="Arial"/>
                <w:sz w:val="17"/>
                <w:szCs w:val="17"/>
                <w:color w:val="auto"/>
              </w:rPr>
              <w:t>1,159.3</w:t>
            </w:r>
          </w:p>
        </w:tc>
      </w:tr>
      <w:tr>
        <w:trPr>
          <w:trHeight w:val="200"/>
        </w:trPr>
        <w:tc>
          <w:tcPr>
            <w:tcW w:w="68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2"/>
          </w:tcPr>
          <w:p>
            <w:pPr>
              <w:spacing w:after="0"/>
              <w:rPr>
                <w:sz w:val="17"/>
                <w:szCs w:val="17"/>
                <w:color w:val="auto"/>
              </w:rPr>
            </w:pPr>
          </w:p>
        </w:tc>
      </w:tr>
      <w:tr>
        <w:trPr>
          <w:trHeight w:val="175"/>
        </w:trPr>
        <w:tc>
          <w:tcPr>
            <w:tcW w:w="6820" w:type="dxa"/>
            <w:vAlign w:val="bottom"/>
          </w:tcPr>
          <w:p>
            <w:pPr>
              <w:ind w:left="5980"/>
              <w:spacing w:after="0"/>
              <w:rPr>
                <w:sz w:val="20"/>
                <w:szCs w:val="20"/>
                <w:color w:val="auto"/>
              </w:rPr>
            </w:pPr>
            <w:r>
              <w:rPr>
                <w:rFonts w:ascii="Arial" w:cs="Arial" w:eastAsia="Arial" w:hAnsi="Arial"/>
                <w:sz w:val="14"/>
                <w:szCs w:val="14"/>
                <w:b w:val="1"/>
                <w:bCs w:val="1"/>
                <w:color w:val="307CC0"/>
              </w:rPr>
              <w:t>Appendix A</w:t>
            </w: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Evergy 2020 Proxy Statement  A-1</w:t>
            </w:r>
          </w:p>
        </w:tc>
      </w:tr>
      <w:tr>
        <w:trPr>
          <w:trHeight w:val="425"/>
        </w:trPr>
        <w:tc>
          <w:tcPr>
            <w:tcW w:w="6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5"/>
        </w:trPr>
        <w:tc>
          <w:tcPr>
            <w:tcW w:w="682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-1607820</wp:posOffset>
            </wp:positionV>
            <wp:extent cx="5808980" cy="147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-1311910</wp:posOffset>
            </wp:positionV>
            <wp:extent cx="5808980" cy="147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-1016635</wp:posOffset>
            </wp:positionV>
            <wp:extent cx="5808980" cy="147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08980" cy="1479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-721360</wp:posOffset>
            </wp:positionV>
            <wp:extent cx="5808980" cy="147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08980" cy="14795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307CC0"/>
        </w:rPr>
        <w:t>Appendix B</w:t>
      </w:r>
    </w:p>
    <w:p>
      <w:pPr>
        <w:spacing w:after="0" w:line="166" w:lineRule="exact"/>
        <w:rPr>
          <w:sz w:val="20"/>
          <w:szCs w:val="20"/>
          <w:color w:val="auto"/>
        </w:rPr>
      </w:pPr>
    </w:p>
    <w:p>
      <w:pPr>
        <w:ind w:right="2040" w:firstLine="2029"/>
        <w:spacing w:after="0" w:line="378" w:lineRule="auto"/>
        <w:rPr>
          <w:sz w:val="20"/>
          <w:szCs w:val="20"/>
          <w:color w:val="auto"/>
        </w:rPr>
      </w:pPr>
      <w:r>
        <w:rPr>
          <w:rFonts w:ascii="Arial" w:cs="Arial" w:eastAsia="Arial" w:hAnsi="Arial"/>
          <w:sz w:val="17"/>
          <w:szCs w:val="17"/>
          <w:b w:val="1"/>
          <w:bCs w:val="1"/>
          <w:color w:val="auto"/>
        </w:rPr>
        <w:t xml:space="preserve">Information Regarding Legacy Change-In-Control Agreements </w:t>
      </w:r>
      <w:r>
        <w:rPr>
          <w:rFonts w:ascii="Arial" w:cs="Arial" w:eastAsia="Arial" w:hAnsi="Arial"/>
          <w:sz w:val="17"/>
          <w:szCs w:val="17"/>
          <w:i w:val="1"/>
          <w:iCs w:val="1"/>
          <w:color w:val="auto"/>
        </w:rPr>
        <w:t>Legacy Great Plains Energy Change-in-Control Severance Agreements</w:t>
      </w:r>
    </w:p>
    <w:p>
      <w:pPr>
        <w:spacing w:after="0" w:line="1" w:lineRule="exact"/>
        <w:rPr>
          <w:sz w:val="20"/>
          <w:szCs w:val="20"/>
          <w:color w:val="auto"/>
        </w:rPr>
      </w:pPr>
    </w:p>
    <w:p>
      <w:pPr>
        <w:jc w:val="both"/>
        <w:ind w:firstLine="172"/>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The change-in-control agreements Great Plains Energy entered into with Mr. Bassham, Mr. Bryant and Ms. Humphrey specified the benefits payable in the event their employment was terminated within two years of a “Change-in-Control” or within a “protected period.” “Change-in-Control” and “protected period” are defined under the legacy Great Plains Energy change-in-control agreements in a substantially similar manner as those concepts are defined in the Evergy change-in-control agreements, as described on page </w:t>
      </w:r>
      <w:hyperlink w:anchor="page53">
        <w:r>
          <w:rPr>
            <w:rFonts w:ascii="Arial" w:cs="Arial" w:eastAsia="Arial" w:hAnsi="Arial"/>
            <w:sz w:val="17"/>
            <w:szCs w:val="17"/>
            <w:u w:val="single" w:color="auto"/>
            <w:color w:val="0000EE"/>
          </w:rPr>
          <w:t>49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above.</w:t>
      </w:r>
    </w:p>
    <w:p>
      <w:pPr>
        <w:spacing w:after="0" w:line="90" w:lineRule="exact"/>
        <w:rPr>
          <w:sz w:val="20"/>
          <w:szCs w:val="20"/>
          <w:color w:val="auto"/>
        </w:rPr>
      </w:pPr>
    </w:p>
    <w:p>
      <w:pPr>
        <w:jc w:val="both"/>
        <w:ind w:firstLine="172"/>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The legacy Great Plains Energy change-in-control arrangements were “double trigger,” meaning that benefits were only paid if Great Plains Energy experienced a Change-in-Control and the officer’s employment was terminated other than for “Cause” or by the officer for “Good Reason” within two years of a Change-in-Control or within a protected period. “Good Reason” is defined under the legacy Great Plains Energy change-in-control agreements in a substantially similar manner as it is defined in the Evergy change-in-control agreements, as described on page </w:t>
      </w:r>
      <w:hyperlink w:anchor="page53">
        <w:r>
          <w:rPr>
            <w:rFonts w:ascii="Arial" w:cs="Arial" w:eastAsia="Arial" w:hAnsi="Arial"/>
            <w:sz w:val="17"/>
            <w:szCs w:val="17"/>
            <w:u w:val="single" w:color="auto"/>
            <w:color w:val="0000EE"/>
          </w:rPr>
          <w:t>49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above. “Cause” under the legacy Great Plains Energy agreements included:</w:t>
      </w:r>
    </w:p>
    <w:p>
      <w:pPr>
        <w:spacing w:after="0" w:line="93" w:lineRule="exact"/>
        <w:rPr>
          <w:sz w:val="20"/>
          <w:szCs w:val="20"/>
          <w:color w:val="auto"/>
        </w:rPr>
      </w:pPr>
    </w:p>
    <w:p>
      <w:pPr>
        <w:ind w:left="500" w:hanging="342"/>
        <w:spacing w:after="0"/>
        <w:tabs>
          <w:tab w:leader="none" w:pos="500" w:val="left"/>
        </w:tabs>
        <w:numPr>
          <w:ilvl w:val="0"/>
          <w:numId w:val="60"/>
        </w:numPr>
        <w:rPr>
          <w:rFonts w:ascii="Arial" w:cs="Arial" w:eastAsia="Arial" w:hAnsi="Arial"/>
          <w:sz w:val="17"/>
          <w:szCs w:val="17"/>
          <w:color w:val="307CC0"/>
        </w:rPr>
      </w:pPr>
      <w:r>
        <w:rPr>
          <w:rFonts w:ascii="Arial" w:cs="Arial" w:eastAsia="Arial" w:hAnsi="Arial"/>
          <w:sz w:val="17"/>
          <w:szCs w:val="17"/>
          <w:color w:val="auto"/>
        </w:rPr>
        <w:t>a material misappropriation of any funds, confidential information or property;</w:t>
      </w:r>
    </w:p>
    <w:p>
      <w:pPr>
        <w:spacing w:after="0" w:line="101" w:lineRule="exact"/>
        <w:rPr>
          <w:rFonts w:ascii="Arial" w:cs="Arial" w:eastAsia="Arial" w:hAnsi="Arial"/>
          <w:sz w:val="17"/>
          <w:szCs w:val="17"/>
          <w:color w:val="307CC0"/>
        </w:rPr>
      </w:pPr>
    </w:p>
    <w:p>
      <w:pPr>
        <w:ind w:left="500" w:hanging="342"/>
        <w:spacing w:after="0"/>
        <w:tabs>
          <w:tab w:leader="none" w:pos="500" w:val="left"/>
        </w:tabs>
        <w:numPr>
          <w:ilvl w:val="0"/>
          <w:numId w:val="60"/>
        </w:numPr>
        <w:rPr>
          <w:rFonts w:ascii="Arial" w:cs="Arial" w:eastAsia="Arial" w:hAnsi="Arial"/>
          <w:sz w:val="17"/>
          <w:szCs w:val="17"/>
          <w:color w:val="307CC0"/>
        </w:rPr>
      </w:pPr>
      <w:r>
        <w:rPr>
          <w:rFonts w:ascii="Arial" w:cs="Arial" w:eastAsia="Arial" w:hAnsi="Arial"/>
          <w:sz w:val="17"/>
          <w:szCs w:val="17"/>
          <w:color w:val="auto"/>
        </w:rPr>
        <w:t>the conviction of, or the entering of, a guilty plea or plea of no contest with respect to a felony (or equivalent);</w:t>
      </w:r>
    </w:p>
    <w:p>
      <w:pPr>
        <w:spacing w:after="0" w:line="101" w:lineRule="exact"/>
        <w:rPr>
          <w:rFonts w:ascii="Arial" w:cs="Arial" w:eastAsia="Arial" w:hAnsi="Arial"/>
          <w:sz w:val="17"/>
          <w:szCs w:val="17"/>
          <w:color w:val="307CC0"/>
        </w:rPr>
      </w:pPr>
    </w:p>
    <w:p>
      <w:pPr>
        <w:ind w:left="500" w:right="20" w:hanging="342"/>
        <w:spacing w:after="0" w:line="253" w:lineRule="auto"/>
        <w:tabs>
          <w:tab w:leader="none" w:pos="500" w:val="left"/>
        </w:tabs>
        <w:numPr>
          <w:ilvl w:val="0"/>
          <w:numId w:val="60"/>
        </w:numPr>
        <w:rPr>
          <w:rFonts w:ascii="Arial" w:cs="Arial" w:eastAsia="Arial" w:hAnsi="Arial"/>
          <w:sz w:val="17"/>
          <w:szCs w:val="17"/>
          <w:color w:val="307CC0"/>
        </w:rPr>
      </w:pPr>
      <w:r>
        <w:rPr>
          <w:rFonts w:ascii="Arial" w:cs="Arial" w:eastAsia="Arial" w:hAnsi="Arial"/>
          <w:sz w:val="17"/>
          <w:szCs w:val="17"/>
          <w:color w:val="auto"/>
        </w:rPr>
        <w:t>willful damage, willful misrepresentation, willful dishonesty or other willful conduct that can reasonably be expected to have a material adverse effect on Great Plains Energy; or</w:t>
      </w:r>
    </w:p>
    <w:p>
      <w:pPr>
        <w:spacing w:after="0" w:line="78" w:lineRule="exact"/>
        <w:rPr>
          <w:rFonts w:ascii="Arial" w:cs="Arial" w:eastAsia="Arial" w:hAnsi="Arial"/>
          <w:sz w:val="17"/>
          <w:szCs w:val="17"/>
          <w:color w:val="307CC0"/>
        </w:rPr>
      </w:pPr>
    </w:p>
    <w:p>
      <w:pPr>
        <w:ind w:left="500" w:hanging="342"/>
        <w:spacing w:after="0" w:line="253" w:lineRule="auto"/>
        <w:tabs>
          <w:tab w:leader="none" w:pos="500" w:val="left"/>
        </w:tabs>
        <w:numPr>
          <w:ilvl w:val="0"/>
          <w:numId w:val="60"/>
        </w:numPr>
        <w:rPr>
          <w:rFonts w:ascii="Arial" w:cs="Arial" w:eastAsia="Arial" w:hAnsi="Arial"/>
          <w:sz w:val="17"/>
          <w:szCs w:val="17"/>
          <w:color w:val="307CC0"/>
        </w:rPr>
      </w:pPr>
      <w:r>
        <w:rPr>
          <w:rFonts w:ascii="Arial" w:cs="Arial" w:eastAsia="Arial" w:hAnsi="Arial"/>
          <w:sz w:val="17"/>
          <w:szCs w:val="17"/>
          <w:color w:val="auto"/>
        </w:rPr>
        <w:t>gross negligence or willful misconduct in performance of the employee’s duties (after written notice and a reasonable period to remedy the occurrence).</w:t>
      </w:r>
    </w:p>
    <w:p>
      <w:pPr>
        <w:spacing w:after="0" w:line="79"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The legacy Great Plains Energy change-in-control arrangements provided for a gross-up for applicable excise taxes, which is a benefit that Evergy eliminated in its change-in-control agreements. Any change-in-control benefits payable under the legacy agreements were subject to execution of an agreement by the officer releasing claims against Great Plains Energy as well as the officer’s compliance with certain covenants contained in the agreement, including confidentiality, non-competition, non-solicitation, non-disparagement and assistance to Great Plains Energy with respect to any disputes.</w:t>
      </w:r>
    </w:p>
    <w:p>
      <w:pPr>
        <w:spacing w:after="0" w:line="93" w:lineRule="exact"/>
        <w:rPr>
          <w:sz w:val="20"/>
          <w:szCs w:val="20"/>
          <w:color w:val="auto"/>
        </w:rPr>
      </w:pPr>
    </w:p>
    <w:p>
      <w:pPr>
        <w:jc w:val="both"/>
        <w:ind w:firstLine="172"/>
        <w:spacing w:after="0" w:line="255" w:lineRule="auto"/>
        <w:rPr>
          <w:sz w:val="20"/>
          <w:szCs w:val="20"/>
          <w:color w:val="auto"/>
        </w:rPr>
      </w:pPr>
      <w:r>
        <w:rPr>
          <w:rFonts w:ascii="Arial" w:cs="Arial" w:eastAsia="Arial" w:hAnsi="Arial"/>
          <w:sz w:val="17"/>
          <w:szCs w:val="17"/>
          <w:color w:val="auto"/>
        </w:rPr>
        <w:t>Under the legacy Great Plains Energy change-in-control arrangements, in the event of a triggering event, as described above and subject to other terms in the change-in-control agreements, an officer would be entitled to accrued but unpaid compensation and other benefits, as well as a cash amount equal to the aggregate sum of (i) two times the officer’s highest annual base salary in effect during the twelve-month period prior to the date of termination, plus (ii) two times the officer’s five-year average short-term bonus, plus (iii) the actuarial present value of pension plan benefits for two additional years of service, plus (iv) the value of any unvested portion of employer contributions made on behalf of the officer under the Great Plains Energy deferred compensation plan. The legacy Great Plains Energy change-in-control arrangements also required that Great Plains Energy provide health and welfare benefits for the officer, and if applicable his or her beneficiaries, for two years.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Legacy Westar Energy Change-in-Control Severance Agreements</w:t>
      </w:r>
    </w:p>
    <w:p>
      <w:pPr>
        <w:spacing w:after="0" w:line="120" w:lineRule="exact"/>
        <w:rPr>
          <w:sz w:val="20"/>
          <w:szCs w:val="20"/>
          <w:color w:val="auto"/>
        </w:rPr>
      </w:pPr>
    </w:p>
    <w:p>
      <w:pPr>
        <w:jc w:val="both"/>
        <w:ind w:firstLine="172"/>
        <w:spacing w:after="0" w:line="256" w:lineRule="auto"/>
        <w:rPr>
          <w:sz w:val="20"/>
          <w:szCs w:val="20"/>
          <w:color w:val="auto"/>
        </w:rPr>
      </w:pPr>
      <w:r>
        <w:rPr>
          <w:rFonts w:ascii="Arial" w:cs="Arial" w:eastAsia="Arial" w:hAnsi="Arial"/>
          <w:sz w:val="17"/>
          <w:szCs w:val="17"/>
          <w:color w:val="auto"/>
        </w:rPr>
        <w:t>The change-in-control agreements Westar Energy entered into with Mr. Greenwood and Mr. Somma specified the benefits payable in the event their employment is terminated within three years of a “Change-in-Control.” The phrase “Change-in-Control” under the legacy Westar Energy agreements generally meant the sale of all or substantially all of Westar Energy’s assets, a person becoming the beneficial owner of 20 percent or more of Westar Energy’s outstanding voting securities, a merger or consolidation or Westar Energy’s continuing directors ceasing for any reason to constitute a majority of the board of directors.</w:t>
      </w:r>
    </w:p>
    <w:p>
      <w:pPr>
        <w:spacing w:after="0" w:line="93" w:lineRule="exact"/>
        <w:rPr>
          <w:sz w:val="20"/>
          <w:szCs w:val="20"/>
          <w:color w:val="auto"/>
        </w:rPr>
      </w:pPr>
    </w:p>
    <w:p>
      <w:pPr>
        <w:jc w:val="both"/>
        <w:ind w:firstLine="172"/>
        <w:spacing w:after="0" w:line="261" w:lineRule="auto"/>
        <w:rPr>
          <w:sz w:val="20"/>
          <w:szCs w:val="20"/>
          <w:color w:val="auto"/>
        </w:rPr>
      </w:pPr>
      <w:r>
        <w:rPr>
          <w:rFonts w:ascii="Arial" w:cs="Arial" w:eastAsia="Arial" w:hAnsi="Arial"/>
          <w:sz w:val="17"/>
          <w:szCs w:val="17"/>
          <w:color w:val="auto"/>
        </w:rPr>
        <w:t>The legacy Westar Energy change-in-control arrangements were “double trigger,” meaning that benefits were only paid if Westar Energy experienced a Change-in-Control and the officer’s employment was terminated other than for “Cause” or by the officer for “Good Reason” within three years of a Change-in-Control.</w:t>
      </w:r>
    </w:p>
    <w:p>
      <w:pPr>
        <w:spacing w:after="0" w:line="86" w:lineRule="exact"/>
        <w:rPr>
          <w:sz w:val="20"/>
          <w:szCs w:val="20"/>
          <w:color w:val="auto"/>
        </w:rPr>
      </w:pPr>
    </w:p>
    <w:p>
      <w:pPr>
        <w:jc w:val="both"/>
        <w:ind w:firstLine="172"/>
        <w:spacing w:after="0" w:line="257" w:lineRule="auto"/>
        <w:rPr>
          <w:sz w:val="20"/>
          <w:szCs w:val="20"/>
          <w:color w:val="auto"/>
        </w:rPr>
      </w:pPr>
      <w:r>
        <w:rPr>
          <w:rFonts w:ascii="Arial" w:cs="Arial" w:eastAsia="Arial" w:hAnsi="Arial"/>
          <w:sz w:val="17"/>
          <w:szCs w:val="17"/>
          <w:color w:val="auto"/>
        </w:rPr>
        <w:t>The term “Cause” under the legacy Westar Energy agreements generally meant the officer’s conviction of a felony or crime involving moral turpitude, the officer’s commission of a willful act of fraud or dishonesty with respect to Westar Energy, the officer’s willful and repeated failure to perform substantially his or her material job duties, the officer’s engaging in significant activity that is materially harmful to Westar Energy’s reputation or the officer’s breach of his or her fiduciary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58089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9" w:lineRule="exact"/>
        <w:rPr>
          <w:sz w:val="20"/>
          <w:szCs w:val="20"/>
          <w:color w:val="auto"/>
        </w:rPr>
      </w:pPr>
    </w:p>
    <w:p>
      <w:pPr>
        <w:jc w:val="right"/>
        <w:spacing w:after="0"/>
        <w:tabs>
          <w:tab w:leader="none" w:pos="2240" w:val="left"/>
        </w:tabs>
        <w:rPr>
          <w:sz w:val="20"/>
          <w:szCs w:val="20"/>
          <w:color w:val="auto"/>
        </w:rPr>
      </w:pPr>
      <w:r>
        <w:rPr>
          <w:rFonts w:ascii="Arial" w:cs="Arial" w:eastAsia="Arial" w:hAnsi="Arial"/>
          <w:sz w:val="14"/>
          <w:szCs w:val="14"/>
          <w:b w:val="1"/>
          <w:bCs w:val="1"/>
          <w:color w:val="307CC0"/>
        </w:rPr>
        <w:t>Appendix B</w:t>
      </w:r>
      <w:r>
        <w:rPr>
          <w:sz w:val="20"/>
          <w:szCs w:val="20"/>
          <w:color w:val="auto"/>
        </w:rPr>
        <w:tab/>
      </w:r>
      <w:r>
        <w:rPr>
          <w:rFonts w:ascii="Arial" w:cs="Arial" w:eastAsia="Arial" w:hAnsi="Arial"/>
          <w:sz w:val="13"/>
          <w:szCs w:val="13"/>
          <w:b w:val="1"/>
          <w:bCs w:val="1"/>
          <w:color w:val="auto"/>
        </w:rPr>
        <w:t>Evergy 2020 Proxy Statement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5808980"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40"/>
          </w:cols>
          <w:pgMar w:left="1380" w:top="272" w:right="1379"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2"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The phrase “Good Reason” under the legacy Westar Energy agreements generally meant any change in an officer’s status as an officer, a reduction in total compensation, any requirement that the officer relocate more than 80 miles to a location outside Westar Energy’s Kansas retail electric service territory or any action that materially and adversely affects the officer’s participation in or reduces the officer’s benefits under any benefit plan.</w:t>
      </w:r>
    </w:p>
    <w:p>
      <w:pPr>
        <w:spacing w:after="0" w:line="90" w:lineRule="exact"/>
        <w:rPr>
          <w:sz w:val="20"/>
          <w:szCs w:val="20"/>
          <w:color w:val="auto"/>
        </w:rPr>
      </w:pPr>
    </w:p>
    <w:p>
      <w:pPr>
        <w:jc w:val="both"/>
        <w:ind w:left="20" w:firstLine="172"/>
        <w:spacing w:after="0" w:line="261" w:lineRule="auto"/>
        <w:rPr>
          <w:sz w:val="20"/>
          <w:szCs w:val="20"/>
          <w:color w:val="auto"/>
        </w:rPr>
      </w:pPr>
      <w:r>
        <w:rPr>
          <w:rFonts w:ascii="Arial" w:cs="Arial" w:eastAsia="Arial" w:hAnsi="Arial"/>
          <w:sz w:val="17"/>
          <w:szCs w:val="17"/>
          <w:color w:val="auto"/>
        </w:rPr>
        <w:t>Under the legacy Westar Energy change-in-control agreements, in the event of a triggering event, as described above and subject to other terms in the change-in-control agreements, the officer would be entitled to accrued but unpaid compensation and other benefits, as well as, among other benefits:</w:t>
      </w:r>
    </w:p>
    <w:p>
      <w:pPr>
        <w:spacing w:after="0" w:line="86" w:lineRule="exact"/>
        <w:rPr>
          <w:sz w:val="20"/>
          <w:szCs w:val="20"/>
          <w:color w:val="auto"/>
        </w:rPr>
      </w:pPr>
    </w:p>
    <w:p>
      <w:pPr>
        <w:jc w:val="both"/>
        <w:ind w:left="520" w:hanging="342"/>
        <w:spacing w:after="0"/>
        <w:tabs>
          <w:tab w:leader="none" w:pos="520" w:val="left"/>
        </w:tabs>
        <w:numPr>
          <w:ilvl w:val="0"/>
          <w:numId w:val="61"/>
        </w:numPr>
        <w:rPr>
          <w:rFonts w:ascii="Arial" w:cs="Arial" w:eastAsia="Arial" w:hAnsi="Arial"/>
          <w:sz w:val="17"/>
          <w:szCs w:val="17"/>
          <w:color w:val="307CC0"/>
        </w:rPr>
      </w:pPr>
      <w:r>
        <w:rPr>
          <w:rFonts w:ascii="Arial" w:cs="Arial" w:eastAsia="Arial" w:hAnsi="Arial"/>
          <w:sz w:val="17"/>
          <w:szCs w:val="17"/>
          <w:color w:val="auto"/>
        </w:rPr>
        <w:t>a severance payment equal to two times the sum of (1) the officer’s base salary on the date of the change in control or, if higher, the date of termination, (2) the annual amount of the dividend equivalents payable to the officer, based on Westar Energy’s annual dividend and the “Annual RSU Grant” (defined as the number of restricted share units awarded under the officer’s most recent annual grant of restricted share units, which is equal to the sum of the number of time-based restricted share units and the target number of performance-based restricted share units) and (3) the value of the officer’s Annual RSU Grant (regardless of conditions for vesting) based on the higher of Westar Energy’s stock price at the date of the change in control or the date of termination;</w:t>
      </w:r>
    </w:p>
    <w:p>
      <w:pPr>
        <w:spacing w:after="0" w:line="91" w:lineRule="exact"/>
        <w:rPr>
          <w:rFonts w:ascii="Arial" w:cs="Arial" w:eastAsia="Arial" w:hAnsi="Arial"/>
          <w:sz w:val="17"/>
          <w:szCs w:val="17"/>
          <w:color w:val="307CC0"/>
        </w:rPr>
      </w:pPr>
    </w:p>
    <w:p>
      <w:pPr>
        <w:ind w:left="520" w:hanging="342"/>
        <w:spacing w:after="0"/>
        <w:tabs>
          <w:tab w:leader="none" w:pos="520" w:val="left"/>
        </w:tabs>
        <w:numPr>
          <w:ilvl w:val="0"/>
          <w:numId w:val="61"/>
        </w:numPr>
        <w:rPr>
          <w:rFonts w:ascii="Arial" w:cs="Arial" w:eastAsia="Arial" w:hAnsi="Arial"/>
          <w:sz w:val="17"/>
          <w:szCs w:val="17"/>
          <w:color w:val="307CC0"/>
        </w:rPr>
      </w:pPr>
      <w:r>
        <w:rPr>
          <w:rFonts w:ascii="Arial" w:cs="Arial" w:eastAsia="Arial" w:hAnsi="Arial"/>
          <w:sz w:val="17"/>
          <w:szCs w:val="17"/>
          <w:color w:val="auto"/>
        </w:rPr>
        <w:t>a cash payment for accrued vacation and up to thirty days of accumulated sick leave;</w:t>
      </w:r>
    </w:p>
    <w:p>
      <w:pPr>
        <w:spacing w:after="0" w:line="101" w:lineRule="exact"/>
        <w:rPr>
          <w:rFonts w:ascii="Arial" w:cs="Arial" w:eastAsia="Arial" w:hAnsi="Arial"/>
          <w:sz w:val="17"/>
          <w:szCs w:val="17"/>
          <w:color w:val="307CC0"/>
        </w:rPr>
      </w:pPr>
    </w:p>
    <w:p>
      <w:pPr>
        <w:jc w:val="both"/>
        <w:ind w:left="520" w:right="20" w:hanging="342"/>
        <w:spacing w:after="0" w:line="245" w:lineRule="auto"/>
        <w:tabs>
          <w:tab w:leader="none" w:pos="520" w:val="left"/>
        </w:tabs>
        <w:numPr>
          <w:ilvl w:val="0"/>
          <w:numId w:val="61"/>
        </w:numPr>
        <w:rPr>
          <w:rFonts w:ascii="Arial" w:cs="Arial" w:eastAsia="Arial" w:hAnsi="Arial"/>
          <w:sz w:val="17"/>
          <w:szCs w:val="17"/>
          <w:color w:val="307CC0"/>
        </w:rPr>
      </w:pPr>
      <w:r>
        <w:rPr>
          <w:rFonts w:ascii="Arial" w:cs="Arial" w:eastAsia="Arial" w:hAnsi="Arial"/>
          <w:sz w:val="17"/>
          <w:szCs w:val="17"/>
          <w:color w:val="auto"/>
        </w:rPr>
        <w:t>participation in Westar Energy’s (or its successor’s) welfare benefit plans for two years following termination (or until the officer is receiving comparable benefits from a new employer) on the same terms as benefits are provided to the officer at the time of termination; and</w:t>
      </w:r>
    </w:p>
    <w:p>
      <w:pPr>
        <w:spacing w:after="0" w:line="86" w:lineRule="exact"/>
        <w:rPr>
          <w:rFonts w:ascii="Arial" w:cs="Arial" w:eastAsia="Arial" w:hAnsi="Arial"/>
          <w:sz w:val="17"/>
          <w:szCs w:val="17"/>
          <w:color w:val="307CC0"/>
        </w:rPr>
      </w:pPr>
    </w:p>
    <w:p>
      <w:pPr>
        <w:ind w:left="520" w:hanging="342"/>
        <w:spacing w:after="0"/>
        <w:tabs>
          <w:tab w:leader="none" w:pos="520" w:val="left"/>
        </w:tabs>
        <w:numPr>
          <w:ilvl w:val="0"/>
          <w:numId w:val="61"/>
        </w:numPr>
        <w:rPr>
          <w:rFonts w:ascii="Arial" w:cs="Arial" w:eastAsia="Arial" w:hAnsi="Arial"/>
          <w:sz w:val="17"/>
          <w:szCs w:val="17"/>
          <w:color w:val="307CC0"/>
        </w:rPr>
      </w:pPr>
      <w:r>
        <w:rPr>
          <w:rFonts w:ascii="Arial" w:cs="Arial" w:eastAsia="Arial" w:hAnsi="Arial"/>
          <w:sz w:val="17"/>
          <w:szCs w:val="17"/>
          <w:color w:val="auto"/>
        </w:rPr>
        <w:t>a cash payment equal to the actuarial present value of pension plan benefits for two additional years of service.</w:t>
      </w:r>
    </w:p>
    <w:p>
      <w:pPr>
        <w:spacing w:after="0" w:line="102" w:lineRule="exact"/>
        <w:rPr>
          <w:sz w:val="20"/>
          <w:szCs w:val="20"/>
          <w:color w:val="auto"/>
        </w:rPr>
      </w:pPr>
    </w:p>
    <w:p>
      <w:pPr>
        <w:jc w:val="both"/>
        <w:ind w:left="20" w:firstLine="172"/>
        <w:spacing w:after="0" w:line="258" w:lineRule="auto"/>
        <w:rPr>
          <w:sz w:val="20"/>
          <w:szCs w:val="20"/>
          <w:color w:val="auto"/>
        </w:rPr>
      </w:pPr>
      <w:r>
        <w:rPr>
          <w:rFonts w:ascii="Arial" w:cs="Arial" w:eastAsia="Arial" w:hAnsi="Arial"/>
          <w:sz w:val="17"/>
          <w:szCs w:val="17"/>
          <w:color w:val="auto"/>
        </w:rPr>
        <w:t>Under the legacy Westar Energy change-in-control agreements, if necessary to avoid excise taxes, the severance payments would have been reduced to the maximum amount that could have been paid without triggering excise taxes, and there would have been no gross-up payments to executive officers for taxes they incur as a result of receiving change-in-control payments.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Payments under Legacy Change-in-Control Severance Agreements</w:t>
      </w:r>
    </w:p>
    <w:p>
      <w:pPr>
        <w:spacing w:after="0" w:line="120" w:lineRule="exact"/>
        <w:rPr>
          <w:sz w:val="20"/>
          <w:szCs w:val="20"/>
          <w:color w:val="auto"/>
        </w:rPr>
      </w:pPr>
    </w:p>
    <w:p>
      <w:pPr>
        <w:jc w:val="both"/>
        <w:ind w:left="20" w:firstLine="172"/>
        <w:spacing w:after="0" w:line="257" w:lineRule="auto"/>
        <w:rPr>
          <w:sz w:val="20"/>
          <w:szCs w:val="20"/>
          <w:color w:val="auto"/>
        </w:rPr>
      </w:pPr>
      <w:r>
        <w:rPr>
          <w:rFonts w:ascii="Arial" w:cs="Arial" w:eastAsia="Arial" w:hAnsi="Arial"/>
          <w:sz w:val="17"/>
          <w:szCs w:val="17"/>
          <w:color w:val="auto"/>
        </w:rPr>
        <w:t>The following table sets forth our hypothetical payment obligations under the legacy Great Plains Energy and legacy Westar Energy change-in-control agreements and other compensatory plans if, following a Change-in-Control, we terminate the NEO without “Cause” or the NEO leaves for “Good Reason.” The table does not include amounts that are due to the NEOs, such as accrued salary and amounts due under retirement and deferred compensation plans, except as noted. The amounts shown in the table for each NEO assume that the termination took place on December 31, 2019.</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shd w:val="clear" w:color="auto" w:fill="307CC0"/>
          </w:tcPr>
          <w:p>
            <w:pPr>
              <w:spacing w:after="0"/>
              <w:rPr>
                <w:sz w:val="16"/>
                <w:szCs w:val="16"/>
                <w:color w:val="auto"/>
              </w:rPr>
            </w:pPr>
          </w:p>
        </w:tc>
        <w:tc>
          <w:tcPr>
            <w:tcW w:w="1360" w:type="dxa"/>
            <w:vAlign w:val="bottom"/>
            <w:shd w:val="clear" w:color="auto" w:fill="307CC0"/>
          </w:tcPr>
          <w:p>
            <w:pPr>
              <w:jc w:val="right"/>
              <w:ind w:right="474"/>
              <w:spacing w:after="0"/>
              <w:rPr>
                <w:sz w:val="20"/>
                <w:szCs w:val="20"/>
                <w:color w:val="auto"/>
              </w:rPr>
            </w:pPr>
            <w:r>
              <w:rPr>
                <w:rFonts w:ascii="Arial" w:cs="Arial" w:eastAsia="Arial" w:hAnsi="Arial"/>
                <w:sz w:val="17"/>
                <w:szCs w:val="17"/>
                <w:b w:val="1"/>
                <w:bCs w:val="1"/>
                <w:color w:val="FFFFFF"/>
              </w:rPr>
              <w:t>Mr.</w:t>
            </w:r>
          </w:p>
        </w:tc>
        <w:tc>
          <w:tcPr>
            <w:tcW w:w="1040" w:type="dxa"/>
            <w:vAlign w:val="bottom"/>
            <w:shd w:val="clear" w:color="auto" w:fill="307CC0"/>
          </w:tcPr>
          <w:p>
            <w:pPr>
              <w:jc w:val="right"/>
              <w:ind w:right="394"/>
              <w:spacing w:after="0"/>
              <w:rPr>
                <w:sz w:val="20"/>
                <w:szCs w:val="20"/>
                <w:color w:val="auto"/>
              </w:rPr>
            </w:pPr>
            <w:r>
              <w:rPr>
                <w:rFonts w:ascii="Arial" w:cs="Arial" w:eastAsia="Arial" w:hAnsi="Arial"/>
                <w:sz w:val="17"/>
                <w:szCs w:val="17"/>
                <w:b w:val="1"/>
                <w:bCs w:val="1"/>
                <w:color w:val="FFFFFF"/>
              </w:rPr>
              <w:t>Mr.</w:t>
            </w:r>
          </w:p>
        </w:tc>
        <w:tc>
          <w:tcPr>
            <w:tcW w:w="1240" w:type="dxa"/>
            <w:vAlign w:val="bottom"/>
            <w:shd w:val="clear" w:color="auto" w:fill="307CC0"/>
          </w:tcPr>
          <w:p>
            <w:pPr>
              <w:jc w:val="right"/>
              <w:ind w:right="494"/>
              <w:spacing w:after="0"/>
              <w:rPr>
                <w:sz w:val="20"/>
                <w:szCs w:val="20"/>
                <w:color w:val="auto"/>
              </w:rPr>
            </w:pPr>
            <w:r>
              <w:rPr>
                <w:rFonts w:ascii="Arial" w:cs="Arial" w:eastAsia="Arial" w:hAnsi="Arial"/>
                <w:sz w:val="17"/>
                <w:szCs w:val="17"/>
                <w:b w:val="1"/>
                <w:bCs w:val="1"/>
                <w:color w:val="FFFFFF"/>
              </w:rPr>
              <w:t>Mr.</w:t>
            </w:r>
          </w:p>
        </w:tc>
        <w:tc>
          <w:tcPr>
            <w:tcW w:w="1060" w:type="dxa"/>
            <w:vAlign w:val="bottom"/>
            <w:shd w:val="clear" w:color="auto" w:fill="307CC0"/>
          </w:tcPr>
          <w:p>
            <w:pPr>
              <w:jc w:val="right"/>
              <w:ind w:right="394"/>
              <w:spacing w:after="0"/>
              <w:rPr>
                <w:sz w:val="20"/>
                <w:szCs w:val="20"/>
                <w:color w:val="auto"/>
              </w:rPr>
            </w:pPr>
            <w:r>
              <w:rPr>
                <w:rFonts w:ascii="Arial" w:cs="Arial" w:eastAsia="Arial" w:hAnsi="Arial"/>
                <w:sz w:val="17"/>
                <w:szCs w:val="17"/>
                <w:b w:val="1"/>
                <w:bCs w:val="1"/>
                <w:color w:val="FFFFFF"/>
              </w:rPr>
              <w:t>Mr.</w:t>
            </w:r>
          </w:p>
        </w:tc>
        <w:tc>
          <w:tcPr>
            <w:tcW w:w="1100" w:type="dxa"/>
            <w:vAlign w:val="bottom"/>
            <w:shd w:val="clear" w:color="auto" w:fill="307CC0"/>
          </w:tcPr>
          <w:p>
            <w:pPr>
              <w:jc w:val="center"/>
              <w:ind w:right="14"/>
              <w:spacing w:after="0"/>
              <w:rPr>
                <w:sz w:val="20"/>
                <w:szCs w:val="20"/>
                <w:color w:val="auto"/>
              </w:rPr>
            </w:pPr>
            <w:r>
              <w:rPr>
                <w:rFonts w:ascii="Arial" w:cs="Arial" w:eastAsia="Arial" w:hAnsi="Arial"/>
                <w:sz w:val="17"/>
                <w:szCs w:val="17"/>
                <w:b w:val="1"/>
                <w:bCs w:val="1"/>
                <w:color w:val="FFFFFF"/>
                <w:w w:val="98"/>
              </w:rPr>
              <w:t>Ms.</w:t>
            </w:r>
          </w:p>
        </w:tc>
      </w:tr>
      <w:tr>
        <w:trPr>
          <w:trHeight w:val="194"/>
        </w:trPr>
        <w:tc>
          <w:tcPr>
            <w:tcW w:w="3360" w:type="dxa"/>
            <w:vAlign w:val="bottom"/>
            <w:shd w:val="clear" w:color="auto" w:fill="307CC0"/>
          </w:tcPr>
          <w:p>
            <w:pPr>
              <w:spacing w:after="0"/>
              <w:rPr>
                <w:sz w:val="16"/>
                <w:szCs w:val="16"/>
                <w:color w:val="auto"/>
              </w:rPr>
            </w:pPr>
          </w:p>
        </w:tc>
        <w:tc>
          <w:tcPr>
            <w:tcW w:w="1360" w:type="dxa"/>
            <w:vAlign w:val="bottom"/>
            <w:shd w:val="clear" w:color="auto" w:fill="307CC0"/>
          </w:tcPr>
          <w:p>
            <w:pPr>
              <w:jc w:val="right"/>
              <w:ind w:right="194"/>
              <w:spacing w:after="0" w:line="194" w:lineRule="exact"/>
              <w:rPr>
                <w:sz w:val="20"/>
                <w:szCs w:val="20"/>
                <w:color w:val="auto"/>
              </w:rPr>
            </w:pPr>
            <w:r>
              <w:rPr>
                <w:rFonts w:ascii="Arial" w:cs="Arial" w:eastAsia="Arial" w:hAnsi="Arial"/>
                <w:sz w:val="17"/>
                <w:szCs w:val="17"/>
                <w:b w:val="1"/>
                <w:bCs w:val="1"/>
                <w:color w:val="FFFFFF"/>
              </w:rPr>
              <w:t>Bassham</w:t>
            </w:r>
          </w:p>
        </w:tc>
        <w:tc>
          <w:tcPr>
            <w:tcW w:w="1040" w:type="dxa"/>
            <w:vAlign w:val="bottom"/>
            <w:shd w:val="clear" w:color="auto" w:fill="307CC0"/>
          </w:tcPr>
          <w:p>
            <w:pPr>
              <w:jc w:val="right"/>
              <w:ind w:right="214"/>
              <w:spacing w:after="0" w:line="194" w:lineRule="exact"/>
              <w:rPr>
                <w:sz w:val="20"/>
                <w:szCs w:val="20"/>
                <w:color w:val="auto"/>
              </w:rPr>
            </w:pPr>
            <w:r>
              <w:rPr>
                <w:rFonts w:ascii="Arial" w:cs="Arial" w:eastAsia="Arial" w:hAnsi="Arial"/>
                <w:sz w:val="17"/>
                <w:szCs w:val="17"/>
                <w:b w:val="1"/>
                <w:bCs w:val="1"/>
                <w:color w:val="FFFFFF"/>
              </w:rPr>
              <w:t>Bryant</w:t>
            </w:r>
          </w:p>
        </w:tc>
        <w:tc>
          <w:tcPr>
            <w:tcW w:w="1240" w:type="dxa"/>
            <w:vAlign w:val="bottom"/>
            <w:shd w:val="clear" w:color="auto" w:fill="307CC0"/>
          </w:tcPr>
          <w:p>
            <w:pPr>
              <w:jc w:val="right"/>
              <w:ind w:right="114"/>
              <w:spacing w:after="0" w:line="194" w:lineRule="exact"/>
              <w:rPr>
                <w:sz w:val="20"/>
                <w:szCs w:val="20"/>
                <w:color w:val="auto"/>
              </w:rPr>
            </w:pPr>
            <w:r>
              <w:rPr>
                <w:rFonts w:ascii="Arial" w:cs="Arial" w:eastAsia="Arial" w:hAnsi="Arial"/>
                <w:sz w:val="17"/>
                <w:szCs w:val="17"/>
                <w:b w:val="1"/>
                <w:bCs w:val="1"/>
                <w:color w:val="FFFFFF"/>
              </w:rPr>
              <w:t>Greenwood</w:t>
            </w:r>
          </w:p>
        </w:tc>
        <w:tc>
          <w:tcPr>
            <w:tcW w:w="1060" w:type="dxa"/>
            <w:vAlign w:val="bottom"/>
            <w:shd w:val="clear" w:color="auto" w:fill="307CC0"/>
          </w:tcPr>
          <w:p>
            <w:pPr>
              <w:jc w:val="right"/>
              <w:ind w:right="194"/>
              <w:spacing w:after="0" w:line="194" w:lineRule="exact"/>
              <w:rPr>
                <w:sz w:val="20"/>
                <w:szCs w:val="20"/>
                <w:color w:val="auto"/>
              </w:rPr>
            </w:pPr>
            <w:r>
              <w:rPr>
                <w:rFonts w:ascii="Arial" w:cs="Arial" w:eastAsia="Arial" w:hAnsi="Arial"/>
                <w:sz w:val="17"/>
                <w:szCs w:val="17"/>
                <w:b w:val="1"/>
                <w:bCs w:val="1"/>
                <w:color w:val="FFFFFF"/>
              </w:rPr>
              <w:t>Somma</w:t>
            </w:r>
          </w:p>
        </w:tc>
        <w:tc>
          <w:tcPr>
            <w:tcW w:w="1100" w:type="dxa"/>
            <w:vAlign w:val="bottom"/>
            <w:shd w:val="clear" w:color="auto" w:fill="307CC0"/>
          </w:tcPr>
          <w:p>
            <w:pPr>
              <w:jc w:val="center"/>
              <w:spacing w:after="0" w:line="194" w:lineRule="exact"/>
              <w:rPr>
                <w:sz w:val="20"/>
                <w:szCs w:val="20"/>
                <w:color w:val="auto"/>
              </w:rPr>
            </w:pPr>
            <w:r>
              <w:rPr>
                <w:rFonts w:ascii="Arial" w:cs="Arial" w:eastAsia="Arial" w:hAnsi="Arial"/>
                <w:sz w:val="17"/>
                <w:szCs w:val="17"/>
                <w:b w:val="1"/>
                <w:bCs w:val="1"/>
                <w:color w:val="FFFFFF"/>
              </w:rPr>
              <w:t>Humphrey</w:t>
            </w:r>
          </w:p>
        </w:tc>
      </w:tr>
      <w:tr>
        <w:trPr>
          <w:trHeight w:val="230"/>
        </w:trPr>
        <w:tc>
          <w:tcPr>
            <w:tcW w:w="3360" w:type="dxa"/>
            <w:vAlign w:val="bottom"/>
            <w:shd w:val="clear" w:color="auto" w:fill="307CC0"/>
          </w:tcPr>
          <w:p>
            <w:pPr>
              <w:ind w:left="1480"/>
              <w:spacing w:after="0"/>
              <w:rPr>
                <w:sz w:val="20"/>
                <w:szCs w:val="20"/>
                <w:color w:val="auto"/>
              </w:rPr>
            </w:pPr>
            <w:r>
              <w:rPr>
                <w:rFonts w:ascii="Arial" w:cs="Arial" w:eastAsia="Arial" w:hAnsi="Arial"/>
                <w:sz w:val="17"/>
                <w:szCs w:val="17"/>
                <w:b w:val="1"/>
                <w:bCs w:val="1"/>
                <w:color w:val="FFFFFF"/>
              </w:rPr>
              <w:t>Benefit</w:t>
            </w:r>
          </w:p>
        </w:tc>
        <w:tc>
          <w:tcPr>
            <w:tcW w:w="1360" w:type="dxa"/>
            <w:vAlign w:val="bottom"/>
            <w:shd w:val="clear" w:color="auto" w:fill="307CC0"/>
          </w:tcPr>
          <w:p>
            <w:pPr>
              <w:jc w:val="right"/>
              <w:ind w:right="474"/>
              <w:spacing w:after="0"/>
              <w:rPr>
                <w:sz w:val="20"/>
                <w:szCs w:val="20"/>
                <w:color w:val="auto"/>
              </w:rPr>
            </w:pPr>
            <w:r>
              <w:rPr>
                <w:rFonts w:ascii="Arial" w:cs="Arial" w:eastAsia="Arial" w:hAnsi="Arial"/>
                <w:sz w:val="17"/>
                <w:szCs w:val="17"/>
                <w:b w:val="1"/>
                <w:bCs w:val="1"/>
                <w:color w:val="FFFFFF"/>
              </w:rPr>
              <w:t>($)</w:t>
            </w:r>
          </w:p>
        </w:tc>
        <w:tc>
          <w:tcPr>
            <w:tcW w:w="1040" w:type="dxa"/>
            <w:vAlign w:val="bottom"/>
            <w:shd w:val="clear" w:color="auto" w:fill="307CC0"/>
          </w:tcPr>
          <w:p>
            <w:pPr>
              <w:jc w:val="right"/>
              <w:ind w:right="374"/>
              <w:spacing w:after="0"/>
              <w:rPr>
                <w:sz w:val="20"/>
                <w:szCs w:val="20"/>
                <w:color w:val="auto"/>
              </w:rPr>
            </w:pPr>
            <w:r>
              <w:rPr>
                <w:rFonts w:ascii="Arial" w:cs="Arial" w:eastAsia="Arial" w:hAnsi="Arial"/>
                <w:sz w:val="17"/>
                <w:szCs w:val="17"/>
                <w:b w:val="1"/>
                <w:bCs w:val="1"/>
                <w:color w:val="FFFFFF"/>
              </w:rPr>
              <w:t>($)</w:t>
            </w:r>
          </w:p>
        </w:tc>
        <w:tc>
          <w:tcPr>
            <w:tcW w:w="1240" w:type="dxa"/>
            <w:vAlign w:val="bottom"/>
            <w:shd w:val="clear" w:color="auto" w:fill="307CC0"/>
          </w:tcPr>
          <w:p>
            <w:pPr>
              <w:jc w:val="right"/>
              <w:ind w:right="474"/>
              <w:spacing w:after="0"/>
              <w:rPr>
                <w:sz w:val="20"/>
                <w:szCs w:val="20"/>
                <w:color w:val="auto"/>
              </w:rPr>
            </w:pPr>
            <w:r>
              <w:rPr>
                <w:rFonts w:ascii="Arial" w:cs="Arial" w:eastAsia="Arial" w:hAnsi="Arial"/>
                <w:sz w:val="17"/>
                <w:szCs w:val="17"/>
                <w:b w:val="1"/>
                <w:bCs w:val="1"/>
                <w:color w:val="FFFFFF"/>
              </w:rPr>
              <w:t>($)</w:t>
            </w:r>
          </w:p>
        </w:tc>
        <w:tc>
          <w:tcPr>
            <w:tcW w:w="1060" w:type="dxa"/>
            <w:vAlign w:val="bottom"/>
            <w:shd w:val="clear" w:color="auto" w:fill="307CC0"/>
          </w:tcPr>
          <w:p>
            <w:pPr>
              <w:jc w:val="right"/>
              <w:ind w:right="394"/>
              <w:spacing w:after="0"/>
              <w:rPr>
                <w:sz w:val="20"/>
                <w:szCs w:val="20"/>
                <w:color w:val="auto"/>
              </w:rPr>
            </w:pPr>
            <w:r>
              <w:rPr>
                <w:rFonts w:ascii="Arial" w:cs="Arial" w:eastAsia="Arial" w:hAnsi="Arial"/>
                <w:sz w:val="17"/>
                <w:szCs w:val="17"/>
                <w:b w:val="1"/>
                <w:bCs w:val="1"/>
                <w:color w:val="FFFFFF"/>
              </w:rPr>
              <w:t>($)</w:t>
            </w:r>
          </w:p>
        </w:tc>
        <w:tc>
          <w:tcPr>
            <w:tcW w:w="1100" w:type="dxa"/>
            <w:vAlign w:val="bottom"/>
            <w:shd w:val="clear" w:color="auto" w:fill="307CC0"/>
          </w:tcPr>
          <w:p>
            <w:pPr>
              <w:jc w:val="center"/>
              <w:spacing w:after="0"/>
              <w:rPr>
                <w:sz w:val="20"/>
                <w:szCs w:val="20"/>
                <w:color w:val="auto"/>
              </w:rPr>
            </w:pPr>
            <w:r>
              <w:rPr>
                <w:rFonts w:ascii="Arial" w:cs="Arial" w:eastAsia="Arial" w:hAnsi="Arial"/>
                <w:sz w:val="17"/>
                <w:szCs w:val="17"/>
                <w:b w:val="1"/>
                <w:bCs w:val="1"/>
                <w:color w:val="FFFFFF"/>
              </w:rPr>
              <w:t>($)</w:t>
            </w:r>
          </w:p>
        </w:tc>
      </w:tr>
      <w:tr>
        <w:trPr>
          <w:trHeight w:val="220"/>
        </w:trPr>
        <w:tc>
          <w:tcPr>
            <w:tcW w:w="3360" w:type="dxa"/>
            <w:vAlign w:val="bottom"/>
            <w:tcBorders>
              <w:bottom w:val="single" w:sz="8" w:color="307CC0"/>
            </w:tcBorders>
          </w:tcPr>
          <w:p>
            <w:pPr>
              <w:ind w:left="120"/>
              <w:spacing w:after="0" w:line="220" w:lineRule="exact"/>
              <w:rPr>
                <w:sz w:val="20"/>
                <w:szCs w:val="20"/>
                <w:color w:val="auto"/>
              </w:rPr>
            </w:pPr>
            <w:r>
              <w:rPr>
                <w:rFonts w:ascii="Arial" w:cs="Arial" w:eastAsia="Arial" w:hAnsi="Arial"/>
                <w:sz w:val="16"/>
                <w:szCs w:val="16"/>
                <w:color w:val="auto"/>
              </w:rPr>
              <w:t>Two Times Salary</w:t>
            </w:r>
            <w:r>
              <w:rPr>
                <w:rFonts w:ascii="Arial" w:cs="Arial" w:eastAsia="Arial" w:hAnsi="Arial"/>
                <w:sz w:val="25"/>
                <w:szCs w:val="25"/>
                <w:color w:val="auto"/>
                <w:vertAlign w:val="superscript"/>
              </w:rPr>
              <w:t>(1)</w:t>
            </w:r>
          </w:p>
        </w:tc>
        <w:tc>
          <w:tcPr>
            <w:tcW w:w="136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1,900,000</w:t>
            </w:r>
          </w:p>
        </w:tc>
        <w:tc>
          <w:tcPr>
            <w:tcW w:w="104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1,040,000</w:t>
            </w:r>
          </w:p>
        </w:tc>
        <w:tc>
          <w:tcPr>
            <w:tcW w:w="124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1,040,000</w:t>
            </w:r>
          </w:p>
        </w:tc>
        <w:tc>
          <w:tcPr>
            <w:tcW w:w="1060" w:type="dxa"/>
            <w:vAlign w:val="bottom"/>
            <w:tcBorders>
              <w:bottom w:val="single" w:sz="8" w:color="307CC0"/>
            </w:tcBorders>
          </w:tcPr>
          <w:p>
            <w:pPr>
              <w:jc w:val="right"/>
              <w:ind w:right="34"/>
              <w:spacing w:after="0"/>
              <w:rPr>
                <w:sz w:val="20"/>
                <w:szCs w:val="20"/>
                <w:color w:val="auto"/>
              </w:rPr>
            </w:pPr>
            <w:r>
              <w:rPr>
                <w:rFonts w:ascii="Arial" w:cs="Arial" w:eastAsia="Arial" w:hAnsi="Arial"/>
                <w:sz w:val="17"/>
                <w:szCs w:val="17"/>
                <w:color w:val="auto"/>
              </w:rPr>
              <w:t>990,000</w:t>
            </w:r>
          </w:p>
        </w:tc>
        <w:tc>
          <w:tcPr>
            <w:tcW w:w="110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968,000</w:t>
            </w:r>
          </w:p>
        </w:tc>
      </w:tr>
      <w:tr>
        <w:trPr>
          <w:trHeight w:val="213"/>
        </w:trPr>
        <w:tc>
          <w:tcPr>
            <w:tcW w:w="3360" w:type="dxa"/>
            <w:vAlign w:val="bottom"/>
            <w:tcBorders>
              <w:bottom w:val="single" w:sz="8" w:color="307CC0"/>
            </w:tcBorders>
            <w:shd w:val="clear" w:color="auto" w:fill="D6E7FF"/>
          </w:tcPr>
          <w:p>
            <w:pPr>
              <w:ind w:left="120"/>
              <w:spacing w:after="0" w:line="212" w:lineRule="exact"/>
              <w:rPr>
                <w:sz w:val="20"/>
                <w:szCs w:val="20"/>
                <w:color w:val="auto"/>
              </w:rPr>
            </w:pPr>
            <w:r>
              <w:rPr>
                <w:rFonts w:ascii="Arial" w:cs="Arial" w:eastAsia="Arial" w:hAnsi="Arial"/>
                <w:sz w:val="15"/>
                <w:szCs w:val="15"/>
                <w:color w:val="auto"/>
              </w:rPr>
              <w:t>Two Times Bonus</w:t>
            </w:r>
            <w:r>
              <w:rPr>
                <w:rFonts w:ascii="Arial" w:cs="Arial" w:eastAsia="Arial" w:hAnsi="Arial"/>
                <w:sz w:val="24"/>
                <w:szCs w:val="24"/>
                <w:color w:val="auto"/>
                <w:vertAlign w:val="superscript"/>
              </w:rPr>
              <w:t>(2)</w:t>
            </w:r>
          </w:p>
        </w:tc>
        <w:tc>
          <w:tcPr>
            <w:tcW w:w="136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1,390,816</w:t>
            </w:r>
          </w:p>
        </w:tc>
        <w:tc>
          <w:tcPr>
            <w:tcW w:w="104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478,418</w:t>
            </w:r>
          </w:p>
        </w:tc>
        <w:tc>
          <w:tcPr>
            <w:tcW w:w="124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307CC0"/>
            </w:tcBorders>
            <w:shd w:val="clear" w:color="auto" w:fill="D6E7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464,347</w:t>
            </w:r>
          </w:p>
        </w:tc>
      </w:tr>
      <w:tr>
        <w:trPr>
          <w:trHeight w:val="213"/>
        </w:trPr>
        <w:tc>
          <w:tcPr>
            <w:tcW w:w="3360" w:type="dxa"/>
            <w:vAlign w:val="bottom"/>
            <w:tcBorders>
              <w:bottom w:val="single" w:sz="8" w:color="307CC0"/>
            </w:tcBorders>
          </w:tcPr>
          <w:p>
            <w:pPr>
              <w:ind w:left="120"/>
              <w:spacing w:after="0" w:line="212" w:lineRule="exact"/>
              <w:rPr>
                <w:sz w:val="20"/>
                <w:szCs w:val="20"/>
                <w:color w:val="auto"/>
              </w:rPr>
            </w:pPr>
            <w:r>
              <w:rPr>
                <w:rFonts w:ascii="Arial" w:cs="Arial" w:eastAsia="Arial" w:hAnsi="Arial"/>
                <w:sz w:val="15"/>
                <w:szCs w:val="15"/>
                <w:color w:val="auto"/>
              </w:rPr>
              <w:t>Annual Bonus</w:t>
            </w:r>
            <w:r>
              <w:rPr>
                <w:rFonts w:ascii="Arial" w:cs="Arial" w:eastAsia="Arial" w:hAnsi="Arial"/>
                <w:sz w:val="24"/>
                <w:szCs w:val="24"/>
                <w:color w:val="auto"/>
                <w:vertAlign w:val="superscript"/>
              </w:rPr>
              <w:t>(3)</w:t>
            </w:r>
          </w:p>
        </w:tc>
        <w:tc>
          <w:tcPr>
            <w:tcW w:w="136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695,408</w:t>
            </w:r>
          </w:p>
        </w:tc>
        <w:tc>
          <w:tcPr>
            <w:tcW w:w="104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239,209</w:t>
            </w:r>
          </w:p>
        </w:tc>
        <w:tc>
          <w:tcPr>
            <w:tcW w:w="124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307CC0"/>
            </w:tcBorders>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232,174</w:t>
            </w:r>
          </w:p>
        </w:tc>
      </w:tr>
      <w:tr>
        <w:trPr>
          <w:trHeight w:val="213"/>
        </w:trPr>
        <w:tc>
          <w:tcPr>
            <w:tcW w:w="3360" w:type="dxa"/>
            <w:vAlign w:val="bottom"/>
            <w:tcBorders>
              <w:bottom w:val="single" w:sz="8" w:color="307CC0"/>
            </w:tcBorders>
            <w:shd w:val="clear" w:color="auto" w:fill="D6E7FF"/>
          </w:tcPr>
          <w:p>
            <w:pPr>
              <w:ind w:left="120"/>
              <w:spacing w:after="0" w:line="212" w:lineRule="exact"/>
              <w:rPr>
                <w:sz w:val="20"/>
                <w:szCs w:val="20"/>
                <w:color w:val="auto"/>
              </w:rPr>
            </w:pPr>
            <w:r>
              <w:rPr>
                <w:rFonts w:ascii="Arial" w:cs="Arial" w:eastAsia="Arial" w:hAnsi="Arial"/>
                <w:sz w:val="15"/>
                <w:szCs w:val="15"/>
                <w:color w:val="auto"/>
              </w:rPr>
              <w:t>Additional Retirement Benefits</w:t>
            </w:r>
            <w:r>
              <w:rPr>
                <w:rFonts w:ascii="Arial" w:cs="Arial" w:eastAsia="Arial" w:hAnsi="Arial"/>
                <w:sz w:val="24"/>
                <w:szCs w:val="24"/>
                <w:color w:val="auto"/>
                <w:vertAlign w:val="superscript"/>
              </w:rPr>
              <w:t>(4)</w:t>
            </w:r>
          </w:p>
        </w:tc>
        <w:tc>
          <w:tcPr>
            <w:tcW w:w="136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804,992</w:t>
            </w:r>
          </w:p>
        </w:tc>
        <w:tc>
          <w:tcPr>
            <w:tcW w:w="104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123,433</w:t>
            </w:r>
          </w:p>
        </w:tc>
        <w:tc>
          <w:tcPr>
            <w:tcW w:w="124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519,418</w:t>
            </w:r>
          </w:p>
        </w:tc>
        <w:tc>
          <w:tcPr>
            <w:tcW w:w="1060" w:type="dxa"/>
            <w:vAlign w:val="bottom"/>
            <w:tcBorders>
              <w:bottom w:val="single" w:sz="8" w:color="307CC0"/>
            </w:tcBorders>
            <w:shd w:val="clear" w:color="auto" w:fill="D6E7FF"/>
          </w:tcPr>
          <w:p>
            <w:pPr>
              <w:jc w:val="right"/>
              <w:ind w:right="34"/>
              <w:spacing w:after="0"/>
              <w:rPr>
                <w:sz w:val="20"/>
                <w:szCs w:val="20"/>
                <w:color w:val="auto"/>
              </w:rPr>
            </w:pPr>
            <w:r>
              <w:rPr>
                <w:rFonts w:ascii="Arial" w:cs="Arial" w:eastAsia="Arial" w:hAnsi="Arial"/>
                <w:sz w:val="17"/>
                <w:szCs w:val="17"/>
                <w:color w:val="auto"/>
              </w:rPr>
              <w:t>477,508</w:t>
            </w:r>
          </w:p>
        </w:tc>
        <w:tc>
          <w:tcPr>
            <w:tcW w:w="110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147,868</w:t>
            </w:r>
          </w:p>
        </w:tc>
      </w:tr>
      <w:tr>
        <w:trPr>
          <w:trHeight w:val="213"/>
        </w:trPr>
        <w:tc>
          <w:tcPr>
            <w:tcW w:w="3360" w:type="dxa"/>
            <w:vAlign w:val="bottom"/>
            <w:tcBorders>
              <w:bottom w:val="single" w:sz="8" w:color="307CC0"/>
            </w:tcBorders>
          </w:tcPr>
          <w:p>
            <w:pPr>
              <w:ind w:left="120"/>
              <w:spacing w:after="0" w:line="212" w:lineRule="exact"/>
              <w:rPr>
                <w:sz w:val="20"/>
                <w:szCs w:val="20"/>
                <w:color w:val="auto"/>
              </w:rPr>
            </w:pPr>
            <w:r>
              <w:rPr>
                <w:rFonts w:ascii="Arial" w:cs="Arial" w:eastAsia="Arial" w:hAnsi="Arial"/>
                <w:sz w:val="15"/>
                <w:szCs w:val="15"/>
                <w:color w:val="auto"/>
              </w:rPr>
              <w:t>Performance Share Awards Vesting</w:t>
            </w:r>
            <w:r>
              <w:rPr>
                <w:rFonts w:ascii="Arial" w:cs="Arial" w:eastAsia="Arial" w:hAnsi="Arial"/>
                <w:sz w:val="24"/>
                <w:szCs w:val="24"/>
                <w:color w:val="auto"/>
                <w:vertAlign w:val="superscript"/>
              </w:rPr>
              <w:t>(5)</w:t>
            </w:r>
          </w:p>
        </w:tc>
        <w:tc>
          <w:tcPr>
            <w:tcW w:w="136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8,532,648</w:t>
            </w:r>
          </w:p>
        </w:tc>
        <w:tc>
          <w:tcPr>
            <w:tcW w:w="104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2,210,261</w:t>
            </w:r>
          </w:p>
        </w:tc>
        <w:tc>
          <w:tcPr>
            <w:tcW w:w="124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661,379</w:t>
            </w:r>
          </w:p>
        </w:tc>
        <w:tc>
          <w:tcPr>
            <w:tcW w:w="1060" w:type="dxa"/>
            <w:vAlign w:val="bottom"/>
            <w:tcBorders>
              <w:bottom w:val="single" w:sz="8" w:color="307CC0"/>
            </w:tcBorders>
          </w:tcPr>
          <w:p>
            <w:pPr>
              <w:jc w:val="right"/>
              <w:ind w:right="34"/>
              <w:spacing w:after="0"/>
              <w:rPr>
                <w:sz w:val="20"/>
                <w:szCs w:val="20"/>
                <w:color w:val="auto"/>
              </w:rPr>
            </w:pPr>
            <w:r>
              <w:rPr>
                <w:rFonts w:ascii="Arial" w:cs="Arial" w:eastAsia="Arial" w:hAnsi="Arial"/>
                <w:sz w:val="17"/>
                <w:szCs w:val="17"/>
                <w:color w:val="auto"/>
              </w:rPr>
              <w:t>629,616</w:t>
            </w:r>
          </w:p>
        </w:tc>
        <w:tc>
          <w:tcPr>
            <w:tcW w:w="110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1,677,760</w:t>
            </w:r>
          </w:p>
        </w:tc>
      </w:tr>
      <w:tr>
        <w:trPr>
          <w:trHeight w:val="213"/>
        </w:trPr>
        <w:tc>
          <w:tcPr>
            <w:tcW w:w="3360" w:type="dxa"/>
            <w:vAlign w:val="bottom"/>
            <w:tcBorders>
              <w:bottom w:val="single" w:sz="8" w:color="307CC0"/>
            </w:tcBorders>
            <w:shd w:val="clear" w:color="auto" w:fill="D6E7FF"/>
          </w:tcPr>
          <w:p>
            <w:pPr>
              <w:ind w:left="120"/>
              <w:spacing w:after="0" w:line="212" w:lineRule="exact"/>
              <w:rPr>
                <w:sz w:val="20"/>
                <w:szCs w:val="20"/>
                <w:color w:val="auto"/>
              </w:rPr>
            </w:pPr>
            <w:r>
              <w:rPr>
                <w:rFonts w:ascii="Arial" w:cs="Arial" w:eastAsia="Arial" w:hAnsi="Arial"/>
                <w:sz w:val="15"/>
                <w:szCs w:val="15"/>
                <w:color w:val="auto"/>
              </w:rPr>
              <w:t>Restricted Stock (Units) Vesting</w:t>
            </w:r>
            <w:r>
              <w:rPr>
                <w:rFonts w:ascii="Arial" w:cs="Arial" w:eastAsia="Arial" w:hAnsi="Arial"/>
                <w:sz w:val="24"/>
                <w:szCs w:val="24"/>
                <w:color w:val="auto"/>
                <w:vertAlign w:val="superscript"/>
              </w:rPr>
              <w:t>(6)</w:t>
            </w:r>
          </w:p>
        </w:tc>
        <w:tc>
          <w:tcPr>
            <w:tcW w:w="136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4,086,090</w:t>
            </w:r>
          </w:p>
        </w:tc>
        <w:tc>
          <w:tcPr>
            <w:tcW w:w="104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1,564,308</w:t>
            </w:r>
          </w:p>
        </w:tc>
        <w:tc>
          <w:tcPr>
            <w:tcW w:w="124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1,026,144</w:t>
            </w:r>
          </w:p>
        </w:tc>
        <w:tc>
          <w:tcPr>
            <w:tcW w:w="1060" w:type="dxa"/>
            <w:vAlign w:val="bottom"/>
            <w:tcBorders>
              <w:bottom w:val="single" w:sz="8" w:color="307CC0"/>
            </w:tcBorders>
            <w:shd w:val="clear" w:color="auto" w:fill="D6E7FF"/>
          </w:tcPr>
          <w:p>
            <w:pPr>
              <w:jc w:val="right"/>
              <w:ind w:right="34"/>
              <w:spacing w:after="0"/>
              <w:rPr>
                <w:sz w:val="20"/>
                <w:szCs w:val="20"/>
                <w:color w:val="auto"/>
              </w:rPr>
            </w:pPr>
            <w:r>
              <w:rPr>
                <w:rFonts w:ascii="Arial" w:cs="Arial" w:eastAsia="Arial" w:hAnsi="Arial"/>
                <w:sz w:val="17"/>
                <w:szCs w:val="17"/>
                <w:color w:val="auto"/>
              </w:rPr>
              <w:t>935,408</w:t>
            </w:r>
          </w:p>
        </w:tc>
        <w:tc>
          <w:tcPr>
            <w:tcW w:w="110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1,389,541</w:t>
            </w:r>
          </w:p>
        </w:tc>
      </w:tr>
      <w:tr>
        <w:trPr>
          <w:trHeight w:val="213"/>
        </w:trPr>
        <w:tc>
          <w:tcPr>
            <w:tcW w:w="3360" w:type="dxa"/>
            <w:vAlign w:val="bottom"/>
            <w:tcBorders>
              <w:bottom w:val="single" w:sz="8" w:color="307CC0"/>
            </w:tcBorders>
          </w:tcPr>
          <w:p>
            <w:pPr>
              <w:ind w:left="120"/>
              <w:spacing w:after="0" w:line="212" w:lineRule="exact"/>
              <w:rPr>
                <w:sz w:val="20"/>
                <w:szCs w:val="20"/>
                <w:color w:val="auto"/>
              </w:rPr>
            </w:pPr>
            <w:r>
              <w:rPr>
                <w:rFonts w:ascii="Arial" w:cs="Arial" w:eastAsia="Arial" w:hAnsi="Arial"/>
                <w:sz w:val="15"/>
                <w:szCs w:val="15"/>
                <w:color w:val="auto"/>
              </w:rPr>
              <w:t>Annual Restricted Stock Units Value</w:t>
            </w:r>
            <w:r>
              <w:rPr>
                <w:rFonts w:ascii="Arial" w:cs="Arial" w:eastAsia="Arial" w:hAnsi="Arial"/>
                <w:sz w:val="24"/>
                <w:szCs w:val="24"/>
                <w:color w:val="auto"/>
                <w:vertAlign w:val="superscript"/>
              </w:rPr>
              <w:t>(7)</w:t>
            </w:r>
          </w:p>
        </w:tc>
        <w:tc>
          <w:tcPr>
            <w:tcW w:w="136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1,808,793</w:t>
            </w:r>
          </w:p>
        </w:tc>
        <w:tc>
          <w:tcPr>
            <w:tcW w:w="1060" w:type="dxa"/>
            <w:vAlign w:val="bottom"/>
            <w:tcBorders>
              <w:bottom w:val="single" w:sz="8" w:color="307CC0"/>
            </w:tcBorders>
          </w:tcPr>
          <w:p>
            <w:pPr>
              <w:jc w:val="right"/>
              <w:ind w:right="34"/>
              <w:spacing w:after="0"/>
              <w:rPr>
                <w:sz w:val="20"/>
                <w:szCs w:val="20"/>
                <w:color w:val="auto"/>
              </w:rPr>
            </w:pPr>
            <w:r>
              <w:rPr>
                <w:rFonts w:ascii="Arial" w:cs="Arial" w:eastAsia="Arial" w:hAnsi="Arial"/>
                <w:sz w:val="17"/>
                <w:szCs w:val="17"/>
                <w:color w:val="auto"/>
              </w:rPr>
              <w:t>1,722,012</w:t>
            </w:r>
          </w:p>
        </w:tc>
        <w:tc>
          <w:tcPr>
            <w:tcW w:w="110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w:t>
            </w:r>
          </w:p>
        </w:tc>
      </w:tr>
      <w:tr>
        <w:trPr>
          <w:trHeight w:val="213"/>
        </w:trPr>
        <w:tc>
          <w:tcPr>
            <w:tcW w:w="3360" w:type="dxa"/>
            <w:vAlign w:val="bottom"/>
            <w:tcBorders>
              <w:bottom w:val="single" w:sz="8" w:color="307CC0"/>
            </w:tcBorders>
            <w:shd w:val="clear" w:color="auto" w:fill="D6E7FF"/>
          </w:tcPr>
          <w:p>
            <w:pPr>
              <w:ind w:left="120"/>
              <w:spacing w:after="0" w:line="212" w:lineRule="exact"/>
              <w:rPr>
                <w:sz w:val="20"/>
                <w:szCs w:val="20"/>
                <w:color w:val="auto"/>
              </w:rPr>
            </w:pPr>
            <w:r>
              <w:rPr>
                <w:rFonts w:ascii="Arial" w:cs="Arial" w:eastAsia="Arial" w:hAnsi="Arial"/>
                <w:sz w:val="15"/>
                <w:szCs w:val="15"/>
                <w:color w:val="auto"/>
              </w:rPr>
              <w:t>Health and Welfare</w:t>
            </w:r>
            <w:r>
              <w:rPr>
                <w:rFonts w:ascii="Arial" w:cs="Arial" w:eastAsia="Arial" w:hAnsi="Arial"/>
                <w:sz w:val="24"/>
                <w:szCs w:val="24"/>
                <w:color w:val="auto"/>
                <w:vertAlign w:val="superscript"/>
              </w:rPr>
              <w:t>(8)</w:t>
            </w:r>
          </w:p>
        </w:tc>
        <w:tc>
          <w:tcPr>
            <w:tcW w:w="136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59,641</w:t>
            </w:r>
          </w:p>
        </w:tc>
        <w:tc>
          <w:tcPr>
            <w:tcW w:w="104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58,475</w:t>
            </w:r>
          </w:p>
        </w:tc>
        <w:tc>
          <w:tcPr>
            <w:tcW w:w="124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36,725</w:t>
            </w:r>
          </w:p>
        </w:tc>
        <w:tc>
          <w:tcPr>
            <w:tcW w:w="1060" w:type="dxa"/>
            <w:vAlign w:val="bottom"/>
            <w:tcBorders>
              <w:bottom w:val="single" w:sz="8" w:color="307CC0"/>
            </w:tcBorders>
            <w:shd w:val="clear" w:color="auto" w:fill="D6E7FF"/>
          </w:tcPr>
          <w:p>
            <w:pPr>
              <w:jc w:val="right"/>
              <w:ind w:right="34"/>
              <w:spacing w:after="0"/>
              <w:rPr>
                <w:sz w:val="20"/>
                <w:szCs w:val="20"/>
                <w:color w:val="auto"/>
              </w:rPr>
            </w:pPr>
            <w:r>
              <w:rPr>
                <w:rFonts w:ascii="Arial" w:cs="Arial" w:eastAsia="Arial" w:hAnsi="Arial"/>
                <w:sz w:val="17"/>
                <w:szCs w:val="17"/>
                <w:color w:val="auto"/>
              </w:rPr>
              <w:t>36,547</w:t>
            </w:r>
          </w:p>
        </w:tc>
        <w:tc>
          <w:tcPr>
            <w:tcW w:w="110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44,721</w:t>
            </w:r>
          </w:p>
        </w:tc>
      </w:tr>
      <w:tr>
        <w:trPr>
          <w:trHeight w:val="213"/>
        </w:trPr>
        <w:tc>
          <w:tcPr>
            <w:tcW w:w="3360" w:type="dxa"/>
            <w:vAlign w:val="bottom"/>
            <w:tcBorders>
              <w:bottom w:val="single" w:sz="8" w:color="307CC0"/>
            </w:tcBorders>
          </w:tcPr>
          <w:p>
            <w:pPr>
              <w:ind w:left="120"/>
              <w:spacing w:after="0" w:line="212" w:lineRule="exact"/>
              <w:rPr>
                <w:sz w:val="20"/>
                <w:szCs w:val="20"/>
                <w:color w:val="auto"/>
              </w:rPr>
            </w:pPr>
            <w:r>
              <w:rPr>
                <w:rFonts w:ascii="Arial" w:cs="Arial" w:eastAsia="Arial" w:hAnsi="Arial"/>
                <w:sz w:val="15"/>
                <w:szCs w:val="15"/>
                <w:color w:val="auto"/>
              </w:rPr>
              <w:t>Accrued Sick Leave and Vacation</w:t>
            </w:r>
            <w:r>
              <w:rPr>
                <w:rFonts w:ascii="Arial" w:cs="Arial" w:eastAsia="Arial" w:hAnsi="Arial"/>
                <w:sz w:val="24"/>
                <w:szCs w:val="24"/>
                <w:color w:val="auto"/>
                <w:vertAlign w:val="superscript"/>
              </w:rPr>
              <w:t>(9)</w:t>
            </w:r>
          </w:p>
        </w:tc>
        <w:tc>
          <w:tcPr>
            <w:tcW w:w="136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73,077</w:t>
            </w:r>
          </w:p>
        </w:tc>
        <w:tc>
          <w:tcPr>
            <w:tcW w:w="104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40,000</w:t>
            </w:r>
          </w:p>
        </w:tc>
        <w:tc>
          <w:tcPr>
            <w:tcW w:w="124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60,000</w:t>
            </w:r>
          </w:p>
        </w:tc>
        <w:tc>
          <w:tcPr>
            <w:tcW w:w="1060" w:type="dxa"/>
            <w:vAlign w:val="bottom"/>
            <w:tcBorders>
              <w:bottom w:val="single" w:sz="8" w:color="307CC0"/>
            </w:tcBorders>
          </w:tcPr>
          <w:p>
            <w:pPr>
              <w:jc w:val="right"/>
              <w:ind w:right="34"/>
              <w:spacing w:after="0"/>
              <w:rPr>
                <w:sz w:val="20"/>
                <w:szCs w:val="20"/>
                <w:color w:val="auto"/>
              </w:rPr>
            </w:pPr>
            <w:r>
              <w:rPr>
                <w:rFonts w:ascii="Arial" w:cs="Arial" w:eastAsia="Arial" w:hAnsi="Arial"/>
                <w:sz w:val="17"/>
                <w:szCs w:val="17"/>
                <w:color w:val="auto"/>
              </w:rPr>
              <w:t>72,346</w:t>
            </w:r>
          </w:p>
        </w:tc>
        <w:tc>
          <w:tcPr>
            <w:tcW w:w="110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37,231</w:t>
            </w:r>
          </w:p>
        </w:tc>
      </w:tr>
      <w:tr>
        <w:trPr>
          <w:trHeight w:val="213"/>
        </w:trPr>
        <w:tc>
          <w:tcPr>
            <w:tcW w:w="3360" w:type="dxa"/>
            <w:vAlign w:val="bottom"/>
            <w:tcBorders>
              <w:bottom w:val="single" w:sz="8" w:color="307CC0"/>
            </w:tcBorders>
            <w:shd w:val="clear" w:color="auto" w:fill="D6E7FF"/>
          </w:tcPr>
          <w:p>
            <w:pPr>
              <w:ind w:left="120"/>
              <w:spacing w:after="0" w:line="212" w:lineRule="exact"/>
              <w:rPr>
                <w:sz w:val="20"/>
                <w:szCs w:val="20"/>
                <w:color w:val="auto"/>
              </w:rPr>
            </w:pPr>
            <w:r>
              <w:rPr>
                <w:rFonts w:ascii="Arial" w:cs="Arial" w:eastAsia="Arial" w:hAnsi="Arial"/>
                <w:sz w:val="15"/>
                <w:szCs w:val="15"/>
                <w:color w:val="auto"/>
              </w:rPr>
              <w:t>Tax Gross-Up</w:t>
            </w:r>
            <w:r>
              <w:rPr>
                <w:rFonts w:ascii="Arial" w:cs="Arial" w:eastAsia="Arial" w:hAnsi="Arial"/>
                <w:sz w:val="24"/>
                <w:szCs w:val="24"/>
                <w:color w:val="auto"/>
                <w:vertAlign w:val="superscript"/>
              </w:rPr>
              <w:t>(10)</w:t>
            </w:r>
          </w:p>
        </w:tc>
        <w:tc>
          <w:tcPr>
            <w:tcW w:w="136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5,193,300</w:t>
            </w:r>
          </w:p>
        </w:tc>
        <w:tc>
          <w:tcPr>
            <w:tcW w:w="104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1,595,800</w:t>
            </w:r>
          </w:p>
        </w:tc>
        <w:tc>
          <w:tcPr>
            <w:tcW w:w="124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307CC0"/>
            </w:tcBorders>
            <w:shd w:val="clear" w:color="auto" w:fill="D6E7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color w:val="auto"/>
              </w:rPr>
              <w:t>—</w:t>
            </w:r>
          </w:p>
        </w:tc>
      </w:tr>
      <w:tr>
        <w:trPr>
          <w:trHeight w:val="213"/>
        </w:trPr>
        <w:tc>
          <w:tcPr>
            <w:tcW w:w="3360" w:type="dxa"/>
            <w:vAlign w:val="bottom"/>
            <w:tcBorders>
              <w:bottom w:val="single" w:sz="8" w:color="307CC0"/>
            </w:tcBorders>
          </w:tcPr>
          <w:p>
            <w:pPr>
              <w:ind w:left="120"/>
              <w:spacing w:after="0" w:line="212" w:lineRule="exact"/>
              <w:rPr>
                <w:sz w:val="20"/>
                <w:szCs w:val="20"/>
                <w:color w:val="auto"/>
              </w:rPr>
            </w:pPr>
            <w:r>
              <w:rPr>
                <w:rFonts w:ascii="Arial" w:cs="Arial" w:eastAsia="Arial" w:hAnsi="Arial"/>
                <w:sz w:val="15"/>
                <w:szCs w:val="15"/>
                <w:color w:val="auto"/>
              </w:rPr>
              <w:t>Change-in-Control Reduction</w:t>
            </w:r>
            <w:r>
              <w:rPr>
                <w:rFonts w:ascii="Arial" w:cs="Arial" w:eastAsia="Arial" w:hAnsi="Arial"/>
                <w:sz w:val="24"/>
                <w:szCs w:val="24"/>
                <w:color w:val="auto"/>
                <w:vertAlign w:val="superscript"/>
              </w:rPr>
              <w:t>(11)</w:t>
            </w:r>
          </w:p>
        </w:tc>
        <w:tc>
          <w:tcPr>
            <w:tcW w:w="136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07CC0"/>
            </w:tcBorders>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307CC0"/>
            </w:tcBorders>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307CC0"/>
            </w:tcBorders>
          </w:tcPr>
          <w:p>
            <w:pPr>
              <w:jc w:val="right"/>
              <w:ind w:right="14"/>
              <w:spacing w:after="0"/>
              <w:rPr>
                <w:sz w:val="20"/>
                <w:szCs w:val="20"/>
                <w:color w:val="auto"/>
              </w:rPr>
            </w:pPr>
            <w:r>
              <w:rPr>
                <w:rFonts w:ascii="Arial" w:cs="Arial" w:eastAsia="Arial" w:hAnsi="Arial"/>
                <w:sz w:val="17"/>
                <w:szCs w:val="17"/>
                <w:color w:val="auto"/>
              </w:rPr>
              <w:t>—</w:t>
            </w:r>
          </w:p>
        </w:tc>
      </w:tr>
      <w:tr>
        <w:trPr>
          <w:trHeight w:val="213"/>
        </w:trPr>
        <w:tc>
          <w:tcPr>
            <w:tcW w:w="3360" w:type="dxa"/>
            <w:vAlign w:val="bottom"/>
            <w:tcBorders>
              <w:bottom w:val="single" w:sz="8" w:color="307CC0"/>
            </w:tcBorders>
            <w:shd w:val="clear" w:color="auto" w:fill="D6E7FF"/>
          </w:tcPr>
          <w:p>
            <w:pPr>
              <w:ind w:left="120"/>
              <w:spacing w:after="0"/>
              <w:rPr>
                <w:sz w:val="20"/>
                <w:szCs w:val="20"/>
                <w:color w:val="auto"/>
              </w:rPr>
            </w:pPr>
            <w:r>
              <w:rPr>
                <w:rFonts w:ascii="Arial" w:cs="Arial" w:eastAsia="Arial" w:hAnsi="Arial"/>
                <w:sz w:val="17"/>
                <w:szCs w:val="17"/>
                <w:color w:val="auto"/>
              </w:rPr>
              <w:t>Total</w:t>
            </w:r>
          </w:p>
        </w:tc>
        <w:tc>
          <w:tcPr>
            <w:tcW w:w="136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b w:val="1"/>
                <w:bCs w:val="1"/>
                <w:color w:val="auto"/>
              </w:rPr>
              <w:t>22,735,972</w:t>
            </w:r>
          </w:p>
        </w:tc>
        <w:tc>
          <w:tcPr>
            <w:tcW w:w="104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b w:val="1"/>
                <w:bCs w:val="1"/>
                <w:color w:val="auto"/>
              </w:rPr>
              <w:t>7,349,904</w:t>
            </w:r>
          </w:p>
        </w:tc>
        <w:tc>
          <w:tcPr>
            <w:tcW w:w="1240" w:type="dxa"/>
            <w:vAlign w:val="bottom"/>
            <w:tcBorders>
              <w:bottom w:val="single" w:sz="8" w:color="307CC0"/>
            </w:tcBorders>
            <w:shd w:val="clear" w:color="auto" w:fill="D6E7FF"/>
          </w:tcPr>
          <w:p>
            <w:pPr>
              <w:jc w:val="right"/>
              <w:ind w:right="94"/>
              <w:spacing w:after="0"/>
              <w:rPr>
                <w:sz w:val="20"/>
                <w:szCs w:val="20"/>
                <w:color w:val="auto"/>
              </w:rPr>
            </w:pPr>
            <w:r>
              <w:rPr>
                <w:rFonts w:ascii="Arial" w:cs="Arial" w:eastAsia="Arial" w:hAnsi="Arial"/>
                <w:sz w:val="17"/>
                <w:szCs w:val="17"/>
                <w:b w:val="1"/>
                <w:bCs w:val="1"/>
                <w:color w:val="auto"/>
              </w:rPr>
              <w:t>5,152,459</w:t>
            </w:r>
          </w:p>
        </w:tc>
        <w:tc>
          <w:tcPr>
            <w:tcW w:w="1060" w:type="dxa"/>
            <w:vAlign w:val="bottom"/>
            <w:tcBorders>
              <w:bottom w:val="single" w:sz="8" w:color="307CC0"/>
            </w:tcBorders>
            <w:shd w:val="clear" w:color="auto" w:fill="D6E7FF"/>
          </w:tcPr>
          <w:p>
            <w:pPr>
              <w:jc w:val="right"/>
              <w:ind w:right="34"/>
              <w:spacing w:after="0"/>
              <w:rPr>
                <w:sz w:val="20"/>
                <w:szCs w:val="20"/>
                <w:color w:val="auto"/>
              </w:rPr>
            </w:pPr>
            <w:r>
              <w:rPr>
                <w:rFonts w:ascii="Arial" w:cs="Arial" w:eastAsia="Arial" w:hAnsi="Arial"/>
                <w:sz w:val="17"/>
                <w:szCs w:val="17"/>
                <w:b w:val="1"/>
                <w:bCs w:val="1"/>
                <w:color w:val="auto"/>
              </w:rPr>
              <w:t>4,863,437</w:t>
            </w:r>
          </w:p>
        </w:tc>
        <w:tc>
          <w:tcPr>
            <w:tcW w:w="1100" w:type="dxa"/>
            <w:vAlign w:val="bottom"/>
            <w:tcBorders>
              <w:bottom w:val="single" w:sz="8" w:color="307CC0"/>
            </w:tcBorders>
            <w:shd w:val="clear" w:color="auto" w:fill="D6E7FF"/>
          </w:tcPr>
          <w:p>
            <w:pPr>
              <w:jc w:val="right"/>
              <w:ind w:right="14"/>
              <w:spacing w:after="0"/>
              <w:rPr>
                <w:sz w:val="20"/>
                <w:szCs w:val="20"/>
                <w:color w:val="auto"/>
              </w:rPr>
            </w:pPr>
            <w:r>
              <w:rPr>
                <w:rFonts w:ascii="Arial" w:cs="Arial" w:eastAsia="Arial" w:hAnsi="Arial"/>
                <w:sz w:val="17"/>
                <w:szCs w:val="17"/>
                <w:b w:val="1"/>
                <w:bCs w:val="1"/>
                <w:color w:val="auto"/>
              </w:rPr>
              <w:t>4,961,642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114935</wp:posOffset>
            </wp:positionV>
            <wp:extent cx="86995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69950" cy="8255"/>
                    </a:xfrm>
                    <a:prstGeom prst="rect">
                      <a:avLst/>
                    </a:prstGeom>
                    <a:noFill/>
                  </pic:spPr>
                </pic:pic>
              </a:graphicData>
            </a:graphic>
          </wp:anchor>
        </w:drawing>
      </w:r>
    </w:p>
    <w:p>
      <w:pPr>
        <w:spacing w:after="0" w:line="251" w:lineRule="exact"/>
        <w:rPr>
          <w:sz w:val="20"/>
          <w:szCs w:val="20"/>
          <w:color w:val="auto"/>
        </w:rPr>
      </w:pPr>
    </w:p>
    <w:p>
      <w:pPr>
        <w:ind w:left="340" w:hanging="330"/>
        <w:spacing w:after="0"/>
        <w:tabs>
          <w:tab w:leader="none" w:pos="340" w:val="left"/>
        </w:tabs>
        <w:numPr>
          <w:ilvl w:val="0"/>
          <w:numId w:val="62"/>
        </w:numPr>
        <w:rPr>
          <w:rFonts w:ascii="Arial" w:cs="Arial" w:eastAsia="Arial" w:hAnsi="Arial"/>
          <w:sz w:val="17"/>
          <w:szCs w:val="17"/>
          <w:color w:val="auto"/>
          <w:vertAlign w:val="superscript"/>
        </w:rPr>
      </w:pPr>
      <w:r>
        <w:rPr>
          <w:rFonts w:ascii="Arial" w:cs="Arial" w:eastAsia="Arial" w:hAnsi="Arial"/>
          <w:sz w:val="14"/>
          <w:szCs w:val="14"/>
          <w:color w:val="auto"/>
        </w:rPr>
        <w:t>The NEOs receive two times their highest annual base salary, during the twelve-month period prior to the date of termination.</w:t>
      </w:r>
    </w:p>
    <w:p>
      <w:pPr>
        <w:spacing w:after="0" w:line="93" w:lineRule="exact"/>
        <w:rPr>
          <w:rFonts w:ascii="Arial" w:cs="Arial" w:eastAsia="Arial" w:hAnsi="Arial"/>
          <w:sz w:val="17"/>
          <w:szCs w:val="17"/>
          <w:color w:val="auto"/>
          <w:vertAlign w:val="superscript"/>
        </w:rPr>
      </w:pPr>
    </w:p>
    <w:p>
      <w:pPr>
        <w:jc w:val="both"/>
        <w:ind w:left="340" w:hanging="330"/>
        <w:spacing w:after="0" w:line="220" w:lineRule="auto"/>
        <w:tabs>
          <w:tab w:leader="none" w:pos="340" w:val="left"/>
        </w:tabs>
        <w:numPr>
          <w:ilvl w:val="0"/>
          <w:numId w:val="62"/>
        </w:numPr>
        <w:rPr>
          <w:rFonts w:ascii="Arial" w:cs="Arial" w:eastAsia="Arial" w:hAnsi="Arial"/>
          <w:sz w:val="17"/>
          <w:szCs w:val="17"/>
          <w:color w:val="auto"/>
          <w:vertAlign w:val="superscript"/>
        </w:rPr>
      </w:pPr>
      <w:r>
        <w:rPr>
          <w:rFonts w:ascii="Arial" w:cs="Arial" w:eastAsia="Arial" w:hAnsi="Arial"/>
          <w:sz w:val="14"/>
          <w:szCs w:val="14"/>
          <w:color w:val="auto"/>
        </w:rPr>
        <w:t>Mr. Bassham, Mr. Bryant and Ms. Humphrey receive two times their average annualized annual incentive compensation awards paid during the last five fiscal years of the Company (or the number of years they worked for the Company) immediately before the fiscal year in which the Change-in-Control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808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7" w:lineRule="exact"/>
        <w:rPr>
          <w:sz w:val="20"/>
          <w:szCs w:val="20"/>
          <w:color w:val="auto"/>
        </w:rPr>
      </w:pPr>
    </w:p>
    <w:p>
      <w:pPr>
        <w:ind w:left="5980"/>
        <w:spacing w:after="0"/>
        <w:tabs>
          <w:tab w:leader="none" w:pos="6880" w:val="left"/>
        </w:tabs>
        <w:rPr>
          <w:sz w:val="20"/>
          <w:szCs w:val="20"/>
          <w:color w:val="auto"/>
        </w:rPr>
      </w:pPr>
      <w:r>
        <w:rPr>
          <w:rFonts w:ascii="Arial" w:cs="Arial" w:eastAsia="Arial" w:hAnsi="Arial"/>
          <w:sz w:val="14"/>
          <w:szCs w:val="14"/>
          <w:b w:val="1"/>
          <w:bCs w:val="1"/>
          <w:color w:val="307CC0"/>
        </w:rPr>
        <w:t>Appendix B</w:t>
      </w:r>
      <w:r>
        <w:rPr>
          <w:sz w:val="20"/>
          <w:szCs w:val="20"/>
          <w:color w:val="auto"/>
        </w:rPr>
        <w:tab/>
      </w:r>
      <w:r>
        <w:rPr>
          <w:rFonts w:ascii="Arial" w:cs="Arial" w:eastAsia="Arial" w:hAnsi="Arial"/>
          <w:sz w:val="13"/>
          <w:szCs w:val="13"/>
          <w:b w:val="1"/>
          <w:bCs w:val="1"/>
          <w:color w:val="auto"/>
        </w:rPr>
        <w:t>Evergy 2020 Proxy Statement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808980"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60"/>
          </w:cols>
          <w:pgMar w:left="1360" w:top="272" w:right="1379" w:bottom="1440" w:gutter="0" w:footer="0" w:header="0"/>
        </w:sectPr>
      </w:pPr>
    </w:p>
    <w:bookmarkStart w:id="70" w:name="page71"/>
    <w:bookmarkEnd w:id="70"/>
    <w:p>
      <w:pPr>
        <w:ind w:left="1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7" w:lineRule="exact"/>
        <w:rPr>
          <w:sz w:val="20"/>
          <w:szCs w:val="20"/>
          <w:color w:val="auto"/>
        </w:rPr>
      </w:pPr>
    </w:p>
    <w:p>
      <w:pPr>
        <w:jc w:val="both"/>
        <w:ind w:left="330" w:hanging="330"/>
        <w:spacing w:after="0" w:line="222" w:lineRule="auto"/>
        <w:tabs>
          <w:tab w:leader="none" w:pos="330"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The change-in-control agreements for Mr. Bassham, Mr. Bryant and Ms. Humphrey provide for a bonus at least equal to the average annualized incentive awards paid during the last five fiscal years of the Company (or the number of years they worked for the Company) immediately before the fiscal year in which the Change-in-Control occurs, prorated for the number of days employed in the year in which the Change-in-Control occurred.</w:t>
      </w:r>
    </w:p>
    <w:p>
      <w:pPr>
        <w:spacing w:after="0" w:line="96" w:lineRule="exact"/>
        <w:rPr>
          <w:rFonts w:ascii="Arial" w:cs="Arial" w:eastAsia="Arial" w:hAnsi="Arial"/>
          <w:sz w:val="17"/>
          <w:szCs w:val="17"/>
          <w:color w:val="auto"/>
          <w:vertAlign w:val="superscript"/>
        </w:rPr>
      </w:pPr>
    </w:p>
    <w:p>
      <w:pPr>
        <w:ind w:left="330" w:hanging="330"/>
        <w:spacing w:after="0" w:line="215" w:lineRule="auto"/>
        <w:tabs>
          <w:tab w:leader="none" w:pos="330"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The amounts reflect the present value of the benefit arising from additional years of service credited upon a Change-in-Control. The NEOs are credited for two additional years of service. These benefits are paid through our SERP and Retirement Restoration Plan.</w:t>
      </w:r>
    </w:p>
    <w:p>
      <w:pPr>
        <w:spacing w:after="0" w:line="94" w:lineRule="exact"/>
        <w:rPr>
          <w:rFonts w:ascii="Arial" w:cs="Arial" w:eastAsia="Arial" w:hAnsi="Arial"/>
          <w:sz w:val="17"/>
          <w:szCs w:val="17"/>
          <w:color w:val="auto"/>
          <w:vertAlign w:val="superscript"/>
        </w:rPr>
      </w:pPr>
    </w:p>
    <w:p>
      <w:pPr>
        <w:jc w:val="both"/>
        <w:ind w:left="330" w:hanging="330"/>
        <w:spacing w:after="0" w:line="235" w:lineRule="auto"/>
        <w:tabs>
          <w:tab w:leader="none" w:pos="33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In the event of a “Change-in-Control” and termination of employment without Cause or for Good Reason, the LTIP provides that all performance-based restricted stock units and performance shares are deemed to have been fully earned. The amounts shown reflect the aggregate target number of performance shares, valued at the $65.09 closing price of our stock on December 31, 2019, plus accrued cash dividends.</w:t>
      </w:r>
    </w:p>
    <w:p>
      <w:pPr>
        <w:spacing w:after="0" w:line="95" w:lineRule="exact"/>
        <w:rPr>
          <w:rFonts w:ascii="Arial" w:cs="Arial" w:eastAsia="Arial" w:hAnsi="Arial"/>
          <w:sz w:val="16"/>
          <w:szCs w:val="16"/>
          <w:color w:val="auto"/>
          <w:vertAlign w:val="superscript"/>
        </w:rPr>
      </w:pPr>
    </w:p>
    <w:p>
      <w:pPr>
        <w:jc w:val="both"/>
        <w:ind w:left="330" w:hanging="330"/>
        <w:spacing w:after="0" w:line="222" w:lineRule="auto"/>
        <w:tabs>
          <w:tab w:leader="none" w:pos="330"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In the event of a Change-in-Control and termination of employment without Cause or for Good Reason, the LTIP provides that all restrictions on restricted stock and restricted stock units are removed. The amounts shown reflect the aggregate number of restricted stock (unit) grants outstanding as of December 31, 2019, plus reinvested dividends carrying the same restrictions, valued at the $65.09 closing price of our stock on December 31, 2019.</w:t>
      </w:r>
    </w:p>
    <w:p>
      <w:pPr>
        <w:spacing w:after="0" w:line="96" w:lineRule="exact"/>
        <w:rPr>
          <w:rFonts w:ascii="Arial" w:cs="Arial" w:eastAsia="Arial" w:hAnsi="Arial"/>
          <w:sz w:val="17"/>
          <w:szCs w:val="17"/>
          <w:color w:val="auto"/>
          <w:vertAlign w:val="superscript"/>
        </w:rPr>
      </w:pPr>
    </w:p>
    <w:p>
      <w:pPr>
        <w:ind w:left="330" w:hanging="330"/>
        <w:spacing w:after="0" w:line="215" w:lineRule="auto"/>
        <w:tabs>
          <w:tab w:leader="none" w:pos="330"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For Mr. Greenwood and Mr. Somma, the average of the high and low stock price of December 31, 2019 ($64.64) was used to determine the Annual RSU Grant value, as required by the terms of the change-in-control agreements.</w:t>
      </w:r>
    </w:p>
    <w:p>
      <w:pPr>
        <w:spacing w:after="0" w:line="94" w:lineRule="exact"/>
        <w:rPr>
          <w:rFonts w:ascii="Arial" w:cs="Arial" w:eastAsia="Arial" w:hAnsi="Arial"/>
          <w:sz w:val="17"/>
          <w:szCs w:val="17"/>
          <w:color w:val="auto"/>
          <w:vertAlign w:val="superscript"/>
        </w:rPr>
      </w:pPr>
    </w:p>
    <w:p>
      <w:pPr>
        <w:jc w:val="both"/>
        <w:ind w:left="330" w:hanging="330"/>
        <w:spacing w:after="0" w:line="220" w:lineRule="auto"/>
        <w:tabs>
          <w:tab w:leader="none" w:pos="330"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The amounts include medical, accident, disability and life insurance for two years following termination and are estimated based on the current premiums for medical coverage and premiums for private insurance coverage for the individuals, as well as for financial advisory services for one year.</w:t>
      </w:r>
    </w:p>
    <w:p>
      <w:pPr>
        <w:spacing w:after="0" w:line="94" w:lineRule="exact"/>
        <w:rPr>
          <w:rFonts w:ascii="Arial" w:cs="Arial" w:eastAsia="Arial" w:hAnsi="Arial"/>
          <w:sz w:val="17"/>
          <w:szCs w:val="17"/>
          <w:color w:val="auto"/>
          <w:vertAlign w:val="superscript"/>
        </w:rPr>
      </w:pPr>
    </w:p>
    <w:p>
      <w:pPr>
        <w:ind w:left="330" w:hanging="330"/>
        <w:spacing w:after="0" w:line="215" w:lineRule="auto"/>
        <w:tabs>
          <w:tab w:leader="none" w:pos="330"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Each of the NEOs is entitled to be paid for accrued but unused vacation, and the change-in-control agreements with Mr. Greenwood and Mr. Somma also provide for a payment equal to accrued and unused sick pay.</w:t>
      </w:r>
    </w:p>
    <w:p>
      <w:pPr>
        <w:spacing w:after="0" w:line="94" w:lineRule="exact"/>
        <w:rPr>
          <w:rFonts w:ascii="Arial" w:cs="Arial" w:eastAsia="Arial" w:hAnsi="Arial"/>
          <w:sz w:val="17"/>
          <w:szCs w:val="17"/>
          <w:color w:val="auto"/>
          <w:vertAlign w:val="superscript"/>
        </w:rPr>
      </w:pPr>
    </w:p>
    <w:p>
      <w:pPr>
        <w:jc w:val="both"/>
        <w:ind w:left="330" w:hanging="330"/>
        <w:spacing w:after="0" w:line="225" w:lineRule="auto"/>
        <w:tabs>
          <w:tab w:leader="none" w:pos="330"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Because the change-in-control agreements with Mr. Bassham, Mr. Bryant and Ms. Humphrey were entered into before August 2013, they provide for an additional payment to cover excise taxes imposed by Section 4999 of the Internal Revenue Code (“Section 280G gross-up payments”). We have calculated these payments based on the estimated payments discussed above. In calculating these payments, we did not make any reductions for the value of reasonable compensation for pre-change-in-control period and post-change-in-control period service, such as the value attributed to non-compete provisions. In the event that payments are due under change-in-control agreements, we would perform evaluations to determine the reductions attributable to these services.</w:t>
      </w:r>
    </w:p>
    <w:p>
      <w:pPr>
        <w:spacing w:after="0" w:line="95" w:lineRule="exact"/>
        <w:rPr>
          <w:rFonts w:ascii="Arial" w:cs="Arial" w:eastAsia="Arial" w:hAnsi="Arial"/>
          <w:sz w:val="17"/>
          <w:szCs w:val="17"/>
          <w:color w:val="auto"/>
          <w:vertAlign w:val="superscript"/>
        </w:rPr>
      </w:pPr>
    </w:p>
    <w:p>
      <w:pPr>
        <w:ind w:left="330" w:right="20" w:hanging="330"/>
        <w:spacing w:after="0" w:line="215" w:lineRule="auto"/>
        <w:tabs>
          <w:tab w:leader="none" w:pos="330" w:val="left"/>
        </w:tabs>
        <w:numPr>
          <w:ilvl w:val="0"/>
          <w:numId w:val="63"/>
        </w:numPr>
        <w:rPr>
          <w:rFonts w:ascii="Arial" w:cs="Arial" w:eastAsia="Arial" w:hAnsi="Arial"/>
          <w:sz w:val="17"/>
          <w:szCs w:val="17"/>
          <w:color w:val="auto"/>
          <w:vertAlign w:val="superscript"/>
        </w:rPr>
      </w:pPr>
      <w:r>
        <w:rPr>
          <w:rFonts w:ascii="Arial" w:cs="Arial" w:eastAsia="Arial" w:hAnsi="Arial"/>
          <w:sz w:val="14"/>
          <w:szCs w:val="14"/>
          <w:color w:val="auto"/>
        </w:rPr>
        <w:t>Pursuant to the terms of the change-in-control agreements for Mr. Greenwood and Mr. Somma, the change-in-control payments are reduced to eliminate payment of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58089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08980" cy="8255"/>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2240" w:val="left"/>
        </w:tabs>
        <w:rPr>
          <w:sz w:val="20"/>
          <w:szCs w:val="20"/>
          <w:color w:val="auto"/>
        </w:rPr>
      </w:pPr>
      <w:r>
        <w:rPr>
          <w:rFonts w:ascii="Arial" w:cs="Arial" w:eastAsia="Arial" w:hAnsi="Arial"/>
          <w:sz w:val="14"/>
          <w:szCs w:val="14"/>
          <w:b w:val="1"/>
          <w:bCs w:val="1"/>
          <w:color w:val="307CC0"/>
        </w:rPr>
        <w:t>Appendix B</w:t>
      </w:r>
      <w:r>
        <w:rPr>
          <w:sz w:val="20"/>
          <w:szCs w:val="20"/>
          <w:color w:val="auto"/>
        </w:rPr>
        <w:tab/>
      </w:r>
      <w:r>
        <w:rPr>
          <w:rFonts w:ascii="Arial" w:cs="Arial" w:eastAsia="Arial" w:hAnsi="Arial"/>
          <w:sz w:val="13"/>
          <w:szCs w:val="13"/>
          <w:b w:val="1"/>
          <w:bCs w:val="1"/>
          <w:color w:val="auto"/>
        </w:rPr>
        <w:t>Evergy 2020 Proxy Statement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5808980" cy="412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808980" cy="41275"/>
                    </a:xfrm>
                    <a:prstGeom prst="rect">
                      <a:avLst/>
                    </a:prstGeom>
                    <a:noFill/>
                  </pic:spPr>
                </pic:pic>
              </a:graphicData>
            </a:graphic>
          </wp:anchor>
        </w:drawing>
      </w:r>
    </w:p>
    <w:p>
      <w:pPr>
        <w:sectPr>
          <w:pgSz w:w="11900" w:h="16838" w:orient="portrait"/>
          <w:cols w:equalWidth="0" w:num="1">
            <w:col w:w="9150"/>
          </w:cols>
          <w:pgMar w:left="1370" w:top="272" w:right="137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5808980" cy="76307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808980" cy="7630795"/>
                    </a:xfrm>
                    <a:prstGeom prst="rect">
                      <a:avLst/>
                    </a:prstGeom>
                    <a:noFill/>
                  </pic:spPr>
                </pic:pic>
              </a:graphicData>
            </a:graphic>
          </wp:anchor>
        </w:drawing>
      </w:r>
    </w:p>
    <w:p>
      <w:pPr>
        <w:sectPr>
          <w:pgSz w:w="11900" w:h="16838" w:orient="portrait"/>
          <w:cols w:equalWidth="0" w:num="1">
            <w:col w:w="9079"/>
          </w:cols>
          <w:pgMar w:left="1380" w:top="272" w:right="1440"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5808980" cy="76142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08980" cy="7614285"/>
                    </a:xfrm>
                    <a:prstGeom prst="rect">
                      <a:avLst/>
                    </a:prstGeom>
                    <a:noFill/>
                  </pic:spPr>
                </pic:pic>
              </a:graphicData>
            </a:graphic>
          </wp:anchor>
        </w:drawing>
      </w:r>
    </w:p>
    <w:sectPr>
      <w:pgSz w:w="11900" w:h="16838" w:orient="portrait"/>
      <w:cols w:equalWidth="0" w:num="1">
        <w:col w:w="9079"/>
      </w:cols>
      <w:pgMar w:left="1380" w:top="2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o"/>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o"/>
      <w:numFmt w:val="bullet"/>
      <w:start w:val="1"/>
    </w:lvl>
    <w:lvl w:ilvl="1">
      <w:lvlJc w:val="left"/>
      <w:lvlText w:val="(%2)"/>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bullet"/>
      <w:start w:val="1"/>
    </w:lvl>
  </w:abstractNum>
  <w:abstractNum w:abstractNumId="10">
    <w:nsid w:val="77465F01"/>
    <w:multiLevelType w:val="hybridMultilevel"/>
    <w:lvl w:ilvl="0">
      <w:lvlJc w:val="left"/>
      <w:lvlText w:val="▪"/>
      <w:numFmt w:val="bullet"/>
      <w:start w:val="1"/>
    </w:lvl>
    <w:lvl w:ilvl="1">
      <w:lvlJc w:val="left"/>
      <w:lvlText w:val="&amp;"/>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lvl w:ilvl="1">
      <w:lvlJc w:val="left"/>
      <w:lvlText w:val="&amp;"/>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decimal"/>
      <w:start w:val="3"/>
    </w:lvl>
  </w:abstractNum>
  <w:abstractNum w:abstractNumId="37">
    <w:nsid w:val="3DC240FB"/>
    <w:multiLevelType w:val="hybridMultilevel"/>
    <w:lvl w:ilvl="0">
      <w:lvlJc w:val="left"/>
      <w:lvlText w:val="(%1)"/>
      <w:numFmt w:val="decimal"/>
      <w:start w:val="5"/>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decimal"/>
      <w:start w:val="1"/>
    </w:lvl>
    <w:lvl w:ilvl="1">
      <w:lvlJc w:val="left"/>
      <w:lvlText w:val="(%2)"/>
      <w:numFmt w:val="lowerLetter"/>
      <w:start w:val="1"/>
    </w:lvl>
  </w:abstractNum>
  <w:abstractNum w:abstractNumId="41">
    <w:nsid w:val="12E685FB"/>
    <w:multiLevelType w:val="hybridMultilevel"/>
    <w:lvl w:ilvl="0">
      <w:lvlJc w:val="left"/>
      <w:lvlText w:val="(%1)"/>
      <w:numFmt w:val="decimal"/>
      <w:start w:val="3"/>
    </w:lvl>
    <w:lvl w:ilvl="1">
      <w:lvlJc w:val="left"/>
      <w:lvlText w:val="%2"/>
      <w:numFmt w:val="lowerLetter"/>
      <w:start w:val="1"/>
    </w:lvl>
  </w:abstractNum>
  <w:abstractNum w:abstractNumId="42">
    <w:nsid w:val="70C6A529"/>
    <w:multiLevelType w:val="hybridMultilevel"/>
    <w:lvl w:ilvl="0">
      <w:lvlJc w:val="left"/>
      <w:lvlText w:val="(%1)"/>
      <w:numFmt w:val="decimal"/>
      <w:start w:val="4"/>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5"/>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2020-03-20T15:27:52Z</dcterms:created>
  <dcterms:modified xsi:type="dcterms:W3CDTF">2020-03-20T15:27:52Z</dcterms:modified>
</cp:coreProperties>
</file>