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jc w:val="center"/>
        <w:ind w:left="4580" w:right="2240" w:hanging="2337"/>
        <w:spacing w:after="0" w:line="277" w:lineRule="auto"/>
        <w:tabs>
          <w:tab w:leader="none" w:pos="244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September 30, 2023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jc w:val="center"/>
        <w:ind w:left="4580" w:right="2220" w:hanging="2346"/>
        <w:spacing w:after="0" w:line="277" w:lineRule="auto"/>
        <w:tabs>
          <w:tab w:leader="none" w:pos="243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0"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For the transition period from _______to_______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151765</wp:posOffset>
            </wp:positionV>
            <wp:extent cx="258000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000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2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6"/>
              </w:rPr>
              <w:t>Commission</w:t>
            </w: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state of incorporation, address of principal</w:t>
            </w:r>
          </w:p>
        </w:tc>
        <w:tc>
          <w:tcPr>
            <w:tcW w:w="180" w:type="dxa"/>
            <w:vAlign w:val="bottom"/>
          </w:tcPr>
          <w:p>
            <w:pPr>
              <w:spacing w:after="0"/>
              <w:rPr>
                <w:sz w:val="19"/>
                <w:szCs w:val="19"/>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3"/>
              </w:rPr>
              <w:t>I.R.S. Employer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center"/>
              <w:ind w:right="760"/>
              <w:spacing w:after="0"/>
              <w:rPr>
                <w:sz w:val="20"/>
                <w:szCs w:val="20"/>
                <w:color w:val="auto"/>
              </w:rPr>
            </w:pPr>
            <w:r>
              <w:rPr>
                <w:rFonts w:ascii="Arial" w:cs="Arial" w:eastAsia="Arial" w:hAnsi="Arial"/>
                <w:sz w:val="18"/>
                <w:szCs w:val="18"/>
                <w:b w:val="1"/>
                <w:bCs w:val="1"/>
                <w:color w:val="auto"/>
                <w:w w:val="94"/>
              </w:rPr>
              <w:t>File Number</w:t>
            </w:r>
          </w:p>
        </w:tc>
        <w:tc>
          <w:tcPr>
            <w:tcW w:w="120" w:type="dxa"/>
            <w:vAlign w:val="bottom"/>
          </w:tcPr>
          <w:p>
            <w:pPr>
              <w:spacing w:after="0"/>
              <w:rPr>
                <w:sz w:val="20"/>
                <w:szCs w:val="20"/>
                <w:color w:val="auto"/>
              </w:rPr>
            </w:pPr>
          </w:p>
        </w:tc>
        <w:tc>
          <w:tcPr>
            <w:tcW w:w="5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executive offices and telephone number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8"/>
                <w:szCs w:val="18"/>
                <w:b w:val="1"/>
                <w:bCs w:val="1"/>
                <w:color w:val="auto"/>
                <w:w w:val="92"/>
              </w:rPr>
              <w:t>Identification Number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001-38515</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4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rPr>
              <w:t>EVERGY,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82-2733395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Arial" w:cs="Arial" w:eastAsia="Arial" w:hAnsi="Arial"/>
                <w:sz w:val="18"/>
                <w:szCs w:val="18"/>
                <w:color w:val="auto"/>
                <w:w w:val="90"/>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001-03523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rPr>
              <w:t>EVERGY KANSAS CENTRAL,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48-0290150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(a Kansas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818 South Kansas Avenue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Topeka, Kansas 66612</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(785) 575-6300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000-51873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rPr>
              <w:t>EVERGY METRO,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44-0308720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Arial" w:cs="Arial" w:eastAsia="Arial" w:hAnsi="Arial"/>
                <w:sz w:val="18"/>
                <w:szCs w:val="18"/>
                <w:color w:val="auto"/>
                <w:w w:val="90"/>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340" w:type="dxa"/>
            <w:vAlign w:val="bottom"/>
            <w:gridSpan w:val="4"/>
          </w:tcPr>
          <w:p>
            <w:pPr>
              <w:ind w:left="540"/>
              <w:spacing w:after="0"/>
              <w:rPr>
                <w:sz w:val="20"/>
                <w:szCs w:val="20"/>
                <w:color w:val="auto"/>
              </w:rPr>
            </w:pPr>
            <w:r>
              <w:rPr>
                <w:rFonts w:ascii="Arial" w:cs="Arial" w:eastAsia="Arial" w:hAnsi="Arial"/>
                <w:sz w:val="18"/>
                <w:szCs w:val="18"/>
                <w:b w:val="1"/>
                <w:bCs w:val="1"/>
                <w:color w:val="auto"/>
                <w:w w:val="96"/>
              </w:rPr>
              <w:t>Securities registered pursuant to Section 12(b) of the Act:</w:t>
            </w:r>
          </w:p>
        </w:tc>
        <w:tc>
          <w:tcPr>
            <w:tcW w:w="180" w:type="dxa"/>
            <w:vAlign w:val="bottom"/>
          </w:tcPr>
          <w:p>
            <w:pPr>
              <w:spacing w:after="0"/>
              <w:rPr>
                <w:sz w:val="22"/>
                <w:szCs w:val="22"/>
                <w:color w:val="auto"/>
              </w:rPr>
            </w:pPr>
          </w:p>
        </w:tc>
        <w:tc>
          <w:tcPr>
            <w:tcW w:w="2720" w:type="dxa"/>
            <w:vAlign w:val="bottom"/>
            <w:gridSpan w:val="5"/>
            <w:vMerge w:val="restart"/>
          </w:tcPr>
          <w:p>
            <w:pPr>
              <w:jc w:val="center"/>
              <w:ind w:right="200"/>
              <w:spacing w:after="0"/>
              <w:rPr>
                <w:sz w:val="20"/>
                <w:szCs w:val="20"/>
                <w:color w:val="auto"/>
              </w:rPr>
            </w:pPr>
            <w:r>
              <w:rPr>
                <w:rFonts w:ascii="Arial" w:cs="Arial" w:eastAsia="Arial" w:hAnsi="Arial"/>
                <w:sz w:val="18"/>
                <w:szCs w:val="18"/>
                <w:b w:val="1"/>
                <w:bCs w:val="1"/>
                <w:color w:val="auto"/>
                <w:w w:val="87"/>
              </w:rPr>
              <w:t>Name of each exchange on which</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1900" w:type="dxa"/>
            <w:vAlign w:val="bottom"/>
          </w:tcPr>
          <w:p>
            <w:pPr>
              <w:spacing w:after="0"/>
              <w:rPr>
                <w:sz w:val="16"/>
                <w:szCs w:val="16"/>
                <w:color w:val="auto"/>
              </w:rPr>
            </w:pPr>
          </w:p>
        </w:tc>
        <w:tc>
          <w:tcPr>
            <w:tcW w:w="3440" w:type="dxa"/>
            <w:vAlign w:val="bottom"/>
            <w:gridSpan w:val="3"/>
            <w:vMerge w:val="restart"/>
          </w:tcPr>
          <w:p>
            <w:pPr>
              <w:jc w:val="center"/>
              <w:ind w:right="2020"/>
              <w:spacing w:after="0"/>
              <w:rPr>
                <w:sz w:val="20"/>
                <w:szCs w:val="20"/>
                <w:color w:val="auto"/>
              </w:rPr>
            </w:pPr>
            <w:r>
              <w:rPr>
                <w:rFonts w:ascii="Arial" w:cs="Arial" w:eastAsia="Arial" w:hAnsi="Arial"/>
                <w:sz w:val="18"/>
                <w:szCs w:val="18"/>
                <w:b w:val="1"/>
                <w:bCs w:val="1"/>
                <w:color w:val="auto"/>
                <w:w w:val="89"/>
              </w:rPr>
              <w:t>Trading Symbol(s)</w:t>
            </w:r>
          </w:p>
        </w:tc>
        <w:tc>
          <w:tcPr>
            <w:tcW w:w="180" w:type="dxa"/>
            <w:vAlign w:val="bottom"/>
          </w:tcPr>
          <w:p>
            <w:pPr>
              <w:spacing w:after="0"/>
              <w:rPr>
                <w:sz w:val="16"/>
                <w:szCs w:val="16"/>
                <w:color w:val="auto"/>
              </w:rPr>
            </w:pPr>
          </w:p>
        </w:tc>
        <w:tc>
          <w:tcPr>
            <w:tcW w:w="27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980" w:type="dxa"/>
            <w:vAlign w:val="bottom"/>
            <w:gridSpan w:val="4"/>
            <w:vMerge w:val="continue"/>
          </w:tcPr>
          <w:p>
            <w:pPr>
              <w:spacing w:after="0"/>
              <w:rPr>
                <w:sz w:val="6"/>
                <w:szCs w:val="6"/>
                <w:color w:val="auto"/>
              </w:rPr>
            </w:pPr>
          </w:p>
        </w:tc>
        <w:tc>
          <w:tcPr>
            <w:tcW w:w="1900" w:type="dxa"/>
            <w:vAlign w:val="bottom"/>
          </w:tcPr>
          <w:p>
            <w:pPr>
              <w:spacing w:after="0"/>
              <w:rPr>
                <w:sz w:val="6"/>
                <w:szCs w:val="6"/>
                <w:color w:val="auto"/>
              </w:rPr>
            </w:pPr>
          </w:p>
        </w:tc>
        <w:tc>
          <w:tcPr>
            <w:tcW w:w="344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Borders>
              <w:top w:val="single" w:sz="8" w:color="auto"/>
            </w:tcBorders>
            <w:vMerge w:val="restart"/>
          </w:tcPr>
          <w:p>
            <w:pPr>
              <w:spacing w:after="0"/>
              <w:rPr>
                <w:sz w:val="6"/>
                <w:szCs w:val="6"/>
                <w:color w:val="auto"/>
              </w:rPr>
            </w:pPr>
          </w:p>
        </w:tc>
        <w:tc>
          <w:tcPr>
            <w:tcW w:w="1640" w:type="dxa"/>
            <w:vAlign w:val="bottom"/>
            <w:tcBorders>
              <w:top w:val="single" w:sz="8" w:color="auto"/>
            </w:tcBorders>
            <w:gridSpan w:val="2"/>
            <w:vMerge w:val="restart"/>
          </w:tcPr>
          <w:p>
            <w:pPr>
              <w:jc w:val="center"/>
              <w:ind w:right="880"/>
              <w:spacing w:after="0" w:line="156" w:lineRule="exact"/>
              <w:rPr>
                <w:sz w:val="20"/>
                <w:szCs w:val="20"/>
                <w:color w:val="auto"/>
              </w:rPr>
            </w:pPr>
            <w:r>
              <w:rPr>
                <w:rFonts w:ascii="Arial" w:cs="Arial" w:eastAsia="Arial" w:hAnsi="Arial"/>
                <w:sz w:val="18"/>
                <w:szCs w:val="18"/>
                <w:b w:val="1"/>
                <w:bCs w:val="1"/>
                <w:color w:val="auto"/>
                <w:w w:val="87"/>
              </w:rPr>
              <w:t>registered</w:t>
            </w:r>
          </w:p>
        </w:tc>
        <w:tc>
          <w:tcPr>
            <w:tcW w:w="200" w:type="dxa"/>
            <w:vAlign w:val="bottom"/>
            <w:gridSpan w:val="2"/>
            <w:vMerge w:val="restart"/>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Borders>
              <w:top w:val="single" w:sz="8" w:color="auto"/>
            </w:tcBorders>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420" w:type="dxa"/>
            <w:vAlign w:val="bottom"/>
            <w:tcBorders>
              <w:top w:val="single" w:sz="8" w:color="auto"/>
            </w:tcBorders>
          </w:tcPr>
          <w:p>
            <w:pPr>
              <w:spacing w:after="0"/>
              <w:rPr>
                <w:sz w:val="5"/>
                <w:szCs w:val="5"/>
                <w:color w:val="auto"/>
              </w:rPr>
            </w:pPr>
          </w:p>
        </w:tc>
        <w:tc>
          <w:tcPr>
            <w:tcW w:w="1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Borders>
              <w:top w:val="single" w:sz="8" w:color="auto"/>
            </w:tcBorders>
            <w:vMerge w:val="continue"/>
          </w:tcPr>
          <w:p>
            <w:pPr>
              <w:spacing w:after="0"/>
              <w:rPr>
                <w:sz w:val="5"/>
                <w:szCs w:val="5"/>
                <w:color w:val="auto"/>
              </w:rPr>
            </w:pPr>
          </w:p>
        </w:tc>
        <w:tc>
          <w:tcPr>
            <w:tcW w:w="1640" w:type="dxa"/>
            <w:vAlign w:val="bottom"/>
            <w:tcBorders>
              <w:top w:val="single" w:sz="8" w:color="auto"/>
            </w:tcBorders>
            <w:gridSpan w:val="2"/>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980" w:type="dxa"/>
            <w:vAlign w:val="bottom"/>
            <w:gridSpan w:val="4"/>
          </w:tcPr>
          <w:p>
            <w:pPr>
              <w:jc w:val="center"/>
              <w:ind w:right="120"/>
              <w:spacing w:after="0"/>
              <w:rPr>
                <w:sz w:val="20"/>
                <w:szCs w:val="20"/>
                <w:color w:val="auto"/>
              </w:rPr>
            </w:pPr>
            <w:r>
              <w:rPr>
                <w:rFonts w:ascii="Arial" w:cs="Arial" w:eastAsia="Arial" w:hAnsi="Arial"/>
                <w:sz w:val="18"/>
                <w:szCs w:val="18"/>
                <w:color w:val="auto"/>
                <w:w w:val="91"/>
              </w:rPr>
              <w:t>Evergy, Inc. common stock</w:t>
            </w:r>
          </w:p>
        </w:tc>
        <w:tc>
          <w:tcPr>
            <w:tcW w:w="1900" w:type="dxa"/>
            <w:vAlign w:val="bottom"/>
          </w:tcPr>
          <w:p>
            <w:pPr>
              <w:spacing w:after="0"/>
              <w:rPr>
                <w:sz w:val="23"/>
                <w:szCs w:val="23"/>
                <w:color w:val="auto"/>
              </w:rPr>
            </w:pPr>
          </w:p>
        </w:tc>
        <w:tc>
          <w:tcPr>
            <w:tcW w:w="3440" w:type="dxa"/>
            <w:vAlign w:val="bottom"/>
            <w:gridSpan w:val="3"/>
          </w:tcPr>
          <w:p>
            <w:pPr>
              <w:jc w:val="center"/>
              <w:ind w:right="2020"/>
              <w:spacing w:after="0"/>
              <w:rPr>
                <w:sz w:val="20"/>
                <w:szCs w:val="20"/>
                <w:color w:val="auto"/>
              </w:rPr>
            </w:pPr>
            <w:r>
              <w:rPr>
                <w:rFonts w:ascii="Arial" w:cs="Arial" w:eastAsia="Arial" w:hAnsi="Arial"/>
                <w:sz w:val="18"/>
                <w:szCs w:val="18"/>
                <w:color w:val="auto"/>
                <w:w w:val="97"/>
              </w:rPr>
              <w:t>EVRG</w:t>
            </w:r>
          </w:p>
        </w:tc>
        <w:tc>
          <w:tcPr>
            <w:tcW w:w="180" w:type="dxa"/>
            <w:vAlign w:val="bottom"/>
          </w:tcPr>
          <w:p>
            <w:pPr>
              <w:spacing w:after="0"/>
              <w:rPr>
                <w:sz w:val="23"/>
                <w:szCs w:val="23"/>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r>
        <w:trPr>
          <w:trHeight w:val="1020"/>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20" w:right="340"/>
        <w:spacing w:after="0" w:line="23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0"/>
          <w:szCs w:val="20"/>
          <w:color w:val="auto"/>
        </w:rPr>
      </w:pPr>
    </w:p>
    <w:p>
      <w:pPr>
        <w:ind w:left="20" w:right="360"/>
        <w:spacing w:after="0" w:line="266"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0"/>
          <w:szCs w:val="20"/>
          <w:color w:val="auto"/>
        </w:rPr>
      </w:pPr>
    </w:p>
    <w:p>
      <w:pPr>
        <w:ind w:left="20" w:right="12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6"/>
                <w:szCs w:val="16"/>
                <w:color w:val="auto"/>
              </w:rPr>
              <w:t>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2"/>
        </w:trPr>
        <w:tc>
          <w:tcPr>
            <w:tcW w:w="2380" w:type="dxa"/>
            <w:vAlign w:val="bottom"/>
            <w:vMerge w:val="continue"/>
          </w:tcPr>
          <w:p>
            <w:pPr>
              <w:spacing w:after="0"/>
              <w:rPr>
                <w:sz w:val="20"/>
                <w:szCs w:val="20"/>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Kansas Central,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88"/>
              </w:rPr>
              <w:t>x</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2"/>
        </w:trPr>
        <w:tc>
          <w:tcPr>
            <w:tcW w:w="2380" w:type="dxa"/>
            <w:vAlign w:val="bottom"/>
            <w:vMerge w:val="continue"/>
          </w:tcPr>
          <w:p>
            <w:pPr>
              <w:spacing w:after="0"/>
              <w:rPr>
                <w:sz w:val="20"/>
                <w:szCs w:val="20"/>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Metro,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88"/>
              </w:rPr>
              <w:t>x</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2"/>
        </w:trPr>
        <w:tc>
          <w:tcPr>
            <w:tcW w:w="2380" w:type="dxa"/>
            <w:vAlign w:val="bottom"/>
            <w:vMerge w:val="continue"/>
          </w:tcPr>
          <w:p>
            <w:pPr>
              <w:spacing w:after="0"/>
              <w:rPr>
                <w:sz w:val="20"/>
                <w:szCs w:val="20"/>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0" w:right="54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pursuant to Section 13(a) of the Exchange Act.</w:t>
      </w:r>
    </w:p>
    <w:p>
      <w:pPr>
        <w:sectPr>
          <w:pgSz w:w="11900" w:h="16838" w:orient="portrait"/>
          <w:cols w:equalWidth="0" w:num="1">
            <w:col w:w="11220"/>
          </w:cols>
          <w:pgMar w:left="320" w:top="121" w:right="359" w:bottom="1440" w:gutter="0" w:footer="0" w:header="0"/>
        </w:sectPr>
      </w:pP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Evergy, Inc.</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pacing w:after="0" w:line="142" w:lineRule="exact"/>
        <w:rPr>
          <w:sz w:val="20"/>
          <w:szCs w:val="20"/>
          <w:color w:val="auto"/>
        </w:rPr>
      </w:pPr>
    </w:p>
    <w:p>
      <w:pPr>
        <w:sectPr>
          <w:pgSz w:w="11900" w:h="16838" w:orient="portrait"/>
          <w:cols w:equalWidth="0" w:num="2">
            <w:col w:w="2460" w:space="720"/>
            <w:col w:w="8040"/>
          </w:cols>
          <w:pgMar w:left="320" w:top="121" w:right="359" w:bottom="1440" w:gutter="0" w:footer="0" w:header="0"/>
          <w:type w:val="continuous"/>
        </w:sectPr>
      </w:pP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Evergy Kansas Central,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2">
            <w:col w:w="2460" w:space="720"/>
            <w:col w:w="8040"/>
          </w:cols>
          <w:pgMar w:left="320" w:top="121" w:right="359" w:bottom="1440" w:gutter="0" w:footer="0" w:header="0"/>
          <w:type w:val="continuous"/>
        </w:sectPr>
      </w:pP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Evergy Metro,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3" w:lineRule="exact"/>
        <w:rPr>
          <w:sz w:val="20"/>
          <w:szCs w:val="20"/>
          <w:color w:val="auto"/>
        </w:rPr>
      </w:pPr>
    </w:p>
    <w:p>
      <w:pPr>
        <w:sectPr>
          <w:pgSz w:w="11900" w:h="16838" w:orient="portrait"/>
          <w:cols w:equalWidth="0" w:num="2">
            <w:col w:w="2460" w:space="720"/>
            <w:col w:w="8040"/>
          </w:cols>
          <w:pgMar w:left="320" w:top="121"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272"/>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bl>
    <w:p>
      <w:pPr>
        <w:spacing w:after="0" w:line="119"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On October 31, 2023, Evergy, Inc. had 229,720,757 shares of common stock outstanding. On October 31, 2023, Evergy Metro, Inc. and Evergy Kansas Central, Inc. each had one share of common stock outstanding and held by Evergy, Inc.</w:t>
      </w:r>
    </w:p>
    <w:p>
      <w:pPr>
        <w:spacing w:after="0" w:line="155" w:lineRule="exact"/>
        <w:rPr>
          <w:sz w:val="20"/>
          <w:szCs w:val="20"/>
          <w:color w:val="auto"/>
        </w:rPr>
      </w:pPr>
    </w:p>
    <w:p>
      <w:pPr>
        <w:ind w:left="20" w:right="580"/>
        <w:spacing w:after="0" w:line="245" w:lineRule="auto"/>
        <w:rPr>
          <w:sz w:val="20"/>
          <w:szCs w:val="20"/>
          <w:color w:val="auto"/>
        </w:rPr>
      </w:pPr>
      <w:r>
        <w:rPr>
          <w:rFonts w:ascii="Arial" w:cs="Arial" w:eastAsia="Arial" w:hAnsi="Arial"/>
          <w:sz w:val="16"/>
          <w:szCs w:val="16"/>
          <w:b w:val="1"/>
          <w:bCs w:val="1"/>
          <w:color w:val="auto"/>
        </w:rPr>
        <w:t>Evergy Kansas Central, Inc. and Evergy Metro, Inc. meet the conditions set forth in General Instruction (H)(1)(a) and (b) of Form 10-Q and are therefore filing this Form 10-Q with the reduced disclosure format.</w:t>
      </w:r>
    </w:p>
    <w:p>
      <w:pPr>
        <w:spacing w:after="0" w:line="242"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This combined Quarterly Report on Form 10-Q is provided by the following registrants: Evergy, Inc. (Evergy), Evergy Kansas Central, Inc. (Evergy Kansas Central) and Evergy Metro, Inc. (Evergy Metro) (collectively, the Evergy Companies). Information relating to any individual registrant is filed by such registrant solely on its own behalf. Each registrant makes no representation as to information relating exclusively to the other registrants.</w:t>
      </w:r>
    </w:p>
    <w:p>
      <w:pPr>
        <w:spacing w:after="0" w:line="184" w:lineRule="exact"/>
        <w:rPr>
          <w:sz w:val="20"/>
          <w:szCs w:val="20"/>
          <w:color w:val="auto"/>
        </w:rPr>
      </w:pPr>
    </w:p>
    <w:p>
      <w:pPr>
        <w:ind w:right="460"/>
        <w:spacing w:after="0" w:line="255" w:lineRule="auto"/>
        <w:rPr>
          <w:sz w:val="20"/>
          <w:szCs w:val="20"/>
          <w:color w:val="auto"/>
        </w:rPr>
      </w:pPr>
      <w:r>
        <w:rPr>
          <w:rFonts w:ascii="Arial" w:cs="Arial" w:eastAsia="Arial" w:hAnsi="Arial"/>
          <w:sz w:val="20"/>
          <w:szCs w:val="20"/>
          <w:color w:val="auto"/>
        </w:rPr>
        <w:t>This report should be read in its entirety. No one section of the report deals with all aspects of the subject matter. It should be read in conjunction with the consolidated financial statements and related notes and with the management's discussion and analysis of financial condition and results of operations included in the annual report on Form 10-K for the fiscal year ended December 31, 2022 for each of Evergy, Evergy Kansas Central and Evergy Metro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542925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gridSpan w:val="11"/>
          </w:tcPr>
          <w:p>
            <w:pPr>
              <w:jc w:val="center"/>
              <w:ind w:right="2580"/>
              <w:spacing w:after="0"/>
              <w:rPr>
                <w:sz w:val="20"/>
                <w:szCs w:val="20"/>
                <w:color w:val="auto"/>
              </w:rPr>
            </w:pPr>
            <w:r>
              <w:rPr>
                <w:rFonts w:ascii="Arial" w:cs="Arial" w:eastAsia="Arial" w:hAnsi="Arial"/>
                <w:sz w:val="18"/>
                <w:szCs w:val="18"/>
                <w:b w:val="1"/>
                <w:bCs w:val="1"/>
                <w:color w:val="auto"/>
                <w:w w:val="98"/>
              </w:rPr>
              <w:t>TABLE OF CONTENTS</w:t>
            </w:r>
          </w:p>
        </w:tc>
        <w:tc>
          <w:tcPr>
            <w:tcW w:w="1920" w:type="dxa"/>
            <w:vAlign w:val="bottom"/>
            <w:gridSpan w:val="6"/>
            <w:vMerge w:val="restart"/>
          </w:tcPr>
          <w:p>
            <w:pPr>
              <w:ind w:left="380"/>
              <w:spacing w:after="0"/>
              <w:rPr>
                <w:sz w:val="20"/>
                <w:szCs w:val="20"/>
                <w:color w:val="auto"/>
              </w:rPr>
            </w:pPr>
            <w:r>
              <w:rPr>
                <w:rFonts w:ascii="Arial" w:cs="Arial" w:eastAsia="Arial" w:hAnsi="Arial"/>
                <w:sz w:val="18"/>
                <w:szCs w:val="18"/>
                <w:b w:val="1"/>
                <w:bCs w:val="1"/>
                <w:color w:val="auto"/>
              </w:rPr>
              <w:t>Page Number</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240" w:type="dxa"/>
            <w:vAlign w:val="bottom"/>
            <w:gridSpan w:val="23"/>
          </w:tcPr>
          <w:p>
            <w:pPr>
              <w:spacing w:after="0"/>
              <w:rPr>
                <w:sz w:val="20"/>
                <w:szCs w:val="20"/>
                <w:color w:val="auto"/>
              </w:rPr>
            </w:pPr>
            <w:r>
              <w:rPr>
                <w:rFonts w:ascii="Arial" w:cs="Arial" w:eastAsia="Arial" w:hAnsi="Arial"/>
                <w:sz w:val="18"/>
                <w:szCs w:val="18"/>
                <w:color w:val="0000FF"/>
                <w:w w:val="91"/>
              </w:rPr>
              <w:t>Cautionary Statements Regarding Certain Forward-Looking Information</w:t>
            </w:r>
          </w:p>
        </w:tc>
        <w:tc>
          <w:tcPr>
            <w:tcW w:w="4020" w:type="dxa"/>
            <w:vAlign w:val="bottom"/>
            <w:gridSpan w:val="8"/>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Borders>
              <w:top w:val="single" w:sz="8" w:color="auto"/>
            </w:tcBorders>
            <w:gridSpan w:val="3"/>
          </w:tcPr>
          <w:p>
            <w:pPr>
              <w:jc w:val="center"/>
              <w:ind w:left="350"/>
              <w:spacing w:after="0"/>
              <w:rPr>
                <w:sz w:val="20"/>
                <w:szCs w:val="20"/>
                <w:color w:val="auto"/>
              </w:rPr>
            </w:pPr>
            <w:r>
              <w:rPr>
                <w:rFonts w:ascii="Arial" w:cs="Arial" w:eastAsia="Arial" w:hAnsi="Arial"/>
                <w:sz w:val="18"/>
                <w:szCs w:val="18"/>
                <w:color w:val="0000FF"/>
                <w:w w:val="79"/>
              </w:rPr>
              <w:t>4</w:t>
            </w:r>
          </w:p>
        </w:tc>
        <w:tc>
          <w:tcPr>
            <w:tcW w:w="4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2620" w:type="dxa"/>
            <w:vAlign w:val="bottom"/>
            <w:gridSpan w:val="11"/>
          </w:tcPr>
          <w:p>
            <w:pPr>
              <w:spacing w:after="0"/>
              <w:rPr>
                <w:sz w:val="20"/>
                <w:szCs w:val="20"/>
                <w:color w:val="auto"/>
              </w:rPr>
            </w:pPr>
            <w:r>
              <w:rPr>
                <w:rFonts w:ascii="Arial" w:cs="Arial" w:eastAsia="Arial" w:hAnsi="Arial"/>
                <w:sz w:val="18"/>
                <w:szCs w:val="18"/>
                <w:color w:val="0000FF"/>
              </w:rPr>
              <w:t>Glossary of Terms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Arial" w:cs="Arial" w:eastAsia="Arial" w:hAnsi="Arial"/>
                <w:sz w:val="18"/>
                <w:szCs w:val="18"/>
                <w:color w:val="0000FF"/>
                <w:w w:val="79"/>
              </w:rPr>
              <w:t>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2620" w:type="dxa"/>
            <w:vAlign w:val="bottom"/>
            <w:gridSpan w:val="11"/>
          </w:tcPr>
          <w:p>
            <w:pPr>
              <w:spacing w:after="0"/>
              <w:rPr>
                <w:sz w:val="20"/>
                <w:szCs w:val="20"/>
                <w:color w:val="auto"/>
              </w:rPr>
            </w:pPr>
            <w:r>
              <w:rPr>
                <w:rFonts w:ascii="Arial" w:cs="Arial" w:eastAsia="Arial" w:hAnsi="Arial"/>
                <w:sz w:val="18"/>
                <w:szCs w:val="18"/>
                <w:b w:val="1"/>
                <w:bCs w:val="1"/>
                <w:color w:val="0000FF"/>
              </w:rPr>
              <w:t>Part I - Financial Information</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080" w:type="dxa"/>
            <w:vAlign w:val="bottom"/>
            <w:gridSpan w:val="29"/>
          </w:tcPr>
          <w:p>
            <w:pPr>
              <w:spacing w:after="0"/>
              <w:rPr>
                <w:sz w:val="20"/>
                <w:szCs w:val="20"/>
                <w:color w:val="auto"/>
              </w:rPr>
            </w:pPr>
            <w:r>
              <w:rPr>
                <w:rFonts w:ascii="Arial" w:cs="Arial" w:eastAsia="Arial" w:hAnsi="Arial"/>
                <w:sz w:val="18"/>
                <w:szCs w:val="18"/>
                <w:color w:val="0000FF"/>
              </w:rPr>
              <w:t>Financial Statements</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89"/>
              </w:rPr>
              <w:t>Evergy, Inc.</w:t>
            </w:r>
          </w:p>
        </w:tc>
        <w:tc>
          <w:tcPr>
            <w:tcW w:w="520" w:type="dxa"/>
            <w:vAlign w:val="bottom"/>
            <w:tcBorders>
              <w:top w:val="single" w:sz="8" w:color="0000FF"/>
            </w:tcBorders>
            <w:gridSpan w:val="4"/>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4"/>
          </w:tcPr>
          <w:p>
            <w:pPr>
              <w:spacing w:after="0"/>
              <w:rPr>
                <w:sz w:val="20"/>
                <w:szCs w:val="20"/>
                <w:color w:val="auto"/>
              </w:rPr>
            </w:pPr>
            <w:r>
              <w:rPr>
                <w:rFonts w:ascii="Arial" w:cs="Arial" w:eastAsia="Arial" w:hAnsi="Arial"/>
                <w:sz w:val="18"/>
                <w:szCs w:val="18"/>
                <w:color w:val="0000FF"/>
                <w:w w:val="88"/>
              </w:rPr>
              <w:t>Unaudited Consolidated Balance Sheets</w:t>
            </w:r>
          </w:p>
        </w:tc>
        <w:tc>
          <w:tcPr>
            <w:tcW w:w="5040" w:type="dxa"/>
            <w:vAlign w:val="bottom"/>
            <w:gridSpan w:val="13"/>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Arial" w:cs="Arial" w:eastAsia="Arial" w:hAnsi="Arial"/>
                <w:sz w:val="18"/>
                <w:szCs w:val="18"/>
                <w:color w:val="0000FF"/>
                <w:w w:val="79"/>
              </w:rPr>
              <w:t>8</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3"/>
          </w:tcPr>
          <w:p>
            <w:pPr>
              <w:spacing w:after="0"/>
              <w:rPr>
                <w:sz w:val="20"/>
                <w:szCs w:val="20"/>
                <w:color w:val="auto"/>
              </w:rPr>
            </w:pPr>
            <w:r>
              <w:rPr>
                <w:rFonts w:ascii="Arial" w:cs="Arial" w:eastAsia="Arial" w:hAnsi="Arial"/>
                <w:sz w:val="18"/>
                <w:szCs w:val="18"/>
                <w:color w:val="0000FF"/>
                <w:w w:val="89"/>
              </w:rPr>
              <w:t>Unaudited Consolidated Statements of Comprehensive Income</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10</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0000FF"/>
                <w:w w:val="89"/>
              </w:rPr>
              <w:t>Unaudited Consolidated Statements of Cash Flows</w:t>
            </w:r>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Arial" w:cs="Arial" w:eastAsia="Arial" w:hAnsi="Arial"/>
                <w:sz w:val="18"/>
                <w:szCs w:val="18"/>
                <w:color w:val="0000FF"/>
                <w:w w:val="79"/>
              </w:rPr>
              <w:t>11</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7"/>
          </w:tcPr>
          <w:p>
            <w:pPr>
              <w:spacing w:after="0"/>
              <w:rPr>
                <w:sz w:val="20"/>
                <w:szCs w:val="20"/>
                <w:color w:val="auto"/>
              </w:rPr>
            </w:pPr>
            <w:r>
              <w:rPr>
                <w:rFonts w:ascii="Arial" w:cs="Arial" w:eastAsia="Arial" w:hAnsi="Arial"/>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12</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29"/>
          </w:tcPr>
          <w:p>
            <w:pPr>
              <w:spacing w:after="0"/>
              <w:rPr>
                <w:sz w:val="20"/>
                <w:szCs w:val="20"/>
                <w:color w:val="auto"/>
              </w:rPr>
            </w:pPr>
            <w:r>
              <w:rPr>
                <w:rFonts w:ascii="Arial" w:cs="Arial" w:eastAsia="Arial" w:hAnsi="Arial"/>
                <w:sz w:val="18"/>
                <w:szCs w:val="18"/>
                <w:b w:val="1"/>
                <w:bCs w:val="1"/>
                <w:color w:val="0000FF"/>
              </w:rPr>
              <w:t>Evergy Kansas Central, Inc.</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4"/>
          </w:tcPr>
          <w:p>
            <w:pPr>
              <w:spacing w:after="0"/>
              <w:rPr>
                <w:sz w:val="20"/>
                <w:szCs w:val="20"/>
                <w:color w:val="auto"/>
              </w:rPr>
            </w:pPr>
            <w:r>
              <w:rPr>
                <w:rFonts w:ascii="Arial" w:cs="Arial" w:eastAsia="Arial" w:hAnsi="Arial"/>
                <w:sz w:val="18"/>
                <w:szCs w:val="18"/>
                <w:color w:val="0000FF"/>
                <w:w w:val="88"/>
              </w:rPr>
              <w:t>Unaudited Consolidated Balance Sheets</w:t>
            </w:r>
          </w:p>
        </w:tc>
        <w:tc>
          <w:tcPr>
            <w:tcW w:w="5040" w:type="dxa"/>
            <w:vAlign w:val="bottom"/>
            <w:gridSpan w:val="13"/>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14</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17"/>
          </w:tcPr>
          <w:p>
            <w:pPr>
              <w:spacing w:after="0"/>
              <w:rPr>
                <w:sz w:val="20"/>
                <w:szCs w:val="20"/>
                <w:color w:val="auto"/>
              </w:rPr>
            </w:pPr>
            <w:r>
              <w:rPr>
                <w:rFonts w:ascii="Arial" w:cs="Arial" w:eastAsia="Arial" w:hAnsi="Arial"/>
                <w:sz w:val="18"/>
                <w:szCs w:val="18"/>
                <w:color w:val="0000FF"/>
                <w:w w:val="88"/>
              </w:rPr>
              <w:t>Unaudited Consolidated Statements of Income</w:t>
            </w:r>
          </w:p>
        </w:tc>
        <w:tc>
          <w:tcPr>
            <w:tcW w:w="4600" w:type="dxa"/>
            <w:vAlign w:val="bottom"/>
            <w:gridSpan w:val="10"/>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16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0000FF"/>
                <w:w w:val="89"/>
              </w:rPr>
              <w:t>Unaudited Consolidated Statements of Cash Flows</w:t>
            </w:r>
          </w:p>
        </w:tc>
        <w:tc>
          <w:tcPr>
            <w:tcW w:w="4260" w:type="dxa"/>
            <w:vAlign w:val="bottom"/>
            <w:gridSpan w:val="9"/>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17</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7"/>
          </w:tcPr>
          <w:p>
            <w:pPr>
              <w:spacing w:after="0"/>
              <w:rPr>
                <w:sz w:val="20"/>
                <w:szCs w:val="20"/>
                <w:color w:val="auto"/>
              </w:rPr>
            </w:pPr>
            <w:r>
              <w:rPr>
                <w:rFonts w:ascii="Arial" w:cs="Arial" w:eastAsia="Arial" w:hAnsi="Arial"/>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18</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29"/>
          </w:tcPr>
          <w:p>
            <w:pPr>
              <w:spacing w:after="0"/>
              <w:rPr>
                <w:sz w:val="20"/>
                <w:szCs w:val="20"/>
                <w:color w:val="auto"/>
              </w:rPr>
            </w:pPr>
            <w:r>
              <w:rPr>
                <w:rFonts w:ascii="Arial" w:cs="Arial" w:eastAsia="Arial" w:hAnsi="Arial"/>
                <w:sz w:val="18"/>
                <w:szCs w:val="18"/>
                <w:b w:val="1"/>
                <w:bCs w:val="1"/>
                <w:color w:val="0000FF"/>
              </w:rPr>
              <w:t>Evergy Metro, Inc.</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4"/>
          </w:tcPr>
          <w:p>
            <w:pPr>
              <w:spacing w:after="0"/>
              <w:rPr>
                <w:sz w:val="20"/>
                <w:szCs w:val="20"/>
                <w:color w:val="auto"/>
              </w:rPr>
            </w:pPr>
            <w:r>
              <w:rPr>
                <w:rFonts w:ascii="Arial" w:cs="Arial" w:eastAsia="Arial" w:hAnsi="Arial"/>
                <w:sz w:val="18"/>
                <w:szCs w:val="18"/>
                <w:color w:val="0000FF"/>
                <w:w w:val="88"/>
              </w:rPr>
              <w:t>Unaudited Consolidated Balance Sheets</w:t>
            </w:r>
          </w:p>
        </w:tc>
        <w:tc>
          <w:tcPr>
            <w:tcW w:w="5040" w:type="dxa"/>
            <w:vAlign w:val="bottom"/>
            <w:gridSpan w:val="13"/>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19</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3"/>
          </w:tcPr>
          <w:p>
            <w:pPr>
              <w:spacing w:after="0"/>
              <w:rPr>
                <w:sz w:val="20"/>
                <w:szCs w:val="20"/>
                <w:color w:val="auto"/>
              </w:rPr>
            </w:pPr>
            <w:r>
              <w:rPr>
                <w:rFonts w:ascii="Arial" w:cs="Arial" w:eastAsia="Arial" w:hAnsi="Arial"/>
                <w:sz w:val="18"/>
                <w:szCs w:val="18"/>
                <w:color w:val="0000FF"/>
                <w:w w:val="89"/>
              </w:rPr>
              <w:t>Unaudited Consolidated Statements of Comprehensive Income</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21</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0000FF"/>
                <w:w w:val="89"/>
              </w:rPr>
              <w:t>Unaudited Consolidated Statements of Cash Flows</w:t>
            </w:r>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22</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7"/>
          </w:tcPr>
          <w:p>
            <w:pPr>
              <w:spacing w:after="0"/>
              <w:rPr>
                <w:sz w:val="20"/>
                <w:szCs w:val="20"/>
                <w:color w:val="auto"/>
              </w:rPr>
            </w:pPr>
            <w:r>
              <w:rPr>
                <w:rFonts w:ascii="Arial" w:cs="Arial" w:eastAsia="Arial" w:hAnsi="Arial"/>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23</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80" w:type="dxa"/>
            <w:vAlign w:val="bottom"/>
            <w:gridSpan w:val="29"/>
          </w:tcPr>
          <w:p>
            <w:pPr>
              <w:spacing w:after="0"/>
              <w:rPr>
                <w:sz w:val="20"/>
                <w:szCs w:val="20"/>
                <w:color w:val="auto"/>
              </w:rPr>
            </w:pPr>
            <w:r>
              <w:rPr>
                <w:rFonts w:ascii="Arial" w:cs="Arial" w:eastAsia="Arial" w:hAnsi="Arial"/>
                <w:sz w:val="18"/>
                <w:szCs w:val="18"/>
                <w:color w:val="0000FF"/>
                <w:w w:val="94"/>
              </w:rPr>
              <w:t>Combined Notes to Unaudited Consolidated Financial Statements for Evergy, Inc., Evergy Kansas Central,</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24</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540" w:type="dxa"/>
            <w:vAlign w:val="bottom"/>
            <w:tcBorders>
              <w:top w:val="single" w:sz="8" w:color="0000FF"/>
            </w:tcBorders>
            <w:gridSpan w:val="26"/>
          </w:tcPr>
          <w:p>
            <w:pPr>
              <w:spacing w:after="0" w:line="156" w:lineRule="exact"/>
              <w:rPr>
                <w:sz w:val="20"/>
                <w:szCs w:val="20"/>
                <w:color w:val="auto"/>
              </w:rPr>
            </w:pPr>
            <w:r>
              <w:rPr>
                <w:rFonts w:ascii="Arial" w:cs="Arial" w:eastAsia="Arial" w:hAnsi="Arial"/>
                <w:sz w:val="18"/>
                <w:szCs w:val="18"/>
                <w:color w:val="0000FF"/>
              </w:rPr>
              <w:t>Inc. and Evergy Metro, Inc.</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w:t>
            </w:r>
          </w:p>
        </w:tc>
        <w:tc>
          <w:tcPr>
            <w:tcW w:w="2800" w:type="dxa"/>
            <w:vAlign w:val="bottom"/>
            <w:gridSpan w:val="13"/>
          </w:tcPr>
          <w:p>
            <w:pPr>
              <w:spacing w:after="0"/>
              <w:rPr>
                <w:sz w:val="20"/>
                <w:szCs w:val="20"/>
                <w:color w:val="auto"/>
              </w:rPr>
            </w:pPr>
            <w:r>
              <w:rPr>
                <w:rFonts w:ascii="Arial" w:cs="Arial" w:eastAsia="Arial" w:hAnsi="Arial"/>
                <w:sz w:val="18"/>
                <w:szCs w:val="18"/>
                <w:color w:val="0000FF"/>
                <w:w w:val="88"/>
              </w:rPr>
              <w:t>Organization and Basis of Presentation</w:t>
            </w:r>
          </w:p>
        </w:tc>
        <w:tc>
          <w:tcPr>
            <w:tcW w:w="3840" w:type="dxa"/>
            <w:vAlign w:val="bottom"/>
            <w:gridSpan w:val="7"/>
          </w:tcPr>
          <w:p>
            <w:pPr>
              <w:spacing w:after="0"/>
              <w:rPr>
                <w:sz w:val="19"/>
                <w:szCs w:val="19"/>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24</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2:</w:t>
            </w:r>
          </w:p>
        </w:tc>
        <w:tc>
          <w:tcPr>
            <w:tcW w:w="620" w:type="dxa"/>
            <w:vAlign w:val="bottom"/>
            <w:gridSpan w:val="3"/>
          </w:tcPr>
          <w:p>
            <w:pPr>
              <w:spacing w:after="0"/>
              <w:rPr>
                <w:sz w:val="20"/>
                <w:szCs w:val="20"/>
                <w:color w:val="auto"/>
              </w:rPr>
            </w:pPr>
            <w:r>
              <w:rPr>
                <w:rFonts w:ascii="Arial" w:cs="Arial" w:eastAsia="Arial" w:hAnsi="Arial"/>
                <w:sz w:val="18"/>
                <w:szCs w:val="18"/>
                <w:color w:val="0000FF"/>
                <w:w w:val="83"/>
              </w:rPr>
              <w:t>Revenue</w:t>
            </w:r>
          </w:p>
        </w:tc>
        <w:tc>
          <w:tcPr>
            <w:tcW w:w="2180" w:type="dxa"/>
            <w:vAlign w:val="bottom"/>
            <w:gridSpan w:val="10"/>
          </w:tcPr>
          <w:p>
            <w:pPr>
              <w:spacing w:after="0"/>
              <w:rPr>
                <w:sz w:val="18"/>
                <w:szCs w:val="18"/>
                <w:color w:val="auto"/>
              </w:rPr>
            </w:pPr>
          </w:p>
        </w:tc>
        <w:tc>
          <w:tcPr>
            <w:tcW w:w="3840" w:type="dxa"/>
            <w:vAlign w:val="bottom"/>
            <w:gridSpan w:val="7"/>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29</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3:</w:t>
            </w:r>
          </w:p>
        </w:tc>
        <w:tc>
          <w:tcPr>
            <w:tcW w:w="860" w:type="dxa"/>
            <w:vAlign w:val="bottom"/>
            <w:gridSpan w:val="5"/>
          </w:tcPr>
          <w:p>
            <w:pPr>
              <w:spacing w:after="0"/>
              <w:rPr>
                <w:sz w:val="20"/>
                <w:szCs w:val="20"/>
                <w:color w:val="auto"/>
              </w:rPr>
            </w:pPr>
            <w:r>
              <w:rPr>
                <w:rFonts w:ascii="Arial" w:cs="Arial" w:eastAsia="Arial" w:hAnsi="Arial"/>
                <w:sz w:val="18"/>
                <w:szCs w:val="18"/>
                <w:color w:val="0000FF"/>
                <w:w w:val="83"/>
              </w:rPr>
              <w:t>Receivables</w:t>
            </w:r>
          </w:p>
        </w:tc>
        <w:tc>
          <w:tcPr>
            <w:tcW w:w="5780" w:type="dxa"/>
            <w:vAlign w:val="bottom"/>
            <w:gridSpan w:val="15"/>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30</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4:</w:t>
            </w:r>
          </w:p>
        </w:tc>
        <w:tc>
          <w:tcPr>
            <w:tcW w:w="6640" w:type="dxa"/>
            <w:vAlign w:val="bottom"/>
            <w:gridSpan w:val="20"/>
          </w:tcPr>
          <w:p>
            <w:pPr>
              <w:spacing w:after="0"/>
              <w:rPr>
                <w:sz w:val="20"/>
                <w:szCs w:val="20"/>
                <w:color w:val="auto"/>
              </w:rPr>
            </w:pPr>
            <w:r>
              <w:rPr>
                <w:rFonts w:ascii="Arial" w:cs="Arial" w:eastAsia="Arial" w:hAnsi="Arial"/>
                <w:sz w:val="18"/>
                <w:szCs w:val="18"/>
                <w:color w:val="0000FF"/>
              </w:rPr>
              <w:t>Rate Matters and Regulation</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32</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5:</w:t>
            </w:r>
          </w:p>
        </w:tc>
        <w:tc>
          <w:tcPr>
            <w:tcW w:w="2040" w:type="dxa"/>
            <w:vAlign w:val="bottom"/>
            <w:gridSpan w:val="10"/>
          </w:tcPr>
          <w:p>
            <w:pPr>
              <w:spacing w:after="0"/>
              <w:rPr>
                <w:sz w:val="20"/>
                <w:szCs w:val="20"/>
                <w:color w:val="auto"/>
              </w:rPr>
            </w:pPr>
            <w:r>
              <w:rPr>
                <w:rFonts w:ascii="Arial" w:cs="Arial" w:eastAsia="Arial" w:hAnsi="Arial"/>
                <w:sz w:val="18"/>
                <w:szCs w:val="18"/>
                <w:color w:val="0000FF"/>
              </w:rPr>
              <w:t>Goodwill</w:t>
            </w:r>
          </w:p>
        </w:tc>
        <w:tc>
          <w:tcPr>
            <w:tcW w:w="4600" w:type="dxa"/>
            <w:vAlign w:val="bottom"/>
            <w:gridSpan w:val="10"/>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34</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6:</w:t>
            </w:r>
          </w:p>
        </w:tc>
        <w:tc>
          <w:tcPr>
            <w:tcW w:w="3160" w:type="dxa"/>
            <w:vAlign w:val="bottom"/>
            <w:gridSpan w:val="15"/>
          </w:tcPr>
          <w:p>
            <w:pPr>
              <w:spacing w:after="0"/>
              <w:rPr>
                <w:sz w:val="20"/>
                <w:szCs w:val="20"/>
                <w:color w:val="auto"/>
              </w:rPr>
            </w:pPr>
            <w:r>
              <w:rPr>
                <w:rFonts w:ascii="Arial" w:cs="Arial" w:eastAsia="Arial" w:hAnsi="Arial"/>
                <w:sz w:val="18"/>
                <w:szCs w:val="18"/>
                <w:color w:val="0000FF"/>
                <w:w w:val="88"/>
              </w:rPr>
              <w:t>Pension Plans and Post-Retirement Benefits</w:t>
            </w:r>
          </w:p>
        </w:tc>
        <w:tc>
          <w:tcPr>
            <w:tcW w:w="3480" w:type="dxa"/>
            <w:vAlign w:val="bottom"/>
            <w:gridSpan w:val="5"/>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35</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7:</w:t>
            </w:r>
          </w:p>
        </w:tc>
        <w:tc>
          <w:tcPr>
            <w:tcW w:w="6640" w:type="dxa"/>
            <w:vAlign w:val="bottom"/>
            <w:gridSpan w:val="20"/>
          </w:tcPr>
          <w:p>
            <w:pPr>
              <w:spacing w:after="0"/>
              <w:rPr>
                <w:sz w:val="20"/>
                <w:szCs w:val="20"/>
                <w:color w:val="auto"/>
              </w:rPr>
            </w:pPr>
            <w:r>
              <w:rPr>
                <w:rFonts w:ascii="Arial" w:cs="Arial" w:eastAsia="Arial" w:hAnsi="Arial"/>
                <w:sz w:val="18"/>
                <w:szCs w:val="18"/>
                <w:color w:val="0000FF"/>
              </w:rPr>
              <w:t>Short-Term Borrowings and Short-Term Bank Lines of Credit</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37</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8:</w:t>
            </w:r>
          </w:p>
        </w:tc>
        <w:tc>
          <w:tcPr>
            <w:tcW w:w="1200" w:type="dxa"/>
            <w:vAlign w:val="bottom"/>
            <w:gridSpan w:val="6"/>
          </w:tcPr>
          <w:p>
            <w:pPr>
              <w:spacing w:after="0"/>
              <w:rPr>
                <w:sz w:val="20"/>
                <w:szCs w:val="20"/>
                <w:color w:val="auto"/>
              </w:rPr>
            </w:pPr>
            <w:r>
              <w:rPr>
                <w:rFonts w:ascii="Arial" w:cs="Arial" w:eastAsia="Arial" w:hAnsi="Arial"/>
                <w:sz w:val="18"/>
                <w:szCs w:val="18"/>
                <w:color w:val="0000FF"/>
                <w:w w:val="90"/>
              </w:rPr>
              <w:t>Long-Term Debt</w:t>
            </w:r>
          </w:p>
        </w:tc>
        <w:tc>
          <w:tcPr>
            <w:tcW w:w="3240" w:type="dxa"/>
            <w:vAlign w:val="bottom"/>
            <w:gridSpan w:val="11"/>
          </w:tcPr>
          <w:p>
            <w:pPr>
              <w:spacing w:after="0"/>
              <w:rPr>
                <w:sz w:val="18"/>
                <w:szCs w:val="18"/>
                <w:color w:val="auto"/>
              </w:rPr>
            </w:pPr>
          </w:p>
        </w:tc>
        <w:tc>
          <w:tcPr>
            <w:tcW w:w="2200" w:type="dxa"/>
            <w:vAlign w:val="bottom"/>
            <w:gridSpan w:val="3"/>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38</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9:</w:t>
            </w:r>
          </w:p>
        </w:tc>
        <w:tc>
          <w:tcPr>
            <w:tcW w:w="1640" w:type="dxa"/>
            <w:vAlign w:val="bottom"/>
            <w:gridSpan w:val="8"/>
          </w:tcPr>
          <w:p>
            <w:pPr>
              <w:spacing w:after="0"/>
              <w:rPr>
                <w:sz w:val="20"/>
                <w:szCs w:val="20"/>
                <w:color w:val="auto"/>
              </w:rPr>
            </w:pPr>
            <w:r>
              <w:rPr>
                <w:rFonts w:ascii="Arial" w:cs="Arial" w:eastAsia="Arial" w:hAnsi="Arial"/>
                <w:sz w:val="18"/>
                <w:szCs w:val="18"/>
                <w:color w:val="0000FF"/>
                <w:w w:val="90"/>
              </w:rPr>
              <w:t>Derivative Instruments</w:t>
            </w:r>
          </w:p>
        </w:tc>
        <w:tc>
          <w:tcPr>
            <w:tcW w:w="5000" w:type="dxa"/>
            <w:vAlign w:val="bottom"/>
            <w:gridSpan w:val="1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38</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10:</w:t>
            </w:r>
          </w:p>
        </w:tc>
        <w:tc>
          <w:tcPr>
            <w:tcW w:w="6640" w:type="dxa"/>
            <w:vAlign w:val="bottom"/>
            <w:gridSpan w:val="20"/>
          </w:tcPr>
          <w:p>
            <w:pPr>
              <w:spacing w:after="0"/>
              <w:rPr>
                <w:sz w:val="20"/>
                <w:szCs w:val="20"/>
                <w:color w:val="auto"/>
              </w:rPr>
            </w:pPr>
            <w:r>
              <w:rPr>
                <w:rFonts w:ascii="Arial" w:cs="Arial" w:eastAsia="Arial" w:hAnsi="Arial"/>
                <w:sz w:val="18"/>
                <w:szCs w:val="18"/>
                <w:color w:val="0000FF"/>
              </w:rPr>
              <w:t>Fair Value Measurements</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42</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96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11:</w:t>
            </w:r>
          </w:p>
        </w:tc>
        <w:tc>
          <w:tcPr>
            <w:tcW w:w="6640" w:type="dxa"/>
            <w:vAlign w:val="bottom"/>
            <w:gridSpan w:val="20"/>
          </w:tcPr>
          <w:p>
            <w:pPr>
              <w:spacing w:after="0"/>
              <w:rPr>
                <w:sz w:val="20"/>
                <w:szCs w:val="20"/>
                <w:color w:val="auto"/>
              </w:rPr>
            </w:pPr>
            <w:r>
              <w:rPr>
                <w:rFonts w:ascii="Arial" w:cs="Arial" w:eastAsia="Arial" w:hAnsi="Arial"/>
                <w:sz w:val="18"/>
                <w:szCs w:val="18"/>
                <w:color w:val="0000FF"/>
              </w:rPr>
              <w:t>Commitments and Contingencies</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48</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520" w:type="dxa"/>
            <w:vAlign w:val="bottom"/>
            <w:tcBorders>
              <w:left w:val="single" w:sz="8" w:color="0000FF"/>
            </w:tcBorders>
            <w:gridSpan w:val="6"/>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12:</w:t>
            </w:r>
          </w:p>
        </w:tc>
        <w:tc>
          <w:tcPr>
            <w:tcW w:w="6640" w:type="dxa"/>
            <w:vAlign w:val="bottom"/>
            <w:gridSpan w:val="20"/>
          </w:tcPr>
          <w:p>
            <w:pPr>
              <w:spacing w:after="0"/>
              <w:rPr>
                <w:sz w:val="20"/>
                <w:szCs w:val="20"/>
                <w:color w:val="auto"/>
              </w:rPr>
            </w:pPr>
            <w:r>
              <w:rPr>
                <w:rFonts w:ascii="Arial" w:cs="Arial" w:eastAsia="Arial" w:hAnsi="Arial"/>
                <w:sz w:val="18"/>
                <w:szCs w:val="18"/>
                <w:color w:val="0000FF"/>
              </w:rPr>
              <w:t>Related Party Transactions and Relationships</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51</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40" w:type="dxa"/>
            <w:vAlign w:val="bottom"/>
            <w:tcBorders>
              <w:left w:val="single" w:sz="8" w:color="0000FF"/>
            </w:tcBorders>
            <w:gridSpan w:val="9"/>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13:</w:t>
            </w:r>
          </w:p>
        </w:tc>
        <w:tc>
          <w:tcPr>
            <w:tcW w:w="3240" w:type="dxa"/>
            <w:vAlign w:val="bottom"/>
            <w:gridSpan w:val="16"/>
          </w:tcPr>
          <w:p>
            <w:pPr>
              <w:spacing w:after="0"/>
              <w:rPr>
                <w:sz w:val="20"/>
                <w:szCs w:val="20"/>
                <w:color w:val="auto"/>
              </w:rPr>
            </w:pPr>
            <w:r>
              <w:rPr>
                <w:rFonts w:ascii="Arial" w:cs="Arial" w:eastAsia="Arial" w:hAnsi="Arial"/>
                <w:sz w:val="18"/>
                <w:szCs w:val="18"/>
                <w:color w:val="0000FF"/>
              </w:rPr>
              <w:t>Taxes</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53</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2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1640" w:type="dxa"/>
            <w:vAlign w:val="bottom"/>
            <w:gridSpan w:val="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55</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23"/>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00" w:type="dxa"/>
            <w:vAlign w:val="bottom"/>
            <w:gridSpan w:val="4"/>
          </w:tcPr>
          <w:p>
            <w:pPr>
              <w:spacing w:after="0"/>
              <w:rPr>
                <w:sz w:val="18"/>
                <w:szCs w:val="18"/>
                <w:color w:val="auto"/>
              </w:rPr>
            </w:pPr>
          </w:p>
        </w:tc>
        <w:tc>
          <w:tcPr>
            <w:tcW w:w="1640" w:type="dxa"/>
            <w:vAlign w:val="bottom"/>
            <w:gridSpan w:val="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74</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040" w:type="dxa"/>
            <w:vAlign w:val="bottom"/>
            <w:tcBorders>
              <w:left w:val="single" w:sz="8" w:color="0000FF"/>
            </w:tcBorders>
            <w:gridSpan w:val="9"/>
            <w:shd w:val="clear" w:color="auto" w:fill="0000FF"/>
          </w:tcPr>
          <w:p>
            <w:pPr>
              <w:spacing w:after="0" w:line="20" w:lineRule="exact"/>
              <w:rPr>
                <w:sz w:val="1"/>
                <w:szCs w:val="1"/>
                <w:color w:val="auto"/>
              </w:rPr>
            </w:pPr>
          </w:p>
        </w:tc>
        <w:tc>
          <w:tcPr>
            <w:tcW w:w="3740" w:type="dxa"/>
            <w:vAlign w:val="bottom"/>
            <w:tcBorders>
              <w:left w:val="single" w:sz="8" w:color="0000FF"/>
            </w:tcBorders>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23"/>
          </w:tcPr>
          <w:p>
            <w:pPr>
              <w:spacing w:after="0"/>
              <w:rPr>
                <w:sz w:val="20"/>
                <w:szCs w:val="20"/>
                <w:color w:val="auto"/>
              </w:rPr>
            </w:pPr>
            <w:r>
              <w:rPr>
                <w:rFonts w:ascii="Arial" w:cs="Arial" w:eastAsia="Arial" w:hAnsi="Arial"/>
                <w:sz w:val="18"/>
                <w:szCs w:val="18"/>
                <w:color w:val="0000FF"/>
              </w:rPr>
              <w:t>Controls and Procedures</w:t>
            </w:r>
          </w:p>
        </w:tc>
        <w:tc>
          <w:tcPr>
            <w:tcW w:w="3740" w:type="dxa"/>
            <w:vAlign w:val="bottom"/>
            <w:gridSpan w:val="6"/>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75</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21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b w:val="1"/>
                <w:bCs w:val="1"/>
                <w:color w:val="0000FF"/>
                <w:w w:val="96"/>
              </w:rPr>
              <w:t>Part II - Other Information</w:t>
            </w:r>
          </w:p>
        </w:tc>
        <w:tc>
          <w:tcPr>
            <w:tcW w:w="50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40" w:type="dxa"/>
            <w:vAlign w:val="bottom"/>
            <w:gridSpan w:val="9"/>
          </w:tcPr>
          <w:p>
            <w:pPr>
              <w:spacing w:after="0"/>
              <w:rPr>
                <w:sz w:val="20"/>
                <w:szCs w:val="20"/>
                <w:color w:val="auto"/>
              </w:rPr>
            </w:pPr>
            <w:r>
              <w:rPr>
                <w:rFonts w:ascii="Arial" w:cs="Arial" w:eastAsia="Arial" w:hAnsi="Arial"/>
                <w:sz w:val="18"/>
                <w:szCs w:val="18"/>
                <w:color w:val="0000FF"/>
                <w:w w:val="93"/>
              </w:rPr>
              <w:t>Legal Proceedings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75</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sz w:val="20"/>
                <w:szCs w:val="20"/>
                <w:color w:val="auto"/>
              </w:rPr>
            </w:pPr>
            <w:r>
              <w:rPr>
                <w:rFonts w:ascii="Arial" w:cs="Arial" w:eastAsia="Arial" w:hAnsi="Arial"/>
                <w:sz w:val="18"/>
                <w:szCs w:val="18"/>
                <w:color w:val="0000FF"/>
                <w:w w:val="87"/>
              </w:rPr>
              <w:t>Risk Factors</w:t>
            </w:r>
          </w:p>
        </w:tc>
        <w:tc>
          <w:tcPr>
            <w:tcW w:w="40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76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080" w:type="dxa"/>
            <w:vAlign w:val="bottom"/>
            <w:gridSpan w:val="2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76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00" w:type="dxa"/>
            <w:vAlign w:val="bottom"/>
            <w:gridSpan w:val="14"/>
          </w:tcPr>
          <w:p>
            <w:pPr>
              <w:spacing w:after="0"/>
              <w:rPr>
                <w:sz w:val="20"/>
                <w:szCs w:val="20"/>
                <w:color w:val="auto"/>
              </w:rPr>
            </w:pPr>
            <w:r>
              <w:rPr>
                <w:rFonts w:ascii="Arial" w:cs="Arial" w:eastAsia="Arial" w:hAnsi="Arial"/>
                <w:sz w:val="18"/>
                <w:szCs w:val="18"/>
                <w:color w:val="0000FF"/>
                <w:w w:val="88"/>
              </w:rPr>
              <w:t>Defaults Upon Senior Securities</w:t>
            </w:r>
          </w:p>
        </w:tc>
        <w:tc>
          <w:tcPr>
            <w:tcW w:w="2040" w:type="dxa"/>
            <w:vAlign w:val="bottom"/>
            <w:gridSpan w:val="9"/>
          </w:tcPr>
          <w:p>
            <w:pPr>
              <w:spacing w:after="0"/>
              <w:rPr>
                <w:sz w:val="18"/>
                <w:szCs w:val="18"/>
                <w:color w:val="auto"/>
              </w:rPr>
            </w:pPr>
          </w:p>
        </w:tc>
        <w:tc>
          <w:tcPr>
            <w:tcW w:w="3740" w:type="dxa"/>
            <w:vAlign w:val="bottom"/>
            <w:gridSpan w:val="6"/>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76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00" w:type="dxa"/>
            <w:vAlign w:val="bottom"/>
            <w:gridSpan w:val="14"/>
          </w:tcPr>
          <w:p>
            <w:pPr>
              <w:spacing w:after="0"/>
              <w:rPr>
                <w:sz w:val="20"/>
                <w:szCs w:val="20"/>
                <w:color w:val="auto"/>
              </w:rPr>
            </w:pPr>
            <w:r>
              <w:rPr>
                <w:rFonts w:ascii="Arial" w:cs="Arial" w:eastAsia="Arial" w:hAnsi="Arial"/>
                <w:sz w:val="18"/>
                <w:szCs w:val="18"/>
                <w:color w:val="0000FF"/>
              </w:rPr>
              <w:t>Mine Safety Disclosures</w:t>
            </w:r>
          </w:p>
        </w:tc>
        <w:tc>
          <w:tcPr>
            <w:tcW w:w="5780" w:type="dxa"/>
            <w:vAlign w:val="bottom"/>
            <w:gridSpan w:val="15"/>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76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40" w:type="dxa"/>
            <w:vAlign w:val="bottom"/>
            <w:gridSpan w:val="9"/>
          </w:tcPr>
          <w:p>
            <w:pPr>
              <w:spacing w:after="0"/>
              <w:rPr>
                <w:sz w:val="20"/>
                <w:szCs w:val="20"/>
                <w:color w:val="auto"/>
              </w:rPr>
            </w:pPr>
            <w:r>
              <w:rPr>
                <w:rFonts w:ascii="Arial" w:cs="Arial" w:eastAsia="Arial" w:hAnsi="Arial"/>
                <w:sz w:val="18"/>
                <w:szCs w:val="18"/>
                <w:color w:val="0000FF"/>
                <w:w w:val="99"/>
              </w:rPr>
              <w:t>Other Information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76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3"/>
          </w:tcPr>
          <w:p>
            <w:pPr>
              <w:spacing w:after="0"/>
              <w:rPr>
                <w:sz w:val="20"/>
                <w:szCs w:val="20"/>
                <w:color w:val="auto"/>
              </w:rPr>
            </w:pPr>
            <w:r>
              <w:rPr>
                <w:rFonts w:ascii="Arial" w:cs="Arial" w:eastAsia="Arial" w:hAnsi="Arial"/>
                <w:sz w:val="18"/>
                <w:szCs w:val="18"/>
                <w:color w:val="0000FF"/>
                <w:w w:val="91"/>
              </w:rPr>
              <w:t>Exhibits</w:t>
            </w:r>
          </w:p>
        </w:tc>
        <w:tc>
          <w:tcPr>
            <w:tcW w:w="70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78</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80</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4"/>
        </w:trPr>
        <w:tc>
          <w:tcPr>
            <w:tcW w:w="6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15"/>
          </w:tcPr>
          <w:p>
            <w:pPr>
              <w:jc w:val="right"/>
              <w:ind w:right="1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STATEMENTS REGARDING CERTAIN FORWARD-LOOKING INFORMATION</w:t>
      </w:r>
    </w:p>
    <w:p>
      <w:pPr>
        <w:spacing w:after="0" w:line="26"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Statements made in this document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"should," "could," "may," "seeks," "intends,"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19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the Evergy Companies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changes in business strategy or operations; the impact of federal, state and local political, legislative, judicial and regulatory actions or developments, including deregulation, re-regulation, securitization and restructuring of the electric utility industry;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the impact of climate change, including increased frequency and severity of significant weather events and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Coronavirus (COVID-19) variants on, among other things, sales, results of operations, financial condition,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(RTO) and independent system operators; financial market conditions and performance, disruptions in the banking industry, including changes in interest rates and credit spreads and in availability and cost of capital and the effects on derivatives and hedges, nuclear decommissioning trust and pension plan assets and costs; impairments of long-lived assets or goodwill; credit ratings; inflation rates; effectiveness of risk management policies and procedures and the ability of counterparties to satisfy their contractual commitments;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 the Ukrainian and Middle East conflicts on the global energy market; ability to carry out marketing and sales plans; cost, availability, quality and timely provision of equipment, supplies, labor and fuel; ability to achieve generation goals and the occurrence and duration of planned and unplanned generation outages; delays and cost increases of generation, transmission, distribution or other projects; the Evergy Companies' ability to manage their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wages, retirement, health care and other benefits; disruption, costs and uncertainties caused by or related to the actions of 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heightened emphasis on environmental, social and governance concerns; the possibility that strategic initiatives, including mergers, acquisitions and divestitures, and long-term</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1040"/>
        <w:spacing w:after="0" w:line="274" w:lineRule="auto"/>
        <w:rPr>
          <w:sz w:val="20"/>
          <w:szCs w:val="20"/>
          <w:color w:val="auto"/>
        </w:rPr>
      </w:pPr>
      <w:r>
        <w:rPr>
          <w:rFonts w:ascii="Arial" w:cs="Arial" w:eastAsia="Arial" w:hAnsi="Arial"/>
          <w:sz w:val="20"/>
          <w:szCs w:val="20"/>
          <w:color w:val="auto"/>
        </w:rPr>
        <w:t>financial plans, may not create the value that they are expected to achieve in a timely manner or at all; difficulties in maintaining relationships with customers, employees, regulators or suppliers; and other risks and uncertainties.</w:t>
      </w:r>
    </w:p>
    <w:p>
      <w:pPr>
        <w:spacing w:after="0" w:line="163"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This list of factors is not all-inclusive because it is not possible to predict all factors. You should also carefully consider the information contained in the Evergy Companies' other filings with the Securities and Exchange Commission (SEC). Additional risks and uncertainties are discussed from time to time in current, quarterly and annual reports filed by the Evergy Companies with the SEC. New factors emerge from time to time, and it's not possible for the Evergy Companies to predict all such factors, nor can the Evergy Companies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The Evergy Companies undertake no obligation to publicly update or revise any forward-looking statement, whether as a result of new information, future events or otherwise, except as required by law.</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6" w:lineRule="exact"/>
        <w:rPr>
          <w:sz w:val="20"/>
          <w:szCs w:val="20"/>
          <w:color w:val="auto"/>
        </w:rPr>
      </w:pPr>
    </w:p>
    <w:p>
      <w:pPr>
        <w:ind w:right="160"/>
        <w:spacing w:after="0" w:line="284"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72" w:lineRule="exact"/>
        <w:rPr>
          <w:sz w:val="20"/>
          <w:szCs w:val="20"/>
          <w:color w:val="auto"/>
        </w:rPr>
      </w:pPr>
    </w:p>
    <w:p>
      <w:pPr>
        <w:ind w:right="540"/>
        <w:spacing w:after="0" w:line="288" w:lineRule="auto"/>
        <w:rPr>
          <w:sz w:val="20"/>
          <w:szCs w:val="20"/>
          <w:color w:val="auto"/>
        </w:rPr>
      </w:pPr>
      <w:r>
        <w:rPr>
          <w:rFonts w:ascii="Arial" w:cs="Arial" w:eastAsia="Arial" w:hAnsi="Arial"/>
          <w:sz w:val="18"/>
          <w:szCs w:val="18"/>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GLOSSARY OF TERMS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glossary of frequently used abbreviations or acronyms that are found throughout this report.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20"/>
                <w:szCs w:val="20"/>
                <w:b w:val="1"/>
                <w:bCs w:val="1"/>
                <w:color w:val="auto"/>
                <w:w w:val="90"/>
              </w:rPr>
              <w:t>Abbreviation or Acronym</w:t>
            </w:r>
          </w:p>
        </w:tc>
        <w:tc>
          <w:tcPr>
            <w:tcW w:w="10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20"/>
                <w:szCs w:val="20"/>
                <w:b w:val="1"/>
                <w:bCs w:val="1"/>
                <w:color w:val="auto"/>
              </w:rPr>
              <w:t>Definition</w:t>
            </w:r>
          </w:p>
        </w:tc>
        <w:tc>
          <w:tcPr>
            <w:tcW w:w="0" w:type="dxa"/>
            <w:vAlign w:val="bottom"/>
          </w:tcPr>
          <w:p>
            <w:pPr>
              <w:spacing w:after="0"/>
              <w:rPr>
                <w:sz w:val="1"/>
                <w:szCs w:val="1"/>
                <w:color w:val="auto"/>
              </w:rPr>
            </w:pPr>
          </w:p>
        </w:tc>
      </w:tr>
      <w:tr>
        <w:trPr>
          <w:trHeight w:val="538"/>
        </w:trPr>
        <w:tc>
          <w:tcPr>
            <w:tcW w:w="20" w:type="dxa"/>
            <w:vAlign w:val="bottom"/>
          </w:tcPr>
          <w:p>
            <w:pPr>
              <w:spacing w:after="0"/>
              <w:rPr>
                <w:sz w:val="24"/>
                <w:szCs w:val="24"/>
                <w:color w:val="auto"/>
              </w:rPr>
            </w:pPr>
          </w:p>
        </w:tc>
        <w:tc>
          <w:tcPr>
            <w:tcW w:w="220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ACE</w:t>
            </w:r>
          </w:p>
        </w:tc>
        <w:tc>
          <w:tcPr>
            <w:tcW w:w="1080" w:type="dxa"/>
            <w:vAlign w:val="bottom"/>
          </w:tcPr>
          <w:p>
            <w:pPr>
              <w:spacing w:after="0"/>
              <w:rPr>
                <w:sz w:val="24"/>
                <w:szCs w:val="24"/>
                <w:color w:val="auto"/>
              </w:rPr>
            </w:pPr>
          </w:p>
        </w:tc>
        <w:tc>
          <w:tcPr>
            <w:tcW w:w="3620" w:type="dxa"/>
            <w:vAlign w:val="bottom"/>
          </w:tcPr>
          <w:p>
            <w:pPr>
              <w:ind w:left="200"/>
              <w:spacing w:after="0"/>
              <w:rPr>
                <w:sz w:val="20"/>
                <w:szCs w:val="20"/>
                <w:color w:val="auto"/>
              </w:rPr>
            </w:pPr>
            <w:r>
              <w:rPr>
                <w:rFonts w:ascii="Arial" w:cs="Arial" w:eastAsia="Arial" w:hAnsi="Arial"/>
                <w:sz w:val="20"/>
                <w:szCs w:val="20"/>
                <w:color w:val="auto"/>
              </w:rPr>
              <w:t>Affordable Clean Energy</w:t>
            </w:r>
          </w:p>
        </w:tc>
        <w:tc>
          <w:tcPr>
            <w:tcW w:w="84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AEP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American Electric Power Company, Inc.</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AFUDC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Allowance for funds used during construction</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AOCI</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Accumulated other comprehensive income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AROs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Asset retirement obligations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CAA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Clean Air Act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CCN</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Certificate of Convenience and Necessity</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CCRs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Coal combustion residuals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line="257" w:lineRule="exact"/>
              <w:rPr>
                <w:sz w:val="20"/>
                <w:szCs w:val="20"/>
                <w:color w:val="auto"/>
              </w:rPr>
            </w:pPr>
            <w:r>
              <w:rPr>
                <w:rFonts w:ascii="Arial" w:cs="Arial" w:eastAsia="Arial" w:hAnsi="Arial"/>
                <w:sz w:val="20"/>
                <w:szCs w:val="20"/>
                <w:b w:val="1"/>
                <w:bCs w:val="1"/>
                <w:color w:val="auto"/>
              </w:rPr>
              <w:t>CO</w:t>
            </w:r>
            <w:r>
              <w:rPr>
                <w:rFonts w:ascii="Arial" w:cs="Arial" w:eastAsia="Arial" w:hAnsi="Arial"/>
                <w:sz w:val="25"/>
                <w:szCs w:val="25"/>
                <w:b w:val="1"/>
                <w:bCs w:val="1"/>
                <w:color w:val="auto"/>
                <w:vertAlign w:val="subscript"/>
              </w:rPr>
              <w:t>2</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Carbon dioxide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COLI</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Corporate-owned life insurance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CSAPR</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Cross-State Air Pollution</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ELG</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Effluent limitations guidelines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EPA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Environmental Protection Agency</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EPS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Earnings per common share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ERISA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Employee Retirement Income Security Act of 1974, as amended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ERSP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Earnings Review and Sharing Plan</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Inc. and its consolidated subsidiaries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Board</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Board of Directors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gridSpan w:val="2"/>
          </w:tcPr>
          <w:p>
            <w:pPr>
              <w:spacing w:after="0" w:line="208" w:lineRule="exact"/>
              <w:rPr>
                <w:sz w:val="20"/>
                <w:szCs w:val="20"/>
                <w:color w:val="auto"/>
              </w:rPr>
            </w:pPr>
            <w:r>
              <w:rPr>
                <w:rFonts w:ascii="Arial" w:cs="Arial" w:eastAsia="Arial" w:hAnsi="Arial"/>
                <w:sz w:val="20"/>
                <w:szCs w:val="20"/>
                <w:b w:val="1"/>
                <w:bCs w:val="1"/>
                <w:color w:val="auto"/>
              </w:rPr>
              <w:t>Evergy Companies</w:t>
            </w:r>
          </w:p>
        </w:tc>
        <w:tc>
          <w:tcPr>
            <w:tcW w:w="7940" w:type="dxa"/>
            <w:vAlign w:val="bottom"/>
            <w:gridSpan w:val="3"/>
          </w:tcPr>
          <w:p>
            <w:pPr>
              <w:ind w:left="200"/>
              <w:spacing w:after="0" w:line="208" w:lineRule="exact"/>
              <w:rPr>
                <w:sz w:val="20"/>
                <w:szCs w:val="20"/>
                <w:color w:val="auto"/>
              </w:rPr>
            </w:pPr>
            <w:r>
              <w:rPr>
                <w:rFonts w:ascii="Arial" w:cs="Arial" w:eastAsia="Arial" w:hAnsi="Arial"/>
                <w:sz w:val="20"/>
                <w:szCs w:val="20"/>
                <w:color w:val="auto"/>
                <w:w w:val="91"/>
              </w:rPr>
              <w:t>Evergy, Evergy Kansas Central, and Evergy Metro, collectively, which are individual registrants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Evergy Kansas Central</w:t>
            </w:r>
          </w:p>
        </w:tc>
        <w:tc>
          <w:tcPr>
            <w:tcW w:w="7940" w:type="dxa"/>
            <w:vAlign w:val="bottom"/>
            <w:gridSpan w:val="3"/>
          </w:tcPr>
          <w:p>
            <w:pPr>
              <w:ind w:left="360"/>
              <w:spacing w:after="0"/>
              <w:rPr>
                <w:sz w:val="20"/>
                <w:szCs w:val="20"/>
                <w:color w:val="auto"/>
              </w:rPr>
            </w:pPr>
            <w:r>
              <w:rPr>
                <w:rFonts w:ascii="Arial" w:cs="Arial" w:eastAsia="Arial" w:hAnsi="Arial"/>
                <w:sz w:val="20"/>
                <w:szCs w:val="20"/>
                <w:color w:val="auto"/>
              </w:rPr>
              <w:t>within the Evergy consolidated group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gridSpan w:val="2"/>
            <w:vMerge w:val="continue"/>
          </w:tcPr>
          <w:p>
            <w:pPr>
              <w:spacing w:after="0"/>
              <w:rPr>
                <w:sz w:val="17"/>
                <w:szCs w:val="17"/>
                <w:color w:val="auto"/>
              </w:rPr>
            </w:pPr>
          </w:p>
        </w:tc>
        <w:tc>
          <w:tcPr>
            <w:tcW w:w="7940" w:type="dxa"/>
            <w:vAlign w:val="bottom"/>
            <w:gridSpan w:val="3"/>
          </w:tcPr>
          <w:p>
            <w:pPr>
              <w:ind w:left="200"/>
              <w:spacing w:after="0" w:line="203" w:lineRule="exact"/>
              <w:rPr>
                <w:sz w:val="20"/>
                <w:szCs w:val="20"/>
                <w:color w:val="auto"/>
              </w:rPr>
            </w:pPr>
            <w:r>
              <w:rPr>
                <w:rFonts w:ascii="Arial" w:cs="Arial" w:eastAsia="Arial" w:hAnsi="Arial"/>
                <w:sz w:val="20"/>
                <w:szCs w:val="20"/>
                <w:color w:val="auto"/>
              </w:rPr>
              <w:t>Evergy Kansas Central, Inc., a wholly-owned subsidiary of Evergy, and its consolidated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Evergy Kansas South</w:t>
            </w:r>
          </w:p>
        </w:tc>
        <w:tc>
          <w:tcPr>
            <w:tcW w:w="7940" w:type="dxa"/>
            <w:vAlign w:val="bottom"/>
            <w:gridSpan w:val="3"/>
          </w:tcPr>
          <w:p>
            <w:pPr>
              <w:ind w:left="360"/>
              <w:spacing w:after="0"/>
              <w:rPr>
                <w:sz w:val="20"/>
                <w:szCs w:val="20"/>
                <w:color w:val="auto"/>
              </w:rPr>
            </w:pPr>
            <w:r>
              <w:rPr>
                <w:rFonts w:ascii="Arial" w:cs="Arial" w:eastAsia="Arial" w:hAnsi="Arial"/>
                <w:sz w:val="20"/>
                <w:szCs w:val="20"/>
                <w:color w:val="auto"/>
              </w:rPr>
              <w:t>subsidiaries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80" w:type="dxa"/>
            <w:vAlign w:val="bottom"/>
            <w:gridSpan w:val="2"/>
            <w:vMerge w:val="continue"/>
          </w:tcPr>
          <w:p>
            <w:pPr>
              <w:spacing w:after="0"/>
              <w:rPr>
                <w:sz w:val="21"/>
                <w:szCs w:val="21"/>
                <w:color w:val="auto"/>
              </w:rPr>
            </w:pP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Kansas South, Inc., a wholly-owned subsidiary of Evergy Kansas Central</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Metro</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w w:val="96"/>
              </w:rPr>
              <w:t>Evergy Metro, Inc., a wholly-owned subsidiary of Evergy, and its consolidated subsidiaries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Missouri West</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Missouri West, Inc., a wholly-owned subsidiary of Evergy</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Transmission Company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Transmission Company, LLC</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Exchange Act</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The Securities Exchange Act of 1934, as amended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gridSpan w:val="2"/>
          </w:tcPr>
          <w:p>
            <w:pPr>
              <w:spacing w:after="0" w:line="208" w:lineRule="exact"/>
              <w:rPr>
                <w:sz w:val="20"/>
                <w:szCs w:val="20"/>
                <w:color w:val="auto"/>
              </w:rPr>
            </w:pPr>
            <w:r>
              <w:rPr>
                <w:rFonts w:ascii="Arial" w:cs="Arial" w:eastAsia="Arial" w:hAnsi="Arial"/>
                <w:sz w:val="20"/>
                <w:szCs w:val="20"/>
                <w:b w:val="1"/>
                <w:bCs w:val="1"/>
                <w:color w:val="auto"/>
                <w:w w:val="96"/>
              </w:rPr>
              <w:t>February 2021 winter weather event</w:t>
            </w:r>
          </w:p>
        </w:tc>
        <w:tc>
          <w:tcPr>
            <w:tcW w:w="7940" w:type="dxa"/>
            <w:vAlign w:val="bottom"/>
            <w:gridSpan w:val="3"/>
          </w:tcPr>
          <w:p>
            <w:pPr>
              <w:ind w:left="200"/>
              <w:spacing w:after="0" w:line="208" w:lineRule="exact"/>
              <w:rPr>
                <w:sz w:val="20"/>
                <w:szCs w:val="20"/>
                <w:color w:val="auto"/>
              </w:rPr>
            </w:pPr>
            <w:r>
              <w:rPr>
                <w:rFonts w:ascii="Arial" w:cs="Arial" w:eastAsia="Arial" w:hAnsi="Arial"/>
                <w:sz w:val="20"/>
                <w:szCs w:val="20"/>
                <w:color w:val="auto"/>
                <w:w w:val="92"/>
              </w:rPr>
              <w:t>Significant winter weather event in February 2021 that resulted in extremely cold temperatures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FERC</w:t>
            </w:r>
          </w:p>
        </w:tc>
        <w:tc>
          <w:tcPr>
            <w:tcW w:w="7940" w:type="dxa"/>
            <w:vAlign w:val="bottom"/>
            <w:gridSpan w:val="3"/>
          </w:tcPr>
          <w:p>
            <w:pPr>
              <w:ind w:left="280"/>
              <w:spacing w:after="0"/>
              <w:rPr>
                <w:sz w:val="20"/>
                <w:szCs w:val="20"/>
                <w:color w:val="auto"/>
              </w:rPr>
            </w:pPr>
            <w:r>
              <w:rPr>
                <w:rFonts w:ascii="Arial" w:cs="Arial" w:eastAsia="Arial" w:hAnsi="Arial"/>
                <w:sz w:val="20"/>
                <w:szCs w:val="20"/>
                <w:color w:val="auto"/>
              </w:rPr>
              <w:t>over a multi-day period across much of the central and southern United States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80" w:type="dxa"/>
            <w:vAlign w:val="bottom"/>
            <w:gridSpan w:val="2"/>
            <w:vMerge w:val="continue"/>
          </w:tcPr>
          <w:p>
            <w:pPr>
              <w:spacing w:after="0"/>
              <w:rPr>
                <w:sz w:val="21"/>
                <w:szCs w:val="21"/>
                <w:color w:val="auto"/>
              </w:rPr>
            </w:pP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Federal Energy Regulatory Commission</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FMBs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First Mortgage Bonds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GAAP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Generally Accepted Accounting Principles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GHG</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Greenhouse gas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Great Plains Energy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Great Plains Energy Incorporated</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ITSIP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Interstate Transport State Implementation Plans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JEC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Jeffrey Energy Center</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KCC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State Corporation Commission of the State of Kansas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KDHE</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Kansas Department of Health &amp; Environment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kV</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Kilovolt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MATS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Mercury and Air Toxics Standards</w:t>
            </w:r>
          </w:p>
        </w:tc>
        <w:tc>
          <w:tcPr>
            <w:tcW w:w="0" w:type="dxa"/>
            <w:vAlign w:val="bottom"/>
          </w:tcPr>
          <w:p>
            <w:pPr>
              <w:spacing w:after="0"/>
              <w:rPr>
                <w:sz w:val="1"/>
                <w:szCs w:val="1"/>
                <w:color w:val="auto"/>
              </w:rPr>
            </w:pPr>
          </w:p>
        </w:tc>
      </w:tr>
      <w:tr>
        <w:trPr>
          <w:trHeight w:val="874"/>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20" w:type="dxa"/>
            <w:vAlign w:val="bottom"/>
          </w:tcPr>
          <w:p>
            <w:pPr>
              <w:ind w:left="2280"/>
              <w:spacing w:after="0"/>
              <w:rPr>
                <w:sz w:val="20"/>
                <w:szCs w:val="20"/>
                <w:color w:val="auto"/>
              </w:rPr>
            </w:pPr>
            <w:r>
              <w:rPr>
                <w:rFonts w:ascii="Arial" w:cs="Arial" w:eastAsia="Arial" w:hAnsi="Arial"/>
                <w:sz w:val="18"/>
                <w:szCs w:val="18"/>
                <w:color w:val="auto"/>
              </w:rPr>
              <w:t>6</w:t>
            </w: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88"/>
              </w:rPr>
              <w:t>Table of Contents</w:t>
            </w:r>
          </w:p>
        </w:tc>
        <w:tc>
          <w:tcPr>
            <w:tcW w:w="1440" w:type="dxa"/>
            <w:vAlign w:val="bottom"/>
            <w:gridSpan w:val="2"/>
          </w:tcPr>
          <w:p>
            <w:pPr>
              <w:spacing w:after="0"/>
              <w:rPr>
                <w:sz w:val="19"/>
                <w:szCs w:val="19"/>
                <w:color w:val="auto"/>
              </w:rPr>
            </w:pPr>
          </w:p>
        </w:tc>
        <w:tc>
          <w:tcPr>
            <w:tcW w:w="4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885"/>
        </w:trPr>
        <w:tc>
          <w:tcPr>
            <w:tcW w:w="2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20"/>
                <w:szCs w:val="20"/>
                <w:b w:val="1"/>
                <w:bCs w:val="1"/>
                <w:color w:val="auto"/>
                <w:w w:val="90"/>
              </w:rPr>
              <w:t>Abbreviation or Acronym</w:t>
            </w:r>
          </w:p>
        </w:tc>
        <w:tc>
          <w:tcPr>
            <w:tcW w:w="6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20"/>
                <w:szCs w:val="20"/>
                <w:b w:val="1"/>
                <w:bCs w:val="1"/>
                <w:color w:val="auto"/>
              </w:rPr>
              <w:t>Definition</w:t>
            </w:r>
          </w:p>
        </w:tc>
      </w:tr>
      <w:tr>
        <w:trPr>
          <w:trHeight w:val="281"/>
        </w:trPr>
        <w:tc>
          <w:tcPr>
            <w:tcW w:w="20" w:type="dxa"/>
            <w:vAlign w:val="bottom"/>
          </w:tcPr>
          <w:p>
            <w:pPr>
              <w:spacing w:after="0"/>
              <w:rPr>
                <w:sz w:val="24"/>
                <w:szCs w:val="24"/>
                <w:color w:val="auto"/>
              </w:rPr>
            </w:pPr>
          </w:p>
        </w:tc>
        <w:tc>
          <w:tcPr>
            <w:tcW w:w="2200" w:type="dxa"/>
            <w:vAlign w:val="bottom"/>
            <w:tcBorders>
              <w:top w:val="single" w:sz="8" w:color="auto"/>
            </w:tcBorders>
            <w:gridSpan w:val="2"/>
          </w:tcPr>
          <w:p>
            <w:pPr>
              <w:spacing w:after="0"/>
              <w:rPr>
                <w:sz w:val="20"/>
                <w:szCs w:val="20"/>
                <w:color w:val="auto"/>
              </w:rPr>
            </w:pPr>
            <w:r>
              <w:rPr>
                <w:rFonts w:ascii="Arial" w:cs="Arial" w:eastAsia="Arial" w:hAnsi="Arial"/>
                <w:sz w:val="20"/>
                <w:szCs w:val="20"/>
                <w:b w:val="1"/>
                <w:bCs w:val="1"/>
                <w:color w:val="auto"/>
              </w:rPr>
              <w:t>MDNR</w:t>
            </w:r>
          </w:p>
        </w:tc>
        <w:tc>
          <w:tcPr>
            <w:tcW w:w="64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Arial" w:cs="Arial" w:eastAsia="Arial" w:hAnsi="Arial"/>
                <w:sz w:val="20"/>
                <w:szCs w:val="20"/>
                <w:color w:val="auto"/>
                <w:w w:val="89"/>
              </w:rPr>
              <w:t>Missouri Department of Natural Resources</w:t>
            </w:r>
          </w:p>
        </w:tc>
        <w:tc>
          <w:tcPr>
            <w:tcW w:w="84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MPSC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Public Service Commission of the State of Missouri</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MW</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Megawatt</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MWh</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Megawatt hour</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NAAQS</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National Ambient Air Quality Standards</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NAV</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Net asset value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OCI</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Other comprehensive income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OPC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Office of the Public Counsel</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Persimmon Creek</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Persimmon Creek Wind Farm 1, LLC</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Prairie Wind</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Prairie Wind Transmission, LLC, 50% owned by Evergy Kansas Central</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RSU</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Restricted share unit</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RTO</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Regional transmission organization</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SEC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Securities and Exchange Commission</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SIP</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State implementation plan</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SPP</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Southwest Power Pool, Inc.</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TCR</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Transmission congestion right</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TDC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Transmission delivery charge</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Term Loan Facility</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Term Loan Credit Agreement</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TFR</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Transmission formula rate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Transource</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w w:val="92"/>
              </w:rPr>
              <w:t>Transource Energy, LLC and its subsidiaries, 13.5% owned by Evergy Transmission Company</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Wolf Creek</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Wolf Creek Generating Station</w:t>
            </w:r>
          </w:p>
        </w:tc>
      </w:tr>
      <w:tr>
        <w:trPr>
          <w:trHeight w:val="860"/>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60" w:type="dxa"/>
            <w:vAlign w:val="bottom"/>
          </w:tcPr>
          <w:p>
            <w:pPr>
              <w:ind w:left="2720"/>
              <w:spacing w:after="0"/>
              <w:rPr>
                <w:sz w:val="20"/>
                <w:szCs w:val="20"/>
                <w:color w:val="auto"/>
              </w:rPr>
            </w:pPr>
            <w:r>
              <w:rPr>
                <w:rFonts w:ascii="Arial" w:cs="Arial" w:eastAsia="Arial" w:hAnsi="Arial"/>
                <w:sz w:val="18"/>
                <w:szCs w:val="18"/>
                <w:color w:val="auto"/>
              </w:rPr>
              <w:t>7</w:t>
            </w: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144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140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9"/>
        </w:trPr>
        <w:tc>
          <w:tcPr>
            <w:tcW w:w="8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80" w:type="dxa"/>
            <w:vAlign w:val="bottom"/>
          </w:tcPr>
          <w:p>
            <w:pPr>
              <w:spacing w:after="0"/>
              <w:rPr>
                <w:sz w:val="18"/>
                <w:szCs w:val="18"/>
                <w:color w:val="auto"/>
              </w:rPr>
            </w:pPr>
          </w:p>
        </w:tc>
        <w:tc>
          <w:tcPr>
            <w:tcW w:w="2460" w:type="dxa"/>
            <w:vAlign w:val="bottom"/>
            <w:gridSpan w:val="3"/>
          </w:tcPr>
          <w:p>
            <w:pPr>
              <w:jc w:val="right"/>
              <w:ind w:right="399"/>
              <w:spacing w:after="0"/>
              <w:rPr>
                <w:sz w:val="20"/>
                <w:szCs w:val="20"/>
                <w:color w:val="auto"/>
              </w:rPr>
            </w:pPr>
            <w:r>
              <w:rPr>
                <w:rFonts w:ascii="Arial" w:cs="Arial" w:eastAsia="Arial" w:hAnsi="Arial"/>
                <w:sz w:val="14"/>
                <w:szCs w:val="14"/>
                <w:color w:val="auto"/>
                <w:w w:val="97"/>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41.0</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25.2</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Receivables, net of allowance for credit losses of $21.5 and $31.4, respectively</w:t>
            </w:r>
          </w:p>
        </w:tc>
        <w:tc>
          <w:tcPr>
            <w:tcW w:w="38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330.1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315.3</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pledged as collateral</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395.0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359.0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Fuel inventory and supplies</w:t>
            </w:r>
          </w:p>
        </w:tc>
        <w:tc>
          <w:tcPr>
            <w:tcW w:w="38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739.9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672.9</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receivable</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14.9</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9.3</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assets</w:t>
            </w:r>
          </w:p>
        </w:tc>
        <w:tc>
          <w:tcPr>
            <w:tcW w:w="38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285.0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368.0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52.0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47.8</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38.2</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44.5</w:t>
            </w:r>
          </w:p>
        </w:tc>
      </w:tr>
      <w:tr>
        <w:trPr>
          <w:trHeight w:val="212"/>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1,896.1</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1,842.0</w:t>
            </w:r>
          </w:p>
        </w:tc>
      </w:tr>
      <w:tr>
        <w:trPr>
          <w:trHeight w:val="207"/>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23,141.4</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22,136.5</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OF VARIABLE INTEREST ENTITY, NET</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135.4</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140.7</w:t>
            </w:r>
          </w:p>
        </w:tc>
      </w:tr>
      <w:tr>
        <w:trPr>
          <w:trHeight w:val="206"/>
        </w:trPr>
        <w:tc>
          <w:tcPr>
            <w:tcW w:w="84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assets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1,845.6</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1,846.3</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Nuclear decommissioning trust fund</w:t>
            </w:r>
          </w:p>
        </w:tc>
        <w:tc>
          <w:tcPr>
            <w:tcW w:w="38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711.2</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653.3</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2,336.6</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2,336.6</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549.7</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534.5</w:t>
            </w:r>
          </w:p>
        </w:tc>
      </w:tr>
      <w:tr>
        <w:trPr>
          <w:trHeight w:val="212"/>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 Assets</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5,443.1</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5,370.7</w:t>
            </w:r>
          </w:p>
        </w:tc>
      </w:tr>
      <w:tr>
        <w:trPr>
          <w:trHeight w:val="217"/>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30,616.0</w:t>
            </w: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29,489.9</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10"/>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3"/>
          </w:tcPr>
          <w:p>
            <w:pPr>
              <w:jc w:val="right"/>
              <w:ind w:right="379"/>
              <w:spacing w:after="0"/>
              <w:rPr>
                <w:sz w:val="20"/>
                <w:szCs w:val="20"/>
                <w:color w:val="auto"/>
              </w:rPr>
            </w:pPr>
            <w:r>
              <w:rPr>
                <w:rFonts w:ascii="Arial" w:cs="Arial" w:eastAsia="Arial" w:hAnsi="Arial"/>
                <w:sz w:val="14"/>
                <w:szCs w:val="14"/>
                <w:color w:val="auto"/>
                <w:w w:val="96"/>
              </w:rPr>
              <w:t>(millions, except share amounts)</w:t>
            </w:r>
          </w:p>
        </w:tc>
        <w:tc>
          <w:tcPr>
            <w:tcW w:w="0" w:type="dxa"/>
            <w:vAlign w:val="bottom"/>
          </w:tcPr>
          <w:p>
            <w:pPr>
              <w:spacing w:after="0"/>
              <w:rPr>
                <w:sz w:val="1"/>
                <w:szCs w:val="1"/>
                <w:color w:val="auto"/>
              </w:rPr>
            </w:pPr>
          </w:p>
        </w:tc>
      </w:tr>
      <w:tr>
        <w:trPr>
          <w:trHeight w:val="219"/>
        </w:trPr>
        <w:tc>
          <w:tcPr>
            <w:tcW w:w="84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889.4</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439.1</w:t>
            </w:r>
          </w:p>
        </w:tc>
        <w:tc>
          <w:tcPr>
            <w:tcW w:w="0" w:type="dxa"/>
            <w:vAlign w:val="bottom"/>
          </w:tcPr>
          <w:p>
            <w:pPr>
              <w:spacing w:after="0"/>
              <w:rPr>
                <w:sz w:val="1"/>
                <w:szCs w:val="1"/>
                <w:color w:val="auto"/>
              </w:rPr>
            </w:pPr>
          </w:p>
        </w:tc>
      </w:tr>
      <w:tr>
        <w:trPr>
          <w:trHeight w:val="213"/>
        </w:trPr>
        <w:tc>
          <w:tcPr>
            <w:tcW w:w="8460" w:type="dxa"/>
            <w:vAlign w:val="bottom"/>
          </w:tcPr>
          <w:p>
            <w:pPr>
              <w:ind w:left="140"/>
              <w:spacing w:after="0"/>
              <w:rPr>
                <w:sz w:val="20"/>
                <w:szCs w:val="20"/>
                <w:color w:val="auto"/>
              </w:rPr>
            </w:pPr>
            <w:r>
              <w:rPr>
                <w:rFonts w:ascii="Arial" w:cs="Arial" w:eastAsia="Arial" w:hAnsi="Arial"/>
                <w:sz w:val="16"/>
                <w:szCs w:val="16"/>
                <w:color w:val="auto"/>
              </w:rPr>
              <w:t>Notes payable and commercial paper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b w:val="1"/>
                <w:bCs w:val="1"/>
                <w:color w:val="auto"/>
              </w:rPr>
              <w:t>2,178.4</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1,332.3</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Collateralized note payable</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395.0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359.0</w:t>
            </w:r>
          </w:p>
        </w:tc>
        <w:tc>
          <w:tcPr>
            <w:tcW w:w="0" w:type="dxa"/>
            <w:vAlign w:val="bottom"/>
          </w:tcPr>
          <w:p>
            <w:pPr>
              <w:spacing w:after="0"/>
              <w:rPr>
                <w:sz w:val="1"/>
                <w:szCs w:val="1"/>
                <w:color w:val="auto"/>
              </w:rPr>
            </w:pPr>
          </w:p>
        </w:tc>
      </w:tr>
      <w:tr>
        <w:trPr>
          <w:trHeight w:val="213"/>
        </w:trPr>
        <w:tc>
          <w:tcPr>
            <w:tcW w:w="846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b w:val="1"/>
                <w:bCs w:val="1"/>
                <w:color w:val="auto"/>
              </w:rPr>
              <w:t>418.0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600.8</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taxes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339.9</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213"/>
        </w:trPr>
        <w:tc>
          <w:tcPr>
            <w:tcW w:w="846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b w:val="1"/>
                <w:bCs w:val="1"/>
                <w:color w:val="auto"/>
              </w:rPr>
              <w:t>122.6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124.3</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197.9</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155.4</w:t>
            </w:r>
          </w:p>
        </w:tc>
        <w:tc>
          <w:tcPr>
            <w:tcW w:w="0" w:type="dxa"/>
            <w:vAlign w:val="bottom"/>
          </w:tcPr>
          <w:p>
            <w:pPr>
              <w:spacing w:after="0"/>
              <w:rPr>
                <w:sz w:val="1"/>
                <w:szCs w:val="1"/>
                <w:color w:val="auto"/>
              </w:rPr>
            </w:pPr>
          </w:p>
        </w:tc>
      </w:tr>
      <w:tr>
        <w:trPr>
          <w:trHeight w:val="213"/>
        </w:trPr>
        <w:tc>
          <w:tcPr>
            <w:tcW w:w="8460" w:type="dxa"/>
            <w:vAlign w:val="bottom"/>
          </w:tcPr>
          <w:p>
            <w:pPr>
              <w:ind w:left="140"/>
              <w:spacing w:after="0"/>
              <w:rPr>
                <w:sz w:val="20"/>
                <w:szCs w:val="20"/>
                <w:color w:val="auto"/>
              </w:rPr>
            </w:pPr>
            <w:r>
              <w:rPr>
                <w:rFonts w:ascii="Arial" w:cs="Arial" w:eastAsia="Arial" w:hAnsi="Arial"/>
                <w:sz w:val="16"/>
                <w:szCs w:val="16"/>
                <w:color w:val="auto"/>
              </w:rPr>
              <w:t>Asset retirement obligations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b w:val="1"/>
                <w:bCs w:val="1"/>
                <w:color w:val="auto"/>
              </w:rPr>
              <w:t>40.9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67.4</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13"/>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160.2</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198.4</w:t>
            </w:r>
          </w:p>
        </w:tc>
        <w:tc>
          <w:tcPr>
            <w:tcW w:w="0" w:type="dxa"/>
            <w:vAlign w:val="bottom"/>
          </w:tcPr>
          <w:p>
            <w:pPr>
              <w:spacing w:after="0"/>
              <w:rPr>
                <w:sz w:val="1"/>
                <w:szCs w:val="1"/>
                <w:color w:val="auto"/>
              </w:rPr>
            </w:pPr>
          </w:p>
        </w:tc>
      </w:tr>
      <w:tr>
        <w:trPr>
          <w:trHeight w:val="212"/>
        </w:trPr>
        <w:tc>
          <w:tcPr>
            <w:tcW w:w="8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4,809.7</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3,493.8</w:t>
            </w:r>
          </w:p>
        </w:tc>
        <w:tc>
          <w:tcPr>
            <w:tcW w:w="0" w:type="dxa"/>
            <w:vAlign w:val="bottom"/>
          </w:tcPr>
          <w:p>
            <w:pPr>
              <w:spacing w:after="0"/>
              <w:rPr>
                <w:sz w:val="1"/>
                <w:szCs w:val="1"/>
                <w:color w:val="auto"/>
              </w:rPr>
            </w:pPr>
          </w:p>
        </w:tc>
      </w:tr>
      <w:tr>
        <w:trPr>
          <w:trHeight w:val="207"/>
        </w:trPr>
        <w:tc>
          <w:tcPr>
            <w:tcW w:w="846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9,297.6</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9,905.7</w:t>
            </w:r>
          </w:p>
        </w:tc>
        <w:tc>
          <w:tcPr>
            <w:tcW w:w="0" w:type="dxa"/>
            <w:vAlign w:val="bottom"/>
          </w:tcPr>
          <w:p>
            <w:pPr>
              <w:spacing w:after="0"/>
              <w:rPr>
                <w:sz w:val="1"/>
                <w:szCs w:val="1"/>
                <w:color w:val="auto"/>
              </w:rPr>
            </w:pPr>
          </w:p>
        </w:tc>
      </w:tr>
      <w:tr>
        <w:trPr>
          <w:trHeight w:val="213"/>
        </w:trPr>
        <w:tc>
          <w:tcPr>
            <w:tcW w:w="846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b w:val="1"/>
                <w:bCs w:val="1"/>
                <w:color w:val="auto"/>
              </w:rPr>
              <w:t>2,096.7</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1,996.6</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Unamortized investment tax credits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172.7</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174.6</w:t>
            </w:r>
          </w:p>
        </w:tc>
        <w:tc>
          <w:tcPr>
            <w:tcW w:w="0" w:type="dxa"/>
            <w:vAlign w:val="bottom"/>
          </w:tcPr>
          <w:p>
            <w:pPr>
              <w:spacing w:after="0"/>
              <w:rPr>
                <w:sz w:val="1"/>
                <w:szCs w:val="1"/>
                <w:color w:val="auto"/>
              </w:rPr>
            </w:pPr>
          </w:p>
        </w:tc>
      </w:tr>
      <w:tr>
        <w:trPr>
          <w:trHeight w:val="213"/>
        </w:trPr>
        <w:tc>
          <w:tcPr>
            <w:tcW w:w="846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b w:val="1"/>
                <w:bCs w:val="1"/>
                <w:color w:val="auto"/>
              </w:rPr>
              <w:t>2,566.6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2,566.8</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and post-retirement liability</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469.8</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458.4</w:t>
            </w:r>
          </w:p>
        </w:tc>
        <w:tc>
          <w:tcPr>
            <w:tcW w:w="0" w:type="dxa"/>
            <w:vAlign w:val="bottom"/>
          </w:tcPr>
          <w:p>
            <w:pPr>
              <w:spacing w:after="0"/>
              <w:rPr>
                <w:sz w:val="1"/>
                <w:szCs w:val="1"/>
                <w:color w:val="auto"/>
              </w:rPr>
            </w:pPr>
          </w:p>
        </w:tc>
      </w:tr>
      <w:tr>
        <w:trPr>
          <w:trHeight w:val="213"/>
        </w:trPr>
        <w:tc>
          <w:tcPr>
            <w:tcW w:w="8460" w:type="dxa"/>
            <w:vAlign w:val="bottom"/>
          </w:tcPr>
          <w:p>
            <w:pPr>
              <w:ind w:left="140"/>
              <w:spacing w:after="0"/>
              <w:rPr>
                <w:sz w:val="20"/>
                <w:szCs w:val="20"/>
                <w:color w:val="auto"/>
              </w:rPr>
            </w:pPr>
            <w:r>
              <w:rPr>
                <w:rFonts w:ascii="Arial" w:cs="Arial" w:eastAsia="Arial" w:hAnsi="Arial"/>
                <w:sz w:val="16"/>
                <w:szCs w:val="16"/>
                <w:color w:val="auto"/>
              </w:rPr>
              <w:t>Asset retirement obligations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b w:val="1"/>
                <w:bCs w:val="1"/>
                <w:color w:val="auto"/>
              </w:rPr>
              <w:t>1,155.3</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1,112.8</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279.8</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287.9</w:t>
            </w:r>
          </w:p>
        </w:tc>
        <w:tc>
          <w:tcPr>
            <w:tcW w:w="0" w:type="dxa"/>
            <w:vAlign w:val="bottom"/>
          </w:tcPr>
          <w:p>
            <w:pPr>
              <w:spacing w:after="0"/>
              <w:rPr>
                <w:sz w:val="1"/>
                <w:szCs w:val="1"/>
                <w:color w:val="auto"/>
              </w:rPr>
            </w:pPr>
          </w:p>
        </w:tc>
      </w:tr>
      <w:tr>
        <w:trPr>
          <w:trHeight w:val="207"/>
        </w:trPr>
        <w:tc>
          <w:tcPr>
            <w:tcW w:w="84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Long-Term Liabilities</w:t>
            </w: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16,038.5</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16,502.8</w:t>
            </w:r>
          </w:p>
        </w:tc>
        <w:tc>
          <w:tcPr>
            <w:tcW w:w="0" w:type="dxa"/>
            <w:vAlign w:val="bottom"/>
          </w:tcPr>
          <w:p>
            <w:pPr>
              <w:spacing w:after="0"/>
              <w:rPr>
                <w:sz w:val="1"/>
                <w:szCs w:val="1"/>
                <w:color w:val="auto"/>
              </w:rPr>
            </w:pPr>
          </w:p>
        </w:tc>
      </w:tr>
      <w:tr>
        <w:trPr>
          <w:trHeight w:val="199"/>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EQUITY: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Evergy, Inc. Shareholders' Equity:</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460" w:type="dxa"/>
            <w:vAlign w:val="bottom"/>
          </w:tcPr>
          <w:p>
            <w:pPr>
              <w:ind w:left="360"/>
              <w:spacing w:after="0" w:line="166" w:lineRule="exact"/>
              <w:rPr>
                <w:sz w:val="20"/>
                <w:szCs w:val="20"/>
                <w:color w:val="auto"/>
              </w:rPr>
            </w:pPr>
            <w:r>
              <w:rPr>
                <w:rFonts w:ascii="Arial" w:cs="Arial" w:eastAsia="Arial" w:hAnsi="Arial"/>
                <w:sz w:val="16"/>
                <w:szCs w:val="16"/>
                <w:color w:val="auto"/>
              </w:rPr>
              <w:t>Common stock - 600,000,000 shares authorized, without par value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7,231.5</w:t>
            </w:r>
          </w:p>
        </w:tc>
        <w:tc>
          <w:tcPr>
            <w:tcW w:w="460" w:type="dxa"/>
            <w:vAlign w:val="bottom"/>
          </w:tcPr>
          <w:p>
            <w:pPr>
              <w:spacing w:after="0"/>
              <w:rPr>
                <w:sz w:val="14"/>
                <w:szCs w:val="14"/>
                <w:color w:val="auto"/>
              </w:rPr>
            </w:pPr>
          </w:p>
        </w:tc>
        <w:tc>
          <w:tcPr>
            <w:tcW w:w="940" w:type="dxa"/>
            <w:vAlign w:val="bottom"/>
            <w:vMerge w:val="restart"/>
          </w:tcPr>
          <w:p>
            <w:pPr>
              <w:jc w:val="right"/>
              <w:ind w:right="159"/>
              <w:spacing w:after="0"/>
              <w:rPr>
                <w:sz w:val="20"/>
                <w:szCs w:val="20"/>
                <w:color w:val="auto"/>
              </w:rPr>
            </w:pPr>
            <w:r>
              <w:rPr>
                <w:rFonts w:ascii="Arial" w:cs="Arial" w:eastAsia="Arial" w:hAnsi="Arial"/>
                <w:sz w:val="16"/>
                <w:szCs w:val="16"/>
                <w:color w:val="auto"/>
              </w:rPr>
              <w:t>7,219.7</w:t>
            </w:r>
          </w:p>
        </w:tc>
        <w:tc>
          <w:tcPr>
            <w:tcW w:w="0" w:type="dxa"/>
            <w:vAlign w:val="bottom"/>
          </w:tcPr>
          <w:p>
            <w:pPr>
              <w:spacing w:after="0"/>
              <w:rPr>
                <w:sz w:val="1"/>
                <w:szCs w:val="1"/>
                <w:color w:val="auto"/>
              </w:rPr>
            </w:pPr>
          </w:p>
        </w:tc>
      </w:tr>
      <w:tr>
        <w:trPr>
          <w:trHeight w:val="209"/>
        </w:trPr>
        <w:tc>
          <w:tcPr>
            <w:tcW w:w="8460" w:type="dxa"/>
            <w:vAlign w:val="bottom"/>
          </w:tcPr>
          <w:p>
            <w:pPr>
              <w:ind w:left="360"/>
              <w:spacing w:after="0"/>
              <w:rPr>
                <w:sz w:val="20"/>
                <w:szCs w:val="20"/>
                <w:color w:val="auto"/>
              </w:rPr>
            </w:pPr>
            <w:r>
              <w:rPr>
                <w:rFonts w:ascii="Arial" w:cs="Arial" w:eastAsia="Arial" w:hAnsi="Arial"/>
                <w:sz w:val="16"/>
                <w:szCs w:val="16"/>
                <w:color w:val="auto"/>
              </w:rPr>
              <w:t>229,716,510 and 229,546,105 shares issued, stated value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2,548.0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2,298.5</w:t>
            </w:r>
          </w:p>
        </w:tc>
        <w:tc>
          <w:tcPr>
            <w:tcW w:w="0" w:type="dxa"/>
            <w:vAlign w:val="bottom"/>
          </w:tcPr>
          <w:p>
            <w:pPr>
              <w:spacing w:after="0"/>
              <w:rPr>
                <w:sz w:val="1"/>
                <w:szCs w:val="1"/>
                <w:color w:val="auto"/>
              </w:rPr>
            </w:pPr>
          </w:p>
        </w:tc>
      </w:tr>
      <w:tr>
        <w:trPr>
          <w:trHeight w:val="213"/>
        </w:trPr>
        <w:tc>
          <w:tcPr>
            <w:tcW w:w="84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(30.5)</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12"/>
        </w:trPr>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Evergy, Inc. Shareholders' Equity</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9,749.0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9,483.7</w:t>
            </w:r>
          </w:p>
        </w:tc>
        <w:tc>
          <w:tcPr>
            <w:tcW w:w="0" w:type="dxa"/>
            <w:vAlign w:val="bottom"/>
          </w:tcPr>
          <w:p>
            <w:pPr>
              <w:spacing w:after="0"/>
              <w:rPr>
                <w:sz w:val="1"/>
                <w:szCs w:val="1"/>
                <w:color w:val="auto"/>
              </w:rPr>
            </w:pPr>
          </w:p>
        </w:tc>
      </w:tr>
      <w:tr>
        <w:trPr>
          <w:trHeight w:val="213"/>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18.8</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2"/>
        </w:trPr>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9,767.8</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9,493.3</w:t>
            </w:r>
          </w:p>
        </w:tc>
        <w:tc>
          <w:tcPr>
            <w:tcW w:w="0" w:type="dxa"/>
            <w:vAlign w:val="bottom"/>
          </w:tcPr>
          <w:p>
            <w:pPr>
              <w:spacing w:after="0"/>
              <w:rPr>
                <w:sz w:val="1"/>
                <w:szCs w:val="1"/>
                <w:color w:val="auto"/>
              </w:rPr>
            </w:pPr>
          </w:p>
        </w:tc>
      </w:tr>
      <w:tr>
        <w:trPr>
          <w:trHeight w:val="217"/>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36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30,616.0</w:t>
            </w: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29,489.9</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rPr>
              <w:t>Year to Date</w:t>
            </w:r>
          </w:p>
        </w:tc>
        <w:tc>
          <w:tcPr>
            <w:tcW w:w="700" w:type="dxa"/>
            <w:vAlign w:val="bottom"/>
          </w:tcPr>
          <w:p>
            <w:pPr>
              <w:spacing w:after="0"/>
              <w:rPr>
                <w:sz w:val="16"/>
                <w:szCs w:val="16"/>
                <w:color w:val="auto"/>
              </w:rPr>
            </w:pPr>
          </w:p>
        </w:tc>
      </w:tr>
      <w:tr>
        <w:trPr>
          <w:trHeight w:val="210"/>
        </w:trPr>
        <w:tc>
          <w:tcPr>
            <w:tcW w:w="6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0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8"/>
                <w:szCs w:val="18"/>
                <w:color w:val="auto"/>
              </w:rPr>
            </w:pPr>
          </w:p>
        </w:tc>
        <w:tc>
          <w:tcPr>
            <w:tcW w:w="202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September 30</w:t>
            </w:r>
          </w:p>
        </w:tc>
      </w:tr>
      <w:tr>
        <w:trPr>
          <w:trHeight w:val="229"/>
        </w:trPr>
        <w:tc>
          <w:tcPr>
            <w:tcW w:w="6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2022</w:t>
            </w:r>
          </w:p>
        </w:tc>
      </w:tr>
      <w:tr>
        <w:trPr>
          <w:trHeight w:val="182"/>
        </w:trPr>
        <w:tc>
          <w:tcPr>
            <w:tcW w:w="6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40" w:type="dxa"/>
            <w:vAlign w:val="bottom"/>
            <w:gridSpan w:val="4"/>
          </w:tcPr>
          <w:p>
            <w:pPr>
              <w:jc w:val="right"/>
              <w:ind w:right="79"/>
              <w:spacing w:after="0"/>
              <w:rPr>
                <w:sz w:val="20"/>
                <w:szCs w:val="20"/>
                <w:color w:val="auto"/>
              </w:rPr>
            </w:pPr>
            <w:r>
              <w:rPr>
                <w:rFonts w:ascii="Arial" w:cs="Arial" w:eastAsia="Arial" w:hAnsi="Arial"/>
                <w:sz w:val="14"/>
                <w:szCs w:val="14"/>
                <w:color w:val="auto"/>
              </w:rPr>
              <w:t>(millions, except per share amounts)</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
        </w:trPr>
        <w:tc>
          <w:tcPr>
            <w:tcW w:w="6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1,669.3</w:t>
            </w:r>
          </w:p>
        </w:tc>
        <w:tc>
          <w:tcPr>
            <w:tcW w:w="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1,909.1</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4,320.3</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4,579.5</w:t>
            </w:r>
          </w:p>
        </w:tc>
      </w:tr>
      <w:tr>
        <w:trPr>
          <w:trHeight w:val="193"/>
        </w:trPr>
        <w:tc>
          <w:tcPr>
            <w:tcW w:w="6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478.4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643.0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1,177.4</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1,366.3</w:t>
            </w:r>
          </w:p>
        </w:tc>
      </w:tr>
      <w:tr>
        <w:trPr>
          <w:trHeight w:val="213"/>
        </w:trPr>
        <w:tc>
          <w:tcPr>
            <w:tcW w:w="6340" w:type="dxa"/>
            <w:vAlign w:val="bottom"/>
          </w:tcPr>
          <w:p>
            <w:pPr>
              <w:ind w:left="140"/>
              <w:spacing w:after="0"/>
              <w:rPr>
                <w:sz w:val="20"/>
                <w:szCs w:val="20"/>
                <w:color w:val="auto"/>
              </w:rPr>
            </w:pPr>
            <w:r>
              <w:rPr>
                <w:rFonts w:ascii="Arial" w:cs="Arial" w:eastAsia="Arial" w:hAnsi="Arial"/>
                <w:sz w:val="16"/>
                <w:szCs w:val="16"/>
                <w:color w:val="auto"/>
              </w:rPr>
              <w:t>SPP network transmission costs</w:t>
            </w:r>
          </w:p>
        </w:tc>
        <w:tc>
          <w:tcPr>
            <w:tcW w:w="4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75.4</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81.6</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232.0</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241.8</w:t>
            </w:r>
          </w:p>
        </w:tc>
      </w:tr>
      <w:tr>
        <w:trPr>
          <w:trHeight w:val="219"/>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and maintenance</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253.2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266.2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697.1</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801.2</w:t>
            </w:r>
          </w:p>
        </w:tc>
      </w:tr>
      <w:tr>
        <w:trPr>
          <w:trHeight w:val="213"/>
        </w:trPr>
        <w:tc>
          <w:tcPr>
            <w:tcW w:w="63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273.3</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233.2</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806.1</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694.3</w:t>
            </w:r>
          </w:p>
        </w:tc>
      </w:tr>
      <w:tr>
        <w:trPr>
          <w:trHeight w:val="219"/>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103.1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305.9</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302.9</w:t>
            </w:r>
          </w:p>
        </w:tc>
      </w:tr>
      <w:tr>
        <w:trPr>
          <w:trHeight w:val="213"/>
        </w:trPr>
        <w:tc>
          <w:tcPr>
            <w:tcW w:w="6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Sibley Unit 3 impairment loss</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r>
      <w:tr>
        <w:trPr>
          <w:trHeight w:val="212"/>
        </w:trPr>
        <w:tc>
          <w:tcPr>
            <w:tcW w:w="6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1,183.4</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1,330.7</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3,218.5</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3,412.5</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4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485.9</w:t>
            </w:r>
          </w:p>
        </w:tc>
        <w:tc>
          <w:tcPr>
            <w:tcW w:w="32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578.4</w:t>
            </w:r>
          </w:p>
        </w:tc>
        <w:tc>
          <w:tcPr>
            <w:tcW w:w="32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1,101.8</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1,167.0</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3"/>
        </w:trPr>
        <w:tc>
          <w:tcPr>
            <w:tcW w:w="6340" w:type="dxa"/>
            <w:vAlign w:val="bottom"/>
          </w:tcPr>
          <w:p>
            <w:pPr>
              <w:ind w:left="140"/>
              <w:spacing w:after="0"/>
              <w:rPr>
                <w:sz w:val="20"/>
                <w:szCs w:val="20"/>
                <w:color w:val="auto"/>
              </w:rPr>
            </w:pPr>
            <w:r>
              <w:rPr>
                <w:rFonts w:ascii="Arial" w:cs="Arial" w:eastAsia="Arial" w:hAnsi="Arial"/>
                <w:sz w:val="16"/>
                <w:szCs w:val="16"/>
                <w:color w:val="auto"/>
              </w:rPr>
              <w:t>Investment earnings</w:t>
            </w:r>
          </w:p>
        </w:tc>
        <w:tc>
          <w:tcPr>
            <w:tcW w:w="4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6.2</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13.1</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22.0</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9"/>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19.3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34.1</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13"/>
        </w:trPr>
        <w:tc>
          <w:tcPr>
            <w:tcW w:w="6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expense</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(12.8)</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(55.1)</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w:t>
            </w:r>
          </w:p>
        </w:tc>
      </w:tr>
      <w:tr>
        <w:trPr>
          <w:trHeight w:val="212"/>
        </w:trPr>
        <w:tc>
          <w:tcPr>
            <w:tcW w:w="6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Other Income (Expense), Net</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12.7</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136.8</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102.3</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393.6</w:t>
            </w: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293.4</w:t>
            </w:r>
          </w:p>
        </w:tc>
      </w:tr>
      <w:tr>
        <w:trPr>
          <w:trHeight w:val="212"/>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361.8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478.7</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709.2</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832.0</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4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8.8</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49.5</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32.0</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83.1</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1.6</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5.3</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354.6</w:t>
            </w:r>
          </w:p>
        </w:tc>
        <w:tc>
          <w:tcPr>
            <w:tcW w:w="32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431.2</w:t>
            </w:r>
          </w:p>
        </w:tc>
        <w:tc>
          <w:tcPr>
            <w:tcW w:w="32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682.5</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754.4</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9.2</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7"/>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EVERGY, INC.</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351.6</w:t>
            </w:r>
          </w:p>
        </w:tc>
        <w:tc>
          <w:tcPr>
            <w:tcW w:w="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428.2</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673.3</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745.2</w:t>
            </w:r>
          </w:p>
        </w:tc>
      </w:tr>
      <w:tr>
        <w:trPr>
          <w:trHeight w:val="166"/>
        </w:trPr>
        <w:tc>
          <w:tcPr>
            <w:tcW w:w="634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BASIC AND DILUTED EARNINGS PER AVERAGE COMMON SHARE OUTSTANDING</w:t>
            </w: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212"/>
        </w:trPr>
        <w:tc>
          <w:tcPr>
            <w:tcW w:w="6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ATTRIBUTABLE TO EVERGY, INC. (see Note 1)</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3"/>
        </w:trPr>
        <w:tc>
          <w:tcPr>
            <w:tcW w:w="6340" w:type="dxa"/>
            <w:vAlign w:val="bottom"/>
          </w:tcPr>
          <w:p>
            <w:pPr>
              <w:ind w:left="140"/>
              <w:spacing w:after="0"/>
              <w:rPr>
                <w:sz w:val="20"/>
                <w:szCs w:val="20"/>
                <w:color w:val="auto"/>
              </w:rPr>
            </w:pPr>
            <w:r>
              <w:rPr>
                <w:rFonts w:ascii="Arial" w:cs="Arial" w:eastAsia="Arial" w:hAnsi="Arial"/>
                <w:sz w:val="16"/>
                <w:szCs w:val="16"/>
                <w:color w:val="auto"/>
              </w:rPr>
              <w:t>Basic earnings per common share</w:t>
            </w:r>
          </w:p>
        </w:tc>
        <w:tc>
          <w:tcPr>
            <w:tcW w:w="4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1.53</w:t>
            </w:r>
          </w:p>
        </w:tc>
        <w:tc>
          <w:tcPr>
            <w:tcW w:w="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1.86</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2.93</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3.24</w:t>
            </w:r>
          </w:p>
        </w:tc>
      </w:tr>
      <w:tr>
        <w:trPr>
          <w:trHeight w:val="219"/>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 earnings per common share</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1.53</w:t>
            </w:r>
          </w:p>
        </w:tc>
        <w:tc>
          <w:tcPr>
            <w:tcW w:w="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1.86</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2.92</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AVERAGE COMMON SHARES OUTSTANDING</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230.1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229.9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230.0</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w:t>
            </w:r>
          </w:p>
        </w:tc>
      </w:tr>
      <w:tr>
        <w:trPr>
          <w:trHeight w:val="223"/>
        </w:trPr>
        <w:tc>
          <w:tcPr>
            <w:tcW w:w="63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Diluted</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230.5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230.6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230.5</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230.5</w:t>
            </w: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354.6</w:t>
            </w:r>
          </w:p>
        </w:tc>
        <w:tc>
          <w:tcPr>
            <w:tcW w:w="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431.2</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682.5</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754.4</w:t>
            </w:r>
          </w:p>
        </w:tc>
      </w:tr>
      <w:tr>
        <w:trPr>
          <w:trHeight w:val="219"/>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hedging activity</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3"/>
        </w:trPr>
        <w:tc>
          <w:tcPr>
            <w:tcW w:w="6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Reclassification to expenses, net of tax</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1.5</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4.1</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12"/>
        </w:trPr>
        <w:tc>
          <w:tcPr>
            <w:tcW w:w="6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Derivative hedging activity, net of tax</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4.1</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193"/>
        </w:trPr>
        <w:tc>
          <w:tcPr>
            <w:tcW w:w="6340" w:type="dxa"/>
            <w:vAlign w:val="bottom"/>
          </w:tcPr>
          <w:p>
            <w:pPr>
              <w:ind w:left="140"/>
              <w:spacing w:after="0"/>
              <w:rPr>
                <w:sz w:val="20"/>
                <w:szCs w:val="20"/>
                <w:color w:val="auto"/>
              </w:rPr>
            </w:pPr>
            <w:r>
              <w:rPr>
                <w:rFonts w:ascii="Arial" w:cs="Arial" w:eastAsia="Arial" w:hAnsi="Arial"/>
                <w:sz w:val="16"/>
                <w:szCs w:val="16"/>
                <w:color w:val="auto"/>
              </w:rPr>
              <w:t>Defined benefit pension plans</w:t>
            </w: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net losses included in net periodic benefit costs, net of tax</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(0.1)</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7"/>
        </w:trPr>
        <w:tc>
          <w:tcPr>
            <w:tcW w:w="63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Change in unrecognized pension expense, net of tax</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(0.1)</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(0.1)</w:t>
            </w: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1.4</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4.0</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4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356.0</w:t>
            </w:r>
          </w:p>
        </w:tc>
        <w:tc>
          <w:tcPr>
            <w:tcW w:w="32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432.6</w:t>
            </w:r>
          </w:p>
        </w:tc>
        <w:tc>
          <w:tcPr>
            <w:tcW w:w="32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686.5</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758.6</w:t>
            </w:r>
          </w:p>
        </w:tc>
      </w:tr>
      <w:tr>
        <w:trPr>
          <w:trHeight w:val="219"/>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9.2</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7"/>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 ATTRIBUTABLE TO EVERGY, INC.</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353.0</w:t>
            </w:r>
          </w:p>
        </w:tc>
        <w:tc>
          <w:tcPr>
            <w:tcW w:w="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429.6</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677.3</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749.4</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to Date September 30</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2022</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80" w:type="dxa"/>
            <w:vAlign w:val="bottom"/>
          </w:tcPr>
          <w:p>
            <w:pPr>
              <w:spacing w:after="0"/>
              <w:rPr>
                <w:sz w:val="18"/>
                <w:szCs w:val="18"/>
                <w:color w:val="auto"/>
              </w:rPr>
            </w:pPr>
          </w:p>
        </w:tc>
        <w:tc>
          <w:tcPr>
            <w:tcW w:w="1440" w:type="dxa"/>
            <w:vAlign w:val="bottom"/>
            <w:gridSpan w:val="2"/>
          </w:tcPr>
          <w:p>
            <w:pPr>
              <w:jc w:val="right"/>
              <w:ind w:right="39"/>
              <w:spacing w:after="0"/>
              <w:rPr>
                <w:sz w:val="20"/>
                <w:szCs w:val="20"/>
                <w:color w:val="auto"/>
              </w:rPr>
            </w:pPr>
            <w:r>
              <w:rPr>
                <w:rFonts w:ascii="Arial" w:cs="Arial" w:eastAsia="Arial" w:hAnsi="Arial"/>
                <w:sz w:val="14"/>
                <w:szCs w:val="14"/>
                <w:color w:val="auto"/>
              </w:rPr>
              <w:t>(millions)</w:t>
            </w: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682.5</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754.4</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806.1</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694.3</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46.8</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47.7</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13.7</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Amortization of corporate-owned life insurance</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19.4</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18.6</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54.6</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(6.6)</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(9.4)</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(5.3)</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Income from corporate-owned life insurance</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(26.2)</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Changes in working capital items: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(7.2)</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(36.0)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(76.0)</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 inventory and supplies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(66.3)</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105.9</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(194.2)</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171.3</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204.8</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(68.2)</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Changes in other assets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16.5</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92.8</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75.3</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r>
      <w:tr>
        <w:trPr>
          <w:trHeight w:val="207"/>
        </w:trPr>
        <w:tc>
          <w:tcPr>
            <w:tcW w:w="8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1,551.7</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1,477.7</w:t>
            </w:r>
          </w:p>
        </w:tc>
      </w:tr>
      <w:tr>
        <w:trPr>
          <w:trHeight w:val="212"/>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(1,657.9)</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(1,614.6)</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of Persimmon Creek, net of cash acquired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(217.9)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Purchase of securities - trusts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(30.7)</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 of securities - trusts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22.8</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Investment in corporate-owned life insurance</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(15.4)</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investment in corporate-owned life insurance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118.2</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(11.0)</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210"/>
        </w:trPr>
        <w:tc>
          <w:tcPr>
            <w:tcW w:w="8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(1,791.9)</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(1,625.1)</w:t>
            </w:r>
          </w:p>
        </w:tc>
      </w:tr>
      <w:tr>
        <w:trPr>
          <w:trHeight w:val="209"/>
        </w:trPr>
        <w:tc>
          <w:tcPr>
            <w:tcW w:w="8600" w:type="dxa"/>
            <w:vAlign w:val="bottom"/>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debt,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344.7</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Proceeds from Term Loan Facility</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Collateralized short-term borrowings,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36.0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Proceeds from long-term debt</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690.3</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246.9</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Retirements of long-term debt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(350.0)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(387.5)</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Borrowings against cash surrender value of corporate-owned life insurance</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52.1</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borrowings against cash surrender value of corporate-owned life insurance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(89.8)</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Cash dividends paid</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(422.0)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(394.1)</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(5.3)</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07"/>
        </w:trPr>
        <w:tc>
          <w:tcPr>
            <w:tcW w:w="8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256.0</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w:t>
            </w:r>
          </w:p>
        </w:tc>
      </w:tr>
      <w:tr>
        <w:trPr>
          <w:trHeight w:val="212"/>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15.8</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25.2</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16"/>
        </w:trPr>
        <w:tc>
          <w:tcPr>
            <w:tcW w:w="86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41.0</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5120" w:type="dxa"/>
            <w:vAlign w:val="bottom"/>
          </w:tcPr>
          <w:p>
            <w:pPr>
              <w:spacing w:after="0"/>
              <w:rPr>
                <w:sz w:val="19"/>
                <w:szCs w:val="19"/>
                <w:color w:val="auto"/>
              </w:rPr>
            </w:pPr>
          </w:p>
        </w:tc>
        <w:tc>
          <w:tcPr>
            <w:tcW w:w="3200" w:type="dxa"/>
            <w:vAlign w:val="bottom"/>
            <w:tcBorders>
              <w:bottom w:val="single" w:sz="8" w:color="auto"/>
            </w:tcBorders>
            <w:gridSpan w:val="5"/>
          </w:tcPr>
          <w:p>
            <w:pPr>
              <w:jc w:val="right"/>
              <w:ind w:right="219"/>
              <w:spacing w:after="0"/>
              <w:rPr>
                <w:sz w:val="20"/>
                <w:szCs w:val="20"/>
                <w:color w:val="auto"/>
              </w:rPr>
            </w:pPr>
            <w:r>
              <w:rPr>
                <w:rFonts w:ascii="Arial" w:cs="Arial" w:eastAsia="Arial" w:hAnsi="Arial"/>
                <w:sz w:val="16"/>
                <w:szCs w:val="16"/>
                <w:b w:val="1"/>
                <w:bCs w:val="1"/>
                <w:color w:val="auto"/>
              </w:rPr>
              <w:t>Evergy, Inc. Shareholders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6"/>
              </w:rPr>
              <w:t>Common stock</w:t>
            </w:r>
          </w:p>
        </w:tc>
        <w:tc>
          <w:tcPr>
            <w:tcW w:w="180" w:type="dxa"/>
            <w:vAlign w:val="bottom"/>
          </w:tcPr>
          <w:p>
            <w:pPr>
              <w:spacing w:after="0"/>
              <w:rPr>
                <w:sz w:val="12"/>
                <w:szCs w:val="12"/>
                <w:color w:val="auto"/>
              </w:rPr>
            </w:pPr>
          </w:p>
        </w:tc>
        <w:tc>
          <w:tcPr>
            <w:tcW w:w="8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5"/>
              </w:rPr>
              <w:t>Common</w:t>
            </w:r>
          </w:p>
        </w:tc>
        <w:tc>
          <w:tcPr>
            <w:tcW w:w="140" w:type="dxa"/>
            <w:vAlign w:val="bottom"/>
          </w:tcPr>
          <w:p>
            <w:pPr>
              <w:spacing w:after="0"/>
              <w:rPr>
                <w:sz w:val="12"/>
                <w:szCs w:val="12"/>
                <w:color w:val="auto"/>
              </w:rPr>
            </w:pPr>
          </w:p>
        </w:tc>
        <w:tc>
          <w:tcPr>
            <w:tcW w:w="8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1"/>
              </w:rPr>
              <w:t>Retained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9"/>
              <w:spacing w:after="0" w:line="148" w:lineRule="exact"/>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AOCI</w:t>
            </w:r>
          </w:p>
        </w:tc>
        <w:tc>
          <w:tcPr>
            <w:tcW w:w="120" w:type="dxa"/>
            <w:vAlign w:val="bottom"/>
          </w:tcPr>
          <w:p>
            <w:pPr>
              <w:spacing w:after="0"/>
              <w:rPr>
                <w:sz w:val="14"/>
                <w:szCs w:val="14"/>
                <w:color w:val="auto"/>
              </w:rPr>
            </w:pPr>
          </w:p>
        </w:tc>
        <w:tc>
          <w:tcPr>
            <w:tcW w:w="94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1"/>
              </w:rPr>
              <w:t>controlling</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Total equity</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2"/>
              </w:rPr>
              <w:t>earnings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interests</w:t>
            </w:r>
          </w:p>
        </w:tc>
        <w:tc>
          <w:tcPr>
            <w:tcW w:w="9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6"/>
          </w:tcPr>
          <w:p>
            <w:pPr>
              <w:jc w:val="right"/>
              <w:spacing w:after="0"/>
              <w:rPr>
                <w:sz w:val="20"/>
                <w:szCs w:val="20"/>
                <w:color w:val="auto"/>
              </w:rPr>
            </w:pPr>
            <w:r>
              <w:rPr>
                <w:rFonts w:ascii="Arial" w:cs="Arial" w:eastAsia="Arial" w:hAnsi="Arial"/>
                <w:sz w:val="16"/>
                <w:szCs w:val="16"/>
                <w:color w:val="auto"/>
              </w:rPr>
              <w:t>(millions, except share amounts)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229,299,900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7,205.5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9,241.7</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Arial" w:cs="Arial" w:eastAsia="Arial" w:hAnsi="Arial"/>
                <w:sz w:val="16"/>
                <w:szCs w:val="16"/>
                <w:color w:val="auto"/>
              </w:rPr>
              <w:t>Net income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125.6</w:t>
            </w:r>
          </w:p>
        </w:tc>
        <w:tc>
          <w:tcPr>
            <w:tcW w:w="0" w:type="dxa"/>
            <w:vAlign w:val="bottom"/>
          </w:tcPr>
          <w:p>
            <w:pPr>
              <w:spacing w:after="0"/>
              <w:rPr>
                <w:sz w:val="1"/>
                <w:szCs w:val="1"/>
                <w:color w:val="auto"/>
              </w:rPr>
            </w:pPr>
          </w:p>
        </w:tc>
      </w:tr>
      <w:tr>
        <w:trPr>
          <w:trHeight w:val="169"/>
        </w:trPr>
        <w:tc>
          <w:tcPr>
            <w:tcW w:w="51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176,658</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withholding</w:t>
            </w:r>
          </w:p>
        </w:tc>
        <w:tc>
          <w:tcPr>
            <w:tcW w:w="1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Arial" w:cs="Arial" w:eastAsia="Arial" w:hAnsi="Arial"/>
                <w:sz w:val="16"/>
                <w:szCs w:val="16"/>
                <w:color w:val="auto"/>
              </w:rPr>
              <w:t>Dividends declared on common stock ($0.5725 per share)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(131.3)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(131.3)</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Dividend equivalents declared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Arial" w:cs="Arial" w:eastAsia="Arial" w:hAnsi="Arial"/>
                <w:sz w:val="16"/>
                <w:szCs w:val="16"/>
                <w:color w:val="auto"/>
              </w:rPr>
              <w:t>Stock compensation expense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Unearned compensation</w:t>
            </w: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120"/>
              <w:spacing w:after="0"/>
              <w:rPr>
                <w:sz w:val="20"/>
                <w:szCs w:val="20"/>
                <w:color w:val="auto"/>
              </w:rPr>
            </w:pPr>
            <w:r>
              <w:rPr>
                <w:rFonts w:ascii="Arial" w:cs="Arial" w:eastAsia="Arial" w:hAnsi="Arial"/>
                <w:sz w:val="16"/>
                <w:szCs w:val="16"/>
                <w:color w:val="auto"/>
              </w:rPr>
              <w:t>Compensation expense recognized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Derivative hedging activity, net of tax</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March 31, 2022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229,476,558</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7,206.4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9,237.5</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Arial" w:cs="Arial" w:eastAsia="Arial" w:hAnsi="Arial"/>
                <w:sz w:val="16"/>
                <w:szCs w:val="16"/>
                <w:color w:val="auto"/>
              </w:rPr>
              <w:t>Net income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194.5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169"/>
        </w:trPr>
        <w:tc>
          <w:tcPr>
            <w:tcW w:w="51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38,743</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withholding</w:t>
            </w:r>
          </w:p>
        </w:tc>
        <w:tc>
          <w:tcPr>
            <w:tcW w:w="1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Arial" w:cs="Arial" w:eastAsia="Arial" w:hAnsi="Arial"/>
                <w:sz w:val="16"/>
                <w:szCs w:val="16"/>
                <w:color w:val="auto"/>
              </w:rPr>
              <w:t>Dividends declared on common stock ($0.5725 per share)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(131.4)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(131.4)</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Dividend equivalents declared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Arial" w:cs="Arial" w:eastAsia="Arial" w:hAnsi="Arial"/>
                <w:sz w:val="16"/>
                <w:szCs w:val="16"/>
                <w:color w:val="auto"/>
              </w:rPr>
              <w:t>Stock compensation expense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Unearned compensation</w:t>
            </w: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120"/>
              <w:spacing w:after="0"/>
              <w:rPr>
                <w:sz w:val="20"/>
                <w:szCs w:val="20"/>
                <w:color w:val="auto"/>
              </w:rPr>
            </w:pPr>
            <w:r>
              <w:rPr>
                <w:rFonts w:ascii="Arial" w:cs="Arial" w:eastAsia="Arial" w:hAnsi="Arial"/>
                <w:sz w:val="16"/>
                <w:szCs w:val="16"/>
                <w:color w:val="auto"/>
              </w:rPr>
              <w:t>Compensation expense recognized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Derivative hedging activity, net of tax</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Arial" w:cs="Arial" w:eastAsia="Arial" w:hAnsi="Arial"/>
                <w:sz w:val="16"/>
                <w:szCs w:val="16"/>
                <w:color w:val="auto"/>
              </w:rPr>
              <w:t>Change in unrecognized pension expense, net of tax</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7"/>
        </w:trPr>
        <w:tc>
          <w:tcPr>
            <w:tcW w:w="5120" w:type="dxa"/>
            <w:vAlign w:val="bottom"/>
          </w:tcPr>
          <w:p>
            <w:pPr>
              <w:spacing w:after="0"/>
              <w:rPr>
                <w:sz w:val="20"/>
                <w:szCs w:val="20"/>
                <w:color w:val="auto"/>
              </w:rPr>
            </w:pPr>
            <w:r>
              <w:rPr>
                <w:rFonts w:ascii="Arial" w:cs="Arial" w:eastAsia="Arial" w:hAnsi="Arial"/>
                <w:sz w:val="16"/>
                <w:szCs w:val="16"/>
                <w:b w:val="1"/>
                <w:bCs w:val="1"/>
                <w:color w:val="auto"/>
              </w:rPr>
              <w:t>Balance as of June 30, 2022</w:t>
            </w:r>
          </w:p>
        </w:tc>
        <w:tc>
          <w:tcPr>
            <w:tcW w:w="1220" w:type="dxa"/>
            <w:vAlign w:val="bottom"/>
          </w:tcPr>
          <w:p>
            <w:pPr>
              <w:jc w:val="right"/>
              <w:spacing w:after="0"/>
              <w:rPr>
                <w:sz w:val="20"/>
                <w:szCs w:val="20"/>
                <w:color w:val="auto"/>
              </w:rPr>
            </w:pPr>
            <w:r>
              <w:rPr>
                <w:rFonts w:ascii="Arial" w:cs="Arial" w:eastAsia="Arial" w:hAnsi="Arial"/>
                <w:sz w:val="16"/>
                <w:szCs w:val="16"/>
                <w:color w:val="auto"/>
              </w:rPr>
              <w:t>229,515,301</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7,212.5</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2,136.0</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9,310.8</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431.2</w:t>
            </w:r>
          </w:p>
        </w:tc>
        <w:tc>
          <w:tcPr>
            <w:tcW w:w="0" w:type="dxa"/>
            <w:vAlign w:val="bottom"/>
          </w:tcPr>
          <w:p>
            <w:pPr>
              <w:spacing w:after="0"/>
              <w:rPr>
                <w:sz w:val="1"/>
                <w:szCs w:val="1"/>
                <w:color w:val="auto"/>
              </w:rPr>
            </w:pPr>
          </w:p>
        </w:tc>
      </w:tr>
      <w:tr>
        <w:trPr>
          <w:trHeight w:val="166"/>
        </w:trPr>
        <w:tc>
          <w:tcPr>
            <w:tcW w:w="5120" w:type="dxa"/>
            <w:vAlign w:val="bottom"/>
          </w:tcPr>
          <w:p>
            <w:pPr>
              <w:spacing w:after="0" w:line="166"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16,835</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9"/>
        </w:trPr>
        <w:tc>
          <w:tcPr>
            <w:tcW w:w="5120" w:type="dxa"/>
            <w:vAlign w:val="bottom"/>
          </w:tcPr>
          <w:p>
            <w:pPr>
              <w:ind w:left="160"/>
              <w:spacing w:after="0"/>
              <w:rPr>
                <w:sz w:val="20"/>
                <w:szCs w:val="20"/>
                <w:color w:val="auto"/>
              </w:rPr>
            </w:pPr>
            <w:r>
              <w:rPr>
                <w:rFonts w:ascii="Arial" w:cs="Arial" w:eastAsia="Arial" w:hAnsi="Arial"/>
                <w:sz w:val="16"/>
                <w:szCs w:val="16"/>
                <w:color w:val="auto"/>
              </w:rPr>
              <w:t>withholding</w:t>
            </w:r>
          </w:p>
        </w:tc>
        <w:tc>
          <w:tcPr>
            <w:tcW w:w="12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Dividends declared on common stock ($0.5725 per share)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Arial" w:cs="Arial" w:eastAsia="Arial" w:hAnsi="Arial"/>
                <w:sz w:val="16"/>
                <w:szCs w:val="16"/>
                <w:color w:val="auto"/>
              </w:rPr>
              <w:t>Dividend equivalents declared</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Stock compensation expense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Arial" w:cs="Arial" w:eastAsia="Arial" w:hAnsi="Arial"/>
                <w:sz w:val="16"/>
                <w:szCs w:val="16"/>
                <w:color w:val="auto"/>
              </w:rPr>
              <w:t>Unearned compensation</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expense recognized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Arial" w:cs="Arial" w:eastAsia="Arial" w:hAnsi="Arial"/>
                <w:sz w:val="16"/>
                <w:szCs w:val="16"/>
                <w:color w:val="auto"/>
              </w:rPr>
              <w:t>Derivative hedging activity, net of tax</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5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September 30, 2022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229,532,136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7,216.6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5120" w:type="dxa"/>
            <w:vAlign w:val="bottom"/>
          </w:tcPr>
          <w:p>
            <w:pPr>
              <w:spacing w:after="0"/>
              <w:rPr>
                <w:sz w:val="19"/>
                <w:szCs w:val="19"/>
                <w:color w:val="auto"/>
              </w:rPr>
            </w:pPr>
          </w:p>
        </w:tc>
        <w:tc>
          <w:tcPr>
            <w:tcW w:w="3200" w:type="dxa"/>
            <w:vAlign w:val="bottom"/>
            <w:tcBorders>
              <w:bottom w:val="single" w:sz="8" w:color="auto"/>
            </w:tcBorders>
            <w:gridSpan w:val="5"/>
          </w:tcPr>
          <w:p>
            <w:pPr>
              <w:jc w:val="right"/>
              <w:ind w:right="219"/>
              <w:spacing w:after="0"/>
              <w:rPr>
                <w:sz w:val="20"/>
                <w:szCs w:val="20"/>
                <w:color w:val="auto"/>
              </w:rPr>
            </w:pPr>
            <w:r>
              <w:rPr>
                <w:rFonts w:ascii="Arial" w:cs="Arial" w:eastAsia="Arial" w:hAnsi="Arial"/>
                <w:sz w:val="16"/>
                <w:szCs w:val="16"/>
                <w:b w:val="1"/>
                <w:bCs w:val="1"/>
                <w:color w:val="auto"/>
              </w:rPr>
              <w:t>Evergy, Inc. Shareholders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6"/>
              </w:rPr>
              <w:t>Common stock</w:t>
            </w:r>
          </w:p>
        </w:tc>
        <w:tc>
          <w:tcPr>
            <w:tcW w:w="160" w:type="dxa"/>
            <w:vAlign w:val="bottom"/>
          </w:tcPr>
          <w:p>
            <w:pPr>
              <w:spacing w:after="0"/>
              <w:rPr>
                <w:sz w:val="12"/>
                <w:szCs w:val="12"/>
                <w:color w:val="auto"/>
              </w:rPr>
            </w:pPr>
          </w:p>
        </w:tc>
        <w:tc>
          <w:tcPr>
            <w:tcW w:w="8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8"/>
              </w:rPr>
              <w:t>Common</w:t>
            </w:r>
          </w:p>
        </w:tc>
        <w:tc>
          <w:tcPr>
            <w:tcW w:w="120" w:type="dxa"/>
            <w:vAlign w:val="bottom"/>
          </w:tcPr>
          <w:p>
            <w:pPr>
              <w:spacing w:after="0"/>
              <w:rPr>
                <w:sz w:val="12"/>
                <w:szCs w:val="12"/>
                <w:color w:val="auto"/>
              </w:rPr>
            </w:pP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4"/>
              </w:rPr>
              <w:t>Retained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9"/>
              <w:spacing w:after="0" w:line="148" w:lineRule="exact"/>
              <w:rPr>
                <w:sz w:val="20"/>
                <w:szCs w:val="20"/>
                <w:color w:val="auto"/>
              </w:rPr>
            </w:pPr>
            <w:r>
              <w:rPr>
                <w:rFonts w:ascii="Arial" w:cs="Arial" w:eastAsia="Arial" w:hAnsi="Arial"/>
                <w:sz w:val="16"/>
                <w:szCs w:val="16"/>
                <w:b w:val="1"/>
                <w:bCs w:val="1"/>
                <w:color w:val="auto"/>
                <w:w w:val="93"/>
              </w:rPr>
              <w:t>Non-</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AOCI</w:t>
            </w:r>
          </w:p>
        </w:tc>
        <w:tc>
          <w:tcPr>
            <w:tcW w:w="120" w:type="dxa"/>
            <w:vAlign w:val="bottom"/>
          </w:tcPr>
          <w:p>
            <w:pPr>
              <w:spacing w:after="0"/>
              <w:rPr>
                <w:sz w:val="14"/>
                <w:szCs w:val="14"/>
                <w:color w:val="auto"/>
              </w:rPr>
            </w:pPr>
          </w:p>
        </w:tc>
        <w:tc>
          <w:tcPr>
            <w:tcW w:w="92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9"/>
              </w:rPr>
              <w:t>controlling</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Total equity</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earnings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6"/>
              </w:rPr>
              <w:t>interests</w:t>
            </w:r>
          </w:p>
        </w:tc>
        <w:tc>
          <w:tcPr>
            <w:tcW w:w="10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Arial" w:cs="Arial" w:eastAsia="Arial" w:hAnsi="Arial"/>
                <w:sz w:val="16"/>
                <w:szCs w:val="16"/>
                <w:color w:val="auto"/>
              </w:rPr>
              <w:t>(millions, except share amounts)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229,546,105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7,219.7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9,493.3</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169"/>
        </w:trPr>
        <w:tc>
          <w:tcPr>
            <w:tcW w:w="51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130,594</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w:t>
            </w:r>
          </w:p>
        </w:tc>
        <w:tc>
          <w:tcPr>
            <w:tcW w:w="1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Dividends declared on common stock ($0.6125 per share)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(140.7)</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equivalents declared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compensation</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120"/>
              <w:spacing w:after="0"/>
              <w:rPr>
                <w:sz w:val="20"/>
                <w:szCs w:val="20"/>
                <w:color w:val="auto"/>
              </w:rPr>
            </w:pPr>
            <w:r>
              <w:rPr>
                <w:rFonts w:ascii="Arial" w:cs="Arial" w:eastAsia="Arial" w:hAnsi="Arial"/>
                <w:sz w:val="16"/>
                <w:szCs w:val="16"/>
                <w:color w:val="auto"/>
              </w:rPr>
              <w:t>Compensation expense recognized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229,676,699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7,222.2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9,501.7</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182.2</w:t>
            </w:r>
          </w:p>
        </w:tc>
        <w:tc>
          <w:tcPr>
            <w:tcW w:w="0" w:type="dxa"/>
            <w:vAlign w:val="bottom"/>
          </w:tcPr>
          <w:p>
            <w:pPr>
              <w:spacing w:after="0"/>
              <w:rPr>
                <w:sz w:val="1"/>
                <w:szCs w:val="1"/>
                <w:color w:val="auto"/>
              </w:rPr>
            </w:pPr>
          </w:p>
        </w:tc>
      </w:tr>
      <w:tr>
        <w:trPr>
          <w:trHeight w:val="169"/>
        </w:trPr>
        <w:tc>
          <w:tcPr>
            <w:tcW w:w="51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25,010</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w:t>
            </w:r>
          </w:p>
        </w:tc>
        <w:tc>
          <w:tcPr>
            <w:tcW w:w="1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Dividends declared on common stock ($0.6125 per share)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(140.7)</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equivalents declared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compensation</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120"/>
              <w:spacing w:after="0"/>
              <w:rPr>
                <w:sz w:val="20"/>
                <w:szCs w:val="20"/>
                <w:color w:val="auto"/>
              </w:rPr>
            </w:pPr>
            <w:r>
              <w:rPr>
                <w:rFonts w:ascii="Arial" w:cs="Arial" w:eastAsia="Arial" w:hAnsi="Arial"/>
                <w:sz w:val="16"/>
                <w:szCs w:val="16"/>
                <w:color w:val="auto"/>
              </w:rPr>
              <w:t>Compensation expense recognized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2023</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229,701,709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7,229.0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2,337.8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9,550.7</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351.6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354.6</w:t>
            </w:r>
          </w:p>
        </w:tc>
        <w:tc>
          <w:tcPr>
            <w:tcW w:w="0" w:type="dxa"/>
            <w:vAlign w:val="bottom"/>
          </w:tcPr>
          <w:p>
            <w:pPr>
              <w:spacing w:after="0"/>
              <w:rPr>
                <w:sz w:val="1"/>
                <w:szCs w:val="1"/>
                <w:color w:val="auto"/>
              </w:rPr>
            </w:pPr>
          </w:p>
        </w:tc>
      </w:tr>
      <w:tr>
        <w:trPr>
          <w:trHeight w:val="169"/>
        </w:trPr>
        <w:tc>
          <w:tcPr>
            <w:tcW w:w="51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14,801</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w:t>
            </w:r>
          </w:p>
        </w:tc>
        <w:tc>
          <w:tcPr>
            <w:tcW w:w="1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Dividends declared on common stock ($0.6125 per share)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equivalents declared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Change in unrecognized pension expense, net of tax</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September 30, 2023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229,716,510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7,231.5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2,548.0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9,767.8</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20" w:type="dxa"/>
            <w:vAlign w:val="bottom"/>
          </w:tcPr>
          <w:p>
            <w:pPr>
              <w:spacing w:after="0"/>
              <w:rPr>
                <w:sz w:val="18"/>
                <w:szCs w:val="18"/>
                <w:color w:val="auto"/>
              </w:rPr>
            </w:pPr>
          </w:p>
        </w:tc>
        <w:tc>
          <w:tcPr>
            <w:tcW w:w="142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December 31</w:t>
            </w:r>
          </w:p>
        </w:tc>
      </w:tr>
      <w:tr>
        <w:trPr>
          <w:trHeight w:val="229"/>
        </w:trPr>
        <w:tc>
          <w:tcPr>
            <w:tcW w:w="8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r>
      <w:tr>
        <w:trPr>
          <w:trHeight w:val="210"/>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80" w:type="dxa"/>
            <w:vAlign w:val="bottom"/>
          </w:tcPr>
          <w:p>
            <w:pPr>
              <w:spacing w:after="0"/>
              <w:rPr>
                <w:sz w:val="18"/>
                <w:szCs w:val="18"/>
                <w:color w:val="auto"/>
              </w:rPr>
            </w:pPr>
          </w:p>
        </w:tc>
        <w:tc>
          <w:tcPr>
            <w:tcW w:w="2440" w:type="dxa"/>
            <w:vAlign w:val="bottom"/>
            <w:gridSpan w:val="3"/>
          </w:tcPr>
          <w:p>
            <w:pPr>
              <w:jc w:val="right"/>
              <w:ind w:right="399"/>
              <w:spacing w:after="0"/>
              <w:rPr>
                <w:sz w:val="20"/>
                <w:szCs w:val="20"/>
                <w:color w:val="auto"/>
              </w:rPr>
            </w:pPr>
            <w:r>
              <w:rPr>
                <w:rFonts w:ascii="Arial" w:cs="Arial" w:eastAsia="Arial" w:hAnsi="Arial"/>
                <w:sz w:val="14"/>
                <w:szCs w:val="14"/>
                <w:color w:val="auto"/>
                <w:w w:val="96"/>
              </w:rPr>
              <w:t>(millions, except share amounts)</w:t>
            </w:r>
          </w:p>
        </w:tc>
      </w:tr>
      <w:tr>
        <w:trPr>
          <w:trHeight w:val="219"/>
        </w:trPr>
        <w:tc>
          <w:tcPr>
            <w:tcW w:w="84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19.0</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8.7</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Receivables, net of allowance for credit losses of $9.9 and $16.9, respectively</w:t>
            </w:r>
          </w:p>
        </w:tc>
        <w:tc>
          <w:tcPr>
            <w:tcW w:w="38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198.6</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249.4</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party receivables</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9.7</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7.9</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Accounts receivable pledged as collateral</w:t>
            </w:r>
          </w:p>
        </w:tc>
        <w:tc>
          <w:tcPr>
            <w:tcW w:w="38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200.0</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185.0</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inventory and supplies</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395.9</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349.5</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Income taxes receivable</w:t>
            </w:r>
          </w:p>
        </w:tc>
        <w:tc>
          <w:tcPr>
            <w:tcW w:w="38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20.2</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assets</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125.0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121.9</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38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23.7</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18.7</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19.1</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28.8</w:t>
            </w:r>
          </w:p>
        </w:tc>
      </w:tr>
      <w:tr>
        <w:trPr>
          <w:trHeight w:val="207"/>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Assets</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1,011.2</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969.9</w:t>
            </w:r>
          </w:p>
        </w:tc>
      </w:tr>
      <w:tr>
        <w:trPr>
          <w:trHeight w:val="212"/>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11,741.5</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11,080.8</w:t>
            </w:r>
          </w:p>
        </w:tc>
      </w:tr>
      <w:tr>
        <w:trPr>
          <w:trHeight w:val="207"/>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PROPERTY, PLANT AND EQUIPMENT OF VARIABLE INTEREST ENTITY, NET</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135.4</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140.7</w:t>
            </w:r>
          </w:p>
        </w:tc>
      </w:tr>
      <w:tr>
        <w:trPr>
          <w:trHeight w:val="212"/>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Regulatory assets</w:t>
            </w:r>
          </w:p>
        </w:tc>
        <w:tc>
          <w:tcPr>
            <w:tcW w:w="38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562.6</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590.0</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Nuclear decommissioning trust fund</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347.6</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318.8</w:t>
            </w:r>
          </w:p>
        </w:tc>
      </w:tr>
      <w:tr>
        <w:trPr>
          <w:trHeight w:val="213"/>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275.5</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268.1</w:t>
            </w:r>
          </w:p>
        </w:tc>
      </w:tr>
      <w:tr>
        <w:trPr>
          <w:trHeight w:val="212"/>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 Assets</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1,185.7</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1,176.9</w:t>
            </w:r>
          </w:p>
        </w:tc>
      </w:tr>
      <w:tr>
        <w:trPr>
          <w:trHeight w:val="216"/>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14,073.8</w:t>
            </w: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13,368.3</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9"/>
        </w:trPr>
        <w:tc>
          <w:tcPr>
            <w:tcW w:w="8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60" w:type="dxa"/>
            <w:vAlign w:val="bottom"/>
          </w:tcPr>
          <w:p>
            <w:pPr>
              <w:spacing w:after="0"/>
              <w:rPr>
                <w:sz w:val="18"/>
                <w:szCs w:val="18"/>
                <w:color w:val="auto"/>
              </w:rPr>
            </w:pPr>
          </w:p>
        </w:tc>
        <w:tc>
          <w:tcPr>
            <w:tcW w:w="2420" w:type="dxa"/>
            <w:vAlign w:val="bottom"/>
            <w:gridSpan w:val="3"/>
          </w:tcPr>
          <w:p>
            <w:pPr>
              <w:jc w:val="right"/>
              <w:ind w:right="379"/>
              <w:spacing w:after="0"/>
              <w:rPr>
                <w:sz w:val="20"/>
                <w:szCs w:val="20"/>
                <w:color w:val="auto"/>
              </w:rPr>
            </w:pPr>
            <w:r>
              <w:rPr>
                <w:rFonts w:ascii="Arial" w:cs="Arial" w:eastAsia="Arial" w:hAnsi="Arial"/>
                <w:sz w:val="14"/>
                <w:szCs w:val="14"/>
                <w:color w:val="auto"/>
                <w:w w:val="96"/>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36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50.0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Notes payable and commercial paper</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660.2</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772.1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Collateralized note payable</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200.0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185.0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198.0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247.3</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party payables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29.2</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28.9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taxes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171.2</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125.5</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64.1</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72.6</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115.7</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72.1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21.9</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21.3</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compensation and benefits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34.5</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39.4</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117.5</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135.0</w:t>
            </w:r>
          </w:p>
        </w:tc>
      </w:tr>
      <w:tr>
        <w:trPr>
          <w:trHeight w:val="207"/>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1,612.3</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1,749.2</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4,282.4</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3,886.9</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848.3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844.5</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Unamortized investment tax credits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58.0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57.3</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1,472.3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1,368.9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Pension and post-retirement liability</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248.0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244.7</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571.3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543.8</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146.2</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165.6</w:t>
            </w:r>
          </w:p>
        </w:tc>
      </w:tr>
      <w:tr>
        <w:trPr>
          <w:trHeight w:val="212"/>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Long-Term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7,626.5</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7,111.7</w:t>
            </w:r>
          </w:p>
        </w:tc>
      </w:tr>
      <w:tr>
        <w:trPr>
          <w:trHeight w:val="193"/>
        </w:trPr>
        <w:tc>
          <w:tcPr>
            <w:tcW w:w="8400" w:type="dxa"/>
            <w:vAlign w:val="bottom"/>
          </w:tcPr>
          <w:p>
            <w:pPr>
              <w:ind w:left="20"/>
              <w:spacing w:after="0"/>
              <w:rPr>
                <w:sz w:val="20"/>
                <w:szCs w:val="20"/>
                <w:color w:val="auto"/>
              </w:rPr>
            </w:pPr>
            <w:r>
              <w:rPr>
                <w:rFonts w:ascii="Arial" w:cs="Arial" w:eastAsia="Arial" w:hAnsi="Arial"/>
                <w:sz w:val="16"/>
                <w:szCs w:val="16"/>
                <w:color w:val="auto"/>
              </w:rPr>
              <w:t>Commitments and Contingencies (Note 11)</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Evergy Kansas Central, Inc. Shareholder's Equity:</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stock - 1,000 shares authorized, $0.01 par value, 1 share issued</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2,737.6</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2,737.6</w:t>
            </w:r>
          </w:p>
        </w:tc>
      </w:tr>
      <w:tr>
        <w:trPr>
          <w:trHeight w:val="213"/>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Retained earnings</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2,078.6</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1,760.2</w:t>
            </w:r>
          </w:p>
        </w:tc>
      </w:tr>
      <w:tr>
        <w:trPr>
          <w:trHeight w:val="212"/>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Evergy Kansas Central, Inc. Shareholder's Equity</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4,816.2</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4,497.8</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18.8</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9.6</w:t>
            </w:r>
          </w:p>
        </w:tc>
      </w:tr>
      <w:tr>
        <w:trPr>
          <w:trHeight w:val="212"/>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Equity</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4,835.0</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4,507.4</w:t>
            </w:r>
          </w:p>
        </w:tc>
      </w:tr>
      <w:tr>
        <w:trPr>
          <w:trHeight w:val="216"/>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14,073.8</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13,368.3</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Income</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rPr>
              <w:t>Year to Date</w:t>
            </w:r>
          </w:p>
        </w:tc>
        <w:tc>
          <w:tcPr>
            <w:tcW w:w="700" w:type="dxa"/>
            <w:vAlign w:val="bottom"/>
          </w:tcPr>
          <w:p>
            <w:pPr>
              <w:spacing w:after="0"/>
              <w:rPr>
                <w:sz w:val="16"/>
                <w:szCs w:val="16"/>
                <w:color w:val="auto"/>
              </w:rPr>
            </w:pPr>
          </w:p>
        </w:tc>
      </w:tr>
      <w:tr>
        <w:trPr>
          <w:trHeight w:val="210"/>
        </w:trPr>
        <w:tc>
          <w:tcPr>
            <w:tcW w:w="6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0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8"/>
                <w:szCs w:val="18"/>
                <w:color w:val="auto"/>
              </w:rPr>
            </w:pPr>
          </w:p>
        </w:tc>
        <w:tc>
          <w:tcPr>
            <w:tcW w:w="198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September 30</w:t>
            </w:r>
          </w:p>
        </w:tc>
      </w:tr>
      <w:tr>
        <w:trPr>
          <w:trHeight w:val="229"/>
        </w:trPr>
        <w:tc>
          <w:tcPr>
            <w:tcW w:w="6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2022</w:t>
            </w:r>
          </w:p>
        </w:tc>
      </w:tr>
      <w:tr>
        <w:trPr>
          <w:trHeight w:val="182"/>
        </w:trPr>
        <w:tc>
          <w:tcPr>
            <w:tcW w:w="6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(millions)</w:t>
            </w: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
        </w:trPr>
        <w:tc>
          <w:tcPr>
            <w:tcW w:w="6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773.3</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1,021.4</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2,091.5</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2,359.3</w:t>
            </w:r>
          </w:p>
        </w:tc>
      </w:tr>
      <w:tr>
        <w:trPr>
          <w:trHeight w:val="193"/>
        </w:trPr>
        <w:tc>
          <w:tcPr>
            <w:tcW w:w="6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212.3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342.1</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470.5</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629.2</w:t>
            </w:r>
          </w:p>
        </w:tc>
      </w:tr>
      <w:tr>
        <w:trPr>
          <w:trHeight w:val="213"/>
        </w:trPr>
        <w:tc>
          <w:tcPr>
            <w:tcW w:w="6340" w:type="dxa"/>
            <w:vAlign w:val="bottom"/>
          </w:tcPr>
          <w:p>
            <w:pPr>
              <w:ind w:left="140"/>
              <w:spacing w:after="0"/>
              <w:rPr>
                <w:sz w:val="20"/>
                <w:szCs w:val="20"/>
                <w:color w:val="auto"/>
              </w:rPr>
            </w:pPr>
            <w:r>
              <w:rPr>
                <w:rFonts w:ascii="Arial" w:cs="Arial" w:eastAsia="Arial" w:hAnsi="Arial"/>
                <w:sz w:val="16"/>
                <w:szCs w:val="16"/>
                <w:color w:val="auto"/>
              </w:rPr>
              <w:t>SPP network transmission costs</w:t>
            </w:r>
          </w:p>
        </w:tc>
        <w:tc>
          <w:tcPr>
            <w:tcW w:w="4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75.4</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81.6</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232.0</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241.8</w:t>
            </w:r>
          </w:p>
        </w:tc>
      </w:tr>
      <w:tr>
        <w:trPr>
          <w:trHeight w:val="219"/>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and maintenance</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123.9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135.1</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347.1</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402.3</w:t>
            </w:r>
          </w:p>
        </w:tc>
      </w:tr>
      <w:tr>
        <w:trPr>
          <w:trHeight w:val="213"/>
        </w:trPr>
        <w:tc>
          <w:tcPr>
            <w:tcW w:w="63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133.2</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121.6</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386.0</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361.9</w:t>
            </w:r>
          </w:p>
        </w:tc>
      </w:tr>
      <w:tr>
        <w:trPr>
          <w:trHeight w:val="219"/>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54.9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54.9</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165.1</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w:t>
            </w:r>
          </w:p>
        </w:tc>
      </w:tr>
      <w:tr>
        <w:trPr>
          <w:trHeight w:val="207"/>
        </w:trPr>
        <w:tc>
          <w:tcPr>
            <w:tcW w:w="6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Operating Expenses</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599.7</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735.3</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1,600.7</w:t>
            </w: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1,798.5</w:t>
            </w:r>
          </w:p>
        </w:tc>
      </w:tr>
      <w:tr>
        <w:trPr>
          <w:trHeight w:val="212"/>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173.6</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286.1</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490.8</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560.8</w:t>
            </w:r>
          </w:p>
        </w:tc>
      </w:tr>
      <w:tr>
        <w:trPr>
          <w:trHeight w:val="193"/>
        </w:trPr>
        <w:tc>
          <w:tcPr>
            <w:tcW w:w="634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earnings (loss)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3"/>
        </w:trPr>
        <w:tc>
          <w:tcPr>
            <w:tcW w:w="634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4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18.3</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28.6</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9"/>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(28.8)</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07"/>
        </w:trPr>
        <w:tc>
          <w:tcPr>
            <w:tcW w:w="6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Income (Expense), Net</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7.7</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w:t>
            </w: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r>
      <w:tr>
        <w:trPr>
          <w:trHeight w:val="212"/>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56.5</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46.1</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163.3</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124.8</w:t>
            </w:r>
          </w:p>
        </w:tc>
        <w:tc>
          <w:tcPr>
            <w:tcW w:w="32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230.5</w:t>
            </w:r>
          </w:p>
        </w:tc>
        <w:tc>
          <w:tcPr>
            <w:tcW w:w="36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328.6</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402.2</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15.5</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3.6</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1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0.6</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2.6</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12"/>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133.3</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216.1</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327.6</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381.8</w:t>
            </w:r>
          </w:p>
        </w:tc>
      </w:tr>
      <w:tr>
        <w:trPr>
          <w:trHeight w:val="21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9.2</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219"/>
        </w:trPr>
        <w:tc>
          <w:tcPr>
            <w:tcW w:w="6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EVERGY KANSAS CENTRAL, INC.</w:t>
            </w:r>
          </w:p>
        </w:tc>
        <w:tc>
          <w:tcPr>
            <w:tcW w:w="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130.3</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213.1</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318.4</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372.6</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to Date September 30</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2022</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80" w:type="dxa"/>
            <w:vAlign w:val="bottom"/>
          </w:tcPr>
          <w:p>
            <w:pPr>
              <w:spacing w:after="0"/>
              <w:rPr>
                <w:sz w:val="18"/>
                <w:szCs w:val="18"/>
                <w:color w:val="auto"/>
              </w:rPr>
            </w:pPr>
          </w:p>
        </w:tc>
        <w:tc>
          <w:tcPr>
            <w:tcW w:w="1460" w:type="dxa"/>
            <w:vAlign w:val="bottom"/>
            <w:gridSpan w:val="2"/>
          </w:tcPr>
          <w:p>
            <w:pPr>
              <w:jc w:val="right"/>
              <w:ind w:right="59"/>
              <w:spacing w:after="0"/>
              <w:rPr>
                <w:sz w:val="20"/>
                <w:szCs w:val="20"/>
                <w:color w:val="auto"/>
              </w:rPr>
            </w:pPr>
            <w:r>
              <w:rPr>
                <w:rFonts w:ascii="Arial" w:cs="Arial" w:eastAsia="Arial" w:hAnsi="Arial"/>
                <w:sz w:val="14"/>
                <w:szCs w:val="14"/>
                <w:color w:val="auto"/>
              </w:rPr>
              <w:t>(millions)</w:t>
            </w: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327.6</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381.8</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386.0</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361.9</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23.2</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6.8</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Amortization of corporate-owned life insurance</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19.4</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(18.8)</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(2.5)</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(6.3)</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(2.6)</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from corporate-owned life insurance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(26.2)</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(4.1)</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working capital items: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49.6</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(61.8)</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(15.0)</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Fuel inventory and supplies</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(45.7)</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41.6</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(52.2)</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25.5</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(30.6)</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(27.3)</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3.7</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13"/>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Changes in other liabilities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100.9</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r>
      <w:tr>
        <w:trPr>
          <w:trHeight w:val="210"/>
        </w:trPr>
        <w:tc>
          <w:tcPr>
            <w:tcW w:w="8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780.3</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758.6</w:t>
            </w:r>
          </w:p>
        </w:tc>
      </w:tr>
      <w:tr>
        <w:trPr>
          <w:trHeight w:val="209"/>
        </w:trPr>
        <w:tc>
          <w:tcPr>
            <w:tcW w:w="8560" w:type="dxa"/>
            <w:vAlign w:val="bottom"/>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(855.8)</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(682.3)</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Acquisition of Persimmon Creek, net of cash acquired</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(217.9)</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securities - trusts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(9.9)</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Sale of securities - trusts</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5.7</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corporate-owned life insurance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(15.5)</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Proceeds from investment in corporate-owned life insurance</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117.0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1.9</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7"/>
        </w:trPr>
        <w:tc>
          <w:tcPr>
            <w:tcW w:w="85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(974.5)</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(691.5)</w:t>
            </w:r>
          </w:p>
        </w:tc>
      </w:tr>
      <w:tr>
        <w:trPr>
          <w:trHeight w:val="212"/>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Short-term debt, net</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(112.6)</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232.2</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Collateralized short-term debt,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15.0</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Proceeds from long-term debt</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393.3</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Retirements of long-term debt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(50.0)</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Borrowings against cash surrender value of corporate-owned life insurance</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49.0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50.5</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borrowings against cash surrender value of corporate-owned life insurance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(88.6)</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Cash dividends paid</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(385.0)</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7"/>
        </w:trPr>
        <w:tc>
          <w:tcPr>
            <w:tcW w:w="85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Cash Flows from (used in) Financing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204.5</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r>
      <w:tr>
        <w:trPr>
          <w:trHeight w:val="212"/>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10.3</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8.7</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19.0</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80" w:type="dxa"/>
            <w:vAlign w:val="bottom"/>
          </w:tcPr>
          <w:p>
            <w:pPr>
              <w:spacing w:after="0"/>
              <w:rPr>
                <w:sz w:val="19"/>
                <w:szCs w:val="19"/>
                <w:color w:val="auto"/>
              </w:rPr>
            </w:pPr>
          </w:p>
        </w:tc>
        <w:tc>
          <w:tcPr>
            <w:tcW w:w="3300" w:type="dxa"/>
            <w:vAlign w:val="bottom"/>
            <w:tcBorders>
              <w:bottom w:val="single" w:sz="8" w:color="auto"/>
            </w:tcBorders>
            <w:gridSpan w:val="5"/>
          </w:tcPr>
          <w:p>
            <w:pPr>
              <w:jc w:val="right"/>
              <w:ind w:right="139"/>
              <w:spacing w:after="0"/>
              <w:rPr>
                <w:sz w:val="20"/>
                <w:szCs w:val="20"/>
                <w:color w:val="auto"/>
              </w:rPr>
            </w:pPr>
            <w:r>
              <w:rPr>
                <w:rFonts w:ascii="Arial" w:cs="Arial" w:eastAsia="Arial" w:hAnsi="Arial"/>
                <w:sz w:val="16"/>
                <w:szCs w:val="16"/>
                <w:b w:val="1"/>
                <w:bCs w:val="1"/>
                <w:color w:val="auto"/>
                <w:w w:val="99"/>
              </w:rPr>
              <w:t>Evergy Kansas Central, Inc. Shareholder</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8"/>
              </w:rPr>
              <w:t>Common stock</w:t>
            </w:r>
          </w:p>
        </w:tc>
        <w:tc>
          <w:tcPr>
            <w:tcW w:w="180" w:type="dxa"/>
            <w:vAlign w:val="bottom"/>
          </w:tcPr>
          <w:p>
            <w:pPr>
              <w:spacing w:after="0"/>
              <w:rPr>
                <w:sz w:val="12"/>
                <w:szCs w:val="12"/>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5"/>
              </w:rPr>
              <w:t>Common</w:t>
            </w:r>
          </w:p>
        </w:tc>
        <w:tc>
          <w:tcPr>
            <w:tcW w:w="160" w:type="dxa"/>
            <w:vAlign w:val="bottom"/>
          </w:tcPr>
          <w:p>
            <w:pPr>
              <w:spacing w:after="0"/>
              <w:rPr>
                <w:sz w:val="12"/>
                <w:szCs w:val="12"/>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7"/>
              </w:rPr>
              <w:t>Retained</w:t>
            </w:r>
          </w:p>
        </w:tc>
        <w:tc>
          <w:tcPr>
            <w:tcW w:w="120" w:type="dxa"/>
            <w:vAlign w:val="bottom"/>
          </w:tcPr>
          <w:p>
            <w:pPr>
              <w:spacing w:after="0"/>
              <w:rPr>
                <w:sz w:val="12"/>
                <w:szCs w:val="12"/>
                <w:color w:val="auto"/>
              </w:rPr>
            </w:pPr>
          </w:p>
        </w:tc>
        <w:tc>
          <w:tcPr>
            <w:tcW w:w="940" w:type="dxa"/>
            <w:vAlign w:val="bottom"/>
          </w:tcPr>
          <w:p>
            <w:pPr>
              <w:jc w:val="center"/>
              <w:ind w:right="39"/>
              <w:spacing w:after="0" w:line="148" w:lineRule="exact"/>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controlling</w:t>
            </w: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Total equity</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stock</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earnings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interests</w:t>
            </w:r>
          </w:p>
        </w:tc>
        <w:tc>
          <w:tcPr>
            <w:tcW w:w="9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40" w:type="dxa"/>
            <w:vAlign w:val="bottom"/>
            <w:gridSpan w:val="5"/>
          </w:tcPr>
          <w:p>
            <w:pPr>
              <w:jc w:val="right"/>
              <w:ind w:right="679"/>
              <w:spacing w:after="0"/>
              <w:rPr>
                <w:sz w:val="20"/>
                <w:szCs w:val="20"/>
                <w:color w:val="auto"/>
              </w:rPr>
            </w:pPr>
            <w:r>
              <w:rPr>
                <w:rFonts w:ascii="Arial" w:cs="Arial" w:eastAsia="Arial" w:hAnsi="Arial"/>
                <w:sz w:val="14"/>
                <w:szCs w:val="14"/>
                <w:color w:val="auto"/>
              </w:rPr>
              <w:t>(millions, except share amounts)</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4,541.5</w:t>
            </w:r>
          </w:p>
        </w:tc>
        <w:tc>
          <w:tcPr>
            <w:tcW w:w="0" w:type="dxa"/>
            <w:vAlign w:val="bottom"/>
          </w:tcPr>
          <w:p>
            <w:pPr>
              <w:spacing w:after="0"/>
              <w:rPr>
                <w:sz w:val="1"/>
                <w:szCs w:val="1"/>
                <w:color w:val="auto"/>
              </w:rPr>
            </w:pP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7"/>
        </w:trPr>
        <w:tc>
          <w:tcPr>
            <w:tcW w:w="588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1,853.6</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0.4</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4,591.6</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Dividends declared on common stock</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3"/>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1,741.1</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4,482.2</w:t>
            </w:r>
          </w:p>
        </w:tc>
        <w:tc>
          <w:tcPr>
            <w:tcW w:w="0" w:type="dxa"/>
            <w:vAlign w:val="bottom"/>
          </w:tcPr>
          <w:p>
            <w:pPr>
              <w:spacing w:after="0"/>
              <w:rPr>
                <w:sz w:val="1"/>
                <w:szCs w:val="1"/>
                <w:color w:val="auto"/>
              </w:rPr>
            </w:pP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213.1</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216.1</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17"/>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September 30, 2022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1,794.2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4,538.3</w:t>
            </w:r>
          </w:p>
        </w:tc>
        <w:tc>
          <w:tcPr>
            <w:tcW w:w="0" w:type="dxa"/>
            <w:vAlign w:val="bottom"/>
          </w:tcPr>
          <w:p>
            <w:pPr>
              <w:spacing w:after="0"/>
              <w:rPr>
                <w:sz w:val="1"/>
                <w:szCs w:val="1"/>
                <w:color w:val="auto"/>
              </w:rPr>
            </w:pPr>
          </w:p>
        </w:tc>
      </w:tr>
      <w:tr>
        <w:trPr>
          <w:trHeight w:val="257"/>
        </w:trPr>
        <w:tc>
          <w:tcPr>
            <w:tcW w:w="58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1,760.2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4,507.4</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207"/>
        </w:trPr>
        <w:tc>
          <w:tcPr>
            <w:tcW w:w="588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1,863.5</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4,613.8</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206"/>
        </w:trPr>
        <w:tc>
          <w:tcPr>
            <w:tcW w:w="588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2023</w:t>
            </w: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1,948.3</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15.8</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4,701.7</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September 30, 2023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2,078.6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4,835.0</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Unaudited Notes to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8" w:name="page19"/>
    <w:bookmarkEnd w:id="1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38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142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9"/>
        </w:trPr>
        <w:tc>
          <w:tcPr>
            <w:tcW w:w="8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2022</w:t>
            </w:r>
          </w:p>
        </w:tc>
      </w:tr>
      <w:tr>
        <w:trPr>
          <w:trHeight w:val="210"/>
        </w:trPr>
        <w:tc>
          <w:tcPr>
            <w:tcW w:w="83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60" w:type="dxa"/>
            <w:vAlign w:val="bottom"/>
          </w:tcPr>
          <w:p>
            <w:pPr>
              <w:spacing w:after="0"/>
              <w:rPr>
                <w:sz w:val="18"/>
                <w:szCs w:val="18"/>
                <w:color w:val="auto"/>
              </w:rPr>
            </w:pPr>
          </w:p>
        </w:tc>
        <w:tc>
          <w:tcPr>
            <w:tcW w:w="2440" w:type="dxa"/>
            <w:vAlign w:val="bottom"/>
            <w:gridSpan w:val="3"/>
          </w:tcPr>
          <w:p>
            <w:pPr>
              <w:jc w:val="right"/>
              <w:ind w:right="379"/>
              <w:spacing w:after="0"/>
              <w:rPr>
                <w:sz w:val="20"/>
                <w:szCs w:val="20"/>
                <w:color w:val="auto"/>
              </w:rPr>
            </w:pPr>
            <w:r>
              <w:rPr>
                <w:rFonts w:ascii="Arial" w:cs="Arial" w:eastAsia="Arial" w:hAnsi="Arial"/>
                <w:sz w:val="14"/>
                <w:szCs w:val="14"/>
                <w:color w:val="auto"/>
                <w:w w:val="97"/>
              </w:rPr>
              <w:t>(millions, except share amounts)</w:t>
            </w:r>
          </w:p>
        </w:tc>
      </w:tr>
      <w:tr>
        <w:trPr>
          <w:trHeight w:val="219"/>
        </w:trPr>
        <w:tc>
          <w:tcPr>
            <w:tcW w:w="8380" w:type="dxa"/>
            <w:vAlign w:val="bottom"/>
          </w:tcPr>
          <w:p>
            <w:pPr>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7.1</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Receivables, net of allowance for credit losses of $7.2 and $9.3, respectively</w:t>
            </w:r>
          </w:p>
        </w:tc>
        <w:tc>
          <w:tcPr>
            <w:tcW w:w="36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Arial" w:cs="Arial" w:eastAsia="Arial" w:hAnsi="Arial"/>
                <w:sz w:val="16"/>
                <w:szCs w:val="16"/>
                <w:b w:val="1"/>
                <w:bCs w:val="1"/>
                <w:color w:val="auto"/>
              </w:rPr>
              <w:t>89.6</w:t>
            </w:r>
          </w:p>
        </w:tc>
        <w:tc>
          <w:tcPr>
            <w:tcW w:w="4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37.8</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Related party receivables</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122.9</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170.4</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Accounts receivable pledged as collateral</w:t>
            </w:r>
          </w:p>
        </w:tc>
        <w:tc>
          <w:tcPr>
            <w:tcW w:w="36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Arial" w:cs="Arial" w:eastAsia="Arial" w:hAnsi="Arial"/>
                <w:sz w:val="16"/>
                <w:szCs w:val="16"/>
                <w:b w:val="1"/>
                <w:bCs w:val="1"/>
                <w:color w:val="auto"/>
              </w:rPr>
              <w:t>130.0</w:t>
            </w:r>
          </w:p>
        </w:tc>
        <w:tc>
          <w:tcPr>
            <w:tcW w:w="4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124.0</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Fuel inventory and supplies</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246.4</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240.6</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Income taxes receivable</w:t>
            </w:r>
          </w:p>
        </w:tc>
        <w:tc>
          <w:tcPr>
            <w:tcW w:w="36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0.2</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Regulatory assets</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38.1</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42.3</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Prepaid expenses</w:t>
            </w:r>
          </w:p>
        </w:tc>
        <w:tc>
          <w:tcPr>
            <w:tcW w:w="36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Arial" w:cs="Arial" w:eastAsia="Arial" w:hAnsi="Arial"/>
                <w:sz w:val="16"/>
                <w:szCs w:val="16"/>
                <w:b w:val="1"/>
                <w:bCs w:val="1"/>
                <w:color w:val="auto"/>
              </w:rPr>
              <w:t>20.3</w:t>
            </w:r>
          </w:p>
        </w:tc>
        <w:tc>
          <w:tcPr>
            <w:tcW w:w="4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22.4</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14.0</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11.0</w:t>
            </w:r>
          </w:p>
        </w:tc>
      </w:tr>
      <w:tr>
        <w:trPr>
          <w:trHeight w:val="207"/>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668.4</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651.8</w:t>
            </w:r>
          </w:p>
        </w:tc>
      </w:tr>
      <w:tr>
        <w:trPr>
          <w:trHeight w:val="212"/>
        </w:trPr>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8,019.9</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7,844.2</w:t>
            </w:r>
          </w:p>
        </w:tc>
      </w:tr>
      <w:tr>
        <w:trPr>
          <w:trHeight w:val="207"/>
        </w:trPr>
        <w:tc>
          <w:tcPr>
            <w:tcW w:w="8380" w:type="dxa"/>
            <w:vAlign w:val="bottom"/>
          </w:tcPr>
          <w:p>
            <w:pPr>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Regulatory assets</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363.1</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331.5</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Nuclear decommissioning trust fund</w:t>
            </w:r>
          </w:p>
        </w:tc>
        <w:tc>
          <w:tcPr>
            <w:tcW w:w="36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Arial" w:cs="Arial" w:eastAsia="Arial" w:hAnsi="Arial"/>
                <w:sz w:val="16"/>
                <w:szCs w:val="16"/>
                <w:b w:val="1"/>
                <w:bCs w:val="1"/>
                <w:color w:val="auto"/>
              </w:rPr>
              <w:t>363.6</w:t>
            </w:r>
          </w:p>
        </w:tc>
        <w:tc>
          <w:tcPr>
            <w:tcW w:w="4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334.5</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80.0</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87.2</w:t>
            </w:r>
          </w:p>
        </w:tc>
      </w:tr>
      <w:tr>
        <w:trPr>
          <w:trHeight w:val="207"/>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Assets</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806.7</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753.2</w:t>
            </w:r>
          </w:p>
        </w:tc>
      </w:tr>
      <w:tr>
        <w:trPr>
          <w:trHeight w:val="219"/>
        </w:trPr>
        <w:tc>
          <w:tcPr>
            <w:tcW w:w="8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9,495.0</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9,249.2</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9"/>
        </w:trPr>
        <w:tc>
          <w:tcPr>
            <w:tcW w:w="8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60" w:type="dxa"/>
            <w:vAlign w:val="bottom"/>
          </w:tcPr>
          <w:p>
            <w:pPr>
              <w:spacing w:after="0"/>
              <w:rPr>
                <w:sz w:val="18"/>
                <w:szCs w:val="18"/>
                <w:color w:val="auto"/>
              </w:rPr>
            </w:pPr>
          </w:p>
        </w:tc>
        <w:tc>
          <w:tcPr>
            <w:tcW w:w="2420" w:type="dxa"/>
            <w:vAlign w:val="bottom"/>
            <w:gridSpan w:val="3"/>
          </w:tcPr>
          <w:p>
            <w:pPr>
              <w:jc w:val="right"/>
              <w:ind w:right="379"/>
              <w:spacing w:after="0"/>
              <w:rPr>
                <w:sz w:val="20"/>
                <w:szCs w:val="20"/>
                <w:color w:val="auto"/>
              </w:rPr>
            </w:pPr>
            <w:r>
              <w:rPr>
                <w:rFonts w:ascii="Arial" w:cs="Arial" w:eastAsia="Arial" w:hAnsi="Arial"/>
                <w:sz w:val="14"/>
                <w:szCs w:val="14"/>
                <w:color w:val="auto"/>
                <w:w w:val="96"/>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36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79.5</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379.5</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Notes payable and commercial paper</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331.8</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111.0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Collateralized note payable</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130.0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124.0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180.1</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252.3</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party payables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0.2</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taxes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127.1</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40.5</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43.4</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46.2</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55.3</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16.3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17.1</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compensation and benefits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32.9</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41.7</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33.1</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49.2</w:t>
            </w:r>
          </w:p>
        </w:tc>
      </w:tr>
      <w:tr>
        <w:trPr>
          <w:trHeight w:val="207"/>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1,020.6</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1,099.4</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2,845.7</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2,547.1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794.2</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720.9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Unamortized investment tax credits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112.2</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114.7</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831.0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872.8</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Pension and post-retirement liability</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204.0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196.6</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441.9</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427.1</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82.6</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84.3</w:t>
            </w:r>
          </w:p>
        </w:tc>
      </w:tr>
      <w:tr>
        <w:trPr>
          <w:trHeight w:val="212"/>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Long-Term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5,311.6</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4,963.5</w:t>
            </w:r>
          </w:p>
        </w:tc>
      </w:tr>
      <w:tr>
        <w:trPr>
          <w:trHeight w:val="193"/>
        </w:trPr>
        <w:tc>
          <w:tcPr>
            <w:tcW w:w="8400" w:type="dxa"/>
            <w:vAlign w:val="bottom"/>
          </w:tcPr>
          <w:p>
            <w:pPr>
              <w:ind w:left="20"/>
              <w:spacing w:after="0"/>
              <w:rPr>
                <w:sz w:val="20"/>
                <w:szCs w:val="20"/>
                <w:color w:val="auto"/>
              </w:rPr>
            </w:pPr>
            <w:r>
              <w:rPr>
                <w:rFonts w:ascii="Arial" w:cs="Arial" w:eastAsia="Arial" w:hAnsi="Arial"/>
                <w:sz w:val="16"/>
                <w:szCs w:val="16"/>
                <w:color w:val="auto"/>
              </w:rPr>
              <w:t>Commitments and Contingencies (Note 11)</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Common stock - 1,000 shares authorized, without par value, 1 share issued, stated value</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1,563.1</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1,563.1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1,595.9</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1,619.2</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3.8</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4.0</w:t>
            </w:r>
          </w:p>
        </w:tc>
      </w:tr>
      <w:tr>
        <w:trPr>
          <w:trHeight w:val="212"/>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Equity</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3,162.8</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3,186.3</w:t>
            </w:r>
          </w:p>
        </w:tc>
      </w:tr>
      <w:tr>
        <w:trPr>
          <w:trHeight w:val="216"/>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9,495.0</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9,249.2</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rPr>
              <w:t>Year to Date</w:t>
            </w:r>
          </w:p>
        </w:tc>
        <w:tc>
          <w:tcPr>
            <w:tcW w:w="700" w:type="dxa"/>
            <w:vAlign w:val="bottom"/>
          </w:tcPr>
          <w:p>
            <w:pPr>
              <w:spacing w:after="0"/>
              <w:rPr>
                <w:sz w:val="16"/>
                <w:szCs w:val="16"/>
                <w:color w:val="auto"/>
              </w:rPr>
            </w:pPr>
          </w:p>
        </w:tc>
      </w:tr>
      <w:tr>
        <w:trPr>
          <w:trHeight w:val="210"/>
        </w:trPr>
        <w:tc>
          <w:tcPr>
            <w:tcW w:w="6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0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8"/>
                <w:szCs w:val="18"/>
                <w:color w:val="auto"/>
              </w:rPr>
            </w:pPr>
          </w:p>
        </w:tc>
        <w:tc>
          <w:tcPr>
            <w:tcW w:w="198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September 30</w:t>
            </w:r>
          </w:p>
        </w:tc>
      </w:tr>
      <w:tr>
        <w:trPr>
          <w:trHeight w:val="229"/>
        </w:trPr>
        <w:tc>
          <w:tcPr>
            <w:tcW w:w="6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2022</w:t>
            </w:r>
          </w:p>
        </w:tc>
      </w:tr>
      <w:tr>
        <w:trPr>
          <w:trHeight w:val="182"/>
        </w:trPr>
        <w:tc>
          <w:tcPr>
            <w:tcW w:w="6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(millions)</w:t>
            </w: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
        </w:trPr>
        <w:tc>
          <w:tcPr>
            <w:tcW w:w="6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608.2</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641.8</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1,499.9</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1,564.4</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160.4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195.8</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417.8</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487.2</w:t>
            </w:r>
          </w:p>
        </w:tc>
      </w:tr>
      <w:tr>
        <w:trPr>
          <w:trHeight w:val="213"/>
        </w:trPr>
        <w:tc>
          <w:tcPr>
            <w:tcW w:w="6340" w:type="dxa"/>
            <w:vAlign w:val="bottom"/>
          </w:tcPr>
          <w:p>
            <w:pPr>
              <w:ind w:left="140"/>
              <w:spacing w:after="0"/>
              <w:rPr>
                <w:sz w:val="20"/>
                <w:szCs w:val="20"/>
                <w:color w:val="auto"/>
              </w:rPr>
            </w:pPr>
            <w:r>
              <w:rPr>
                <w:rFonts w:ascii="Arial" w:cs="Arial" w:eastAsia="Arial" w:hAnsi="Arial"/>
                <w:sz w:val="16"/>
                <w:szCs w:val="16"/>
                <w:color w:val="auto"/>
              </w:rPr>
              <w:t>Operating and maintenance</w:t>
            </w:r>
          </w:p>
        </w:tc>
        <w:tc>
          <w:tcPr>
            <w:tcW w:w="4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81.5</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76.0</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213.6</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240.8</w:t>
            </w:r>
          </w:p>
        </w:tc>
      </w:tr>
      <w:tr>
        <w:trPr>
          <w:trHeight w:val="219"/>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104.1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84.8</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311.9</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w:t>
            </w:r>
          </w:p>
        </w:tc>
      </w:tr>
      <w:tr>
        <w:trPr>
          <w:trHeight w:val="213"/>
        </w:trPr>
        <w:tc>
          <w:tcPr>
            <w:tcW w:w="6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Taxes other than income tax</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34.7</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32.9</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100.4</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12"/>
        </w:trPr>
        <w:tc>
          <w:tcPr>
            <w:tcW w:w="6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380.7</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389.5</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1,043.7</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1,080.2</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4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227.5</w:t>
            </w:r>
          </w:p>
        </w:tc>
        <w:tc>
          <w:tcPr>
            <w:tcW w:w="32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252.3</w:t>
            </w:r>
          </w:p>
        </w:tc>
        <w:tc>
          <w:tcPr>
            <w:tcW w:w="36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456.2</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484.2</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3"/>
        </w:trPr>
        <w:tc>
          <w:tcPr>
            <w:tcW w:w="6340" w:type="dxa"/>
            <w:vAlign w:val="bottom"/>
          </w:tcPr>
          <w:p>
            <w:pPr>
              <w:ind w:left="140"/>
              <w:spacing w:after="0"/>
              <w:rPr>
                <w:sz w:val="20"/>
                <w:szCs w:val="20"/>
                <w:color w:val="auto"/>
              </w:rPr>
            </w:pPr>
            <w:r>
              <w:rPr>
                <w:rFonts w:ascii="Arial" w:cs="Arial" w:eastAsia="Arial" w:hAnsi="Arial"/>
                <w:sz w:val="16"/>
                <w:szCs w:val="16"/>
                <w:color w:val="auto"/>
              </w:rPr>
              <w:t>Investment earnings</w:t>
            </w:r>
          </w:p>
        </w:tc>
        <w:tc>
          <w:tcPr>
            <w:tcW w:w="4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0.9</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0.4</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2.6</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9"/>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0.9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5.1</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13"/>
        </w:trPr>
        <w:tc>
          <w:tcPr>
            <w:tcW w:w="6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expense</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(0.5)</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(19.3)</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r>
      <w:tr>
        <w:trPr>
          <w:trHeight w:val="212"/>
        </w:trPr>
        <w:tc>
          <w:tcPr>
            <w:tcW w:w="6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Other Income (Expense), Net</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(11.6)</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35.0</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27.7</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100.6</w:t>
            </w: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w:t>
            </w:r>
          </w:p>
        </w:tc>
      </w:tr>
      <w:tr>
        <w:trPr>
          <w:trHeight w:val="212"/>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193.8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226.4</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344.0</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w:t>
            </w:r>
          </w:p>
        </w:tc>
      </w:tr>
      <w:tr>
        <w:trPr>
          <w:trHeight w:val="21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23.7</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33.2</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42.3</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w:t>
            </w:r>
          </w:p>
        </w:tc>
      </w:tr>
      <w:tr>
        <w:trPr>
          <w:trHeight w:val="219"/>
        </w:trPr>
        <w:tc>
          <w:tcPr>
            <w:tcW w:w="6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170.1</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193.2</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301.7</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336.2</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170.1</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193.2</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301.7</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336.2</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hedging activity</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3"/>
        </w:trPr>
        <w:tc>
          <w:tcPr>
            <w:tcW w:w="6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Reclassification to expenses, net of tax</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(0.2)</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12"/>
        </w:trPr>
        <w:tc>
          <w:tcPr>
            <w:tcW w:w="6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Derivative hedging activity, net of tax</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(0.1)</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(0.2)</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7"/>
        </w:trPr>
        <w:tc>
          <w:tcPr>
            <w:tcW w:w="6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other comprehensive loss</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(0.1)</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(0.2)</w:t>
            </w: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6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170.0</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193.1</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301.5</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336.0</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to Date September 30</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2022</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80" w:type="dxa"/>
            <w:vAlign w:val="bottom"/>
          </w:tcPr>
          <w:p>
            <w:pPr>
              <w:spacing w:after="0"/>
              <w:rPr>
                <w:sz w:val="18"/>
                <w:szCs w:val="18"/>
                <w:color w:val="auto"/>
              </w:rPr>
            </w:pPr>
          </w:p>
        </w:tc>
        <w:tc>
          <w:tcPr>
            <w:tcW w:w="1460" w:type="dxa"/>
            <w:vAlign w:val="bottom"/>
            <w:gridSpan w:val="2"/>
          </w:tcPr>
          <w:p>
            <w:pPr>
              <w:jc w:val="right"/>
              <w:ind w:right="59"/>
              <w:spacing w:after="0"/>
              <w:rPr>
                <w:sz w:val="20"/>
                <w:szCs w:val="20"/>
                <w:color w:val="auto"/>
              </w:rPr>
            </w:pPr>
            <w:r>
              <w:rPr>
                <w:rFonts w:ascii="Arial" w:cs="Arial" w:eastAsia="Arial" w:hAnsi="Arial"/>
                <w:sz w:val="14"/>
                <w:szCs w:val="14"/>
                <w:color w:val="auto"/>
              </w:rPr>
              <w:t>(millions)</w:t>
            </w: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301.7</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336.2</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311.9</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23.6</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6.8</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35.1</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72.0</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(4.1)</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(2.1)</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(0.3)</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Changes in working capital items: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(28.1)</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(6.0)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 inventory and supplies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(5.8)</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0.5</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(84.0)</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86.8</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60.4</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(27.5)</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Changes in other assets</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13.3</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(4.9)</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07"/>
        </w:trPr>
        <w:tc>
          <w:tcPr>
            <w:tcW w:w="85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616.9</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639.6</w:t>
            </w:r>
          </w:p>
        </w:tc>
      </w:tr>
      <w:tr>
        <w:trPr>
          <w:trHeight w:val="212"/>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(542.1)</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(574.5)</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securities - trusts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(20.8)</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Sale of securities - trusts</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17.1</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money pool lending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31.0</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r>
      <w:tr>
        <w:trPr>
          <w:trHeight w:val="213"/>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1.8</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10"/>
        </w:trPr>
        <w:tc>
          <w:tcPr>
            <w:tcW w:w="8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(513.0)</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(513.5)</w:t>
            </w:r>
          </w:p>
        </w:tc>
      </w:tr>
      <w:tr>
        <w:trPr>
          <w:trHeight w:val="209"/>
        </w:trPr>
        <w:tc>
          <w:tcPr>
            <w:tcW w:w="8560" w:type="dxa"/>
            <w:vAlign w:val="bottom"/>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debt,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220.8</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Collateralized short-term debt, net</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6.0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long-term debt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297.0</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Retirements of long-term debt</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(300.0)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(325.0)</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r>
      <w:tr>
        <w:trPr>
          <w:trHeight w:val="213"/>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8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Cash Flows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(99.9)</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w:t>
            </w:r>
          </w:p>
        </w:tc>
      </w:tr>
      <w:tr>
        <w:trPr>
          <w:trHeight w:val="210"/>
        </w:trPr>
        <w:tc>
          <w:tcPr>
            <w:tcW w:w="856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4.0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8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Beginning of period</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3.1</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7.1</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5360" w:type="dxa"/>
        <w:tblCellMar>
          <w:top w:w="0" w:type="dxa"/>
          <w:left w:w="0" w:type="dxa"/>
          <w:bottom w:w="0" w:type="dxa"/>
          <w:right w:w="0" w:type="dxa"/>
        </w:tblCellMar>
      </w:tblPr>
      <w:tr>
        <w:trPr>
          <w:trHeight w:val="184"/>
        </w:trPr>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Common stock</w:t>
            </w:r>
          </w:p>
        </w:tc>
        <w:tc>
          <w:tcPr>
            <w:tcW w:w="1300" w:type="dxa"/>
            <w:vAlign w:val="bottom"/>
          </w:tcPr>
          <w:p>
            <w:pPr>
              <w:spacing w:after="0"/>
              <w:rPr>
                <w:sz w:val="16"/>
                <w:szCs w:val="16"/>
                <w:color w:val="auto"/>
              </w:rPr>
            </w:pPr>
          </w:p>
        </w:tc>
        <w:tc>
          <w:tcPr>
            <w:tcW w:w="94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Retained</w:t>
            </w:r>
          </w:p>
        </w:tc>
        <w:tc>
          <w:tcPr>
            <w:tcW w:w="2360" w:type="dxa"/>
            <w:vAlign w:val="bottom"/>
          </w:tcPr>
          <w:p>
            <w:pPr>
              <w:ind w:left="340"/>
              <w:spacing w:after="0"/>
              <w:rPr>
                <w:sz w:val="20"/>
                <w:szCs w:val="20"/>
                <w:color w:val="auto"/>
              </w:rPr>
            </w:pPr>
            <w:r>
              <w:rPr>
                <w:rFonts w:ascii="Arial" w:cs="Arial" w:eastAsia="Arial" w:hAnsi="Arial"/>
                <w:sz w:val="16"/>
                <w:szCs w:val="16"/>
                <w:b w:val="1"/>
                <w:bCs w:val="1"/>
                <w:color w:val="auto"/>
              </w:rPr>
              <w:t>AOCI - Net</w:t>
            </w:r>
          </w:p>
        </w:tc>
        <w:tc>
          <w:tcPr>
            <w:tcW w:w="0" w:type="dxa"/>
            <w:vAlign w:val="bottom"/>
          </w:tcPr>
          <w:p>
            <w:pPr>
              <w:spacing w:after="0"/>
              <w:rPr>
                <w:sz w:val="1"/>
                <w:szCs w:val="1"/>
                <w:color w:val="auto"/>
              </w:rPr>
            </w:pPr>
          </w:p>
        </w:tc>
      </w:tr>
      <w:tr>
        <w:trPr>
          <w:trHeight w:val="162"/>
        </w:trPr>
        <w:tc>
          <w:tcPr>
            <w:tcW w:w="1100" w:type="dxa"/>
            <w:vAlign w:val="bottom"/>
            <w:vMerge w:val="continue"/>
          </w:tcPr>
          <w:p>
            <w:pPr>
              <w:spacing w:after="0"/>
              <w:rPr>
                <w:sz w:val="14"/>
                <w:szCs w:val="14"/>
                <w:color w:val="auto"/>
              </w:rPr>
            </w:pPr>
          </w:p>
        </w:tc>
        <w:tc>
          <w:tcPr>
            <w:tcW w:w="13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Common Stock</w:t>
            </w:r>
          </w:p>
        </w:tc>
        <w:tc>
          <w:tcPr>
            <w:tcW w:w="940" w:type="dxa"/>
            <w:vAlign w:val="bottom"/>
            <w:vMerge w:val="continue"/>
          </w:tcPr>
          <w:p>
            <w:pPr>
              <w:spacing w:after="0"/>
              <w:rPr>
                <w:sz w:val="14"/>
                <w:szCs w:val="14"/>
                <w:color w:val="auto"/>
              </w:rPr>
            </w:pPr>
          </w:p>
        </w:tc>
        <w:tc>
          <w:tcPr>
            <w:tcW w:w="2360" w:type="dxa"/>
            <w:vAlign w:val="bottom"/>
          </w:tcPr>
          <w:p>
            <w:pPr>
              <w:ind w:left="180"/>
              <w:spacing w:after="0" w:line="162" w:lineRule="exact"/>
              <w:rPr>
                <w:sz w:val="20"/>
                <w:szCs w:val="20"/>
                <w:color w:val="auto"/>
              </w:rPr>
            </w:pPr>
            <w:r>
              <w:rPr>
                <w:rFonts w:ascii="Arial" w:cs="Arial" w:eastAsia="Arial" w:hAnsi="Arial"/>
                <w:sz w:val="16"/>
                <w:szCs w:val="16"/>
                <w:b w:val="1"/>
                <w:bCs w:val="1"/>
                <w:color w:val="auto"/>
              </w:rPr>
              <w:t>gains (losses) on</w:t>
            </w:r>
          </w:p>
        </w:tc>
        <w:tc>
          <w:tcPr>
            <w:tcW w:w="0" w:type="dxa"/>
            <w:vAlign w:val="bottom"/>
          </w:tcPr>
          <w:p>
            <w:pPr>
              <w:spacing w:after="0"/>
              <w:rPr>
                <w:sz w:val="1"/>
                <w:szCs w:val="1"/>
                <w:color w:val="auto"/>
              </w:rPr>
            </w:pPr>
          </w:p>
        </w:tc>
      </w:tr>
      <w:tr>
        <w:trPr>
          <w:trHeight w:val="210"/>
        </w:trPr>
        <w:tc>
          <w:tcPr>
            <w:tcW w:w="1100" w:type="dxa"/>
            <w:vAlign w:val="bottom"/>
          </w:tcPr>
          <w:p>
            <w:pPr>
              <w:jc w:val="center"/>
              <w:ind w:right="19"/>
              <w:spacing w:after="0"/>
              <w:rPr>
                <w:sz w:val="20"/>
                <w:szCs w:val="20"/>
                <w:color w:val="auto"/>
              </w:rPr>
            </w:pPr>
            <w:r>
              <w:rPr>
                <w:rFonts w:ascii="Arial" w:cs="Arial" w:eastAsia="Arial" w:hAnsi="Arial"/>
                <w:sz w:val="16"/>
                <w:szCs w:val="16"/>
                <w:b w:val="1"/>
                <w:bCs w:val="1"/>
                <w:color w:val="auto"/>
                <w:w w:val="85"/>
              </w:rPr>
              <w:t>shares</w:t>
            </w:r>
          </w:p>
        </w:tc>
        <w:tc>
          <w:tcPr>
            <w:tcW w:w="1300" w:type="dxa"/>
            <w:vAlign w:val="bottom"/>
            <w:vMerge w:val="continue"/>
          </w:tcPr>
          <w:p>
            <w:pPr>
              <w:spacing w:after="0"/>
              <w:rPr>
                <w:sz w:val="18"/>
                <w:szCs w:val="18"/>
                <w:color w:val="auto"/>
              </w:rPr>
            </w:pPr>
          </w:p>
        </w:tc>
        <w:tc>
          <w:tcPr>
            <w:tcW w:w="940" w:type="dxa"/>
            <w:vAlign w:val="bottom"/>
          </w:tcPr>
          <w:p>
            <w:pPr>
              <w:ind w:left="160"/>
              <w:spacing w:after="0"/>
              <w:rPr>
                <w:sz w:val="20"/>
                <w:szCs w:val="20"/>
                <w:color w:val="auto"/>
              </w:rPr>
            </w:pPr>
            <w:r>
              <w:rPr>
                <w:rFonts w:ascii="Arial" w:cs="Arial" w:eastAsia="Arial" w:hAnsi="Arial"/>
                <w:sz w:val="16"/>
                <w:szCs w:val="16"/>
                <w:b w:val="1"/>
                <w:bCs w:val="1"/>
                <w:color w:val="auto"/>
              </w:rPr>
              <w:t>earnings</w:t>
            </w:r>
          </w:p>
        </w:tc>
        <w:tc>
          <w:tcPr>
            <w:tcW w:w="2360" w:type="dxa"/>
            <w:vAlign w:val="bottom"/>
          </w:tcPr>
          <w:p>
            <w:pPr>
              <w:ind w:left="140"/>
              <w:spacing w:after="0"/>
              <w:rPr>
                <w:sz w:val="20"/>
                <w:szCs w:val="20"/>
                <w:color w:val="auto"/>
              </w:rPr>
            </w:pPr>
            <w:r>
              <w:rPr>
                <w:rFonts w:ascii="Arial" w:cs="Arial" w:eastAsia="Arial" w:hAnsi="Arial"/>
                <w:sz w:val="16"/>
                <w:szCs w:val="16"/>
                <w:b w:val="1"/>
                <w:bCs w:val="1"/>
                <w:color w:val="auto"/>
                <w:w w:val="92"/>
              </w:rPr>
              <w:t>cash flow hedges   Total 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wp:posOffset>
            </wp:positionV>
            <wp:extent cx="711517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7" w:lineRule="exact"/>
        <w:rPr>
          <w:sz w:val="20"/>
          <w:szCs w:val="20"/>
          <w:color w:val="auto"/>
        </w:rPr>
      </w:pPr>
    </w:p>
    <w:p>
      <w:pPr>
        <w:ind w:left="7340"/>
        <w:spacing w:after="0"/>
        <w:rPr>
          <w:sz w:val="20"/>
          <w:szCs w:val="20"/>
          <w:color w:val="auto"/>
        </w:rPr>
      </w:pPr>
      <w:r>
        <w:rPr>
          <w:rFonts w:ascii="Arial" w:cs="Arial" w:eastAsia="Arial" w:hAnsi="Arial"/>
          <w:sz w:val="14"/>
          <w:szCs w:val="14"/>
          <w:color w:val="auto"/>
        </w:rPr>
        <w:t>(millions, except share amounts)</w:t>
      </w:r>
    </w:p>
    <w:p>
      <w:pPr>
        <w:sectPr>
          <w:pgSz w:w="11900" w:h="16838" w:orient="portrait"/>
          <w:cols w:equalWidth="0" w:num="1">
            <w:col w:w="11220"/>
          </w:cols>
          <w:pgMar w:left="320" w:top="121" w:right="359" w:bottom="1440" w:gutter="0" w:footer="0" w:header="0"/>
        </w:sectPr>
      </w:pPr>
    </w:p>
    <w:p>
      <w:pPr>
        <w:spacing w:after="0" w:line="4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Balance as of December 31, 2021</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Balance as of March 31, 2022</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Derivative hedging activity, net of tax</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Balance as of June 30, 2022</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declared on common stock</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Derivative hedging activity, net of tax</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Balance as of September 30, 2022</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1,563.1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1,453.8</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3,021.2</w:t>
            </w:r>
          </w:p>
        </w:tc>
      </w:tr>
      <w:tr>
        <w:trPr>
          <w:trHeight w:val="219"/>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r>
      <w:tr>
        <w:trPr>
          <w:trHeight w:val="206"/>
        </w:trPr>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1,563.1</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1,508.4</w:t>
            </w:r>
          </w:p>
        </w:tc>
        <w:tc>
          <w:tcPr>
            <w:tcW w:w="4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3,075.8</w:t>
            </w:r>
          </w:p>
        </w:tc>
      </w:tr>
      <w:tr>
        <w:trPr>
          <w:trHeight w:val="216"/>
        </w:trPr>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88.4</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88.4</w:t>
            </w:r>
          </w:p>
        </w:tc>
      </w:tr>
      <w:tr>
        <w:trPr>
          <w:trHeight w:val="219"/>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07"/>
        </w:trPr>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1,563.1</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1,596.8</w:t>
            </w:r>
          </w:p>
        </w:tc>
        <w:tc>
          <w:tcPr>
            <w:tcW w:w="4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3,164.1</w:t>
            </w:r>
          </w:p>
        </w:tc>
      </w:tr>
      <w:tr>
        <w:trPr>
          <w:trHeight w:val="216"/>
        </w:trPr>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193.2</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193.2</w:t>
            </w:r>
          </w:p>
        </w:tc>
      </w:tr>
      <w:tr>
        <w:trPr>
          <w:trHeight w:val="216"/>
        </w:trPr>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(140.0)</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(140.0)</w:t>
            </w:r>
          </w:p>
        </w:tc>
      </w:tr>
      <w:tr>
        <w:trPr>
          <w:trHeight w:val="219"/>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07"/>
        </w:trPr>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1,563.1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1,650.0</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4.1</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3,217.2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-3338195</wp:posOffset>
            </wp:positionH>
            <wp:positionV relativeFrom="paragraph">
              <wp:posOffset>-1393190</wp:posOffset>
            </wp:positionV>
            <wp:extent cx="711517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-1118870</wp:posOffset>
            </wp:positionV>
            <wp:extent cx="711517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-835660</wp:posOffset>
            </wp:positionV>
            <wp:extent cx="711517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-553085</wp:posOffset>
            </wp:positionV>
            <wp:extent cx="711517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-278765</wp:posOffset>
            </wp:positionV>
            <wp:extent cx="711517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3810</wp:posOffset>
            </wp:positionV>
            <wp:extent cx="711517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5940"/>
          </w:cols>
          <w:pgMar w:left="320" w:top="121" w:right="359" w:bottom="1440" w:gutter="0" w:footer="0" w:header="0"/>
          <w:type w:val="continuous"/>
        </w:sectPr>
      </w:pPr>
    </w:p>
    <w:p>
      <w:pPr>
        <w:spacing w:after="0" w:line="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Balance as of December 31, 2022</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Derivative hedging activity, net of tax</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Balance as of March 31, 2023</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declared on common stock</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Balance as of June 30, 2023</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declared on common stock</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Derivative hedging activity, net of tax</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Balance as of September 30, 2023</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1,563.1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1,619.2</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3,186.3</w:t>
            </w:r>
          </w:p>
        </w:tc>
      </w:tr>
      <w:tr>
        <w:trPr>
          <w:trHeight w:val="216"/>
        </w:trPr>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46.8</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46.8</w:t>
            </w:r>
          </w:p>
        </w:tc>
      </w:tr>
      <w:tr>
        <w:trPr>
          <w:trHeight w:val="219"/>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07"/>
        </w:trPr>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1,563.1</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1,666.0</w:t>
            </w:r>
          </w:p>
        </w:tc>
        <w:tc>
          <w:tcPr>
            <w:tcW w:w="4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3,233.0</w:t>
            </w:r>
          </w:p>
        </w:tc>
      </w:tr>
      <w:tr>
        <w:trPr>
          <w:trHeight w:val="216"/>
        </w:trPr>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84.8</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84.8</w:t>
            </w:r>
          </w:p>
        </w:tc>
      </w:tr>
      <w:tr>
        <w:trPr>
          <w:trHeight w:val="219"/>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r>
      <w:tr>
        <w:trPr>
          <w:trHeight w:val="207"/>
        </w:trPr>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1,563.1</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1,600.8</w:t>
            </w:r>
          </w:p>
        </w:tc>
        <w:tc>
          <w:tcPr>
            <w:tcW w:w="4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3,167.8</w:t>
            </w:r>
          </w:p>
        </w:tc>
      </w:tr>
      <w:tr>
        <w:trPr>
          <w:trHeight w:val="216"/>
        </w:trPr>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170.1</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170.1</w:t>
            </w:r>
          </w:p>
        </w:tc>
      </w:tr>
      <w:tr>
        <w:trPr>
          <w:trHeight w:val="216"/>
        </w:trPr>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(175.0)</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(175.0)</w:t>
            </w:r>
          </w:p>
        </w:tc>
      </w:tr>
      <w:tr>
        <w:trPr>
          <w:trHeight w:val="219"/>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06"/>
        </w:trPr>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1,563.1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1,595.9</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3,162.8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-3338195</wp:posOffset>
            </wp:positionH>
            <wp:positionV relativeFrom="paragraph">
              <wp:posOffset>-1392555</wp:posOffset>
            </wp:positionV>
            <wp:extent cx="711517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-1118870</wp:posOffset>
            </wp:positionV>
            <wp:extent cx="711517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-835660</wp:posOffset>
            </wp:positionV>
            <wp:extent cx="711517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-552450</wp:posOffset>
            </wp:positionV>
            <wp:extent cx="711517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-278130</wp:posOffset>
            </wp:positionV>
            <wp:extent cx="711517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3810</wp:posOffset>
            </wp:positionV>
            <wp:extent cx="711517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22" w:lineRule="exact"/>
        <w:rPr>
          <w:sz w:val="20"/>
          <w:szCs w:val="20"/>
          <w:color w:val="auto"/>
        </w:rPr>
      </w:pPr>
    </w:p>
    <w:p>
      <w:pPr>
        <w:sectPr>
          <w:pgSz w:w="11900" w:h="16838" w:orient="portrait"/>
          <w:cols w:equalWidth="0" w:num="2">
            <w:col w:w="4560" w:space="720"/>
            <w:col w:w="5940"/>
          </w:cols>
          <w:pgMar w:left="320" w:top="121" w:right="359" w:bottom="1440" w:gutter="0" w:footer="0" w:header="0"/>
          <w:type w:val="continuous"/>
        </w:sectPr>
      </w:pPr>
    </w:p>
    <w:p>
      <w:pPr>
        <w:spacing w:after="0"/>
        <w:rPr>
          <w:sz w:val="20"/>
          <w:szCs w:val="20"/>
          <w:color w:val="auto"/>
        </w:rPr>
      </w:pPr>
      <w:r>
        <w:rPr>
          <w:rFonts w:ascii="Arial" w:cs="Arial" w:eastAsia="Arial" w:hAnsi="Arial"/>
          <w:sz w:val="12"/>
          <w:szCs w:val="12"/>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INC.</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INC.</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Combined Notes to Unaudited Consolidated Financial Statements</w:t>
      </w:r>
    </w:p>
    <w:p>
      <w:pPr>
        <w:spacing w:after="0" w:line="114"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color w:val="auto"/>
        </w:rPr>
        <w:t>The notes to unaudited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Organization</w:t>
      </w:r>
    </w:p>
    <w:p>
      <w:pPr>
        <w:spacing w:after="0" w:line="22" w:lineRule="exact"/>
        <w:rPr>
          <w:sz w:val="20"/>
          <w:szCs w:val="20"/>
          <w:color w:val="auto"/>
        </w:rPr>
      </w:pPr>
    </w:p>
    <w:p>
      <w:pPr>
        <w:ind w:right="420"/>
        <w:spacing w:after="0" w:line="258" w:lineRule="auto"/>
        <w:rPr>
          <w:sz w:val="20"/>
          <w:szCs w:val="20"/>
          <w:color w:val="auto"/>
        </w:rPr>
      </w:pPr>
      <w:r>
        <w:rPr>
          <w:rFonts w:ascii="Arial" w:cs="Arial" w:eastAsia="Arial" w:hAnsi="Arial"/>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78" w:lineRule="exact"/>
        <w:rPr>
          <w:sz w:val="20"/>
          <w:szCs w:val="20"/>
          <w:color w:val="auto"/>
        </w:rPr>
      </w:pPr>
    </w:p>
    <w:p>
      <w:pPr>
        <w:ind w:left="660" w:right="100" w:hanging="328"/>
        <w:spacing w:after="0" w:line="264"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64" w:lineRule="exact"/>
        <w:rPr>
          <w:rFonts w:ascii="Arial" w:cs="Arial" w:eastAsia="Arial" w:hAnsi="Arial"/>
          <w:sz w:val="20"/>
          <w:szCs w:val="20"/>
          <w:color w:val="auto"/>
        </w:rPr>
      </w:pPr>
    </w:p>
    <w:p>
      <w:pPr>
        <w:ind w:left="660" w:right="340" w:hanging="328"/>
        <w:spacing w:after="0" w:line="274"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Metro, Inc. (Evergy Metro) is an integrated, regulated electric utility that provides electricity to customers in the states of Missouri and Kansas.</w:t>
      </w:r>
    </w:p>
    <w:p>
      <w:pPr>
        <w:spacing w:after="0" w:line="55" w:lineRule="exact"/>
        <w:rPr>
          <w:rFonts w:ascii="Arial" w:cs="Arial" w:eastAsia="Arial" w:hAnsi="Arial"/>
          <w:sz w:val="20"/>
          <w:szCs w:val="20"/>
          <w:color w:val="auto"/>
        </w:rPr>
      </w:pPr>
    </w:p>
    <w:p>
      <w:pPr>
        <w:ind w:left="660" w:hanging="328"/>
        <w:spacing w:after="0" w:line="274"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Missouri West, Inc. (Evergy Missouri West) is an integrated, regulated electric utility that provides electricity to customers in the state of Missouri.</w:t>
      </w:r>
    </w:p>
    <w:p>
      <w:pPr>
        <w:spacing w:after="0" w:line="55" w:lineRule="exact"/>
        <w:rPr>
          <w:rFonts w:ascii="Arial" w:cs="Arial" w:eastAsia="Arial" w:hAnsi="Arial"/>
          <w:sz w:val="20"/>
          <w:szCs w:val="20"/>
          <w:color w:val="auto"/>
        </w:rPr>
      </w:pPr>
    </w:p>
    <w:p>
      <w:pPr>
        <w:ind w:left="660" w:right="20" w:hanging="328"/>
        <w:spacing w:after="0" w:line="255"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Evergy Kansas Central also owns a 50% interest in Prairie Wind Transmission, LLC (Prairie Wind), which is a joint venture between Evergy Kansas Central and subsidiaries of AEP and Berkshire Hathaway Energy Company. Prairie Wind owns a 108-mile, 345 kV double-circuit transmission line that provides transmission service in the Southwest Power Pool, Inc. (SPP). Evergy Kansas Central accounts for its investment in Prairie Wind under the equity method.</w:t>
      </w:r>
    </w:p>
    <w:p>
      <w:pPr>
        <w:spacing w:after="0" w:line="211" w:lineRule="exact"/>
        <w:rPr>
          <w:sz w:val="20"/>
          <w:szCs w:val="20"/>
          <w:color w:val="auto"/>
        </w:rPr>
      </w:pPr>
    </w:p>
    <w:p>
      <w:pPr>
        <w:ind w:right="180"/>
        <w:spacing w:after="0" w:line="255" w:lineRule="auto"/>
        <w:rPr>
          <w:sz w:val="20"/>
          <w:szCs w:val="20"/>
          <w:color w:val="auto"/>
        </w:rPr>
      </w:pPr>
      <w:r>
        <w:rPr>
          <w:rFonts w:ascii="Arial" w:cs="Arial" w:eastAsia="Arial" w:hAnsi="Arial"/>
          <w:sz w:val="20"/>
          <w:szCs w:val="20"/>
          <w:color w:val="auto"/>
        </w:rPr>
        <w:t>Evergy Kansas Central, Evergy Kansas South, Evergy Metro and Evergy Missouri West conduct business in their respective service territories using the name Evergy. Collectively, the Evergy Companies have approximately 15,600 MWs of owned generating capacity and renewable power purchase agreements and engage in the generation, transmission, distribution and sale of electricity to approximately 1.7 million customers in the states of Kansas and Missouri.</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2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These unaudited consolidated financial statements have been prepared in accordance with generally accepted accounting principles (GAAP) for interim financial information and with the instructions to Form 10-Q and Regulation S-X. Accordingly, these unaudited consolidated financial statements do not include all of the information and notes required by GAAP for annual financial statements and should be read in conjunction with the consolidated financial statements in the Evergy Companies' combined 2022 Form 10-K.</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These unaudited consolidated financial statements, in the opinion of management, reflect all normal recurring adjustments necessary to fairly present the unaudited consolidated financial statements for each of the Evergy Companies for these interim periods. In preparing financial statements that conform to GAAP, management must make estimates and assumptions that affect the reported amounts of assets and liabilities, the reported amounts of revenues and expenses, and the disclosure of contingent assets and liabilities at the date of the financial statements. Actual results could differ from those estimates.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6"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color w:val="auto"/>
        </w:rPr>
        <w:t>Each of Evergy's, Evergy Kansas Central's and Evergy Metro's unaudited consolidated financial statements includes the accounts of their subsidiaries and the variable interest entity (VIE) of which Evergy and Evergy Kansas Central are the primary beneficiary.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Fuel Inventory and Supplies</w:t>
      </w:r>
    </w:p>
    <w:p>
      <w:pPr>
        <w:spacing w:after="0" w:line="26" w:lineRule="exact"/>
        <w:rPr>
          <w:sz w:val="20"/>
          <w:szCs w:val="20"/>
          <w:color w:val="auto"/>
        </w:rPr>
      </w:pPr>
    </w:p>
    <w:p>
      <w:pPr>
        <w:ind w:right="740"/>
        <w:spacing w:after="0" w:line="253" w:lineRule="auto"/>
        <w:rPr>
          <w:sz w:val="20"/>
          <w:szCs w:val="20"/>
          <w:color w:val="auto"/>
        </w:rPr>
      </w:pPr>
      <w:r>
        <w:rPr>
          <w:rFonts w:ascii="Arial" w:cs="Arial" w:eastAsia="Arial" w:hAnsi="Arial"/>
          <w:sz w:val="20"/>
          <w:szCs w:val="20"/>
          <w:color w:val="auto"/>
        </w:rPr>
        <w:t>The Evergy Companies record fuel inventory and supplies at average cost. The following table separately states the balances for fuel inventory and supplies.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411"/>
              <w:spacing w:after="0" w:line="202" w:lineRule="exact"/>
              <w:rPr>
                <w:sz w:val="20"/>
                <w:szCs w:val="20"/>
                <w:color w:val="auto"/>
              </w:rPr>
            </w:pPr>
            <w:r>
              <w:rPr>
                <w:rFonts w:ascii="Arial" w:cs="Arial" w:eastAsia="Arial" w:hAnsi="Arial"/>
                <w:sz w:val="18"/>
                <w:szCs w:val="18"/>
                <w:b w:val="1"/>
                <w:bCs w:val="1"/>
                <w:color w:val="auto"/>
                <w:w w:val="94"/>
              </w:rPr>
              <w:t>September 30</w:t>
            </w:r>
          </w:p>
        </w:tc>
        <w:tc>
          <w:tcPr>
            <w:tcW w:w="4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230"/>
              <w:spacing w:after="0" w:line="202" w:lineRule="exact"/>
              <w:rPr>
                <w:sz w:val="20"/>
                <w:szCs w:val="20"/>
                <w:color w:val="auto"/>
              </w:rPr>
            </w:pPr>
            <w:r>
              <w:rPr>
                <w:rFonts w:ascii="Arial" w:cs="Arial" w:eastAsia="Arial" w:hAnsi="Arial"/>
                <w:sz w:val="18"/>
                <w:szCs w:val="18"/>
                <w:b w:val="1"/>
                <w:bCs w:val="1"/>
                <w:color w:val="auto"/>
                <w:w w:val="98"/>
              </w:rPr>
              <w:t>December 31</w:t>
            </w:r>
          </w:p>
        </w:tc>
      </w:tr>
      <w:tr>
        <w:trPr>
          <w:trHeight w:val="239"/>
        </w:trPr>
        <w:tc>
          <w:tcPr>
            <w:tcW w:w="7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51"/>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27"/>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220" w:type="dxa"/>
            <w:vAlign w:val="bottom"/>
          </w:tcPr>
          <w:p>
            <w:pPr>
              <w:spacing w:after="0"/>
              <w:rPr>
                <w:sz w:val="19"/>
                <w:szCs w:val="19"/>
                <w:color w:val="auto"/>
              </w:rPr>
            </w:pPr>
          </w:p>
        </w:tc>
        <w:tc>
          <w:tcPr>
            <w:tcW w:w="2100" w:type="dxa"/>
            <w:vAlign w:val="bottom"/>
            <w:gridSpan w:val="2"/>
          </w:tcPr>
          <w:p>
            <w:pPr>
              <w:jc w:val="right"/>
              <w:ind w:right="30"/>
              <w:spacing w:after="0"/>
              <w:rPr>
                <w:sz w:val="20"/>
                <w:szCs w:val="20"/>
                <w:color w:val="auto"/>
              </w:rPr>
            </w:pPr>
            <w:r>
              <w:rPr>
                <w:rFonts w:ascii="Arial" w:cs="Arial" w:eastAsia="Arial" w:hAnsi="Arial"/>
                <w:sz w:val="16"/>
                <w:szCs w:val="16"/>
                <w:color w:val="auto"/>
              </w:rPr>
              <w:t>(millions)</w:t>
            </w: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237.4</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r>
      <w:tr>
        <w:trPr>
          <w:trHeight w:val="229"/>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502.5</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w:t>
            </w:r>
          </w:p>
        </w:tc>
      </w:tr>
      <w:tr>
        <w:trPr>
          <w:trHeight w:val="223"/>
        </w:trPr>
        <w:tc>
          <w:tcPr>
            <w:tcW w:w="7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739.9</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672.9</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134.7</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r>
      <w:tr>
        <w:trPr>
          <w:trHeight w:val="230"/>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261.2</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w:t>
            </w:r>
          </w:p>
        </w:tc>
      </w:tr>
      <w:tr>
        <w:trPr>
          <w:trHeight w:val="223"/>
        </w:trPr>
        <w:tc>
          <w:tcPr>
            <w:tcW w:w="7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395.9</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68.6</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29"/>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177.8</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w:t>
            </w:r>
          </w:p>
        </w:tc>
      </w:tr>
      <w:tr>
        <w:trPr>
          <w:trHeight w:val="230"/>
        </w:trPr>
        <w:tc>
          <w:tcPr>
            <w:tcW w:w="7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246.4</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Plant and Equipment</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the property, plant and equipment of Evergy, Evergy Kansas Central and Evergy Metro.</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September 30, 2023</w:t>
            </w:r>
          </w:p>
        </w:tc>
        <w:tc>
          <w:tcPr>
            <w:tcW w:w="7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Arial" w:cs="Arial" w:eastAsia="Arial" w:hAnsi="Arial"/>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2"/>
              </w:rPr>
              <w:t>Evergy Metro</w:t>
            </w:r>
          </w:p>
        </w:tc>
      </w:tr>
      <w:tr>
        <w:trPr>
          <w:trHeight w:val="207"/>
        </w:trPr>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Arial" w:cs="Arial" w:eastAsia="Arial" w:hAnsi="Arial"/>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3"/>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 plant in service</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33,693.3</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16,236.7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12,879.4</w:t>
            </w: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Electric plant acquisition adjustment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724.9</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724.9</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(12,856.9)</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(6,157.1)</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(5,325.7)</w:t>
            </w:r>
          </w:p>
        </w:tc>
      </w:tr>
      <w:tr>
        <w:trPr>
          <w:trHeight w:val="223"/>
        </w:trPr>
        <w:tc>
          <w:tcPr>
            <w:tcW w:w="3800" w:type="dxa"/>
            <w:vAlign w:val="bottom"/>
          </w:tcPr>
          <w:p>
            <w:pPr>
              <w:ind w:left="340"/>
              <w:spacing w:after="0"/>
              <w:rPr>
                <w:sz w:val="20"/>
                <w:szCs w:val="20"/>
                <w:color w:val="auto"/>
              </w:rPr>
            </w:pPr>
            <w:r>
              <w:rPr>
                <w:rFonts w:ascii="Arial" w:cs="Arial" w:eastAsia="Arial" w:hAnsi="Arial"/>
                <w:sz w:val="18"/>
                <w:szCs w:val="18"/>
                <w:color w:val="auto"/>
              </w:rPr>
              <w:t>Plant in service,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21,561.3</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10,804.5</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7,553.7</w:t>
            </w: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work in progress</w:t>
            </w: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1,403.6</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848.9</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377.8</w:t>
            </w: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Nuclear fuel,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175.7</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87.3</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88.4</w:t>
            </w:r>
          </w:p>
        </w:tc>
      </w:tr>
      <w:tr>
        <w:trPr>
          <w:trHeight w:val="229"/>
        </w:trPr>
        <w:tc>
          <w:tcPr>
            <w:tcW w:w="3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Plant to be retired, net</w:t>
            </w:r>
            <w:r>
              <w:rPr>
                <w:rFonts w:ascii="Arial" w:cs="Arial" w:eastAsia="Arial" w:hAnsi="Arial"/>
                <w:sz w:val="23"/>
                <w:szCs w:val="23"/>
                <w:color w:val="auto"/>
                <w:vertAlign w:val="superscript"/>
              </w:rPr>
              <w:t>(a)</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0.8</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rPr>
              <w:t>0.8</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23,141.4</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11,741.5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8,019.9</w:t>
            </w:r>
          </w:p>
        </w:tc>
      </w:tr>
    </w:tbl>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3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2022</w:t>
            </w:r>
          </w:p>
        </w:tc>
        <w:tc>
          <w:tcPr>
            <w:tcW w:w="7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Arial" w:cs="Arial" w:eastAsia="Arial" w:hAnsi="Arial"/>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2"/>
              </w:rPr>
              <w:t>Evergy Metro</w:t>
            </w:r>
          </w:p>
        </w:tc>
      </w:tr>
      <w:tr>
        <w:trPr>
          <w:trHeight w:val="207"/>
        </w:trPr>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Arial" w:cs="Arial" w:eastAsia="Arial" w:hAnsi="Arial"/>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3"/>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 plant in service</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32,129.3</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15,376.9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12,343.3</w:t>
            </w: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Electric plant acquisition adjustment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724.3</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724.3</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(12,304.9)</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(5,922.9)</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(5,065.3)</w:t>
            </w:r>
          </w:p>
        </w:tc>
      </w:tr>
      <w:tr>
        <w:trPr>
          <w:trHeight w:val="223"/>
        </w:trPr>
        <w:tc>
          <w:tcPr>
            <w:tcW w:w="3800" w:type="dxa"/>
            <w:vAlign w:val="bottom"/>
          </w:tcPr>
          <w:p>
            <w:pPr>
              <w:ind w:left="340"/>
              <w:spacing w:after="0"/>
              <w:rPr>
                <w:sz w:val="20"/>
                <w:szCs w:val="20"/>
                <w:color w:val="auto"/>
              </w:rPr>
            </w:pPr>
            <w:r>
              <w:rPr>
                <w:rFonts w:ascii="Arial" w:cs="Arial" w:eastAsia="Arial" w:hAnsi="Arial"/>
                <w:sz w:val="18"/>
                <w:szCs w:val="18"/>
                <w:color w:val="auto"/>
              </w:rPr>
              <w:t>Plant in service,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20,548.7</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10,178.3</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7,278.0</w:t>
            </w: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work in progress</w:t>
            </w: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1,421.2</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819.5</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482.6</w:t>
            </w: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Nuclear fuel,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165.8</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82.2</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83.6</w:t>
            </w:r>
          </w:p>
        </w:tc>
      </w:tr>
      <w:tr>
        <w:trPr>
          <w:trHeight w:val="230"/>
        </w:trPr>
        <w:tc>
          <w:tcPr>
            <w:tcW w:w="3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Plant to be retired, net</w:t>
            </w:r>
            <w:r>
              <w:rPr>
                <w:rFonts w:ascii="Arial" w:cs="Arial" w:eastAsia="Arial" w:hAnsi="Arial"/>
                <w:sz w:val="23"/>
                <w:szCs w:val="23"/>
                <w:color w:val="auto"/>
                <w:vertAlign w:val="superscript"/>
              </w:rPr>
              <w:t>(a)</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0.8</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rPr>
              <w:t>0.8</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22,136.5</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11,080.8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7,844.2</w:t>
            </w:r>
          </w:p>
        </w:tc>
      </w:tr>
    </w:tbl>
    <w:p>
      <w:pPr>
        <w:spacing w:after="0" w:line="85" w:lineRule="exact"/>
        <w:rPr>
          <w:sz w:val="20"/>
          <w:szCs w:val="20"/>
          <w:color w:val="auto"/>
        </w:rPr>
      </w:pPr>
    </w:p>
    <w:p>
      <w:pPr>
        <w:ind w:left="180" w:right="220" w:hanging="172"/>
        <w:spacing w:after="0" w:line="235" w:lineRule="auto"/>
        <w:tabs>
          <w:tab w:leader="none" w:pos="175"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As of September 30, 2023 and December 31, 2022, represents the planned retirement of Evergy Kansas Central analog meters prior to the end of their remaining useful lives.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22" w:lineRule="exact"/>
        <w:rPr>
          <w:sz w:val="20"/>
          <w:szCs w:val="20"/>
          <w:color w:val="auto"/>
        </w:rPr>
      </w:pPr>
    </w:p>
    <w:p>
      <w:pPr>
        <w:ind w:right="140"/>
        <w:spacing w:after="0" w:line="284" w:lineRule="auto"/>
        <w:rPr>
          <w:sz w:val="20"/>
          <w:szCs w:val="20"/>
          <w:color w:val="auto"/>
        </w:rPr>
      </w:pPr>
      <w:r>
        <w:rPr>
          <w:rFonts w:ascii="Arial" w:cs="Arial" w:eastAsia="Arial" w:hAnsi="Arial"/>
          <w:sz w:val="19"/>
          <w:szCs w:val="19"/>
          <w:color w:val="auto"/>
        </w:rPr>
        <w:t>For the three months ended and year to date September 30, 2022, Evergy's investment earnings (loss) included a pre-tax loss of $2.1 million and $16.3 million, respectively, related to Evergy's equity investment in an early-stage energy solutions company.</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shows the detail of other expense for each of the Evergy Companies.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gridSpan w:val="3"/>
          </w:tcPr>
          <w:p>
            <w:pPr>
              <w:jc w:val="right"/>
              <w:ind w:right="70"/>
              <w:spacing w:after="0" w:line="202" w:lineRule="exact"/>
              <w:rPr>
                <w:sz w:val="20"/>
                <w:szCs w:val="20"/>
                <w:color w:val="auto"/>
              </w:rPr>
            </w:pPr>
            <w:r>
              <w:rPr>
                <w:rFonts w:ascii="Arial" w:cs="Arial" w:eastAsia="Arial" w:hAnsi="Arial"/>
                <w:sz w:val="18"/>
                <w:szCs w:val="18"/>
                <w:b w:val="1"/>
                <w:bCs w:val="1"/>
                <w:color w:val="auto"/>
              </w:rPr>
              <w:t>Three Months Ended</w:t>
            </w:r>
          </w:p>
        </w:tc>
        <w:tc>
          <w:tcPr>
            <w:tcW w:w="5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Year to Date</w:t>
            </w:r>
          </w:p>
        </w:tc>
        <w:tc>
          <w:tcPr>
            <w:tcW w:w="820" w:type="dxa"/>
            <w:vAlign w:val="bottom"/>
            <w:tcBorders>
              <w:top w:val="single" w:sz="8" w:color="auto"/>
            </w:tcBorders>
          </w:tcPr>
          <w:p>
            <w:pPr>
              <w:spacing w:after="0"/>
              <w:rPr>
                <w:sz w:val="17"/>
                <w:szCs w:val="17"/>
                <w:color w:val="auto"/>
              </w:rPr>
            </w:pPr>
          </w:p>
        </w:tc>
      </w:tr>
      <w:tr>
        <w:trPr>
          <w:trHeight w:val="234"/>
        </w:trPr>
        <w:tc>
          <w:tcPr>
            <w:tcW w:w="5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4"/>
              </w:rPr>
              <w:t>September 30</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September 30</w:t>
            </w:r>
          </w:p>
        </w:tc>
      </w:tr>
      <w:tr>
        <w:trPr>
          <w:trHeight w:val="238"/>
        </w:trPr>
        <w:tc>
          <w:tcPr>
            <w:tcW w:w="5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2022</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6"/>
                <w:szCs w:val="16"/>
                <w:color w:val="auto"/>
              </w:rPr>
              <w:t>(millions)</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c>
          <w:tcPr>
            <w:tcW w:w="10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(10.2)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(37.2)</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30"/>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(17.9)</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(12.8)</w:t>
            </w:r>
          </w:p>
        </w:tc>
        <w:tc>
          <w:tcPr>
            <w:tcW w:w="10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(16.7)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(55.1)</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10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(12.7)</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(16.1)</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223"/>
        </w:trPr>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(10.2)</w:t>
            </w:r>
          </w:p>
        </w:tc>
        <w:tc>
          <w:tcPr>
            <w:tcW w:w="10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(10.5)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(28.8)</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0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(18.0)</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(0.4)</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5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100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(19.3)</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w:t>
      </w:r>
    </w:p>
    <w:p>
      <w:pPr>
        <w:spacing w:after="0" w:line="26"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To compute basic earnings per share (EPS), Evergy divides net income attributable to Evergy, Inc. by the weighted average number of common shares outstanding. Diluted EPS includes the effect of issuable common shares resulting from restricted share units (RSUs), restricted stock and a warrant. Evergy computes the dilutive effects of potential issuances of common shares using the treasury stock method or the contingently issuable share method, as applicable.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reconciles Evergy's basic and diluted EPS.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gridSpan w:val="3"/>
          </w:tcPr>
          <w:p>
            <w:pPr>
              <w:jc w:val="right"/>
              <w:ind w:right="471"/>
              <w:spacing w:after="0" w:line="202" w:lineRule="exact"/>
              <w:rPr>
                <w:sz w:val="20"/>
                <w:szCs w:val="20"/>
                <w:color w:val="auto"/>
              </w:rPr>
            </w:pPr>
            <w:r>
              <w:rPr>
                <w:rFonts w:ascii="Arial" w:cs="Arial" w:eastAsia="Arial" w:hAnsi="Arial"/>
                <w:sz w:val="18"/>
                <w:szCs w:val="18"/>
                <w:b w:val="1"/>
                <w:bCs w:val="1"/>
                <w:color w:val="auto"/>
              </w:rPr>
              <w:t>Three Months Ended</w:t>
            </w:r>
          </w:p>
        </w:tc>
        <w:tc>
          <w:tcPr>
            <w:tcW w:w="3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Year to Date</w:t>
            </w:r>
          </w:p>
        </w:tc>
        <w:tc>
          <w:tcPr>
            <w:tcW w:w="800" w:type="dxa"/>
            <w:vAlign w:val="bottom"/>
            <w:tcBorders>
              <w:top w:val="single" w:sz="8" w:color="auto"/>
            </w:tcBorders>
          </w:tcPr>
          <w:p>
            <w:pPr>
              <w:spacing w:after="0"/>
              <w:rPr>
                <w:sz w:val="17"/>
                <w:szCs w:val="17"/>
                <w:color w:val="auto"/>
              </w:rPr>
            </w:pPr>
          </w:p>
        </w:tc>
      </w:tr>
      <w:tr>
        <w:trPr>
          <w:trHeight w:val="234"/>
        </w:trPr>
        <w:tc>
          <w:tcPr>
            <w:tcW w:w="5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3"/>
          </w:tcPr>
          <w:p>
            <w:pPr>
              <w:jc w:val="right"/>
              <w:ind w:right="771"/>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Pr>
          <w:p>
            <w:pPr>
              <w:spacing w:after="0"/>
              <w:rPr>
                <w:sz w:val="20"/>
                <w:szCs w:val="20"/>
                <w:color w:val="auto"/>
              </w:rPr>
            </w:pPr>
          </w:p>
        </w:tc>
      </w:tr>
      <w:tr>
        <w:trPr>
          <w:trHeight w:val="238"/>
        </w:trPr>
        <w:tc>
          <w:tcPr>
            <w:tcW w:w="5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2022</w:t>
            </w: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gridSpan w:val="3"/>
          </w:tcPr>
          <w:p>
            <w:pPr>
              <w:jc w:val="right"/>
              <w:ind w:right="110"/>
              <w:spacing w:after="0"/>
              <w:rPr>
                <w:sz w:val="20"/>
                <w:szCs w:val="20"/>
                <w:color w:val="auto"/>
              </w:rPr>
            </w:pPr>
            <w:r>
              <w:rPr>
                <w:rFonts w:ascii="Arial" w:cs="Arial" w:eastAsia="Arial" w:hAnsi="Arial"/>
                <w:sz w:val="16"/>
                <w:szCs w:val="16"/>
                <w:color w:val="auto"/>
                <w:w w:val="91"/>
              </w:rPr>
              <w:t>(millions, except per share amounts)</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354.6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431.2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682.5</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w:t>
            </w:r>
          </w:p>
        </w:tc>
      </w:tr>
      <w:tr>
        <w:trPr>
          <w:trHeight w:val="229"/>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351.6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428.2</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673.3</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745.2</w:t>
            </w: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Common Shares Outstanding</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 - basic</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230.1</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229.9</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230.0</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r>
      <w:tr>
        <w:trPr>
          <w:trHeight w:val="229"/>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effect of dilutive securities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0.7</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average number of common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230.5</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230.6</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230.5</w:t>
            </w:r>
          </w:p>
        </w:tc>
        <w:tc>
          <w:tcPr>
            <w:tcW w:w="5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Basic EPS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1.86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37"/>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1.86</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bl>
    <w:p>
      <w:pPr>
        <w:spacing w:after="0" w:line="280" w:lineRule="exact"/>
        <w:rPr>
          <w:sz w:val="20"/>
          <w:szCs w:val="20"/>
          <w:color w:val="auto"/>
        </w:rPr>
      </w:pPr>
    </w:p>
    <w:p>
      <w:pPr>
        <w:jc w:val="both"/>
        <w:ind w:right="140"/>
        <w:spacing w:after="0" w:line="257" w:lineRule="auto"/>
        <w:rPr>
          <w:sz w:val="20"/>
          <w:szCs w:val="20"/>
          <w:color w:val="auto"/>
        </w:rPr>
      </w:pPr>
      <w:r>
        <w:rPr>
          <w:rFonts w:ascii="Arial" w:cs="Arial" w:eastAsia="Arial" w:hAnsi="Arial"/>
          <w:sz w:val="20"/>
          <w:szCs w:val="20"/>
          <w:color w:val="auto"/>
        </w:rPr>
        <w:t>Anti-dilutive securities excluded from the computation of diluted EPS for the three months ended and year to date September 30, 2023 were 3,950,000 common shares issuable pursuant to a warrant. There were no anti-dilutive shares excluded from the computation of diluted EPS for the three months ended and year to date September 30, 2022.</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 Declared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In October 2023, Evergy's Board of Directors (Evergy Board) declared a quarterly dividend of $0.6425 per share on Evergy's common stock.</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The common dividend is payable on December 20, 2023, to shareholders of record as of November 22, 2023.</w:t>
      </w:r>
    </w:p>
    <w:p>
      <w:pPr>
        <w:spacing w:after="0" w:line="213"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In October 2023, Evergy Metro's Board of Directors declared a dividend to Evergy of up to $150.0 million, payable on December 18, 2023, or such other date as determined necessary, proper, or advisable.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Cash Flow Information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7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18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Cash paid for (received from):</w:t>
            </w:r>
          </w:p>
        </w:tc>
        <w:tc>
          <w:tcPr>
            <w:tcW w:w="1820" w:type="dxa"/>
            <w:vAlign w:val="bottom"/>
          </w:tcPr>
          <w:p>
            <w:pPr>
              <w:spacing w:after="0"/>
              <w:rPr>
                <w:sz w:val="19"/>
                <w:szCs w:val="19"/>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900" w:type="dxa"/>
            <w:vAlign w:val="bottom"/>
          </w:tcPr>
          <w:p>
            <w:pPr>
              <w:spacing w:after="0"/>
              <w:rPr>
                <w:sz w:val="19"/>
                <w:szCs w:val="19"/>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net of amount capitalized</w:t>
            </w:r>
          </w:p>
        </w:tc>
        <w:tc>
          <w:tcPr>
            <w:tcW w:w="1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370.3</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Income taxes, net of refunds</w:t>
            </w:r>
          </w:p>
        </w:tc>
        <w:tc>
          <w:tcPr>
            <w:tcW w:w="182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19.0</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12.1</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2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transactions:</w:t>
            </w:r>
          </w:p>
        </w:tc>
        <w:tc>
          <w:tcPr>
            <w:tcW w:w="18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7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Property, plant and equipment additions</w:t>
            </w:r>
          </w:p>
        </w:tc>
        <w:tc>
          <w:tcPr>
            <w:tcW w:w="18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171.4</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Evergy Kansas Central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7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18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net of amount capitalized</w:t>
            </w: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149.4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Income taxes, net of refunds</w:t>
            </w:r>
          </w:p>
        </w:tc>
        <w:tc>
          <w:tcPr>
            <w:tcW w:w="184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53.0</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6.4</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4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transactions:</w:t>
            </w:r>
          </w:p>
        </w:tc>
        <w:tc>
          <w:tcPr>
            <w:tcW w:w="1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7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Property, plant and equipment additions</w:t>
            </w:r>
          </w:p>
        </w:tc>
        <w:tc>
          <w:tcPr>
            <w:tcW w:w="18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85.1</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20"/>
                <w:szCs w:val="20"/>
                <w:color w:val="auto"/>
              </w:rPr>
            </w:pPr>
          </w:p>
        </w:tc>
      </w:tr>
      <w:tr>
        <w:trPr>
          <w:trHeight w:val="453"/>
        </w:trPr>
        <w:tc>
          <w:tcPr>
            <w:tcW w:w="7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Evergy Metro</w:t>
            </w:r>
          </w:p>
        </w:tc>
        <w:tc>
          <w:tcPr>
            <w:tcW w:w="18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9"/>
        </w:trPr>
        <w:tc>
          <w:tcPr>
            <w:tcW w:w="7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18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r>
      <w:tr>
        <w:trPr>
          <w:trHeight w:val="223"/>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net of amount capitalized</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82.2</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Income taxes, net of refunds</w:t>
            </w:r>
          </w:p>
        </w:tc>
        <w:tc>
          <w:tcPr>
            <w:tcW w:w="184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r>
      <w:tr>
        <w:trPr>
          <w:trHeight w:val="22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9"/>
                <w:szCs w:val="19"/>
                <w:color w:val="auto"/>
              </w:rPr>
            </w:pPr>
          </w:p>
        </w:tc>
      </w:tr>
      <w:tr>
        <w:trPr>
          <w:trHeight w:val="229"/>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Non-cash investing transactions:</w:t>
            </w:r>
          </w:p>
        </w:tc>
        <w:tc>
          <w:tcPr>
            <w:tcW w:w="1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0" w:type="dxa"/>
            <w:vAlign w:val="bottom"/>
            <w:tcBorders>
              <w:bottom w:val="single" w:sz="8" w:color="auto"/>
            </w:tcBorders>
            <w:shd w:val="clear" w:color="auto" w:fill="CCEEFF"/>
          </w:tcPr>
          <w:p>
            <w:pPr>
              <w:spacing w:after="0"/>
              <w:rPr>
                <w:sz w:val="20"/>
                <w:szCs w:val="20"/>
                <w:color w:val="auto"/>
              </w:rPr>
            </w:pPr>
          </w:p>
        </w:tc>
        <w:tc>
          <w:tcPr>
            <w:tcW w:w="7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additions</w:t>
            </w:r>
          </w:p>
        </w:tc>
        <w:tc>
          <w:tcPr>
            <w:tcW w:w="18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65.4</w:t>
            </w:r>
          </w:p>
        </w:tc>
        <w:tc>
          <w:tcPr>
            <w:tcW w:w="4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0" w:type="dxa"/>
            <w:vAlign w:val="bottom"/>
            <w:tcBorders>
              <w:bottom w:val="single" w:sz="8" w:color="auto"/>
            </w:tcBorders>
            <w:shd w:val="clear" w:color="auto" w:fill="CCEEFF"/>
          </w:tcPr>
          <w:p>
            <w:pPr>
              <w:spacing w:after="0"/>
              <w:rPr>
                <w:sz w:val="20"/>
                <w:szCs w:val="20"/>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Renewable Generation Investment</w:t>
      </w:r>
    </w:p>
    <w:p>
      <w:pPr>
        <w:spacing w:after="0" w:line="26" w:lineRule="exact"/>
        <w:rPr>
          <w:sz w:val="20"/>
          <w:szCs w:val="20"/>
          <w:color w:val="auto"/>
        </w:rPr>
      </w:pPr>
    </w:p>
    <w:p>
      <w:pPr>
        <w:ind w:right="300"/>
        <w:spacing w:after="0" w:line="290" w:lineRule="auto"/>
        <w:rPr>
          <w:sz w:val="20"/>
          <w:szCs w:val="20"/>
          <w:color w:val="auto"/>
        </w:rPr>
      </w:pPr>
      <w:r>
        <w:rPr>
          <w:rFonts w:ascii="Arial" w:cs="Arial" w:eastAsia="Arial" w:hAnsi="Arial"/>
          <w:sz w:val="18"/>
          <w:szCs w:val="18"/>
          <w:color w:val="auto"/>
        </w:rPr>
        <w:t>In August 2022, Evergy Missouri West entered into an agreement with a renewable energy development company to purchase Persimmon Creek Wind Farm 1, LLC (Persimmon Creek), owner of an operational wind farm located in the state of Oklahoma with a generating capacity of approximately 199 MW, for approximately $250 million. Pursuant to the agreement, Evergy Missouri West was permitted to assign its right to purchase Persimmon Creek to another entity, including to other Evergy affiliated companies.</w:t>
      </w:r>
    </w:p>
    <w:p>
      <w:pPr>
        <w:spacing w:after="0" w:line="15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Evergy Missouri West's purchase was subject to regulatory approvals and closing conditions, including the granting of a Certificate of Convenience and Necessity (CCN) by the Public Service Commission of the State of Missouri (MPSC). In April 2023, the MPSC issued a final order granting the CCN pursuant to certain conditions related to the sharing of operational costs between ratepayers and shareholders. In May 2023, Evergy Missouri West assigned its right to purchase Persimmon Creek to Evergy Kansas Central and Evergy Kansas Central closed on the purchase of Persimmon Creek for $220.9 million, including costs incidental to the purchase of the plant. In September 2023, Evergy Kansas Central reached a unanimous settlement agreement that, among other things, included the purchase of Persimmon Creek in its rates through a levelized revenue requirement approach at a fixed annual rate of $18.6 million for the first 20 years, after which the levelized revenue requirement will be reevaluated. The unanimous settlement agreement must still be approved by the State Corporation Commission of the State of Kansas (KCC). See Note 4 for additional information on Evergy Kansas Central's rate case proceeding.</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Natural Gas Plant Investment</w:t>
      </w:r>
    </w:p>
    <w:p>
      <w:pPr>
        <w:spacing w:after="0" w:line="22"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In November 2023, Evergy Missouri West entered into an agreement to buy a joint ownership interest representing approximately 143 MW in an operational natural gas combined cycle facility located in Missouri for approximately $60 million. The purchase is subject to regulatory approvals and closing conditions, including the granting by the MPSC of a CCN with reasonably acceptable terms. Evergy Missouri West is expected to request a CCN from the MPSC in November 2023 with a decision expected in the second quarter of 2024. Closing of the transaction is also expected in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REVENUE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Evergy's, Evergy Kansas Central's and Evergy Metro's revenues disaggregated by customer class are summarized in the following tables.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7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360" w:type="dxa"/>
            <w:vAlign w:val="bottom"/>
            <w:tcBorders>
              <w:top w:val="single" w:sz="8" w:color="auto"/>
            </w:tcBorders>
            <w:gridSpan w:val="3"/>
          </w:tcPr>
          <w:p>
            <w:pPr>
              <w:jc w:val="right"/>
              <w:ind w:right="411"/>
              <w:spacing w:after="0" w:line="191" w:lineRule="exact"/>
              <w:rPr>
                <w:sz w:val="20"/>
                <w:szCs w:val="20"/>
                <w:color w:val="auto"/>
              </w:rPr>
            </w:pPr>
            <w:r>
              <w:rPr>
                <w:rFonts w:ascii="Arial" w:cs="Arial" w:eastAsia="Arial" w:hAnsi="Arial"/>
                <w:sz w:val="18"/>
                <w:szCs w:val="18"/>
                <w:b w:val="1"/>
                <w:bCs w:val="1"/>
                <w:color w:val="auto"/>
              </w:rPr>
              <w:t>Three Months Ended</w:t>
            </w:r>
          </w:p>
        </w:tc>
        <w:tc>
          <w:tcPr>
            <w:tcW w:w="4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rPr>
              <w:t>Year to Date</w:t>
            </w:r>
          </w:p>
        </w:tc>
        <w:tc>
          <w:tcPr>
            <w:tcW w:w="880" w:type="dxa"/>
            <w:vAlign w:val="bottom"/>
            <w:tcBorders>
              <w:top w:val="single" w:sz="8" w:color="auto"/>
            </w:tcBorders>
          </w:tcPr>
          <w:p>
            <w:pPr>
              <w:spacing w:after="0"/>
              <w:rPr>
                <w:sz w:val="16"/>
                <w:szCs w:val="16"/>
                <w:color w:val="auto"/>
              </w:rPr>
            </w:pPr>
          </w:p>
        </w:tc>
      </w:tr>
      <w:tr>
        <w:trPr>
          <w:trHeight w:val="229"/>
        </w:trPr>
        <w:tc>
          <w:tcPr>
            <w:tcW w:w="5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Pr>
          <w:p>
            <w:pPr>
              <w:spacing w:after="0"/>
              <w:rPr>
                <w:sz w:val="19"/>
                <w:szCs w:val="19"/>
                <w:color w:val="auto"/>
              </w:rPr>
            </w:pPr>
          </w:p>
        </w:tc>
      </w:tr>
      <w:tr>
        <w:trPr>
          <w:trHeight w:val="234"/>
        </w:trPr>
        <w:tc>
          <w:tcPr>
            <w:tcW w:w="5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w w:val="84"/>
              </w:rPr>
              <w:t>2022</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2023</w:t>
            </w:r>
          </w:p>
        </w:tc>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2022</w:t>
            </w: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675.1</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746.6</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1,626.4</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1,711.8</w:t>
            </w:r>
          </w:p>
        </w:tc>
      </w:tr>
      <w:tr>
        <w:trPr>
          <w:trHeight w:val="229"/>
        </w:trPr>
        <w:tc>
          <w:tcPr>
            <w:tcW w:w="57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528.6</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583.7</w:t>
            </w:r>
          </w:p>
        </w:tc>
        <w:tc>
          <w:tcPr>
            <w:tcW w:w="46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1,419.3</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1,452.3</w:t>
            </w: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158.9</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475.3</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w:t>
            </w:r>
          </w:p>
        </w:tc>
      </w:tr>
      <w:tr>
        <w:trPr>
          <w:trHeight w:val="229"/>
        </w:trPr>
        <w:tc>
          <w:tcPr>
            <w:tcW w:w="5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retail</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11.6</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31.8</w:t>
            </w: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23"/>
        </w:trPr>
        <w:tc>
          <w:tcPr>
            <w:tcW w:w="5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electric retail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1,374.2</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1,488.5</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3,552.8</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3,661.5</w:t>
            </w:r>
          </w:p>
        </w:tc>
      </w:tr>
      <w:tr>
        <w:trPr>
          <w:trHeight w:val="229"/>
        </w:trPr>
        <w:tc>
          <w:tcPr>
            <w:tcW w:w="576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26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148.3</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250.6</w:t>
            </w:r>
          </w:p>
        </w:tc>
        <w:tc>
          <w:tcPr>
            <w:tcW w:w="46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301.8</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382.0</w:t>
            </w: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Transmission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101.9</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308.2</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r>
      <w:tr>
        <w:trPr>
          <w:trHeight w:val="229"/>
        </w:trPr>
        <w:tc>
          <w:tcPr>
            <w:tcW w:w="5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Industrial steam and 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7.1</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24.6</w:t>
            </w: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1,631.5</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1,846.7</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4,187.4</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4,360.8</w:t>
            </w:r>
          </w:p>
        </w:tc>
      </w:tr>
      <w:tr>
        <w:trPr>
          <w:trHeight w:val="229"/>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37.8</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132.9</w:t>
            </w: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w:t>
            </w:r>
          </w:p>
        </w:tc>
      </w:tr>
      <w:tr>
        <w:trPr>
          <w:trHeight w:val="230"/>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1,669.3</w:t>
            </w:r>
          </w:p>
        </w:tc>
        <w:tc>
          <w:tcPr>
            <w:tcW w:w="5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1,909.1</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4,320.3</w:t>
            </w:r>
          </w:p>
        </w:tc>
        <w:tc>
          <w:tcPr>
            <w:tcW w:w="5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4,579.5</w:t>
            </w:r>
          </w:p>
        </w:tc>
      </w:tr>
    </w:tbl>
    <w:p>
      <w:pPr>
        <w:spacing w:after="0" w:line="280"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Evergy's other retail electric revenues for the three months ended and year to date September 30, 2022, include a $47.5 million deferral of revenues to a regulatory liability for the refund of amounts collected from customers since December 2018 for the return on investment of the retired Sibley Station.</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 Kansas Central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340" w:type="dxa"/>
            <w:vAlign w:val="bottom"/>
            <w:tcBorders>
              <w:top w:val="single" w:sz="8" w:color="auto"/>
            </w:tcBorders>
            <w:gridSpan w:val="3"/>
          </w:tcPr>
          <w:p>
            <w:pPr>
              <w:jc w:val="right"/>
              <w:ind w:right="391"/>
              <w:spacing w:after="0" w:line="182" w:lineRule="exact"/>
              <w:rPr>
                <w:sz w:val="20"/>
                <w:szCs w:val="20"/>
                <w:color w:val="auto"/>
              </w:rPr>
            </w:pPr>
            <w:r>
              <w:rPr>
                <w:rFonts w:ascii="Arial" w:cs="Arial" w:eastAsia="Arial" w:hAnsi="Arial"/>
                <w:sz w:val="18"/>
                <w:szCs w:val="18"/>
                <w:b w:val="1"/>
                <w:bCs w:val="1"/>
                <w:color w:val="auto"/>
              </w:rPr>
              <w:t>Three Months Ended</w:t>
            </w:r>
          </w:p>
        </w:tc>
        <w:tc>
          <w:tcPr>
            <w:tcW w:w="4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2"/>
          </w:tcPr>
          <w:p>
            <w:pPr>
              <w:jc w:val="right"/>
              <w:ind w:right="10"/>
              <w:spacing w:after="0" w:line="182" w:lineRule="exact"/>
              <w:rPr>
                <w:sz w:val="20"/>
                <w:szCs w:val="20"/>
                <w:color w:val="auto"/>
              </w:rPr>
            </w:pPr>
            <w:r>
              <w:rPr>
                <w:rFonts w:ascii="Arial" w:cs="Arial" w:eastAsia="Arial" w:hAnsi="Arial"/>
                <w:sz w:val="18"/>
                <w:szCs w:val="18"/>
                <w:b w:val="1"/>
                <w:bCs w:val="1"/>
                <w:color w:val="auto"/>
              </w:rPr>
              <w:t>Year to Date</w:t>
            </w:r>
          </w:p>
        </w:tc>
        <w:tc>
          <w:tcPr>
            <w:tcW w:w="880" w:type="dxa"/>
            <w:vAlign w:val="bottom"/>
            <w:tcBorders>
              <w:top w:val="single" w:sz="8" w:color="auto"/>
            </w:tcBorders>
          </w:tcPr>
          <w:p>
            <w:pPr>
              <w:spacing w:after="0"/>
              <w:rPr>
                <w:sz w:val="15"/>
                <w:szCs w:val="15"/>
                <w:color w:val="auto"/>
              </w:rPr>
            </w:pPr>
          </w:p>
        </w:tc>
      </w:tr>
      <w:tr>
        <w:trPr>
          <w:trHeight w:val="234"/>
        </w:trPr>
        <w:tc>
          <w:tcPr>
            <w:tcW w:w="5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Pr>
          <w:p>
            <w:pPr>
              <w:spacing w:after="0"/>
              <w:rPr>
                <w:sz w:val="20"/>
                <w:szCs w:val="20"/>
                <w:color w:val="auto"/>
              </w:rPr>
            </w:pPr>
          </w:p>
        </w:tc>
      </w:tr>
      <w:tr>
        <w:trPr>
          <w:trHeight w:val="238"/>
        </w:trPr>
        <w:tc>
          <w:tcPr>
            <w:tcW w:w="5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84"/>
              </w:rPr>
              <w:t>2022</w:t>
            </w: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2023</w:t>
            </w:r>
          </w:p>
        </w:tc>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2022</w:t>
            </w: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262.9</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647.3</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w:t>
            </w:r>
          </w:p>
        </w:tc>
      </w:tr>
      <w:tr>
        <w:trPr>
          <w:trHeight w:val="230"/>
        </w:trPr>
        <w:tc>
          <w:tcPr>
            <w:tcW w:w="57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196.5</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267.0</w:t>
            </w:r>
          </w:p>
        </w:tc>
        <w:tc>
          <w:tcPr>
            <w:tcW w:w="48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555.3</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625.9</w:t>
            </w: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93.4</w:t>
            </w: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300.1</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r>
      <w:tr>
        <w:trPr>
          <w:trHeight w:val="230"/>
        </w:trPr>
        <w:tc>
          <w:tcPr>
            <w:tcW w:w="5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retail</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5.7</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12.5</w:t>
            </w: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5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electric retail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558.5</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1,515.2</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1,747.8</w:t>
            </w:r>
          </w:p>
        </w:tc>
      </w:tr>
      <w:tr>
        <w:trPr>
          <w:trHeight w:val="229"/>
        </w:trPr>
        <w:tc>
          <w:tcPr>
            <w:tcW w:w="576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26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106.3</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156.9</w:t>
            </w:r>
          </w:p>
        </w:tc>
        <w:tc>
          <w:tcPr>
            <w:tcW w:w="48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232.7</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288.4</w:t>
            </w: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Transmission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97.6</w:t>
            </w: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294.8</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r>
      <w:tr>
        <w:trPr>
          <w:trHeight w:val="230"/>
        </w:trPr>
        <w:tc>
          <w:tcPr>
            <w:tcW w:w="5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0.4</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w:t>
            </w: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762.8</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2,044.8</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2,307.6</w:t>
            </w:r>
          </w:p>
        </w:tc>
      </w:tr>
      <w:tr>
        <w:trPr>
          <w:trHeight w:val="230"/>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10.5</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46.7</w:t>
            </w: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r>
      <w:tr>
        <w:trPr>
          <w:trHeight w:val="230"/>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773.3</w:t>
            </w:r>
          </w:p>
        </w:tc>
        <w:tc>
          <w:tcPr>
            <w:tcW w:w="5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1,021.4</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2,091.5</w:t>
            </w:r>
          </w:p>
        </w:tc>
        <w:tc>
          <w:tcPr>
            <w:tcW w:w="5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 Metro</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340" w:type="dxa"/>
            <w:vAlign w:val="bottom"/>
            <w:tcBorders>
              <w:top w:val="single" w:sz="8" w:color="auto"/>
            </w:tcBorders>
            <w:gridSpan w:val="3"/>
          </w:tcPr>
          <w:p>
            <w:pPr>
              <w:jc w:val="right"/>
              <w:ind w:right="391"/>
              <w:spacing w:after="0" w:line="182" w:lineRule="exact"/>
              <w:rPr>
                <w:sz w:val="20"/>
                <w:szCs w:val="20"/>
                <w:color w:val="auto"/>
              </w:rPr>
            </w:pPr>
            <w:r>
              <w:rPr>
                <w:rFonts w:ascii="Arial" w:cs="Arial" w:eastAsia="Arial" w:hAnsi="Arial"/>
                <w:sz w:val="18"/>
                <w:szCs w:val="18"/>
                <w:b w:val="1"/>
                <w:bCs w:val="1"/>
                <w:color w:val="auto"/>
              </w:rPr>
              <w:t>Three Months Ended</w:t>
            </w:r>
          </w:p>
        </w:tc>
        <w:tc>
          <w:tcPr>
            <w:tcW w:w="4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2"/>
          </w:tcPr>
          <w:p>
            <w:pPr>
              <w:jc w:val="right"/>
              <w:ind w:right="10"/>
              <w:spacing w:after="0" w:line="182" w:lineRule="exact"/>
              <w:rPr>
                <w:sz w:val="20"/>
                <w:szCs w:val="20"/>
                <w:color w:val="auto"/>
              </w:rPr>
            </w:pPr>
            <w:r>
              <w:rPr>
                <w:rFonts w:ascii="Arial" w:cs="Arial" w:eastAsia="Arial" w:hAnsi="Arial"/>
                <w:sz w:val="18"/>
                <w:szCs w:val="18"/>
                <w:b w:val="1"/>
                <w:bCs w:val="1"/>
                <w:color w:val="auto"/>
              </w:rPr>
              <w:t>Year to Date</w:t>
            </w:r>
          </w:p>
        </w:tc>
        <w:tc>
          <w:tcPr>
            <w:tcW w:w="880" w:type="dxa"/>
            <w:vAlign w:val="bottom"/>
            <w:tcBorders>
              <w:top w:val="single" w:sz="8" w:color="auto"/>
            </w:tcBorders>
          </w:tcPr>
          <w:p>
            <w:pPr>
              <w:spacing w:after="0"/>
              <w:rPr>
                <w:sz w:val="15"/>
                <w:szCs w:val="15"/>
                <w:color w:val="auto"/>
              </w:rPr>
            </w:pPr>
          </w:p>
        </w:tc>
      </w:tr>
      <w:tr>
        <w:trPr>
          <w:trHeight w:val="234"/>
        </w:trPr>
        <w:tc>
          <w:tcPr>
            <w:tcW w:w="5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Pr>
          <w:p>
            <w:pPr>
              <w:spacing w:after="0"/>
              <w:rPr>
                <w:sz w:val="20"/>
                <w:szCs w:val="20"/>
                <w:color w:val="auto"/>
              </w:rPr>
            </w:pPr>
          </w:p>
        </w:tc>
      </w:tr>
      <w:tr>
        <w:trPr>
          <w:trHeight w:val="238"/>
        </w:trPr>
        <w:tc>
          <w:tcPr>
            <w:tcW w:w="5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84"/>
              </w:rPr>
              <w:t>2022</w:t>
            </w: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2023</w:t>
            </w:r>
          </w:p>
        </w:tc>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2022</w:t>
            </w: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259.9</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603.9</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w:t>
            </w:r>
          </w:p>
        </w:tc>
      </w:tr>
      <w:tr>
        <w:trPr>
          <w:trHeight w:val="230"/>
        </w:trPr>
        <w:tc>
          <w:tcPr>
            <w:tcW w:w="57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232.9</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222.0</w:t>
            </w:r>
          </w:p>
        </w:tc>
        <w:tc>
          <w:tcPr>
            <w:tcW w:w="48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606.1</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589.7</w:t>
            </w:r>
          </w:p>
        </w:tc>
      </w:tr>
      <w:tr>
        <w:trPr>
          <w:trHeight w:val="229"/>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37.2</w:t>
            </w: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100.6</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r>
      <w:tr>
        <w:trPr>
          <w:trHeight w:val="230"/>
        </w:trPr>
        <w:tc>
          <w:tcPr>
            <w:tcW w:w="5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retail</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9.5</w:t>
            </w: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5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electric retail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533.4</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1,320.1</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1,297.8</w:t>
            </w:r>
          </w:p>
        </w:tc>
      </w:tr>
      <w:tr>
        <w:trPr>
          <w:trHeight w:val="229"/>
        </w:trPr>
        <w:tc>
          <w:tcPr>
            <w:tcW w:w="576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26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43.4</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81.4</w:t>
            </w:r>
          </w:p>
        </w:tc>
        <w:tc>
          <w:tcPr>
            <w:tcW w:w="48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80.7</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Transmission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10.8</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5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0.9</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w:t>
            </w: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581.4</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1,414.9</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1,398.8</w:t>
            </w:r>
          </w:p>
        </w:tc>
      </w:tr>
      <w:tr>
        <w:trPr>
          <w:trHeight w:val="229"/>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26.8</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85.0</w:t>
            </w: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r>
      <w:tr>
        <w:trPr>
          <w:trHeight w:val="230"/>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608.2</w:t>
            </w:r>
          </w:p>
        </w:tc>
        <w:tc>
          <w:tcPr>
            <w:tcW w:w="5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1,499.9</w:t>
            </w:r>
          </w:p>
        </w:tc>
        <w:tc>
          <w:tcPr>
            <w:tcW w:w="5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1,564.4</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RECEIVABLES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The Evergy Companies' receivables are detailed in the 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5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96"/>
              </w:rPr>
              <w:t>September 30</w:t>
            </w:r>
          </w:p>
        </w:tc>
        <w:tc>
          <w:tcPr>
            <w:tcW w:w="3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75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40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60" w:type="dxa"/>
            <w:vAlign w:val="bottom"/>
          </w:tcPr>
          <w:p>
            <w:pPr>
              <w:spacing w:after="0"/>
              <w:rPr>
                <w:sz w:val="19"/>
                <w:szCs w:val="19"/>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400" w:type="dxa"/>
            <w:vAlign w:val="bottom"/>
          </w:tcPr>
          <w:p>
            <w:pPr>
              <w:spacing w:after="0"/>
              <w:rPr>
                <w:sz w:val="19"/>
                <w:szCs w:val="19"/>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191.4</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136.9</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144.5</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r>
      <w:tr>
        <w:trPr>
          <w:trHeight w:val="230"/>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(21.5)</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r>
      <w:tr>
        <w:trPr>
          <w:trHeight w:val="223"/>
        </w:trPr>
        <w:tc>
          <w:tcPr>
            <w:tcW w:w="7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330.1</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400" w:type="dxa"/>
            <w:vAlign w:val="bottom"/>
          </w:tcPr>
          <w:p>
            <w:pPr>
              <w:spacing w:after="0"/>
              <w:rPr>
                <w:sz w:val="19"/>
                <w:szCs w:val="19"/>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66.6</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71.4</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141.9</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r>
      <w:tr>
        <w:trPr>
          <w:trHeight w:val="22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(9.9)</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23"/>
        </w:trPr>
        <w:tc>
          <w:tcPr>
            <w:tcW w:w="7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198.6</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400" w:type="dxa"/>
            <w:vAlign w:val="bottom"/>
          </w:tcPr>
          <w:p>
            <w:pPr>
              <w:spacing w:after="0"/>
              <w:rPr>
                <w:sz w:val="19"/>
                <w:szCs w:val="19"/>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81.0</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15.8</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(7.2)</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7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89.6</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40"/>
        <w:spacing w:after="0" w:line="299" w:lineRule="auto"/>
        <w:rPr>
          <w:sz w:val="20"/>
          <w:szCs w:val="20"/>
          <w:color w:val="auto"/>
        </w:rPr>
      </w:pPr>
      <w:r>
        <w:rPr>
          <w:rFonts w:ascii="Arial" w:cs="Arial" w:eastAsia="Arial" w:hAnsi="Arial"/>
          <w:sz w:val="18"/>
          <w:szCs w:val="18"/>
          <w:color w:val="auto"/>
        </w:rPr>
        <w:t>The Evergy Companies' other receivables as of September 30, 2023 and December 31, 2022, consisted primarily of receivables from partners in jointly-owned electric utility plants, wholesale sales receivables and receivables related to alternative revenue programs. The Evergy Companies' other receivables also included receivables from contracts with customers as summarized in the following table.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740" w:type="dxa"/>
            <w:vAlign w:val="bottom"/>
            <w:tcBorders>
              <w:top w:val="single" w:sz="8" w:color="auto"/>
            </w:tcBorders>
          </w:tcPr>
          <w:p>
            <w:pPr>
              <w:spacing w:after="0"/>
              <w:rPr>
                <w:sz w:val="21"/>
                <w:szCs w:val="21"/>
                <w:color w:val="auto"/>
              </w:rPr>
            </w:pPr>
          </w:p>
        </w:tc>
        <w:tc>
          <w:tcPr>
            <w:tcW w:w="322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6"/>
              </w:rPr>
              <w:t>September 30</w:t>
            </w:r>
          </w:p>
        </w:tc>
        <w:tc>
          <w:tcPr>
            <w:tcW w:w="4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7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07"/>
        </w:trPr>
        <w:tc>
          <w:tcPr>
            <w:tcW w:w="47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60" w:type="dxa"/>
            <w:vAlign w:val="bottom"/>
          </w:tcPr>
          <w:p>
            <w:pPr>
              <w:spacing w:after="0"/>
              <w:rPr>
                <w:sz w:val="17"/>
                <w:szCs w:val="17"/>
                <w:color w:val="auto"/>
              </w:rPr>
            </w:pPr>
          </w:p>
        </w:tc>
      </w:tr>
      <w:tr>
        <w:trPr>
          <w:trHeight w:val="23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70.6</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3220" w:type="dxa"/>
            <w:vAlign w:val="bottom"/>
          </w:tcPr>
          <w:p>
            <w:pPr>
              <w:spacing w:after="0"/>
              <w:rPr>
                <w:sz w:val="19"/>
                <w:szCs w:val="19"/>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67.4</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110.8</w:t>
            </w:r>
          </w:p>
        </w:tc>
      </w:tr>
      <w:tr>
        <w:trPr>
          <w:trHeight w:val="237"/>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32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2.1</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change in the Evergy Companies' allowance for credit losses is summarized in the 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5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1160" w:type="dxa"/>
            <w:vAlign w:val="bottom"/>
          </w:tcPr>
          <w:p>
            <w:pPr>
              <w:spacing w:after="0"/>
              <w:rPr>
                <w:sz w:val="19"/>
                <w:szCs w:val="19"/>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6"/>
                <w:szCs w:val="16"/>
                <w:color w:val="auto"/>
              </w:rPr>
              <w:t>(millions)</w:t>
            </w: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31.4</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w:t>
            </w:r>
          </w:p>
        </w:tc>
        <w:tc>
          <w:tcPr>
            <w:tcW w:w="1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7.4</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(25.2)</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7.9</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September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21.5</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16.9</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w:t>
            </w:r>
          </w:p>
        </w:tc>
        <w:tc>
          <w:tcPr>
            <w:tcW w:w="1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3.5</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September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9.9</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9.3</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 (income)</w:t>
            </w:r>
          </w:p>
        </w:tc>
        <w:tc>
          <w:tcPr>
            <w:tcW w:w="1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3.0</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September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7.2</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 of Accounts Receivable</w:t>
      </w:r>
    </w:p>
    <w:p>
      <w:pPr>
        <w:spacing w:after="0" w:line="22" w:lineRule="exact"/>
        <w:rPr>
          <w:sz w:val="20"/>
          <w:szCs w:val="20"/>
          <w:color w:val="auto"/>
        </w:rPr>
      </w:pPr>
    </w:p>
    <w:p>
      <w:pPr>
        <w:ind w:right="140"/>
        <w:spacing w:after="0" w:line="333" w:lineRule="auto"/>
        <w:rPr>
          <w:sz w:val="20"/>
          <w:szCs w:val="20"/>
          <w:color w:val="auto"/>
        </w:rPr>
      </w:pPr>
      <w:r>
        <w:rPr>
          <w:rFonts w:ascii="Arial" w:cs="Arial" w:eastAsia="Arial" w:hAnsi="Arial"/>
          <w:sz w:val="16"/>
          <w:szCs w:val="16"/>
          <w:color w:val="auto"/>
        </w:rPr>
        <w:t>Evergy Kansas Central, Evergy Metro and Evergy Missouri West sell an undivided percentage ownership interest in their retail electric accounts receivable to independent outside investors. These sales are accounted for as secured borrowings with accounts receivable pledged as collateral and a corresponding short-term collateralized note payable recognized on the balance sheets. The Evergy Companies' accounts receivable pledged as collateral and the corresponding short-term collateralized note payable are summarized in the following table.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00" w:type="dxa"/>
            <w:vAlign w:val="bottom"/>
            <w:tcBorders>
              <w:top w:val="single" w:sz="8" w:color="auto"/>
            </w:tcBorders>
          </w:tcPr>
          <w:p>
            <w:pPr>
              <w:spacing w:after="0"/>
              <w:rPr>
                <w:sz w:val="21"/>
                <w:szCs w:val="21"/>
                <w:color w:val="auto"/>
              </w:rPr>
            </w:pPr>
          </w:p>
        </w:tc>
        <w:tc>
          <w:tcPr>
            <w:tcW w:w="31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98"/>
              </w:rPr>
              <w:t>September 30</w:t>
            </w:r>
          </w:p>
        </w:tc>
        <w:tc>
          <w:tcPr>
            <w:tcW w:w="4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December 31</w:t>
            </w:r>
          </w:p>
        </w:tc>
      </w:tr>
      <w:tr>
        <w:trPr>
          <w:trHeight w:val="234"/>
        </w:trPr>
        <w:tc>
          <w:tcPr>
            <w:tcW w:w="46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06"/>
        </w:trPr>
        <w:tc>
          <w:tcPr>
            <w:tcW w:w="46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460" w:type="dxa"/>
            <w:vAlign w:val="bottom"/>
          </w:tcPr>
          <w:p>
            <w:pPr>
              <w:spacing w:after="0"/>
              <w:rPr>
                <w:sz w:val="17"/>
                <w:szCs w:val="17"/>
                <w:color w:val="auto"/>
              </w:rPr>
            </w:pPr>
          </w:p>
        </w:tc>
      </w:tr>
      <w:tr>
        <w:trPr>
          <w:trHeight w:val="23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3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395.0</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3140" w:type="dxa"/>
            <w:vAlign w:val="bottom"/>
          </w:tcPr>
          <w:p>
            <w:pPr>
              <w:spacing w:after="0"/>
              <w:rPr>
                <w:sz w:val="19"/>
                <w:szCs w:val="19"/>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200.0</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185.0</w:t>
            </w:r>
          </w:p>
        </w:tc>
      </w:tr>
      <w:tr>
        <w:trPr>
          <w:trHeight w:val="236"/>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31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130.0</w:t>
            </w:r>
          </w:p>
        </w:tc>
        <w:tc>
          <w:tcPr>
            <w:tcW w:w="4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r>
    </w:tbl>
    <w:p>
      <w:pPr>
        <w:spacing w:after="0" w:line="280" w:lineRule="exact"/>
        <w:rPr>
          <w:sz w:val="20"/>
          <w:szCs w:val="20"/>
          <w:color w:val="auto"/>
        </w:rPr>
      </w:pPr>
    </w:p>
    <w:p>
      <w:pPr>
        <w:ind w:right="280"/>
        <w:spacing w:after="0" w:line="274" w:lineRule="auto"/>
        <w:rPr>
          <w:sz w:val="20"/>
          <w:szCs w:val="20"/>
          <w:color w:val="auto"/>
        </w:rPr>
      </w:pPr>
      <w:r>
        <w:rPr>
          <w:rFonts w:ascii="Arial" w:cs="Arial" w:eastAsia="Arial" w:hAnsi="Arial"/>
          <w:sz w:val="20"/>
          <w:szCs w:val="20"/>
          <w:color w:val="auto"/>
        </w:rPr>
        <w:t>Each receivable sale facility expires in 2024. Evergy Kansas Central's facility allows for $185.0 million in aggregate outstanding principal amount of borrowings from mid-November through mid-July and then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20"/>
        <w:spacing w:after="0" w:line="277" w:lineRule="auto"/>
        <w:rPr>
          <w:sz w:val="20"/>
          <w:szCs w:val="20"/>
          <w:color w:val="auto"/>
        </w:rPr>
      </w:pPr>
      <w:r>
        <w:rPr>
          <w:rFonts w:ascii="Arial" w:cs="Arial" w:eastAsia="Arial" w:hAnsi="Arial"/>
          <w:sz w:val="19"/>
          <w:szCs w:val="19"/>
          <w:color w:val="auto"/>
        </w:rPr>
        <w:t>$200.0 million from mid-July through mid-November. Evergy Metro's facility allows for $130.0 million in aggregate outstanding principal amount of borrowings at any time. Evergy Missouri West's facility allows for $50.0 million in aggregate outstanding principal amount of borrowings from mid-November through mid-July and then $65.0 million from mid-July through mid-November.</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RATE MATTERS AND REGULATION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KCC Proceedings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Central's and Evergy Metro's 2023 Rate Case Proceeding</w:t>
      </w:r>
    </w:p>
    <w:p>
      <w:pPr>
        <w:spacing w:after="0" w:line="13"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In April 2023, Evergy Kansas Central and Evergy Metro filed applications with the KCC to request increases to their retail revenues of approximately $204 million and $14 million, respectively. Evergy Kansas Central's request reflected a return on equity of 10.25% (with a capital structure composed of 52% equity) and increases related to the recovery of infrastructure investments made to improve reliability and enhance customer service, the inclusion of Evergy Kansas Central's non-regulated 8% ownership share of Jeffrey Energy Center (JEC) in rate base and the management of the previously established end to a corporate-owned life insurance (COLI) program. Evergy Kansas Central also requested the inclusion of the cost of Persimmon Creek of approximately $220.9 million. The cost of Persimmon Creek was not included in Evergy Kansas Central's approximately $204 million increase to retail revenue requested in the case but if approved by the KCC, the cost of Persimmon Creek would have resulted in an additional $21.5 million increase to Evergy Kansas Central's retail revenues. The addition of Persimmon Creek is consistent with the preferred plan identified through Evergy Kansas Central's integrated resource plan filed with the KCC in June 2023, which identified the wind farm as part of the lowest-cost resource plan to serve customers. Evergy Metro's request reflected a return on equity of 10.25% (with a capital structure composed of 52% equity) and increases related to recovery of infrastructure investments made to improve reliability and enhance customer service. Requests for increases in retail revenues in both proceedings were partially offset by significant customer savings and cost reductions.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In September 2023, Evergy Kansas Central, Evergy Metro, KCC staff and other intervenors reached a unanimous settlement agreement to settle all issues in the case. The unanimous settlement agreement provides for an increase in retail revenues of $74.0 million for Evergy Kansas Central and a decrease in retail revenues of $32.9 million for Evergy Metro. For Evergy Kansas Central, the settlement included the recovery of Persimmon Creek costs through a levelized revenue requirement approach at a fixed rate of $18.6 million for the first 20 years, after which the levelized revenue requirement will be reevaluated. The parties agreed to include Evergy Kansas Central's non-regulated 8% ownership share of JEC in rate base. The fuel costs and wholesale sales associated with Evergy Kansas Central's non-regulated 8% ownership share of JEC will be included in Evergy Kansas Central's fuel recovery mechanism effective with the new rates. The settlement included a refund to Evergy Kansas Central customers of $96.5 million amortized over three years to account for the difference between the expected amount of COLI rate credits approved and the actual amount of COLI rate credits received by customers from 1987 through December 31, 2023. This amount is recorded as a regulatory liability as of September 30, 2023 with a corresponding reduction to revenues in the third quarter 2023. The unanimous settlement agreement must still be approved by the KCC. New rates are expected to be effective in December 2023.</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2023 Transmission Delivery Charge (TDC)</w:t>
      </w:r>
    </w:p>
    <w:p>
      <w:pPr>
        <w:spacing w:after="0" w:line="20" w:lineRule="exact"/>
        <w:rPr>
          <w:sz w:val="20"/>
          <w:szCs w:val="20"/>
          <w:color w:val="auto"/>
        </w:rPr>
      </w:pPr>
    </w:p>
    <w:p>
      <w:pPr>
        <w:ind w:right="200"/>
        <w:spacing w:after="0" w:line="290" w:lineRule="auto"/>
        <w:rPr>
          <w:sz w:val="20"/>
          <w:szCs w:val="20"/>
          <w:color w:val="auto"/>
        </w:rPr>
      </w:pPr>
      <w:r>
        <w:rPr>
          <w:rFonts w:ascii="Arial" w:cs="Arial" w:eastAsia="Arial" w:hAnsi="Arial"/>
          <w:sz w:val="18"/>
          <w:szCs w:val="18"/>
          <w:color w:val="auto"/>
        </w:rPr>
        <w:t>In April 2023, the KCC issued an order adjusting Evergy Kansas Central's retail prices to include updated transmission costs as reflected in the Federal Energy Regulatory Commission (FERC) transmission formula rate (TFR). The new prices were effective in May 2023 and included the adjustments to the 2023 TFR described under "Evergy Kansas Central TFR Formal Challenge" within this Note 4. The new prices are expected to decrease Evergy Kansas Central's annual retail revenues by $22.3 million when compared to 2022.</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2023 TDC</w:t>
      </w:r>
    </w:p>
    <w:p>
      <w:pPr>
        <w:spacing w:after="0" w:line="20" w:lineRule="exact"/>
        <w:rPr>
          <w:sz w:val="20"/>
          <w:szCs w:val="20"/>
          <w:color w:val="auto"/>
        </w:rPr>
      </w:pPr>
    </w:p>
    <w:p>
      <w:pPr>
        <w:ind w:right="80"/>
        <w:spacing w:after="0" w:line="253" w:lineRule="auto"/>
        <w:rPr>
          <w:sz w:val="20"/>
          <w:szCs w:val="20"/>
          <w:color w:val="auto"/>
        </w:rPr>
      </w:pPr>
      <w:r>
        <w:rPr>
          <w:rFonts w:ascii="Arial" w:cs="Arial" w:eastAsia="Arial" w:hAnsi="Arial"/>
          <w:sz w:val="20"/>
          <w:szCs w:val="20"/>
          <w:color w:val="auto"/>
        </w:rPr>
        <w:t>In April 2023, the KCC issued an order adjusting Evergy Metro's retail prices to include updated transmission costs as reflected in the FERC TFR. The new prices were effective in May 2023 and are expected to increase Evergy Metro's annual retail revenues by $4.0 million when compared to 2022.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and Evergy Metro Earnings Review and Sharing Plan (ERSP)</w:t>
      </w:r>
    </w:p>
    <w:p>
      <w:pPr>
        <w:spacing w:after="0" w:line="20"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As part of their 2018 merger settlement agreement with the KCC, Evergy Kansas Central and Evergy Metro agreed to participate in an ERSP for the years 2019 through 2022. Under the ERSP, Evergy Kansas Central's and Evergy Metro's Kansas jurisdiction are required to refund to customers 50% of annual earnings in excess of their authorized return on equity of 9.3% to the extent the excess earnings exceed the amount of annual bill credits that Evergy Kansas Central and Evergy Metro agreed to provide in connection with the merger that resulted in the formation of Evergy.</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Evergy Kansas Central estimated its 2022 annual earnings did not result in a refund obligation. As of December 31, 2022, Evergy Metro estimated that its 2022 annual earnings resulted in a $16.7 million refund obligation, which was recorded in the fourth quarter of 2022. Evergy Kansas Central and Evergy Metro filed their 2022 ERSP calculations with the KCC in March 2023. As part of these filings, Evergy Metro filed for a lower refund obligation for 2022 of approximately $6 million (compared with its $16.7 million refund obligation estimate) as a result of certain intercompany billings to Evergy Kansas Central. In May 2023, the KCC approved Evergy Metro's application ordering it to refund approximately $6 million.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MPSC Proceedings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Missouri West February 2021 Winter Weather Event Securitization</w:t>
      </w:r>
    </w:p>
    <w:p>
      <w:pPr>
        <w:spacing w:after="0" w:line="8" w:lineRule="exact"/>
        <w:rPr>
          <w:sz w:val="20"/>
          <w:szCs w:val="20"/>
          <w:color w:val="auto"/>
        </w:rPr>
      </w:pPr>
    </w:p>
    <w:p>
      <w:pPr>
        <w:ind w:right="140"/>
        <w:spacing w:after="0" w:line="313" w:lineRule="auto"/>
        <w:rPr>
          <w:sz w:val="20"/>
          <w:szCs w:val="20"/>
          <w:color w:val="auto"/>
        </w:rPr>
      </w:pPr>
      <w:r>
        <w:rPr>
          <w:rFonts w:ascii="Arial" w:cs="Arial" w:eastAsia="Arial" w:hAnsi="Arial"/>
          <w:sz w:val="18"/>
          <w:szCs w:val="18"/>
          <w:color w:val="auto"/>
        </w:rPr>
        <w:t>In February 2021, much of the central and southern United States, including the service territories of the Evergy Companies, experienced a significant winter weather event that resulted in extremely cold temperatures over a multi-day period (February 2021 winter weather event).</w:t>
      </w:r>
    </w:p>
    <w:p>
      <w:pPr>
        <w:spacing w:after="0" w:line="14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In November 2022, the MPSC issued a revised financing order authorizing Evergy Missouri West to issue securitized bonds to recover its extraordinary fuel and purchased power costs incurred as part of the February 2021 winter weather event. As part of the order, the MPSC found that Evergy Missouri West's costs were prudently incurred, that it should only be allowed to recover 95% of its extraordinary fuel and purchased power costs consistent with the 5% sharing provision of its fuel recovery mechanism, that it should be allowed to recover carrying costs incurred since February 2021 at Evergy Missouri West's long-term debt rate of 5.06% and approved a 15 year repayment period for the bonds with a 17 year legal maturity. As of September 30, 2023 and December 31, 2022, the value of Evergy Missouri West's February 2021 winter weather event regulatory asset was $320.2 million and $309.0 million, respectively. Evergy Missouri West will continue to record carrying charges on its February 2021 winter weather event regulatory asset until it issues the securitized bonds.</w:t>
      </w:r>
    </w:p>
    <w:p>
      <w:pPr>
        <w:spacing w:after="0" w:line="160" w:lineRule="exact"/>
        <w:rPr>
          <w:sz w:val="20"/>
          <w:szCs w:val="20"/>
          <w:color w:val="auto"/>
        </w:rPr>
      </w:pPr>
    </w:p>
    <w:p>
      <w:pPr>
        <w:ind w:right="220"/>
        <w:spacing w:after="0" w:line="327" w:lineRule="auto"/>
        <w:rPr>
          <w:sz w:val="20"/>
          <w:szCs w:val="20"/>
          <w:color w:val="auto"/>
        </w:rPr>
      </w:pPr>
      <w:r>
        <w:rPr>
          <w:rFonts w:ascii="Arial" w:cs="Arial" w:eastAsia="Arial" w:hAnsi="Arial"/>
          <w:sz w:val="16"/>
          <w:szCs w:val="16"/>
          <w:color w:val="auto"/>
        </w:rPr>
        <w:t>In January 2023, the Office of the Public Counsel (OPC) filed an appeal with the Missouri Court of Appeals, Western District, challenging the financing order regarding the treatment of income tax deductions, carrying costs and discount rates related to the financing of the extraordinary fuel and purchased power costs incurred as part of the February 2021 winter weather event. In September 2023, the Missouri Court of Appeals, Western District, affirmed the November 2022 MPSC revised financing order. In October 2023, the Missouri Court of Appeals, Western District, rejected the OPC's request for rehearing. The OPC is permitted to file an appeal with the Supreme Court of the State of Missouri until mid-November 2023. A final nonappealable financing order is required prior to the issuance of securitized bonds.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FERC Proceedings</w:t>
      </w:r>
    </w:p>
    <w:p>
      <w:pPr>
        <w:spacing w:after="0" w:line="22"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In October of each year, Evergy Kansas Central and Evergy Metro post an updated TFR that includes projected transmission capital expenditures and operating costs for the following year. This rate is the most significant component in the retail rate calculation for Evergy Kansas Central's and Evergy Metro's annual request with the KCC to adjust retail prices to include updated transmission costs through the TDC.</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TFR Annual Update</w:t>
      </w:r>
    </w:p>
    <w:p>
      <w:pPr>
        <w:spacing w:after="0" w:line="20" w:lineRule="exact"/>
        <w:rPr>
          <w:sz w:val="20"/>
          <w:szCs w:val="20"/>
          <w:color w:val="auto"/>
        </w:rPr>
      </w:pPr>
    </w:p>
    <w:p>
      <w:pPr>
        <w:ind w:right="1100"/>
        <w:spacing w:after="0" w:line="253" w:lineRule="auto"/>
        <w:rPr>
          <w:sz w:val="20"/>
          <w:szCs w:val="20"/>
          <w:color w:val="auto"/>
        </w:rPr>
      </w:pPr>
      <w:r>
        <w:rPr>
          <w:rFonts w:ascii="Arial" w:cs="Arial" w:eastAsia="Arial" w:hAnsi="Arial"/>
          <w:sz w:val="20"/>
          <w:szCs w:val="20"/>
          <w:color w:val="auto"/>
        </w:rPr>
        <w:t>In the most recent two years, the updated TFR was expected to adjust Evergy Kansas Central's annual transmission revenues by approximately:</w:t>
      </w:r>
    </w:p>
    <w:p>
      <w:pPr>
        <w:spacing w:after="0" w:line="88"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$21.7 million decrease effective in March 2023;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$33.2 million increase effective in January 2022.</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See "Evergy Kansas Central TFR Formal Challenge" within this Note 4 for more information regarding the March 2023 adjustment.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TFR Formal Challenge</w:t>
      </w:r>
    </w:p>
    <w:p>
      <w:pPr>
        <w:spacing w:after="0" w:line="16"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In March 2022, certain Evergy Kansas Central TFR customers submitted a formal challenge regarding the implementation of Evergy Kansas Central's TFR, specifically with regards to how Evergy Kansas Central's capital structure was calculated as part of determining the Annual Transmission Revenue Requirement (ATRR). As part of this challenge, the customers requested that Evergy Kansas Central make refunds for over-collections in rate years 2018, 2019, 2020, 2021 and 2022 as a result of the calculation of its capital structure included in the TFR. Evergy Kansas Central disputed that any refunds for 2018 - 2022 were required because Evergy Kansas Central was following its approved TFR formula.</w:t>
      </w:r>
    </w:p>
    <w:p>
      <w:pPr>
        <w:spacing w:after="0" w:line="20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In December 2022, FERC issued an order upholding in part, and denying in part, the formal challenge of Evergy Kansas Central's TFR by certain customers. As a result of this order, Evergy and Evergy Kansas Central recorded a $32.8 million regulatory liability on their consolidated balance sheets as of December 31, 2022 for the estimated refund of TFR revenue over-collections related to the calculation of Evergy Kansas Central's capital structure for rate years 2018 - 2022. In March 2023, Evergy Kansas Central refiled its annual update to include the refund of the 2020, 2021 and 2022 over-collections as part of its 2023 TFR effective in March 2023. In February 2023, certain Evergy Kansas Central TFR customers submitted a formal complaint requesting the refund of over-collections related to the 2018 and 2019 rate years. A decision from FERC regarding this complaint is expected in 2023 or 2024.</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TFR Annual Update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 the most recent two years, the updated TFR was expected to adjust Evergy Metro's annual transmission revenues by approximately:</w:t>
      </w:r>
    </w:p>
    <w:p>
      <w:pPr>
        <w:spacing w:after="0" w:line="128" w:lineRule="exact"/>
        <w:rPr>
          <w:sz w:val="20"/>
          <w:szCs w:val="20"/>
          <w:color w:val="auto"/>
        </w:rPr>
      </w:pPr>
    </w:p>
    <w:p>
      <w:pPr>
        <w:ind w:left="640" w:hanging="308"/>
        <w:spacing w:after="0"/>
        <w:tabs>
          <w:tab w:leader="none" w:pos="640" w:val="left"/>
        </w:tabs>
        <w:numPr>
          <w:ilvl w:val="1"/>
          <w:numId w:val="6"/>
        </w:numPr>
        <w:rPr>
          <w:rFonts w:ascii="Arial" w:cs="Arial" w:eastAsia="Arial" w:hAnsi="Arial"/>
          <w:sz w:val="20"/>
          <w:szCs w:val="20"/>
          <w:color w:val="auto"/>
        </w:rPr>
      </w:pPr>
      <w:r>
        <w:rPr>
          <w:rFonts w:ascii="Arial" w:cs="Arial" w:eastAsia="Arial" w:hAnsi="Arial"/>
          <w:sz w:val="20"/>
          <w:szCs w:val="20"/>
          <w:color w:val="auto"/>
        </w:rPr>
        <w:t>$8.6 million increase effective in January 2023; and</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1"/>
          <w:numId w:val="6"/>
        </w:numPr>
        <w:rPr>
          <w:rFonts w:ascii="Arial" w:cs="Arial" w:eastAsia="Arial" w:hAnsi="Arial"/>
          <w:sz w:val="20"/>
          <w:szCs w:val="20"/>
          <w:color w:val="auto"/>
        </w:rPr>
      </w:pPr>
      <w:r>
        <w:rPr>
          <w:rFonts w:ascii="Arial" w:cs="Arial" w:eastAsia="Arial" w:hAnsi="Arial"/>
          <w:sz w:val="20"/>
          <w:szCs w:val="20"/>
          <w:color w:val="auto"/>
        </w:rPr>
        <w:t>$18.1 million increase effective in January 2022.</w:t>
      </w:r>
    </w:p>
    <w:p>
      <w:pPr>
        <w:spacing w:after="0" w:line="209" w:lineRule="exact"/>
        <w:rPr>
          <w:rFonts w:ascii="Arial" w:cs="Arial" w:eastAsia="Arial" w:hAnsi="Arial"/>
          <w:sz w:val="20"/>
          <w:szCs w:val="20"/>
          <w:color w:val="auto"/>
        </w:rPr>
      </w:pPr>
    </w:p>
    <w:p>
      <w:pPr>
        <w:ind w:left="200" w:hanging="192"/>
        <w:spacing w:after="0"/>
        <w:tabs>
          <w:tab w:leader="none" w:pos="2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GOODWILL</w:t>
      </w:r>
    </w:p>
    <w:p>
      <w:pPr>
        <w:spacing w:after="0" w:line="127"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GAAP requires goodwill to be tested for impairment annually and when an event occurs indicating the possibility that an impairment exists. Evergy's impairment test for the $2,336.6 million of goodwill that was recorded as a result of the Great Plains Energy and Evergy Kansas Central merger was conducted as of May 1, 2023.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 as management assesses financial performance and allocates resources on a consolidated basis. The determination of fair value of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 depreciation and amortization and market prices of the stock of peer companies. The results of the two techniques were evaluated and weighted to determine a point within the range that management considered representative of fair value for the reporting unit. The fair value of the reporting unit exceeded the carrying amount, including goodwill. As a result, there was no impairment of goodwill.</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PENSION PLANS AND POST-RETIREMENT BENEFITS</w:t>
      </w:r>
    </w:p>
    <w:p>
      <w:pPr>
        <w:spacing w:after="0" w:line="127" w:lineRule="exact"/>
        <w:rPr>
          <w:sz w:val="20"/>
          <w:szCs w:val="20"/>
          <w:color w:val="auto"/>
        </w:rPr>
      </w:pPr>
    </w:p>
    <w:p>
      <w:pPr>
        <w:ind w:right="120"/>
        <w:spacing w:after="0" w:line="251" w:lineRule="auto"/>
        <w:rPr>
          <w:sz w:val="20"/>
          <w:szCs w:val="20"/>
          <w:color w:val="auto"/>
        </w:rPr>
      </w:pPr>
      <w:r>
        <w:rPr>
          <w:rFonts w:ascii="Arial" w:cs="Arial" w:eastAsia="Arial" w:hAnsi="Arial"/>
          <w:sz w:val="20"/>
          <w:szCs w:val="20"/>
          <w:color w:val="auto"/>
        </w:rPr>
        <w:t>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 Evergy is also responsible for its indirect 94% ownership share of Wolf Creek Generating Station's (Wolf Creek) defined benefit plans, consisting of Evergy Kansas South's and Evergy Metro's respective 47% ownership shares.</w:t>
      </w:r>
    </w:p>
    <w:p>
      <w:pPr>
        <w:spacing w:after="0" w:line="201" w:lineRule="exact"/>
        <w:rPr>
          <w:sz w:val="20"/>
          <w:szCs w:val="20"/>
          <w:color w:val="auto"/>
        </w:rPr>
      </w:pPr>
    </w:p>
    <w:p>
      <w:pPr>
        <w:ind w:right="60"/>
        <w:spacing w:after="0" w:line="286" w:lineRule="auto"/>
        <w:rPr>
          <w:sz w:val="20"/>
          <w:szCs w:val="20"/>
          <w:color w:val="auto"/>
        </w:rPr>
      </w:pPr>
      <w:r>
        <w:rPr>
          <w:rFonts w:ascii="Arial" w:cs="Arial" w:eastAsia="Arial" w:hAnsi="Arial"/>
          <w:sz w:val="18"/>
          <w:szCs w:val="18"/>
          <w:color w:val="auto"/>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 2018. For the plans covering Evergy Metro's employees, the benefits for union employees hired beginning in 2014 are derived from a cash balance account formula and the plans were closed to future non-union employees in 2014.</w:t>
      </w:r>
    </w:p>
    <w:p>
      <w:pPr>
        <w:spacing w:after="0" w:line="171"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Evergy and its subsidiaries also provide certain post-retirement health care and life insurance benefits for substantially all retired employees of Evergy Kansas Central and Evergy Metro and their respective shares of Wolf Creek's post-retirement benefit plans.</w:t>
      </w:r>
    </w:p>
    <w:p>
      <w:pPr>
        <w:spacing w:after="0" w:line="166" w:lineRule="exact"/>
        <w:rPr>
          <w:sz w:val="20"/>
          <w:szCs w:val="20"/>
          <w:color w:val="auto"/>
        </w:rPr>
      </w:pPr>
    </w:p>
    <w:p>
      <w:pPr>
        <w:ind w:right="220"/>
        <w:spacing w:after="0" w:line="255" w:lineRule="auto"/>
        <w:rPr>
          <w:sz w:val="20"/>
          <w:szCs w:val="20"/>
          <w:color w:val="auto"/>
        </w:rPr>
      </w:pPr>
      <w:r>
        <w:rPr>
          <w:rFonts w:ascii="Arial" w:cs="Arial" w:eastAsia="Arial" w:hAnsi="Arial"/>
          <w:sz w:val="20"/>
          <w:szCs w:val="20"/>
          <w:color w:val="auto"/>
        </w:rPr>
        <w:t>The Evergy Companies record pension and post-retirement expense in accordance with rate orders from the KCC and MPSC that allow the difference between pension and post-retirement costs under GAAP and costs for ratemaking to be recognized as a regulatory asset or liability. This difference between financial and regulatory accounting methods is due to timing and will be eliminated over the life of the plans.</w:t>
      </w:r>
    </w:p>
    <w:p>
      <w:pPr>
        <w:spacing w:after="0" w:line="184"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For the three months ended September 30, 2023, Evergy, Evergy Kansas Central and Evergy Metro recorded pension settlement charges (credits) of ($1.7) million, $0.4 million and ($2.1) million, respectively. Year to date September 30, 2023, Evergy, Evergy Kansas Central and Evergy Metro recorded pension settlement charges (credits) of ($19.6) million, $1.0 million and ($20.6) million, respectively. These settlement charges were the result of accelerated distributions as a result of employee retirements for certain plan participants. Evergy, Evergy Kansas Central and Evergy Metro deferred substantially all of the charges to regulatory assets or regulatory liabilities and expect to recover these amounts over future periods pursuant to regulatory agreements. For the three months ended and year to date September 30, 2022, Evergy, Evergy Kansas Central and Evergy Metro recorded no pension settlement charges.</w:t>
      </w:r>
    </w:p>
    <w:p>
      <w:pPr>
        <w:spacing w:after="0" w:line="162" w:lineRule="exact"/>
        <w:rPr>
          <w:sz w:val="20"/>
          <w:szCs w:val="20"/>
          <w:color w:val="auto"/>
        </w:rPr>
      </w:pPr>
    </w:p>
    <w:p>
      <w:pPr>
        <w:ind w:right="160"/>
        <w:spacing w:after="0" w:line="274" w:lineRule="auto"/>
        <w:rPr>
          <w:sz w:val="20"/>
          <w:szCs w:val="20"/>
          <w:color w:val="auto"/>
        </w:rPr>
      </w:pPr>
      <w:r>
        <w:rPr>
          <w:rFonts w:ascii="Arial" w:cs="Arial" w:eastAsia="Arial" w:hAnsi="Arial"/>
          <w:sz w:val="20"/>
          <w:szCs w:val="20"/>
          <w:color w:val="auto"/>
        </w:rPr>
        <w:t>The following tables provide the components of net periodic benefit costs prior to the effects of capitalization and sharing with joint owners of power plants.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Pension Benefits</w:t>
            </w: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4"/>
          </w:tcPr>
          <w:p>
            <w:pPr>
              <w:jc w:val="center"/>
              <w:ind w:left="250"/>
              <w:spacing w:after="0"/>
              <w:rPr>
                <w:sz w:val="20"/>
                <w:szCs w:val="20"/>
                <w:color w:val="auto"/>
              </w:rPr>
            </w:pPr>
            <w:r>
              <w:rPr>
                <w:rFonts w:ascii="Arial" w:cs="Arial" w:eastAsia="Arial" w:hAnsi="Arial"/>
                <w:sz w:val="18"/>
                <w:szCs w:val="18"/>
                <w:b w:val="1"/>
                <w:bCs w:val="1"/>
                <w:color w:val="auto"/>
                <w:w w:val="89"/>
              </w:rPr>
              <w:t>Post-Retirement Benefits</w:t>
            </w:r>
          </w:p>
        </w:tc>
        <w:tc>
          <w:tcPr>
            <w:tcW w:w="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center"/>
              <w:ind w:right="210"/>
              <w:spacing w:after="0" w:line="189" w:lineRule="exact"/>
              <w:rPr>
                <w:sz w:val="20"/>
                <w:szCs w:val="20"/>
                <w:color w:val="auto"/>
              </w:rPr>
            </w:pPr>
            <w:r>
              <w:rPr>
                <w:rFonts w:ascii="Arial" w:cs="Arial" w:eastAsia="Arial" w:hAnsi="Arial"/>
                <w:sz w:val="18"/>
                <w:szCs w:val="18"/>
                <w:b w:val="1"/>
                <w:bCs w:val="1"/>
                <w:color w:val="auto"/>
                <w:w w:val="93"/>
              </w:rPr>
              <w:t>Evergy</w:t>
            </w:r>
          </w:p>
        </w:tc>
        <w:tc>
          <w:tcPr>
            <w:tcW w:w="220" w:type="dxa"/>
            <w:vAlign w:val="bottom"/>
          </w:tcPr>
          <w:p>
            <w:pPr>
              <w:spacing w:after="0"/>
              <w:rPr>
                <w:sz w:val="16"/>
                <w:szCs w:val="16"/>
                <w:color w:val="auto"/>
              </w:rPr>
            </w:pPr>
          </w:p>
        </w:tc>
        <w:tc>
          <w:tcPr>
            <w:tcW w:w="980" w:type="dxa"/>
            <w:vAlign w:val="bottom"/>
            <w:vMerge w:val="restart"/>
          </w:tcPr>
          <w:p>
            <w:pPr>
              <w:jc w:val="right"/>
              <w:ind w:right="271"/>
              <w:spacing w:after="0"/>
              <w:rPr>
                <w:sz w:val="20"/>
                <w:szCs w:val="20"/>
                <w:color w:val="auto"/>
              </w:rPr>
            </w:pPr>
            <w:r>
              <w:rPr>
                <w:rFonts w:ascii="Arial" w:cs="Arial" w:eastAsia="Arial" w:hAnsi="Arial"/>
                <w:sz w:val="18"/>
                <w:szCs w:val="18"/>
                <w:b w:val="1"/>
                <w:bCs w:val="1"/>
                <w:color w:val="auto"/>
                <w:w w:val="99"/>
              </w:rPr>
              <w:t>Evergy</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center"/>
              <w:ind w:right="150"/>
              <w:spacing w:after="0" w:line="189" w:lineRule="exact"/>
              <w:rPr>
                <w:sz w:val="20"/>
                <w:szCs w:val="20"/>
                <w:color w:val="auto"/>
              </w:rPr>
            </w:pPr>
            <w:r>
              <w:rPr>
                <w:rFonts w:ascii="Arial" w:cs="Arial" w:eastAsia="Arial" w:hAnsi="Arial"/>
                <w:sz w:val="18"/>
                <w:szCs w:val="18"/>
                <w:b w:val="1"/>
                <w:bCs w:val="1"/>
                <w:color w:val="auto"/>
                <w:w w:val="89"/>
              </w:rPr>
              <w:t>Evergy</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 September 30, 2023</w:t>
            </w:r>
          </w:p>
        </w:tc>
        <w:tc>
          <w:tcPr>
            <w:tcW w:w="180" w:type="dxa"/>
            <w:vAlign w:val="bottom"/>
          </w:tcPr>
          <w:p>
            <w:pPr>
              <w:spacing w:after="0"/>
              <w:rPr>
                <w:sz w:val="15"/>
                <w:szCs w:val="15"/>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Evergy</w:t>
            </w:r>
          </w:p>
        </w:tc>
        <w:tc>
          <w:tcPr>
            <w:tcW w:w="300" w:type="dxa"/>
            <w:vAlign w:val="bottom"/>
          </w:tcPr>
          <w:p>
            <w:pPr>
              <w:spacing w:after="0"/>
              <w:rPr>
                <w:sz w:val="15"/>
                <w:szCs w:val="15"/>
                <w:color w:val="auto"/>
              </w:rPr>
            </w:pPr>
          </w:p>
        </w:tc>
        <w:tc>
          <w:tcPr>
            <w:tcW w:w="1020" w:type="dxa"/>
            <w:vAlign w:val="bottom"/>
          </w:tcPr>
          <w:p>
            <w:pPr>
              <w:jc w:val="center"/>
              <w:ind w:right="210"/>
              <w:spacing w:after="0" w:line="181" w:lineRule="exact"/>
              <w:rPr>
                <w:sz w:val="20"/>
                <w:szCs w:val="20"/>
                <w:color w:val="auto"/>
              </w:rPr>
            </w:pPr>
            <w:r>
              <w:rPr>
                <w:rFonts w:ascii="Arial" w:cs="Arial" w:eastAsia="Arial" w:hAnsi="Arial"/>
                <w:sz w:val="18"/>
                <w:szCs w:val="18"/>
                <w:b w:val="1"/>
                <w:bCs w:val="1"/>
                <w:color w:val="auto"/>
                <w:w w:val="87"/>
              </w:rPr>
              <w:t>Kansas</w:t>
            </w: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5"/>
                <w:szCs w:val="15"/>
                <w:color w:val="auto"/>
              </w:rPr>
            </w:pPr>
          </w:p>
        </w:tc>
        <w:tc>
          <w:tcPr>
            <w:tcW w:w="98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87"/>
              </w:rPr>
              <w:t>Kansas</w:t>
            </w:r>
          </w:p>
        </w:tc>
        <w:tc>
          <w:tcPr>
            <w:tcW w:w="11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2"/>
              </w:rPr>
              <w:t>Evergy Metro</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6"/>
              </w:rPr>
              <w:t>Central</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Metro</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Central</w:t>
            </w:r>
          </w:p>
        </w:tc>
        <w:tc>
          <w:tcPr>
            <w:tcW w:w="11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3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gain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charges (credits)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39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Net periodic benefit costs before regulatory</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Regulatory adjustment</w:t>
            </w: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3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Intercompany allocations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periodic benefit costs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7.4</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3"/>
          </w:tcPr>
          <w:p>
            <w:pPr>
              <w:jc w:val="center"/>
              <w:ind w:right="50"/>
              <w:spacing w:after="0"/>
              <w:rPr>
                <w:sz w:val="20"/>
                <w:szCs w:val="20"/>
                <w:color w:val="auto"/>
              </w:rPr>
            </w:pPr>
            <w:r>
              <w:rPr>
                <w:rFonts w:ascii="Arial" w:cs="Arial" w:eastAsia="Arial" w:hAnsi="Arial"/>
                <w:sz w:val="18"/>
                <w:szCs w:val="18"/>
                <w:b w:val="1"/>
                <w:bCs w:val="1"/>
                <w:color w:val="auto"/>
                <w:w w:val="86"/>
              </w:rPr>
              <w:t>Pension Benefits</w:t>
            </w:r>
          </w:p>
        </w:tc>
        <w:tc>
          <w:tcPr>
            <w:tcW w:w="9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320" w:type="dxa"/>
            <w:vAlign w:val="bottom"/>
            <w:tcBorders>
              <w:top w:val="single" w:sz="8" w:color="auto"/>
            </w:tcBorders>
            <w:gridSpan w:val="5"/>
          </w:tcPr>
          <w:p>
            <w:pPr>
              <w:jc w:val="right"/>
              <w:ind w:right="710"/>
              <w:spacing w:after="0"/>
              <w:rPr>
                <w:sz w:val="20"/>
                <w:szCs w:val="20"/>
                <w:color w:val="auto"/>
              </w:rPr>
            </w:pPr>
            <w:r>
              <w:rPr>
                <w:rFonts w:ascii="Arial" w:cs="Arial" w:eastAsia="Arial" w:hAnsi="Arial"/>
                <w:sz w:val="18"/>
                <w:szCs w:val="18"/>
                <w:b w:val="1"/>
                <w:bCs w:val="1"/>
                <w:color w:val="auto"/>
              </w:rPr>
              <w:t>Post-Retirement Benefits</w:t>
            </w: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5"/>
                <w:szCs w:val="15"/>
                <w:color w:val="auto"/>
              </w:rPr>
            </w:pPr>
          </w:p>
        </w:tc>
        <w:tc>
          <w:tcPr>
            <w:tcW w:w="98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Evergy</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93"/>
              </w:rPr>
              <w:t>Evergy</w:t>
            </w:r>
          </w:p>
        </w:tc>
        <w:tc>
          <w:tcPr>
            <w:tcW w:w="360" w:type="dxa"/>
            <w:vAlign w:val="bottom"/>
          </w:tcPr>
          <w:p>
            <w:pPr>
              <w:spacing w:after="0"/>
              <w:rPr>
                <w:sz w:val="15"/>
                <w:szCs w:val="15"/>
                <w:color w:val="auto"/>
              </w:rPr>
            </w:pPr>
          </w:p>
        </w:tc>
        <w:tc>
          <w:tcPr>
            <w:tcW w:w="8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86"/>
              </w:rPr>
              <w:t>Evergy</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7"/>
              </w:rPr>
              <w:t>Kansas</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7"/>
              </w:rPr>
              <w:t>Kansas</w:t>
            </w:r>
          </w:p>
        </w:tc>
        <w:tc>
          <w:tcPr>
            <w:tcW w:w="3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 2023</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Evergy</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Central</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Metro</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Evergy</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Central</w:t>
            </w: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Metro</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3"/>
          </w:tcPr>
          <w:p>
            <w:pPr>
              <w:jc w:val="right"/>
              <w:ind w:right="790"/>
              <w:spacing w:after="0"/>
              <w:rPr>
                <w:sz w:val="20"/>
                <w:szCs w:val="20"/>
                <w:color w:val="auto"/>
              </w:rPr>
            </w:pPr>
            <w:r>
              <w:rPr>
                <w:rFonts w:ascii="Arial" w:cs="Arial" w:eastAsia="Arial" w:hAnsi="Arial"/>
                <w:sz w:val="16"/>
                <w:szCs w:val="16"/>
                <w:color w:val="auto"/>
              </w:rPr>
              <w:t>(millions)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68.3</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32.7</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gain</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charges (credits)</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4060" w:type="dxa"/>
            <w:vAlign w:val="bottom"/>
            <w:gridSpan w:val="3"/>
            <w:shd w:val="clear" w:color="auto" w:fill="CCEEFF"/>
          </w:tcPr>
          <w:p>
            <w:pPr>
              <w:ind w:left="20"/>
              <w:spacing w:after="0" w:line="156" w:lineRule="exact"/>
              <w:rPr>
                <w:sz w:val="20"/>
                <w:szCs w:val="20"/>
                <w:color w:val="auto"/>
              </w:rPr>
            </w:pPr>
            <w:r>
              <w:rPr>
                <w:rFonts w:ascii="Arial" w:cs="Arial" w:eastAsia="Arial" w:hAnsi="Arial"/>
                <w:sz w:val="18"/>
                <w:szCs w:val="18"/>
                <w:color w:val="auto"/>
                <w:w w:val="92"/>
              </w:rPr>
              <w:t>Net periodic benefit costs before regulatory adjustment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intercompany allocations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Regulatory adjustment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69.9</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Intercompany allocations</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periodic benefit costs (income)</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34.6</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345"/>
        </w:trPr>
        <w:tc>
          <w:tcPr>
            <w:tcW w:w="3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6"/>
              </w:rPr>
              <w:t>Pension Benefits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9"/>
              </w:rPr>
              <w:t>Post-Retirement Benefits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center"/>
              <w:ind w:right="250"/>
              <w:spacing w:after="0" w:line="181" w:lineRule="exact"/>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5"/>
                <w:szCs w:val="15"/>
                <w:color w:val="auto"/>
              </w:rPr>
            </w:pPr>
          </w:p>
        </w:tc>
        <w:tc>
          <w:tcPr>
            <w:tcW w:w="98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w w:val="93"/>
              </w:rPr>
              <w:t>Evergy</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70"/>
              <w:spacing w:after="0" w:line="181" w:lineRule="exact"/>
              <w:rPr>
                <w:sz w:val="20"/>
                <w:szCs w:val="20"/>
                <w:color w:val="auto"/>
              </w:rPr>
            </w:pPr>
            <w:r>
              <w:rPr>
                <w:rFonts w:ascii="Arial" w:cs="Arial" w:eastAsia="Arial" w:hAnsi="Arial"/>
                <w:sz w:val="18"/>
                <w:szCs w:val="18"/>
                <w:b w:val="1"/>
                <w:bCs w:val="1"/>
                <w:color w:val="auto"/>
                <w:w w:val="93"/>
              </w:rPr>
              <w:t>Evergy</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center"/>
              <w:ind w:right="270"/>
              <w:spacing w:after="0" w:line="176" w:lineRule="exact"/>
              <w:rPr>
                <w:sz w:val="20"/>
                <w:szCs w:val="20"/>
                <w:color w:val="auto"/>
              </w:rPr>
            </w:pPr>
            <w:r>
              <w:rPr>
                <w:rFonts w:ascii="Arial" w:cs="Arial" w:eastAsia="Arial" w:hAnsi="Arial"/>
                <w:sz w:val="18"/>
                <w:szCs w:val="18"/>
                <w:b w:val="1"/>
                <w:bCs w:val="1"/>
                <w:color w:val="auto"/>
                <w:w w:val="87"/>
              </w:rPr>
              <w:t>Kansas</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7"/>
              </w:rPr>
              <w:t>Kansas</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September 30, 2022</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Evergy</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3"/>
              </w:rPr>
              <w:t>Central</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Metro</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Evergy</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6"/>
              </w:rPr>
              <w:t>Central</w:t>
            </w: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2"/>
              </w:rPr>
              <w:t>Evergy Metro</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640"/>
              <w:spacing w:after="0"/>
              <w:rPr>
                <w:sz w:val="20"/>
                <w:szCs w:val="20"/>
                <w:color w:val="auto"/>
              </w:rPr>
            </w:pPr>
            <w:r>
              <w:rPr>
                <w:rFonts w:ascii="Arial" w:cs="Arial" w:eastAsia="Arial" w:hAnsi="Arial"/>
                <w:sz w:val="16"/>
                <w:szCs w:val="16"/>
                <w:color w:val="auto"/>
                <w:w w:val="96"/>
              </w:rPr>
              <w:t>(millions)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19.9</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(gain)/loss</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6.4</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9.7</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56"/>
        </w:trPr>
        <w:tc>
          <w:tcPr>
            <w:tcW w:w="3940" w:type="dxa"/>
            <w:vAlign w:val="bottom"/>
          </w:tcPr>
          <w:p>
            <w:pPr>
              <w:ind w:left="20"/>
              <w:spacing w:after="0" w:line="156" w:lineRule="exact"/>
              <w:rPr>
                <w:sz w:val="20"/>
                <w:szCs w:val="20"/>
                <w:color w:val="auto"/>
              </w:rPr>
            </w:pPr>
            <w:r>
              <w:rPr>
                <w:rFonts w:ascii="Arial" w:cs="Arial" w:eastAsia="Arial" w:hAnsi="Arial"/>
                <w:sz w:val="18"/>
                <w:szCs w:val="18"/>
                <w:color w:val="auto"/>
              </w:rPr>
              <w:t>Net periodic benefit costs before regulatory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22.9</w:t>
            </w:r>
          </w:p>
        </w:tc>
        <w:tc>
          <w:tcPr>
            <w:tcW w:w="28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17.7</w:t>
            </w:r>
          </w:p>
        </w:tc>
        <w:tc>
          <w:tcPr>
            <w:tcW w:w="30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adjustment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97"/>
              </w:rPr>
              <w:t>(0.6)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Intercompany allocations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51"/>
              <w:spacing w:after="0"/>
              <w:rPr>
                <w:sz w:val="20"/>
                <w:szCs w:val="20"/>
                <w:color w:val="auto"/>
              </w:rPr>
            </w:pPr>
            <w:r>
              <w:rPr>
                <w:rFonts w:ascii="Arial" w:cs="Arial" w:eastAsia="Arial" w:hAnsi="Arial"/>
                <w:sz w:val="18"/>
                <w:szCs w:val="18"/>
                <w:color w:val="auto"/>
                <w:w w:val="97"/>
              </w:rPr>
              <w:t>(5.1)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costs (income)</w:t>
            </w:r>
          </w:p>
        </w:tc>
        <w:tc>
          <w:tcPr>
            <w:tcW w:w="1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331"/>
        </w:trPr>
        <w:tc>
          <w:tcPr>
            <w:tcW w:w="3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Pension Benefits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9"/>
              </w:rPr>
              <w:t>Post-Retirement Benefits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center"/>
              <w:ind w:right="210"/>
              <w:spacing w:after="0" w:line="189" w:lineRule="exact"/>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6"/>
                <w:szCs w:val="16"/>
                <w:color w:val="auto"/>
              </w:rPr>
            </w:pPr>
          </w:p>
        </w:tc>
        <w:tc>
          <w:tcPr>
            <w:tcW w:w="980" w:type="dxa"/>
            <w:vAlign w:val="bottom"/>
            <w:vMerge w:val="restart"/>
          </w:tcPr>
          <w:p>
            <w:pPr>
              <w:jc w:val="right"/>
              <w:ind w:right="271"/>
              <w:spacing w:after="0"/>
              <w:rPr>
                <w:sz w:val="20"/>
                <w:szCs w:val="20"/>
                <w:color w:val="auto"/>
              </w:rPr>
            </w:pPr>
            <w:r>
              <w:rPr>
                <w:rFonts w:ascii="Arial" w:cs="Arial" w:eastAsia="Arial" w:hAnsi="Arial"/>
                <w:sz w:val="18"/>
                <w:szCs w:val="18"/>
                <w:b w:val="1"/>
                <w:bCs w:val="1"/>
                <w:color w:val="auto"/>
                <w:w w:val="99"/>
              </w:rPr>
              <w:t>Evergy</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center"/>
              <w:ind w:right="170"/>
              <w:spacing w:after="0" w:line="189" w:lineRule="exact"/>
              <w:rPr>
                <w:sz w:val="20"/>
                <w:szCs w:val="20"/>
                <w:color w:val="auto"/>
              </w:rPr>
            </w:pPr>
            <w:r>
              <w:rPr>
                <w:rFonts w:ascii="Arial" w:cs="Arial" w:eastAsia="Arial" w:hAnsi="Arial"/>
                <w:sz w:val="18"/>
                <w:szCs w:val="18"/>
                <w:b w:val="1"/>
                <w:bCs w:val="1"/>
                <w:color w:val="auto"/>
                <w:w w:val="93"/>
              </w:rPr>
              <w:t>Evergy</w:t>
            </w: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Year to Date September 30, 2022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3"/>
              </w:rPr>
              <w:t>Evergy</w:t>
            </w:r>
          </w:p>
        </w:tc>
        <w:tc>
          <w:tcPr>
            <w:tcW w:w="280" w:type="dxa"/>
            <w:vAlign w:val="bottom"/>
          </w:tcPr>
          <w:p>
            <w:pPr>
              <w:spacing w:after="0"/>
              <w:rPr>
                <w:sz w:val="15"/>
                <w:szCs w:val="15"/>
                <w:color w:val="auto"/>
              </w:rPr>
            </w:pPr>
          </w:p>
        </w:tc>
        <w:tc>
          <w:tcPr>
            <w:tcW w:w="1000" w:type="dxa"/>
            <w:vAlign w:val="bottom"/>
          </w:tcPr>
          <w:p>
            <w:pPr>
              <w:jc w:val="center"/>
              <w:ind w:right="230"/>
              <w:spacing w:after="0" w:line="181" w:lineRule="exact"/>
              <w:rPr>
                <w:sz w:val="20"/>
                <w:szCs w:val="20"/>
                <w:color w:val="auto"/>
              </w:rPr>
            </w:pPr>
            <w:r>
              <w:rPr>
                <w:rFonts w:ascii="Arial" w:cs="Arial" w:eastAsia="Arial" w:hAnsi="Arial"/>
                <w:sz w:val="18"/>
                <w:szCs w:val="18"/>
                <w:b w:val="1"/>
                <w:bCs w:val="1"/>
                <w:color w:val="auto"/>
                <w:w w:val="87"/>
              </w:rPr>
              <w:t>Kansas</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5"/>
                <w:szCs w:val="15"/>
                <w:color w:val="auto"/>
              </w:rPr>
            </w:pPr>
          </w:p>
        </w:tc>
        <w:tc>
          <w:tcPr>
            <w:tcW w:w="980" w:type="dxa"/>
            <w:vAlign w:val="bottom"/>
          </w:tcPr>
          <w:p>
            <w:pPr>
              <w:jc w:val="center"/>
              <w:ind w:right="170"/>
              <w:spacing w:after="0" w:line="181" w:lineRule="exact"/>
              <w:rPr>
                <w:sz w:val="20"/>
                <w:szCs w:val="20"/>
                <w:color w:val="auto"/>
              </w:rPr>
            </w:pPr>
            <w:r>
              <w:rPr>
                <w:rFonts w:ascii="Arial" w:cs="Arial" w:eastAsia="Arial" w:hAnsi="Arial"/>
                <w:sz w:val="18"/>
                <w:szCs w:val="18"/>
                <w:b w:val="1"/>
                <w:bCs w:val="1"/>
                <w:color w:val="auto"/>
                <w:w w:val="87"/>
              </w:rPr>
              <w:t>Kansas</w:t>
            </w:r>
          </w:p>
        </w:tc>
        <w:tc>
          <w:tcPr>
            <w:tcW w:w="11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2"/>
              </w:rPr>
              <w:t>Evergy Metro</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3"/>
              </w:rPr>
              <w:t>Central</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Metro</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6"/>
              </w:rPr>
              <w:t>Central</w:t>
            </w:r>
          </w:p>
        </w:tc>
        <w:tc>
          <w:tcPr>
            <w:tcW w:w="11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640"/>
              <w:spacing w:after="0"/>
              <w:rPr>
                <w:sz w:val="20"/>
                <w:szCs w:val="20"/>
                <w:color w:val="auto"/>
              </w:rPr>
            </w:pPr>
            <w:r>
              <w:rPr>
                <w:rFonts w:ascii="Arial" w:cs="Arial" w:eastAsia="Arial" w:hAnsi="Arial"/>
                <w:sz w:val="16"/>
                <w:szCs w:val="16"/>
                <w:color w:val="auto"/>
                <w:w w:val="96"/>
              </w:rPr>
              <w:t>(millions)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59.8</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91"/>
              </w:rPr>
              <w:t>36.7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59.5</w:t>
            </w:r>
          </w:p>
        </w:tc>
        <w:tc>
          <w:tcPr>
            <w:tcW w:w="2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19"/>
                <w:szCs w:val="19"/>
                <w:color w:val="auto"/>
              </w:rPr>
            </w:pPr>
          </w:p>
        </w:tc>
        <w:tc>
          <w:tcPr>
            <w:tcW w:w="980" w:type="dxa"/>
            <w:vAlign w:val="bottom"/>
          </w:tcPr>
          <w:p>
            <w:pPr>
              <w:jc w:val="center"/>
              <w:ind w:left="251"/>
              <w:spacing w:after="0"/>
              <w:rPr>
                <w:sz w:val="20"/>
                <w:szCs w:val="20"/>
                <w:color w:val="auto"/>
              </w:rPr>
            </w:pPr>
            <w:r>
              <w:rPr>
                <w:rFonts w:ascii="Arial" w:cs="Arial" w:eastAsia="Arial" w:hAnsi="Arial"/>
                <w:sz w:val="18"/>
                <w:szCs w:val="18"/>
                <w:color w:val="auto"/>
                <w:w w:val="91"/>
              </w:rPr>
              <w:t>29.8</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(42.3)</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980" w:type="dxa"/>
            <w:vAlign w:val="bottom"/>
          </w:tcPr>
          <w:p>
            <w:pPr>
              <w:ind w:lef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(gain)/loss</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26.1</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19.2</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251"/>
              <w:spacing w:after="0"/>
              <w:rPr>
                <w:sz w:val="20"/>
                <w:szCs w:val="20"/>
                <w:color w:val="auto"/>
              </w:rPr>
            </w:pPr>
            <w:r>
              <w:rPr>
                <w:rFonts w:ascii="Arial" w:cs="Arial" w:eastAsia="Arial" w:hAnsi="Arial"/>
                <w:sz w:val="18"/>
                <w:szCs w:val="18"/>
                <w:color w:val="auto"/>
                <w:w w:val="91"/>
              </w:rPr>
              <w:t>29.0</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68"/>
        </w:trPr>
        <w:tc>
          <w:tcPr>
            <w:tcW w:w="3940" w:type="dxa"/>
            <w:vAlign w:val="bottom"/>
          </w:tcPr>
          <w:p>
            <w:pPr>
              <w:ind w:left="20"/>
              <w:spacing w:after="0" w:line="168" w:lineRule="exact"/>
              <w:rPr>
                <w:sz w:val="20"/>
                <w:szCs w:val="20"/>
                <w:color w:val="auto"/>
              </w:rPr>
            </w:pPr>
            <w:r>
              <w:rPr>
                <w:rFonts w:ascii="Arial" w:cs="Arial" w:eastAsia="Arial" w:hAnsi="Arial"/>
                <w:sz w:val="18"/>
                <w:szCs w:val="18"/>
                <w:color w:val="auto"/>
              </w:rPr>
              <w:t>Net periodic benefit costs before regulatory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68.8</w:t>
            </w:r>
          </w:p>
        </w:tc>
        <w:tc>
          <w:tcPr>
            <w:tcW w:w="28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20"/>
                <w:szCs w:val="20"/>
                <w:color w:val="auto"/>
              </w:rPr>
            </w:pPr>
          </w:p>
        </w:tc>
        <w:tc>
          <w:tcPr>
            <w:tcW w:w="980" w:type="dxa"/>
            <w:vAlign w:val="bottom"/>
          </w:tcPr>
          <w:p>
            <w:pPr>
              <w:jc w:val="center"/>
              <w:ind w:left="251"/>
              <w:spacing w:after="0"/>
              <w:rPr>
                <w:sz w:val="20"/>
                <w:szCs w:val="20"/>
                <w:color w:val="auto"/>
              </w:rPr>
            </w:pPr>
            <w:r>
              <w:rPr>
                <w:rFonts w:ascii="Arial" w:cs="Arial" w:eastAsia="Arial" w:hAnsi="Arial"/>
                <w:sz w:val="18"/>
                <w:szCs w:val="18"/>
                <w:color w:val="auto"/>
                <w:w w:val="91"/>
              </w:rPr>
              <w:t>53.2</w:t>
            </w:r>
          </w:p>
        </w:tc>
        <w:tc>
          <w:tcPr>
            <w:tcW w:w="30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adjustment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39.0</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91"/>
              </w:rPr>
              <w:t>11.6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Intercompany allocations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costs (income)</w:t>
            </w:r>
          </w:p>
        </w:tc>
        <w:tc>
          <w:tcPr>
            <w:tcW w:w="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107.8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44.4</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center"/>
              <w:ind w:left="251"/>
              <w:spacing w:after="0"/>
              <w:rPr>
                <w:sz w:val="20"/>
                <w:szCs w:val="20"/>
                <w:color w:val="auto"/>
              </w:rPr>
            </w:pPr>
            <w:r>
              <w:rPr>
                <w:rFonts w:ascii="Arial" w:cs="Arial" w:eastAsia="Arial" w:hAnsi="Arial"/>
                <w:sz w:val="18"/>
                <w:szCs w:val="18"/>
                <w:color w:val="auto"/>
                <w:w w:val="91"/>
              </w:rPr>
              <w:t>51.3</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120"/>
        <w:spacing w:after="0" w:line="274" w:lineRule="auto"/>
        <w:rPr>
          <w:sz w:val="20"/>
          <w:szCs w:val="20"/>
          <w:color w:val="auto"/>
        </w:rPr>
      </w:pPr>
      <w:r>
        <w:rPr>
          <w:rFonts w:ascii="Arial" w:cs="Arial" w:eastAsia="Arial" w:hAnsi="Arial"/>
          <w:sz w:val="20"/>
          <w:szCs w:val="20"/>
          <w:color w:val="auto"/>
        </w:rPr>
        <w:t>The components of net periodic benefit costs other than the service cost component are included in other expense on the Evergy Companies' consolidated statements of income and comprehensive income.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480"/>
        <w:spacing w:after="0" w:line="257" w:lineRule="auto"/>
        <w:rPr>
          <w:sz w:val="20"/>
          <w:szCs w:val="20"/>
          <w:color w:val="auto"/>
        </w:rPr>
      </w:pPr>
      <w:r>
        <w:rPr>
          <w:rFonts w:ascii="Arial" w:cs="Arial" w:eastAsia="Arial" w:hAnsi="Arial"/>
          <w:sz w:val="20"/>
          <w:szCs w:val="20"/>
          <w:color w:val="auto"/>
        </w:rPr>
        <w:t>Year to date September 30, 2023, Evergy, Evergy Kansas Central and Evergy Metro made pension contributions of $27.0 million, $17.7 million and $9.3 million, respectively. Evergy, Evergy Kansas Central and Evergy Metro do not expect to make additional pension contributions in 2023.</w:t>
      </w:r>
    </w:p>
    <w:p>
      <w:pPr>
        <w:spacing w:after="0" w:line="193" w:lineRule="exact"/>
        <w:rPr>
          <w:sz w:val="20"/>
          <w:szCs w:val="20"/>
          <w:color w:val="auto"/>
        </w:rPr>
      </w:pPr>
    </w:p>
    <w:p>
      <w:pPr>
        <w:ind w:right="560"/>
        <w:spacing w:after="0" w:line="299" w:lineRule="auto"/>
        <w:rPr>
          <w:sz w:val="20"/>
          <w:szCs w:val="20"/>
          <w:color w:val="auto"/>
        </w:rPr>
      </w:pPr>
      <w:r>
        <w:rPr>
          <w:rFonts w:ascii="Arial" w:cs="Arial" w:eastAsia="Arial" w:hAnsi="Arial"/>
          <w:sz w:val="18"/>
          <w:szCs w:val="18"/>
          <w:color w:val="auto"/>
        </w:rPr>
        <w:t>Year to date September 30, 2023, Evergy, Evergy Kansas Central and Evergy Metro made post-retirement benefit contributions of $0.4 million, $0.2 million and $0.2 million, respectively. Evergy, Evergy Kansas Central and Evergy Metro expect to make additional contributions in 2023 of $1.1 million, $0.2 million and $0.9 million, respectively, to the post-retirement benefit plans.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SHORT-TERM BORROWINGS AND SHORT-TERM BANK LINES OF CREDIT</w:t>
      </w:r>
    </w:p>
    <w:p>
      <w:pPr>
        <w:spacing w:after="0" w:line="114"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In June 2023, the Evergy Companies extended the expiration date of their $2.5 billion master credit facility from 2026 to 2027. Evergy, Evergy Kansas Central, Evergy Metro and Evergy Missouri West have borrowing capacity under the master credit facility with specific sublimits for each borrower. These sublimits can be unilaterally adjusted by Evergy for each borrower provided the sublimits remain within minimum and maximum sublimits as specified in the facility. The applicable interest rates and commitment fees of the facility are subject to upward or downward adjustments, within certain limitations, if Evergy achieves, or fails to achieve, certain sustainability-linked targets based on two key performance indicator metrics: (i) Non-Emitting Generation Capacity and (ii) Diverse Supplier Spend (as defined in the facility).</w:t>
      </w:r>
    </w:p>
    <w:p>
      <w:pPr>
        <w:spacing w:after="0" w:line="172" w:lineRule="exact"/>
        <w:rPr>
          <w:sz w:val="20"/>
          <w:szCs w:val="20"/>
          <w:color w:val="auto"/>
        </w:rPr>
      </w:pPr>
    </w:p>
    <w:p>
      <w:pPr>
        <w:ind w:right="300"/>
        <w:spacing w:after="0" w:line="251" w:lineRule="auto"/>
        <w:rPr>
          <w:sz w:val="20"/>
          <w:szCs w:val="20"/>
          <w:color w:val="auto"/>
        </w:rPr>
      </w:pPr>
      <w:r>
        <w:rPr>
          <w:rFonts w:ascii="Arial" w:cs="Arial" w:eastAsia="Arial" w:hAnsi="Arial"/>
          <w:sz w:val="20"/>
          <w:szCs w:val="20"/>
          <w:color w:val="auto"/>
        </w:rPr>
        <w:t>A default by any borrower under the facility or one of its significant subsidiaries on other indebtedness totaling more than $100.0 million constitutes a default by that borrower under the facility. Under the terms of this facility, each of Evergy, Evergy Kansas Central, Evergy Metro and Evergy Missouri West is required to maintain a total indebtedness to total capitalization ratio, as defined in the facility, of not greater than 0.65 to 1.00 at all times. As of September 30, 2023, Evergy, Evergy Kansas Central, Evergy Metro and Evergy Missouri West were in compliance with this covenant.</w:t>
      </w:r>
    </w:p>
    <w:p>
      <w:pPr>
        <w:spacing w:after="0" w:line="201"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The following table summarizes the committed credit facilities (excluding receivable sale facilities discussed in Note 3) available to the Evergy Companies as of September 30, 2023 and December 31, 2022.</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2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Amounts Drawn</w:t>
            </w:r>
          </w:p>
        </w:tc>
        <w:tc>
          <w:tcPr>
            <w:tcW w:w="1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080" w:type="dxa"/>
            <w:vAlign w:val="bottom"/>
            <w:tcBorders>
              <w:top w:val="single" w:sz="8" w:color="auto"/>
              <w:bottom w:val="single" w:sz="8" w:color="auto"/>
            </w:tcBorders>
            <w:vMerge w:val="restart"/>
          </w:tcPr>
          <w:p>
            <w:pPr>
              <w:jc w:val="center"/>
              <w:ind w:left="11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56"/>
        </w:trPr>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2"/>
              </w:rPr>
              <w:t>Master Credit</w:t>
            </w:r>
          </w:p>
        </w:tc>
        <w:tc>
          <w:tcPr>
            <w:tcW w:w="160" w:type="dxa"/>
            <w:vAlign w:val="bottom"/>
          </w:tcPr>
          <w:p>
            <w:pPr>
              <w:spacing w:after="0"/>
              <w:rPr>
                <w:sz w:val="13"/>
                <w:szCs w:val="13"/>
                <w:color w:val="auto"/>
              </w:rPr>
            </w:pPr>
          </w:p>
        </w:tc>
        <w:tc>
          <w:tcPr>
            <w:tcW w:w="11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3"/>
              </w:rPr>
              <w:t>Commercial</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Cash</w:t>
            </w: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Available</w:t>
            </w: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2080" w:type="dxa"/>
            <w:vAlign w:val="bottom"/>
          </w:tcPr>
          <w:p>
            <w:pPr>
              <w:jc w:val="center"/>
              <w:ind w:left="110"/>
              <w:spacing w:after="0" w:line="176" w:lineRule="exact"/>
              <w:rPr>
                <w:sz w:val="20"/>
                <w:szCs w:val="20"/>
                <w:color w:val="auto"/>
              </w:rPr>
            </w:pPr>
            <w:r>
              <w:rPr>
                <w:rFonts w:ascii="Arial" w:cs="Arial" w:eastAsia="Arial" w:hAnsi="Arial"/>
                <w:sz w:val="18"/>
                <w:szCs w:val="18"/>
                <w:b w:val="1"/>
                <w:bCs w:val="1"/>
                <w:color w:val="auto"/>
                <w:w w:val="90"/>
              </w:rPr>
              <w:t>Interest Rate on Short-</w:t>
            </w:r>
          </w:p>
        </w:tc>
        <w:tc>
          <w:tcPr>
            <w:tcW w:w="0" w:type="dxa"/>
            <w:vAlign w:val="bottom"/>
          </w:tcPr>
          <w:p>
            <w:pPr>
              <w:spacing w:after="0"/>
              <w:rPr>
                <w:sz w:val="1"/>
                <w:szCs w:val="1"/>
                <w:color w:val="auto"/>
              </w:rPr>
            </w:pPr>
          </w:p>
        </w:tc>
      </w:tr>
      <w:tr>
        <w:trPr>
          <w:trHeight w:val="243"/>
        </w:trPr>
        <w:tc>
          <w:tcPr>
            <w:tcW w:w="2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Facility</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Paper</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Letters of Credit</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Borrowings</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Borrowings</w:t>
            </w:r>
          </w:p>
        </w:tc>
        <w:tc>
          <w:tcPr>
            <w:tcW w:w="20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1"/>
              </w:rPr>
              <w:t>Term Borrowings</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September 30, 2023</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center"/>
              <w:ind w:right="131"/>
              <w:spacing w:after="0"/>
              <w:rPr>
                <w:sz w:val="20"/>
                <w:szCs w:val="20"/>
                <w:color w:val="auto"/>
              </w:rPr>
            </w:pPr>
            <w:r>
              <w:rPr>
                <w:rFonts w:ascii="Arial" w:cs="Arial" w:eastAsia="Arial" w:hAnsi="Arial"/>
                <w:sz w:val="16"/>
                <w:szCs w:val="16"/>
                <w:color w:val="auto"/>
                <w:w w:val="99"/>
              </w:rPr>
              <w:t>(millions)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5.50%</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660.2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188.8</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5.55%</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5.46%</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Evergy Missouri West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2080" w:type="dxa"/>
            <w:vAlign w:val="bottom"/>
            <w:tcBorders>
              <w:bottom w:val="single" w:sz="8" w:color="CCEEFF"/>
            </w:tcBorders>
          </w:tcPr>
          <w:p>
            <w:pPr>
              <w:jc w:val="center"/>
              <w:ind w:left="110"/>
              <w:spacing w:after="0"/>
              <w:rPr>
                <w:sz w:val="20"/>
                <w:szCs w:val="20"/>
                <w:color w:val="auto"/>
              </w:rPr>
            </w:pPr>
            <w:r>
              <w:rPr>
                <w:rFonts w:ascii="Arial" w:cs="Arial" w:eastAsia="Arial" w:hAnsi="Arial"/>
                <w:sz w:val="18"/>
                <w:szCs w:val="18"/>
                <w:color w:val="auto"/>
                <w:w w:val="93"/>
              </w:rPr>
              <w:t>5.54%</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1,678.4</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Evergy,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449.3</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4.91%</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Evergy Metro</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239.0</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5.02%</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Missouri West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4.84%</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Evergy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1,167.0</w:t>
            </w:r>
          </w:p>
        </w:tc>
        <w:tc>
          <w:tcPr>
            <w:tcW w:w="2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ind w:right="180"/>
        <w:spacing w:after="0" w:line="251" w:lineRule="auto"/>
        <w:rPr>
          <w:sz w:val="20"/>
          <w:szCs w:val="20"/>
          <w:color w:val="auto"/>
        </w:rPr>
      </w:pPr>
      <w:r>
        <w:rPr>
          <w:rFonts w:ascii="Arial" w:cs="Arial" w:eastAsia="Arial" w:hAnsi="Arial"/>
          <w:sz w:val="20"/>
          <w:szCs w:val="20"/>
          <w:color w:val="auto"/>
        </w:rPr>
        <w:t>In February 2023, Evergy, Inc. amended a $500.0 million unsecured Term Loan Credit Agreement (Term Loan Facility) that originally expired in February 2023 to extend the expiration date to February 2024. As a result of the amendment, Evergy, Inc. demonstrated its intent and ability to refinance the Term Loan Facility and reflected this $500.0 million borrowing within long-term debt, net, on Evergy's consolidated balance sheet as of December 31,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2022. As of September 30, 2023, Evergy had borrowed $500.0 million under the Term Loan Facility that is reflected within notes payable and commercial paper on Evergy's consolidated balance sheet. Evergy's borrowings under the Term Loan Facility were used for, among other things, working capital, capital expenditures and general corporate purposes.</w:t>
      </w:r>
    </w:p>
    <w:p>
      <w:pPr>
        <w:spacing w:after="0" w:line="193"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color w:val="auto"/>
        </w:rPr>
        <w:t>The weighted average interest rate for borrowings under the Term Loan Facility as of September 30, 2023, was 6.44%. The Term Loan Facility contains customary covenants, including one that sets the ratio of maximum allowed total indebtedness to total capitalization of not greater than 0.65 to 1.00, for Evergy and its subsidiaries on a consolidated basis. As of September 30, 2023, Evergy was in compliance with this covenant.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Mortgage Bonds</w:t>
      </w:r>
    </w:p>
    <w:p>
      <w:pPr>
        <w:spacing w:after="0" w:line="22"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color w:val="auto"/>
        </w:rPr>
        <w:t>In March 2023, Evergy Kansas Central issued, at a discount, $400.0 million of 5.70% First Mortgage Bonds (FMBs), maturing in 2053. The proceeds of the issuance were used to repay commercial paper borrowings and for general corporate purposes.</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In April 2023, Evergy Metro issued, at a discount, $300.0 million of 4.95% Mortgage Bonds, maturing April 2033. The proceeds of the issuance were used to repay Evergy Metro's commercial paper borrowings which were incurred to repay the $300.0 million principal amount of Evergy Metro's 3.15% Senior Notes that matured in March 2023.</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In May 2023, Evergy Kansas South repaid its $50.0 million of 6.15% FMBs at maturity.</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Notes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In March 2023, Evergy Metro repaid its $300.0 million of 3.15% Senior Notes at maturity.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DERIVATIVE INSTRUMENTS</w:t>
      </w:r>
    </w:p>
    <w:p>
      <w:pPr>
        <w:spacing w:after="0" w:line="127"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The Evergy Companies engage in the wholesale and retail sale of electricity as part of their regulated electric operations, in addition to limited non-regulated energy marketing activities. These activities expose the Evergy Companies to market risks associated with the price of electricity, natural gas and other energy-related products. Management has established risk management policies and strategies to reduce the potentially adverse effects that the volatility of the markets may have on the Evergy Companies' operating results. The Evergy Companies' commodity risk management activities, which are subject to the management, direction and control of an internal risk management committee, utilize derivative instruments to reduce the effects of fluctuations in wholesale sales and fuel and purchased power expense caused by commodity price volatility.</w:t>
      </w:r>
    </w:p>
    <w:p>
      <w:pPr>
        <w:spacing w:after="0" w:line="200"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The Evergy Companies are also exposed to market risks arising from changes in interest rates and may use derivative instruments to manage these risks. The Evergy Companies' interest rate risk management activities have included using derivative instruments to hedge against future interest rate fluctuations on anticipated debt issuances.</w:t>
      </w:r>
    </w:p>
    <w:p>
      <w:pPr>
        <w:spacing w:after="0" w:line="193" w:lineRule="exact"/>
        <w:rPr>
          <w:sz w:val="20"/>
          <w:szCs w:val="20"/>
          <w:color w:val="auto"/>
        </w:rPr>
      </w:pPr>
    </w:p>
    <w:p>
      <w:pPr>
        <w:jc w:val="both"/>
        <w:ind w:right="340"/>
        <w:spacing w:after="0" w:line="257" w:lineRule="auto"/>
        <w:rPr>
          <w:sz w:val="20"/>
          <w:szCs w:val="20"/>
          <w:color w:val="auto"/>
        </w:rPr>
      </w:pPr>
      <w:r>
        <w:rPr>
          <w:rFonts w:ascii="Arial" w:cs="Arial" w:eastAsia="Arial" w:hAnsi="Arial"/>
          <w:sz w:val="20"/>
          <w:szCs w:val="20"/>
          <w:color w:val="auto"/>
        </w:rPr>
        <w:t>The Evergy Companies also engage in non-regulated energy marketing activity for trading purposes, primarily at Evergy Kansas Central, which focuses on seizing market opportunities to create value driven by expected changes in the market prices of commodities, primarily electricity and natural gas.</w:t>
      </w:r>
    </w:p>
    <w:p>
      <w:pPr>
        <w:spacing w:after="0" w:line="179"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The Evergy Companies consider various qualitative factors, such as contract and marketplace attributes, in designating derivative instruments at inception. The Evergy Companies may elect the normal purchases and normal sales (NPNS) exception, which requires the effects of the derivative to be recorded when the underlying contract settles under accrual accounting. The Evergy Companies account for derivative instruments that are not designated as NPNS primarily as either economic hedges or trading contracts (non-hedging derivatives) which are recorded as assets or liabilities on the consolidated balance sheets at fair value. See Note 10 for additional information on the Evergy Companies' methods for assessing the fair value of derivative instruments. Changes in the fair value of non-hedging derivatives that are related to the Evergy Companies' regulated operations are deferred to a regulatory asset or regulatory liability when determined to be probable of future recovery or refund from customers. Recovery of the actual costs incurred by regulated activities will not impact earnings but will impact cash flows due to the timing</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of the recovery mechanism. Cash flows for all derivative instruments are classified as operating activities on the Evergy Companies' statements of cash flows, with the exception of cash flows for interest rate swap agreements accounted for as cash flows hedges of forecasted debt transactions, which are recorded as financing activities. Changes in the fair value of non-hedging derivatives that are not related to the Evergy Companies' regulated operations are recorded in operating revenues on the Evergy Companies' statements of income and comprehensive income.</w:t>
      </w:r>
    </w:p>
    <w:p>
      <w:pPr>
        <w:spacing w:after="0" w:line="228" w:lineRule="exact"/>
        <w:rPr>
          <w:sz w:val="20"/>
          <w:szCs w:val="20"/>
          <w:color w:val="auto"/>
        </w:rPr>
      </w:pPr>
    </w:p>
    <w:p>
      <w:pPr>
        <w:ind w:right="340"/>
        <w:spacing w:after="0" w:line="274" w:lineRule="auto"/>
        <w:rPr>
          <w:sz w:val="20"/>
          <w:szCs w:val="20"/>
          <w:color w:val="auto"/>
        </w:rPr>
      </w:pPr>
      <w:r>
        <w:rPr>
          <w:rFonts w:ascii="Arial" w:cs="Arial" w:eastAsia="Arial" w:hAnsi="Arial"/>
          <w:sz w:val="20"/>
          <w:szCs w:val="20"/>
          <w:color w:val="auto"/>
        </w:rPr>
        <w:t>The Evergy Companies offset fair value amounts recognized for derivative instruments under master netting arrangements, which include rights to reclaim cash collateral (a receivable), or the obligation to return cash collateral (a payable).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The gross notional contract amount by commodity type for derivative instruments is summarized in the 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600" w:type="dxa"/>
            <w:vAlign w:val="bottom"/>
            <w:tcBorders>
              <w:top w:val="single" w:sz="8" w:color="auto"/>
            </w:tcBorders>
          </w:tcPr>
          <w:p>
            <w:pPr>
              <w:spacing w:after="0"/>
              <w:rPr>
                <w:sz w:val="21"/>
                <w:szCs w:val="21"/>
                <w:color w:val="auto"/>
              </w:rPr>
            </w:pPr>
          </w:p>
        </w:tc>
        <w:tc>
          <w:tcPr>
            <w:tcW w:w="440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September 30</w:t>
            </w:r>
          </w:p>
        </w:tc>
        <w:tc>
          <w:tcPr>
            <w:tcW w:w="12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December 31</w:t>
            </w:r>
          </w:p>
        </w:tc>
      </w:tr>
      <w:tr>
        <w:trPr>
          <w:trHeight w:val="234"/>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Non-hedging derivatives</w:t>
            </w:r>
          </w:p>
        </w:tc>
        <w:tc>
          <w:tcPr>
            <w:tcW w:w="4400" w:type="dxa"/>
            <w:vAlign w:val="bottom"/>
            <w:tcBorders>
              <w:bottom w:val="single" w:sz="8" w:color="auto"/>
            </w:tcBorders>
          </w:tcPr>
          <w:p>
            <w:pPr>
              <w:jc w:val="center"/>
              <w:ind w:left="1350"/>
              <w:spacing w:after="0"/>
              <w:rPr>
                <w:sz w:val="20"/>
                <w:szCs w:val="20"/>
                <w:color w:val="auto"/>
              </w:rPr>
            </w:pPr>
            <w:r>
              <w:rPr>
                <w:rFonts w:ascii="Arial" w:cs="Arial" w:eastAsia="Arial" w:hAnsi="Arial"/>
                <w:sz w:val="18"/>
                <w:szCs w:val="18"/>
                <w:b w:val="1"/>
                <w:bCs w:val="1"/>
                <w:color w:val="auto"/>
                <w:w w:val="90"/>
              </w:rPr>
              <w:t>Notional volume unit of measure</w:t>
            </w:r>
          </w:p>
        </w:tc>
        <w:tc>
          <w:tcPr>
            <w:tcW w:w="1960" w:type="dxa"/>
            <w:vAlign w:val="bottom"/>
            <w:tcBorders>
              <w:bottom w:val="single" w:sz="8" w:color="auto"/>
            </w:tcBorders>
          </w:tcPr>
          <w:p>
            <w:pPr>
              <w:jc w:val="right"/>
              <w:ind w:right="931"/>
              <w:spacing w:after="0"/>
              <w:rPr>
                <w:sz w:val="20"/>
                <w:szCs w:val="20"/>
                <w:color w:val="auto"/>
              </w:rPr>
            </w:pPr>
            <w:r>
              <w:rPr>
                <w:rFonts w:ascii="Arial" w:cs="Arial" w:eastAsia="Arial" w:hAnsi="Arial"/>
                <w:sz w:val="18"/>
                <w:szCs w:val="18"/>
                <w:b w:val="1"/>
                <w:bCs w:val="1"/>
                <w:color w:val="auto"/>
              </w:rPr>
              <w:t>2023</w:t>
            </w: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2"/>
        </w:trPr>
        <w:tc>
          <w:tcPr>
            <w:tcW w:w="3600" w:type="dxa"/>
            <w:vAlign w:val="bottom"/>
          </w:tcPr>
          <w:p>
            <w:pPr>
              <w:ind w:left="140"/>
              <w:spacing w:after="0"/>
              <w:rPr>
                <w:sz w:val="20"/>
                <w:szCs w:val="20"/>
                <w:color w:val="auto"/>
              </w:rPr>
            </w:pPr>
            <w:r>
              <w:rPr>
                <w:rFonts w:ascii="Arial" w:cs="Arial" w:eastAsia="Arial" w:hAnsi="Arial"/>
                <w:sz w:val="18"/>
                <w:szCs w:val="18"/>
                <w:b w:val="1"/>
                <w:bCs w:val="1"/>
                <w:color w:val="auto"/>
              </w:rPr>
              <w:t>Evergy</w:t>
            </w:r>
          </w:p>
        </w:tc>
        <w:tc>
          <w:tcPr>
            <w:tcW w:w="44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(millions)</w:t>
            </w:r>
          </w:p>
        </w:tc>
        <w:tc>
          <w:tcPr>
            <w:tcW w:w="1280" w:type="dxa"/>
            <w:vAlign w:val="bottom"/>
          </w:tcPr>
          <w:p>
            <w:pPr>
              <w:spacing w:after="0"/>
              <w:rPr>
                <w:sz w:val="19"/>
                <w:szCs w:val="19"/>
                <w:color w:val="auto"/>
              </w:rPr>
            </w:pPr>
          </w:p>
        </w:tc>
      </w:tr>
      <w:tr>
        <w:trPr>
          <w:trHeight w:val="230"/>
        </w:trPr>
        <w:tc>
          <w:tcPr>
            <w:tcW w:w="3600" w:type="dxa"/>
            <w:vAlign w:val="bottom"/>
          </w:tcPr>
          <w:p>
            <w:pPr>
              <w:jc w:val="center"/>
              <w:ind w:right="1470"/>
              <w:spacing w:after="0"/>
              <w:rPr>
                <w:sz w:val="20"/>
                <w:szCs w:val="20"/>
                <w:color w:val="auto"/>
              </w:rPr>
            </w:pPr>
            <w:r>
              <w:rPr>
                <w:rFonts w:ascii="Arial" w:cs="Arial" w:eastAsia="Arial" w:hAnsi="Arial"/>
                <w:sz w:val="18"/>
                <w:szCs w:val="18"/>
                <w:color w:val="auto"/>
                <w:w w:val="92"/>
              </w:rPr>
              <w:t>Commodity contracts</w:t>
            </w:r>
          </w:p>
        </w:tc>
        <w:tc>
          <w:tcPr>
            <w:tcW w:w="44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Power</w:t>
            </w:r>
          </w:p>
        </w:tc>
        <w:tc>
          <w:tcPr>
            <w:tcW w:w="440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4"/>
              </w:rPr>
              <w:t>MWhs</w:t>
            </w:r>
          </w:p>
        </w:tc>
        <w:tc>
          <w:tcPr>
            <w:tcW w:w="19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79.8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29"/>
        </w:trPr>
        <w:tc>
          <w:tcPr>
            <w:tcW w:w="3600" w:type="dxa"/>
            <w:vAlign w:val="bottom"/>
          </w:tcPr>
          <w:p>
            <w:pPr>
              <w:ind w:left="360"/>
              <w:spacing w:after="0"/>
              <w:rPr>
                <w:sz w:val="20"/>
                <w:szCs w:val="20"/>
                <w:color w:val="auto"/>
              </w:rPr>
            </w:pPr>
            <w:r>
              <w:rPr>
                <w:rFonts w:ascii="Arial" w:cs="Arial" w:eastAsia="Arial" w:hAnsi="Arial"/>
                <w:sz w:val="18"/>
                <w:szCs w:val="18"/>
                <w:color w:val="auto"/>
              </w:rPr>
              <w:t>Natural gas</w:t>
            </w:r>
          </w:p>
        </w:tc>
        <w:tc>
          <w:tcPr>
            <w:tcW w:w="4400" w:type="dxa"/>
            <w:vAlign w:val="bottom"/>
          </w:tcPr>
          <w:p>
            <w:pPr>
              <w:jc w:val="center"/>
              <w:ind w:left="1370"/>
              <w:spacing w:after="0"/>
              <w:rPr>
                <w:sz w:val="20"/>
                <w:szCs w:val="20"/>
                <w:color w:val="auto"/>
              </w:rPr>
            </w:pPr>
            <w:r>
              <w:rPr>
                <w:rFonts w:ascii="Arial" w:cs="Arial" w:eastAsia="Arial" w:hAnsi="Arial"/>
                <w:sz w:val="18"/>
                <w:szCs w:val="18"/>
                <w:color w:val="auto"/>
              </w:rPr>
              <w:t>MMBtu</w:t>
            </w:r>
          </w:p>
        </w:tc>
        <w:tc>
          <w:tcPr>
            <w:tcW w:w="1960" w:type="dxa"/>
            <w:vAlign w:val="bottom"/>
          </w:tcPr>
          <w:p>
            <w:pPr>
              <w:jc w:val="right"/>
              <w:ind w:right="431"/>
              <w:spacing w:after="0"/>
              <w:rPr>
                <w:sz w:val="20"/>
                <w:szCs w:val="20"/>
                <w:color w:val="auto"/>
              </w:rPr>
            </w:pPr>
            <w:r>
              <w:rPr>
                <w:rFonts w:ascii="Arial" w:cs="Arial" w:eastAsia="Arial" w:hAnsi="Arial"/>
                <w:sz w:val="18"/>
                <w:szCs w:val="18"/>
                <w:color w:val="auto"/>
              </w:rPr>
              <w:t>236.2</w:t>
            </w:r>
          </w:p>
        </w:tc>
        <w:tc>
          <w:tcPr>
            <w:tcW w:w="1280" w:type="dxa"/>
            <w:vAlign w:val="bottom"/>
          </w:tcPr>
          <w:p>
            <w:pPr>
              <w:jc w:val="right"/>
              <w:spacing w:after="0"/>
              <w:rPr>
                <w:sz w:val="20"/>
                <w:szCs w:val="20"/>
                <w:color w:val="auto"/>
              </w:rPr>
            </w:pPr>
            <w:r>
              <w:rPr>
                <w:rFonts w:ascii="Arial" w:cs="Arial" w:eastAsia="Arial" w:hAnsi="Arial"/>
                <w:sz w:val="18"/>
                <w:szCs w:val="18"/>
                <w:color w:val="auto"/>
              </w:rPr>
              <w:t>772.7</w:t>
            </w:r>
          </w:p>
        </w:tc>
      </w:tr>
      <w:tr>
        <w:trPr>
          <w:trHeight w:val="230"/>
        </w:trPr>
        <w:tc>
          <w:tcPr>
            <w:tcW w:w="3600" w:type="dxa"/>
            <w:vAlign w:val="bottom"/>
            <w:shd w:val="clear" w:color="auto" w:fill="CCEEFF"/>
          </w:tcPr>
          <w:p>
            <w:pPr>
              <w:jc w:val="center"/>
              <w:ind w:right="1450"/>
              <w:spacing w:after="0"/>
              <w:rPr>
                <w:sz w:val="20"/>
                <w:szCs w:val="20"/>
                <w:color w:val="auto"/>
              </w:rPr>
            </w:pPr>
            <w:r>
              <w:rPr>
                <w:rFonts w:ascii="Arial" w:cs="Arial" w:eastAsia="Arial" w:hAnsi="Arial"/>
                <w:sz w:val="18"/>
                <w:szCs w:val="18"/>
                <w:b w:val="1"/>
                <w:bCs w:val="1"/>
                <w:color w:val="auto"/>
                <w:w w:val="90"/>
              </w:rPr>
              <w:t>Evergy Kansas Central</w:t>
            </w:r>
          </w:p>
        </w:tc>
        <w:tc>
          <w:tcPr>
            <w:tcW w:w="44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3600" w:type="dxa"/>
            <w:vAlign w:val="bottom"/>
          </w:tcPr>
          <w:p>
            <w:pPr>
              <w:jc w:val="center"/>
              <w:ind w:right="1470"/>
              <w:spacing w:after="0"/>
              <w:rPr>
                <w:sz w:val="20"/>
                <w:szCs w:val="20"/>
                <w:color w:val="auto"/>
              </w:rPr>
            </w:pPr>
            <w:r>
              <w:rPr>
                <w:rFonts w:ascii="Arial" w:cs="Arial" w:eastAsia="Arial" w:hAnsi="Arial"/>
                <w:sz w:val="18"/>
                <w:szCs w:val="18"/>
                <w:color w:val="auto"/>
                <w:w w:val="92"/>
              </w:rPr>
              <w:t>Commodity contracts</w:t>
            </w:r>
          </w:p>
        </w:tc>
        <w:tc>
          <w:tcPr>
            <w:tcW w:w="44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Power</w:t>
            </w:r>
          </w:p>
        </w:tc>
        <w:tc>
          <w:tcPr>
            <w:tcW w:w="440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4"/>
              </w:rPr>
              <w:t>MWhs</w:t>
            </w:r>
          </w:p>
        </w:tc>
        <w:tc>
          <w:tcPr>
            <w:tcW w:w="19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47.3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30"/>
        </w:trPr>
        <w:tc>
          <w:tcPr>
            <w:tcW w:w="3600" w:type="dxa"/>
            <w:vAlign w:val="bottom"/>
          </w:tcPr>
          <w:p>
            <w:pPr>
              <w:ind w:left="360"/>
              <w:spacing w:after="0"/>
              <w:rPr>
                <w:sz w:val="20"/>
                <w:szCs w:val="20"/>
                <w:color w:val="auto"/>
              </w:rPr>
            </w:pPr>
            <w:r>
              <w:rPr>
                <w:rFonts w:ascii="Arial" w:cs="Arial" w:eastAsia="Arial" w:hAnsi="Arial"/>
                <w:sz w:val="18"/>
                <w:szCs w:val="18"/>
                <w:color w:val="auto"/>
              </w:rPr>
              <w:t>Natural gas</w:t>
            </w:r>
          </w:p>
        </w:tc>
        <w:tc>
          <w:tcPr>
            <w:tcW w:w="4400" w:type="dxa"/>
            <w:vAlign w:val="bottom"/>
          </w:tcPr>
          <w:p>
            <w:pPr>
              <w:jc w:val="center"/>
              <w:ind w:left="1370"/>
              <w:spacing w:after="0"/>
              <w:rPr>
                <w:sz w:val="20"/>
                <w:szCs w:val="20"/>
                <w:color w:val="auto"/>
              </w:rPr>
            </w:pPr>
            <w:r>
              <w:rPr>
                <w:rFonts w:ascii="Arial" w:cs="Arial" w:eastAsia="Arial" w:hAnsi="Arial"/>
                <w:sz w:val="18"/>
                <w:szCs w:val="18"/>
                <w:color w:val="auto"/>
              </w:rPr>
              <w:t>MMBtu</w:t>
            </w:r>
          </w:p>
        </w:tc>
        <w:tc>
          <w:tcPr>
            <w:tcW w:w="1960" w:type="dxa"/>
            <w:vAlign w:val="bottom"/>
          </w:tcPr>
          <w:p>
            <w:pPr>
              <w:jc w:val="right"/>
              <w:ind w:right="431"/>
              <w:spacing w:after="0"/>
              <w:rPr>
                <w:sz w:val="20"/>
                <w:szCs w:val="20"/>
                <w:color w:val="auto"/>
              </w:rPr>
            </w:pPr>
            <w:r>
              <w:rPr>
                <w:rFonts w:ascii="Arial" w:cs="Arial" w:eastAsia="Arial" w:hAnsi="Arial"/>
                <w:sz w:val="18"/>
                <w:szCs w:val="18"/>
                <w:color w:val="auto"/>
              </w:rPr>
              <w:t>234.3</w:t>
            </w:r>
          </w:p>
        </w:tc>
        <w:tc>
          <w:tcPr>
            <w:tcW w:w="1280" w:type="dxa"/>
            <w:vAlign w:val="bottom"/>
          </w:tcPr>
          <w:p>
            <w:pPr>
              <w:jc w:val="right"/>
              <w:spacing w:after="0"/>
              <w:rPr>
                <w:sz w:val="20"/>
                <w:szCs w:val="20"/>
                <w:color w:val="auto"/>
              </w:rPr>
            </w:pPr>
            <w:r>
              <w:rPr>
                <w:rFonts w:ascii="Arial" w:cs="Arial" w:eastAsia="Arial" w:hAnsi="Arial"/>
                <w:sz w:val="18"/>
                <w:szCs w:val="18"/>
                <w:color w:val="auto"/>
              </w:rPr>
              <w:t>769.6</w:t>
            </w:r>
          </w:p>
        </w:tc>
      </w:tr>
      <w:tr>
        <w:trPr>
          <w:trHeight w:val="229"/>
        </w:trPr>
        <w:tc>
          <w:tcPr>
            <w:tcW w:w="3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Evergy Metro</w:t>
            </w:r>
          </w:p>
        </w:tc>
        <w:tc>
          <w:tcPr>
            <w:tcW w:w="44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3600" w:type="dxa"/>
            <w:vAlign w:val="bottom"/>
          </w:tcPr>
          <w:p>
            <w:pPr>
              <w:jc w:val="center"/>
              <w:ind w:right="1470"/>
              <w:spacing w:after="0"/>
              <w:rPr>
                <w:sz w:val="20"/>
                <w:szCs w:val="20"/>
                <w:color w:val="auto"/>
              </w:rPr>
            </w:pPr>
            <w:r>
              <w:rPr>
                <w:rFonts w:ascii="Arial" w:cs="Arial" w:eastAsia="Arial" w:hAnsi="Arial"/>
                <w:sz w:val="18"/>
                <w:szCs w:val="18"/>
                <w:color w:val="auto"/>
                <w:w w:val="92"/>
              </w:rPr>
              <w:t>Commodity contracts</w:t>
            </w:r>
          </w:p>
        </w:tc>
        <w:tc>
          <w:tcPr>
            <w:tcW w:w="44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6"/>
        </w:trPr>
        <w:tc>
          <w:tcPr>
            <w:tcW w:w="36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Power</w:t>
            </w:r>
          </w:p>
        </w:tc>
        <w:tc>
          <w:tcPr>
            <w:tcW w:w="4400" w:type="dxa"/>
            <w:vAlign w:val="bottom"/>
            <w:tcBorders>
              <w:bottom w:val="single" w:sz="8" w:color="auto"/>
            </w:tcBorders>
            <w:shd w:val="clear" w:color="auto" w:fill="CCEEFF"/>
          </w:tcPr>
          <w:p>
            <w:pPr>
              <w:jc w:val="center"/>
              <w:ind w:left="1350"/>
              <w:spacing w:after="0"/>
              <w:rPr>
                <w:sz w:val="20"/>
                <w:szCs w:val="20"/>
                <w:color w:val="auto"/>
              </w:rPr>
            </w:pPr>
            <w:r>
              <w:rPr>
                <w:rFonts w:ascii="Arial" w:cs="Arial" w:eastAsia="Arial" w:hAnsi="Arial"/>
                <w:sz w:val="18"/>
                <w:szCs w:val="18"/>
                <w:color w:val="auto"/>
                <w:w w:val="94"/>
              </w:rPr>
              <w:t>MWhs</w:t>
            </w:r>
          </w:p>
        </w:tc>
        <w:tc>
          <w:tcPr>
            <w:tcW w:w="196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23.8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bl>
    <w:p>
      <w:pPr>
        <w:spacing w:after="0" w:line="267" w:lineRule="exact"/>
        <w:rPr>
          <w:sz w:val="20"/>
          <w:szCs w:val="20"/>
          <w:color w:val="auto"/>
        </w:rPr>
      </w:pPr>
    </w:p>
    <w:p>
      <w:pPr>
        <w:ind w:right="40"/>
        <w:spacing w:after="0" w:line="274" w:lineRule="auto"/>
        <w:rPr>
          <w:sz w:val="20"/>
          <w:szCs w:val="20"/>
          <w:color w:val="auto"/>
        </w:rPr>
      </w:pPr>
      <w:r>
        <w:rPr>
          <w:rFonts w:ascii="Arial" w:cs="Arial" w:eastAsia="Arial" w:hAnsi="Arial"/>
          <w:sz w:val="20"/>
          <w:szCs w:val="20"/>
          <w:color w:val="auto"/>
        </w:rPr>
        <w:t>The fair values of Evergy's open derivative positions and balance sheet classifications are summarized in the following tables. The fair values below are gross values before netting agreements and netting of cash collateral.</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8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3"/>
              </w:rPr>
              <w:t>September 30</w:t>
            </w: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December 31</w:t>
            </w:r>
          </w:p>
        </w:tc>
      </w:tr>
      <w:tr>
        <w:trPr>
          <w:trHeight w:val="234"/>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w:t>
            </w:r>
          </w:p>
        </w:tc>
        <w:tc>
          <w:tcPr>
            <w:tcW w:w="4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Arial" w:cs="Arial" w:eastAsia="Arial" w:hAnsi="Arial"/>
                <w:sz w:val="18"/>
                <w:szCs w:val="18"/>
                <w:b w:val="1"/>
                <w:bCs w:val="1"/>
                <w:color w:val="auto"/>
              </w:rPr>
              <w:t>Balance sheet location</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Power</w:t>
            </w:r>
          </w:p>
        </w:tc>
        <w:tc>
          <w:tcPr>
            <w:tcW w:w="452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Other assets - 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29.3</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29"/>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Arial" w:cs="Arial" w:eastAsia="Arial" w:hAnsi="Arial"/>
                <w:sz w:val="18"/>
                <w:szCs w:val="18"/>
                <w:color w:val="auto"/>
              </w:rPr>
              <w:t>Other assets - long-term</w:t>
            </w:r>
          </w:p>
        </w:tc>
        <w:tc>
          <w:tcPr>
            <w:tcW w:w="160" w:type="dxa"/>
            <w:vAlign w:val="bottom"/>
          </w:tcPr>
          <w:p>
            <w:pPr>
              <w:spacing w:after="0"/>
              <w:rPr>
                <w:sz w:val="19"/>
                <w:szCs w:val="19"/>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37.2</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30"/>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Other assets - current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11.1</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r>
      <w:tr>
        <w:trPr>
          <w:trHeight w:val="230"/>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Arial" w:cs="Arial" w:eastAsia="Arial" w:hAnsi="Arial"/>
                <w:sz w:val="18"/>
                <w:szCs w:val="18"/>
                <w:color w:val="auto"/>
              </w:rPr>
              <w:t>Other assets - long-term</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derivative assets</w:t>
            </w:r>
          </w:p>
        </w:tc>
        <w:tc>
          <w:tcPr>
            <w:tcW w:w="45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79.2</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Power</w:t>
            </w:r>
          </w:p>
        </w:tc>
        <w:tc>
          <w:tcPr>
            <w:tcW w:w="452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Other liabilities - 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21.9</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29"/>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Arial" w:cs="Arial" w:eastAsia="Arial" w:hAnsi="Arial"/>
                <w:sz w:val="18"/>
                <w:szCs w:val="18"/>
                <w:color w:val="auto"/>
              </w:rPr>
              <w:t>Other liabilities - long-term</w:t>
            </w:r>
          </w:p>
        </w:tc>
        <w:tc>
          <w:tcPr>
            <w:tcW w:w="160" w:type="dxa"/>
            <w:vAlign w:val="bottom"/>
          </w:tcPr>
          <w:p>
            <w:pPr>
              <w:spacing w:after="0"/>
              <w:rPr>
                <w:sz w:val="19"/>
                <w:szCs w:val="19"/>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34.2</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30"/>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Other liabilities - current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11.0</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r>
      <w:tr>
        <w:trPr>
          <w:trHeight w:val="230"/>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Arial" w:cs="Arial" w:eastAsia="Arial" w:hAnsi="Arial"/>
                <w:sz w:val="18"/>
                <w:szCs w:val="18"/>
                <w:color w:val="auto"/>
              </w:rPr>
              <w:t>Other liabilities - long-term</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derivative liabilities</w:t>
            </w:r>
          </w:p>
        </w:tc>
        <w:tc>
          <w:tcPr>
            <w:tcW w:w="45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68.7</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r>
      <w:tr>
        <w:trPr>
          <w:trHeight w:val="850"/>
        </w:trPr>
        <w:tc>
          <w:tcPr>
            <w:tcW w:w="3480" w:type="dxa"/>
            <w:vAlign w:val="bottom"/>
          </w:tcPr>
          <w:p>
            <w:pPr>
              <w:spacing w:after="0"/>
              <w:rPr>
                <w:sz w:val="24"/>
                <w:szCs w:val="24"/>
                <w:color w:val="auto"/>
              </w:rPr>
            </w:pPr>
          </w:p>
        </w:tc>
        <w:tc>
          <w:tcPr>
            <w:tcW w:w="4520" w:type="dxa"/>
            <w:vAlign w:val="bottom"/>
          </w:tcPr>
          <w:p>
            <w:pPr>
              <w:ind w:left="206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8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3"/>
              </w:rPr>
              <w:t>September 30</w:t>
            </w: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December 31</w:t>
            </w:r>
          </w:p>
        </w:tc>
      </w:tr>
      <w:tr>
        <w:trPr>
          <w:trHeight w:val="234"/>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4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Arial" w:cs="Arial" w:eastAsia="Arial" w:hAnsi="Arial"/>
                <w:sz w:val="18"/>
                <w:szCs w:val="18"/>
                <w:b w:val="1"/>
                <w:bCs w:val="1"/>
                <w:color w:val="auto"/>
              </w:rPr>
              <w:t>Balance sheet location</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Power</w:t>
            </w:r>
          </w:p>
        </w:tc>
        <w:tc>
          <w:tcPr>
            <w:tcW w:w="452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Other assets - 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21.7</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29"/>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Arial" w:cs="Arial" w:eastAsia="Arial" w:hAnsi="Arial"/>
                <w:sz w:val="18"/>
                <w:szCs w:val="18"/>
                <w:color w:val="auto"/>
              </w:rPr>
              <w:t>Other assets - long-term</w:t>
            </w:r>
          </w:p>
        </w:tc>
        <w:tc>
          <w:tcPr>
            <w:tcW w:w="160" w:type="dxa"/>
            <w:vAlign w:val="bottom"/>
          </w:tcPr>
          <w:p>
            <w:pPr>
              <w:spacing w:after="0"/>
              <w:rPr>
                <w:sz w:val="19"/>
                <w:szCs w:val="19"/>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37.2</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30"/>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Other assets - current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11.1</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r>
      <w:tr>
        <w:trPr>
          <w:trHeight w:val="229"/>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Arial" w:cs="Arial" w:eastAsia="Arial" w:hAnsi="Arial"/>
                <w:sz w:val="18"/>
                <w:szCs w:val="18"/>
                <w:color w:val="auto"/>
              </w:rPr>
              <w:t>Other assets - long-term</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derivative assets</w:t>
            </w:r>
          </w:p>
        </w:tc>
        <w:tc>
          <w:tcPr>
            <w:tcW w:w="45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71.6</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Power</w:t>
            </w:r>
          </w:p>
        </w:tc>
        <w:tc>
          <w:tcPr>
            <w:tcW w:w="452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Other liabilities - 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16.1</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30"/>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Arial" w:cs="Arial" w:eastAsia="Arial" w:hAnsi="Arial"/>
                <w:sz w:val="18"/>
                <w:szCs w:val="18"/>
                <w:color w:val="auto"/>
              </w:rPr>
              <w:t>Other liabilities - long-term</w:t>
            </w:r>
          </w:p>
        </w:tc>
        <w:tc>
          <w:tcPr>
            <w:tcW w:w="160" w:type="dxa"/>
            <w:vAlign w:val="bottom"/>
          </w:tcPr>
          <w:p>
            <w:pPr>
              <w:spacing w:after="0"/>
              <w:rPr>
                <w:sz w:val="19"/>
                <w:szCs w:val="19"/>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34.2</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29"/>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Other liabilities - current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10.7</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r>
      <w:tr>
        <w:trPr>
          <w:trHeight w:val="229"/>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Arial" w:cs="Arial" w:eastAsia="Arial" w:hAnsi="Arial"/>
                <w:sz w:val="18"/>
                <w:szCs w:val="18"/>
                <w:color w:val="auto"/>
              </w:rPr>
              <w:t>Other liabilities - long-term</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derivative liabilities</w:t>
            </w:r>
          </w:p>
        </w:tc>
        <w:tc>
          <w:tcPr>
            <w:tcW w:w="45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62.6</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8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3"/>
              </w:rPr>
              <w:t>September 30</w:t>
            </w: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December 31</w:t>
            </w:r>
          </w:p>
        </w:tc>
      </w:tr>
      <w:tr>
        <w:trPr>
          <w:trHeight w:val="234"/>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Metro</w:t>
            </w:r>
          </w:p>
        </w:tc>
        <w:tc>
          <w:tcPr>
            <w:tcW w:w="4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Arial" w:cs="Arial" w:eastAsia="Arial" w:hAnsi="Arial"/>
                <w:sz w:val="18"/>
                <w:szCs w:val="18"/>
                <w:b w:val="1"/>
                <w:bCs w:val="1"/>
                <w:color w:val="auto"/>
              </w:rPr>
              <w:t>Balance sheet location</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280" w:type="dxa"/>
            <w:vAlign w:val="bottom"/>
          </w:tcPr>
          <w:p>
            <w:pPr>
              <w:spacing w:after="0"/>
              <w:rPr>
                <w:sz w:val="19"/>
                <w:szCs w:val="19"/>
                <w:color w:val="auto"/>
              </w:rPr>
            </w:pPr>
          </w:p>
        </w:tc>
      </w:tr>
      <w:tr>
        <w:trPr>
          <w:trHeight w:val="229"/>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Power</w:t>
            </w:r>
          </w:p>
        </w:tc>
        <w:tc>
          <w:tcPr>
            <w:tcW w:w="452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Other assets - current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3480" w:type="dxa"/>
            <w:vAlign w:val="bottom"/>
          </w:tcPr>
          <w:p>
            <w:pPr>
              <w:ind w:left="20"/>
              <w:spacing w:after="0"/>
              <w:rPr>
                <w:sz w:val="20"/>
                <w:szCs w:val="20"/>
                <w:color w:val="auto"/>
              </w:rPr>
            </w:pPr>
            <w:r>
              <w:rPr>
                <w:rFonts w:ascii="Arial" w:cs="Arial" w:eastAsia="Arial" w:hAnsi="Arial"/>
                <w:sz w:val="18"/>
                <w:szCs w:val="18"/>
                <w:color w:val="auto"/>
              </w:rPr>
              <w:t>Total derivative assets</w:t>
            </w:r>
          </w:p>
        </w:tc>
        <w:tc>
          <w:tcPr>
            <w:tcW w:w="45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Commodity contracts</w:t>
            </w:r>
          </w:p>
        </w:tc>
        <w:tc>
          <w:tcPr>
            <w:tcW w:w="4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34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Power</w:t>
            </w:r>
          </w:p>
        </w:tc>
        <w:tc>
          <w:tcPr>
            <w:tcW w:w="4520" w:type="dxa"/>
            <w:vAlign w:val="bottom"/>
            <w:tcBorders>
              <w:bottom w:val="single" w:sz="8" w:color="CCEEFF"/>
            </w:tcBorders>
          </w:tcPr>
          <w:p>
            <w:pPr>
              <w:ind w:left="1580"/>
              <w:spacing w:after="0"/>
              <w:rPr>
                <w:sz w:val="20"/>
                <w:szCs w:val="20"/>
                <w:color w:val="auto"/>
              </w:rPr>
            </w:pPr>
            <w:r>
              <w:rPr>
                <w:rFonts w:ascii="Arial" w:cs="Arial" w:eastAsia="Arial" w:hAnsi="Arial"/>
                <w:sz w:val="18"/>
                <w:szCs w:val="18"/>
                <w:color w:val="auto"/>
              </w:rPr>
              <w:t>Other liabilities - current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4.9</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derivative liabilities</w:t>
            </w:r>
          </w:p>
        </w:tc>
        <w:tc>
          <w:tcPr>
            <w:tcW w:w="45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bl>
    <w:p>
      <w:pPr>
        <w:spacing w:after="0" w:line="280" w:lineRule="exact"/>
        <w:rPr>
          <w:sz w:val="20"/>
          <w:szCs w:val="20"/>
          <w:color w:val="auto"/>
        </w:rPr>
      </w:pPr>
    </w:p>
    <w:p>
      <w:pPr>
        <w:jc w:val="both"/>
        <w:ind w:right="160"/>
        <w:spacing w:after="0" w:line="271" w:lineRule="auto"/>
        <w:rPr>
          <w:sz w:val="20"/>
          <w:szCs w:val="20"/>
          <w:color w:val="auto"/>
        </w:rPr>
      </w:pPr>
      <w:r>
        <w:rPr>
          <w:rFonts w:ascii="Arial" w:cs="Arial" w:eastAsia="Arial" w:hAnsi="Arial"/>
          <w:sz w:val="20"/>
          <w:szCs w:val="20"/>
          <w:color w:val="auto"/>
        </w:rPr>
        <w:t>The following tables present the line items on the Evergy Companies' consolidated balance sheets where derivative assets and liabilities are reported. The gross amounts offset in the tables below show the effect of master netting arrangements and include collateral posted to offset the net position.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center"/>
              <w:ind w:right="91"/>
              <w:spacing w:after="0" w:line="202" w:lineRule="exact"/>
              <w:rPr>
                <w:sz w:val="20"/>
                <w:szCs w:val="20"/>
                <w:color w:val="auto"/>
              </w:rPr>
            </w:pPr>
            <w:r>
              <w:rPr>
                <w:rFonts w:ascii="Arial" w:cs="Arial" w:eastAsia="Arial" w:hAnsi="Arial"/>
                <w:sz w:val="18"/>
                <w:szCs w:val="18"/>
                <w:b w:val="1"/>
                <w:bCs w:val="1"/>
                <w:color w:val="auto"/>
                <w:w w:val="88"/>
              </w:rPr>
              <w:t>Evergy Kansas</w:t>
            </w: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43"/>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September 30, 2023</w:t>
            </w: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Evergy</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3"/>
              </w:rPr>
              <w:t>Central</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Evergy Metro</w:t>
            </w:r>
          </w:p>
        </w:tc>
      </w:tr>
      <w:tr>
        <w:trPr>
          <w:trHeight w:val="222"/>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Derivative Assets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center"/>
              <w:ind w:right="91"/>
              <w:spacing w:after="0"/>
              <w:rPr>
                <w:sz w:val="20"/>
                <w:szCs w:val="20"/>
                <w:color w:val="auto"/>
              </w:rPr>
            </w:pPr>
            <w:r>
              <w:rPr>
                <w:rFonts w:ascii="Arial" w:cs="Arial" w:eastAsia="Arial" w:hAnsi="Arial"/>
                <w:sz w:val="16"/>
                <w:szCs w:val="16"/>
                <w:color w:val="auto"/>
                <w:w w:val="96"/>
              </w:rPr>
              <w:t>(millions)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300" w:type="dxa"/>
            <w:vAlign w:val="bottom"/>
          </w:tcPr>
          <w:p>
            <w:pPr>
              <w:ind w:left="140"/>
              <w:spacing w:after="0"/>
              <w:rPr>
                <w:sz w:val="20"/>
                <w:szCs w:val="20"/>
                <w:color w:val="auto"/>
              </w:rPr>
            </w:pPr>
            <w:r>
              <w:rPr>
                <w:rFonts w:ascii="Arial" w:cs="Arial" w:eastAsia="Arial" w:hAnsi="Arial"/>
                <w:sz w:val="18"/>
                <w:szCs w:val="18"/>
                <w:color w:val="auto"/>
              </w:rPr>
              <w:t>Current</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9"/>
        </w:trPr>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amounts recognized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3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Gross amounts offset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amounts presented in other assets - current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Long-Term</w:t>
            </w:r>
          </w:p>
        </w:tc>
        <w:tc>
          <w:tcPr>
            <w:tcW w:w="3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23"/>
        </w:trPr>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amounts recognized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Gross amounts offset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amounts presented in other assets - long-term</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300" w:type="dxa"/>
            <w:vAlign w:val="bottom"/>
          </w:tcPr>
          <w:p>
            <w:pPr>
              <w:ind w:left="240"/>
              <w:spacing w:after="0"/>
              <w:rPr>
                <w:sz w:val="20"/>
                <w:szCs w:val="20"/>
                <w:color w:val="auto"/>
              </w:rPr>
            </w:pPr>
            <w:r>
              <w:rPr>
                <w:rFonts w:ascii="Arial" w:cs="Arial" w:eastAsia="Arial" w:hAnsi="Arial"/>
                <w:sz w:val="18"/>
                <w:szCs w:val="18"/>
                <w:color w:val="auto"/>
              </w:rPr>
              <w:t>Gross amounts recognized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6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amounts presented in other liabilities - current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09"/>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r>
      <w:tr>
        <w:trPr>
          <w:trHeight w:val="223"/>
        </w:trPr>
        <w:tc>
          <w:tcPr>
            <w:tcW w:w="6300" w:type="dxa"/>
            <w:vAlign w:val="bottom"/>
          </w:tcPr>
          <w:p>
            <w:pPr>
              <w:ind w:left="240"/>
              <w:spacing w:after="0"/>
              <w:rPr>
                <w:sz w:val="20"/>
                <w:szCs w:val="20"/>
                <w:color w:val="auto"/>
              </w:rPr>
            </w:pPr>
            <w:r>
              <w:rPr>
                <w:rFonts w:ascii="Arial" w:cs="Arial" w:eastAsia="Arial" w:hAnsi="Arial"/>
                <w:sz w:val="18"/>
                <w:szCs w:val="18"/>
                <w:color w:val="auto"/>
              </w:rPr>
              <w:t>Gross amounts recognized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amounts presented in other liabilities - long-term</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center"/>
              <w:ind w:right="91"/>
              <w:spacing w:after="0" w:line="202" w:lineRule="exact"/>
              <w:rPr>
                <w:sz w:val="20"/>
                <w:szCs w:val="20"/>
                <w:color w:val="auto"/>
              </w:rPr>
            </w:pPr>
            <w:r>
              <w:rPr>
                <w:rFonts w:ascii="Arial" w:cs="Arial" w:eastAsia="Arial" w:hAnsi="Arial"/>
                <w:sz w:val="18"/>
                <w:szCs w:val="18"/>
                <w:b w:val="1"/>
                <w:bCs w:val="1"/>
                <w:color w:val="auto"/>
                <w:w w:val="88"/>
              </w:rPr>
              <w:t>Evergy Kansas</w:t>
            </w: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43"/>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2022</w:t>
            </w: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Evergy</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3"/>
              </w:rPr>
              <w:t>Central</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Evergy Metro</w:t>
            </w:r>
          </w:p>
        </w:tc>
      </w:tr>
      <w:tr>
        <w:trPr>
          <w:trHeight w:val="222"/>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Derivative Assets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center"/>
              <w:ind w:right="91"/>
              <w:spacing w:after="0"/>
              <w:rPr>
                <w:sz w:val="20"/>
                <w:szCs w:val="20"/>
                <w:color w:val="auto"/>
              </w:rPr>
            </w:pPr>
            <w:r>
              <w:rPr>
                <w:rFonts w:ascii="Arial" w:cs="Arial" w:eastAsia="Arial" w:hAnsi="Arial"/>
                <w:sz w:val="16"/>
                <w:szCs w:val="16"/>
                <w:color w:val="auto"/>
                <w:w w:val="96"/>
              </w:rPr>
              <w:t>(millions)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300" w:type="dxa"/>
            <w:vAlign w:val="bottom"/>
          </w:tcPr>
          <w:p>
            <w:pPr>
              <w:ind w:left="140"/>
              <w:spacing w:after="0"/>
              <w:rPr>
                <w:sz w:val="20"/>
                <w:szCs w:val="20"/>
                <w:color w:val="auto"/>
              </w:rPr>
            </w:pPr>
            <w:r>
              <w:rPr>
                <w:rFonts w:ascii="Arial" w:cs="Arial" w:eastAsia="Arial" w:hAnsi="Arial"/>
                <w:sz w:val="18"/>
                <w:szCs w:val="18"/>
                <w:color w:val="auto"/>
              </w:rPr>
              <w:t>Current</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9"/>
        </w:trPr>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amounts recognized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63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Gross amounts offset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amounts presented in other assets - current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Long-Term</w:t>
            </w:r>
          </w:p>
        </w:tc>
        <w:tc>
          <w:tcPr>
            <w:tcW w:w="3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23"/>
        </w:trPr>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amounts recognized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Gross amounts offset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amounts presented in other assets - long-term</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300" w:type="dxa"/>
            <w:vAlign w:val="bottom"/>
          </w:tcPr>
          <w:p>
            <w:pPr>
              <w:ind w:left="240"/>
              <w:spacing w:after="0"/>
              <w:rPr>
                <w:sz w:val="20"/>
                <w:szCs w:val="20"/>
                <w:color w:val="auto"/>
              </w:rPr>
            </w:pPr>
            <w:r>
              <w:rPr>
                <w:rFonts w:ascii="Arial" w:cs="Arial" w:eastAsia="Arial" w:hAnsi="Arial"/>
                <w:sz w:val="18"/>
                <w:szCs w:val="18"/>
                <w:color w:val="auto"/>
              </w:rPr>
              <w:t>Gross amounts recognized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259.8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250.7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6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amounts presented in other liabilities - current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09"/>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r>
      <w:tr>
        <w:trPr>
          <w:trHeight w:val="223"/>
        </w:trPr>
        <w:tc>
          <w:tcPr>
            <w:tcW w:w="6300" w:type="dxa"/>
            <w:vAlign w:val="bottom"/>
          </w:tcPr>
          <w:p>
            <w:pPr>
              <w:ind w:left="240"/>
              <w:spacing w:after="0"/>
              <w:rPr>
                <w:sz w:val="20"/>
                <w:szCs w:val="20"/>
                <w:color w:val="auto"/>
              </w:rPr>
            </w:pPr>
            <w:r>
              <w:rPr>
                <w:rFonts w:ascii="Arial" w:cs="Arial" w:eastAsia="Arial" w:hAnsi="Arial"/>
                <w:sz w:val="18"/>
                <w:szCs w:val="18"/>
                <w:color w:val="auto"/>
              </w:rPr>
              <w:t>Gross amounts recognized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63.1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amounts presented in other liabilities - long-term</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94"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 following table summarizes the amounts of gain (loss) recognized in income for the change in fair value of derivatives not designated as hedging instruments for the Evergy Companies.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Borders>
              <w:top w:val="single" w:sz="8" w:color="auto"/>
            </w:tcBorders>
          </w:tcPr>
          <w:p>
            <w:pPr>
              <w:spacing w:after="0"/>
              <w:rPr>
                <w:sz w:val="17"/>
                <w:szCs w:val="17"/>
                <w:color w:val="auto"/>
              </w:rPr>
            </w:pPr>
          </w:p>
        </w:tc>
        <w:tc>
          <w:tcPr>
            <w:tcW w:w="35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w w:val="99"/>
              </w:rPr>
              <w:t>Three Months Ended</w:t>
            </w:r>
          </w:p>
        </w:tc>
        <w:tc>
          <w:tcPr>
            <w:tcW w:w="3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gridSpan w:val="3"/>
          </w:tcPr>
          <w:p>
            <w:pPr>
              <w:jc w:val="right"/>
              <w:ind w:right="690"/>
              <w:spacing w:after="0" w:line="202" w:lineRule="exact"/>
              <w:rPr>
                <w:sz w:val="20"/>
                <w:szCs w:val="20"/>
                <w:color w:val="auto"/>
              </w:rPr>
            </w:pPr>
            <w:r>
              <w:rPr>
                <w:rFonts w:ascii="Arial" w:cs="Arial" w:eastAsia="Arial" w:hAnsi="Arial"/>
                <w:sz w:val="18"/>
                <w:szCs w:val="18"/>
                <w:b w:val="1"/>
                <w:bCs w:val="1"/>
                <w:color w:val="auto"/>
              </w:rPr>
              <w:t>Year to Date</w:t>
            </w:r>
          </w:p>
        </w:tc>
      </w:tr>
      <w:tr>
        <w:trPr>
          <w:trHeight w:val="234"/>
        </w:trPr>
        <w:tc>
          <w:tcPr>
            <w:tcW w:w="27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September 30</w:t>
            </w:r>
          </w:p>
        </w:tc>
      </w:tr>
      <w:tr>
        <w:trPr>
          <w:trHeight w:val="238"/>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Location of gain (loss)</w:t>
            </w:r>
          </w:p>
        </w:tc>
        <w:tc>
          <w:tcPr>
            <w:tcW w:w="354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Contract type</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2023</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23"/>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3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35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Commodity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8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38.4</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23"/>
        </w:trPr>
        <w:tc>
          <w:tcPr>
            <w:tcW w:w="2740" w:type="dxa"/>
            <w:vAlign w:val="bottom"/>
          </w:tcPr>
          <w:p>
            <w:pPr>
              <w:ind w:left="240"/>
              <w:spacing w:after="0"/>
              <w:rPr>
                <w:sz w:val="20"/>
                <w:szCs w:val="20"/>
                <w:color w:val="auto"/>
              </w:rPr>
            </w:pPr>
            <w:r>
              <w:rPr>
                <w:rFonts w:ascii="Arial" w:cs="Arial" w:eastAsia="Arial" w:hAnsi="Arial"/>
                <w:sz w:val="18"/>
                <w:szCs w:val="18"/>
                <w:color w:val="auto"/>
              </w:rPr>
              <w:t>Total</w:t>
            </w:r>
          </w:p>
        </w:tc>
        <w:tc>
          <w:tcPr>
            <w:tcW w:w="35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88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5"/>
              </w:rPr>
              <w:t>38.4</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3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2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revenues</w:t>
            </w:r>
          </w:p>
        </w:tc>
        <w:tc>
          <w:tcPr>
            <w:tcW w:w="3540" w:type="dxa"/>
            <w:vAlign w:val="bottom"/>
            <w:tcBorders>
              <w:bottom w:val="single" w:sz="8" w:color="CCEEFF"/>
            </w:tcBorders>
          </w:tcPr>
          <w:p>
            <w:pPr>
              <w:ind w:left="920"/>
              <w:spacing w:after="0"/>
              <w:rPr>
                <w:sz w:val="20"/>
                <w:szCs w:val="20"/>
                <w:color w:val="auto"/>
              </w:rPr>
            </w:pPr>
            <w:r>
              <w:rPr>
                <w:rFonts w:ascii="Arial" w:cs="Arial" w:eastAsia="Arial" w:hAnsi="Arial"/>
                <w:sz w:val="18"/>
                <w:szCs w:val="18"/>
                <w:color w:val="auto"/>
              </w:rPr>
              <w:t>Commodity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38.4</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r>
      <w:tr>
        <w:trPr>
          <w:trHeight w:val="230"/>
        </w:trPr>
        <w:tc>
          <w:tcPr>
            <w:tcW w:w="27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5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8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38.4</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r>
    </w:tbl>
    <w:p>
      <w:pPr>
        <w:spacing w:after="0" w:line="28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Credit risk of the Evergy Companies' derivative instruments relates to the potential adverse financial impact resulting from non-performance by a counterparty of its contractual obligations. The Evergy Companies maintain credit policies and employ credit risk mitigation, such as collateral requirements or letters of credit, when necessary to minimize their overall credit risk and monitor exposure. Substantially all of the Evergy Companies' counterparty credit risk associated with derivative instruments relates to Evergy Kansas Central's non-regulated energy marketing activities. As of September 30, 2023, if counterparty groups completely failed to perform on contracts, Evergy's and Evergy Kansas Central's maximum exposure related to derivative assets was $39.7 million. As of September 30, 2023, the potential loss after the consideration of applicable master netting arrangements and collateral received for Evergy and Evergy Kansas Central was $32.6 million.</w:t>
      </w:r>
    </w:p>
    <w:p>
      <w:pPr>
        <w:spacing w:after="0" w:line="174" w:lineRule="exact"/>
        <w:rPr>
          <w:sz w:val="20"/>
          <w:szCs w:val="20"/>
          <w:color w:val="auto"/>
        </w:rPr>
      </w:pPr>
    </w:p>
    <w:p>
      <w:pPr>
        <w:ind w:right="80"/>
        <w:spacing w:after="0" w:line="267" w:lineRule="auto"/>
        <w:rPr>
          <w:sz w:val="20"/>
          <w:szCs w:val="20"/>
          <w:color w:val="auto"/>
        </w:rPr>
      </w:pPr>
      <w:r>
        <w:rPr>
          <w:rFonts w:ascii="Arial" w:cs="Arial" w:eastAsia="Arial" w:hAnsi="Arial"/>
          <w:sz w:val="19"/>
          <w:szCs w:val="19"/>
          <w:color w:val="auto"/>
        </w:rPr>
        <w:t>Certain of the Evergy Companies' derivative instruments contain collateral provisions that are tied to the Evergy Companies' credit ratings and may require the posting of collateral for various reasons, including if the Evergy Companies' credit ratings were to fall below investment grade. Substantially all of these derivative instruments relate to Evergy Kansas Central's non-regulated energy marketing activities. The aggregate fair value of all derivative instruments with credit-risk-related contingent features that were in a liability position as of September 30, 2023, was $36.0 million for which Evergy and Evergy Kansas Central have posted collateral of $0.6 million in the normal course of business. If the credit-risk-related contingent features underlying these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1100"/>
        <w:spacing w:after="0" w:line="274" w:lineRule="auto"/>
        <w:rPr>
          <w:sz w:val="20"/>
          <w:szCs w:val="20"/>
          <w:color w:val="auto"/>
        </w:rPr>
      </w:pPr>
      <w:r>
        <w:rPr>
          <w:rFonts w:ascii="Arial" w:cs="Arial" w:eastAsia="Arial" w:hAnsi="Arial"/>
          <w:sz w:val="20"/>
          <w:szCs w:val="20"/>
          <w:color w:val="auto"/>
        </w:rPr>
        <w:t>agreements were triggered as of September 30, 2023, Evergy and Evergy Kansas Central could be required to post an additional $35.2 million of collateral to their counterparties.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Values of Financial Instruments</w:t>
      </w:r>
    </w:p>
    <w:p>
      <w:pPr>
        <w:spacing w:after="0" w:line="22"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auto"/>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net asset value (NAV), which are not included in the fair value hierarchy. Further explanation of these levels and NAV is summarized below.</w:t>
      </w:r>
    </w:p>
    <w:p>
      <w:pPr>
        <w:spacing w:after="0" w:line="185" w:lineRule="exact"/>
        <w:rPr>
          <w:sz w:val="20"/>
          <w:szCs w:val="20"/>
          <w:color w:val="auto"/>
        </w:rPr>
      </w:pPr>
    </w:p>
    <w:p>
      <w:pPr>
        <w:ind w:right="60"/>
        <w:spacing w:after="0" w:line="264" w:lineRule="auto"/>
        <w:rPr>
          <w:sz w:val="20"/>
          <w:szCs w:val="20"/>
          <w:color w:val="auto"/>
        </w:rPr>
      </w:pPr>
      <w:r>
        <w:rPr>
          <w:rFonts w:ascii="Arial" w:cs="Arial" w:eastAsia="Arial" w:hAnsi="Arial"/>
          <w:sz w:val="20"/>
          <w:szCs w:val="20"/>
          <w:color w:val="auto"/>
        </w:rPr>
        <w:t>Level 1 – Quoted prices are available in active markets for identical assets or liabilities. The types of assets and liabilities included in Level 1 are highly liquid and actively traded instruments with quoted prices, such as equities listed on public exchanges or exchange-traded derivative instruments.</w:t>
      </w:r>
    </w:p>
    <w:p>
      <w:pPr>
        <w:spacing w:after="0" w:line="173"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Level 2 – Pricing inputs are not quoted prices in active markets but are either directly or indirectly observable. The types of assets and liabilities included in Level 2 are certain marketable debt securities, financial instruments traded in less than active markets, non-exchange traded derivative instruments with observable forward curves and options contracts.</w:t>
      </w:r>
    </w:p>
    <w:p>
      <w:pPr>
        <w:spacing w:after="0" w:line="193" w:lineRule="exact"/>
        <w:rPr>
          <w:sz w:val="20"/>
          <w:szCs w:val="20"/>
          <w:color w:val="auto"/>
        </w:rPr>
      </w:pPr>
    </w:p>
    <w:p>
      <w:pPr>
        <w:ind w:right="400"/>
        <w:spacing w:after="0" w:line="255" w:lineRule="auto"/>
        <w:rPr>
          <w:sz w:val="20"/>
          <w:szCs w:val="20"/>
          <w:color w:val="auto"/>
        </w:rPr>
      </w:pPr>
      <w:r>
        <w:rPr>
          <w:rFonts w:ascii="Arial" w:cs="Arial" w:eastAsia="Arial" w:hAnsi="Arial"/>
          <w:sz w:val="20"/>
          <w:szCs w:val="20"/>
          <w:color w:val="auto"/>
        </w:rPr>
        <w:t>Level 3 – Significant inputs to pricing have little or no transparency. The types of assets and liabilities included in Level 3 are those with inputs requiring significant management judgment or estimation. The types of assets and liabilities included in Level 3 are non-exchange traded derivative instruments for which observable market data is not available to corroborate the valuation inputs and transmission congestion rights (TCRs) in the SPP Integrated Marketplace.</w:t>
      </w:r>
    </w:p>
    <w:p>
      <w:pPr>
        <w:spacing w:after="0" w:line="184"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spacing w:after="0" w:line="16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Evergy Companies record cash and cash equivalents, accounts receivable and short-term borrowings on their consolidated balance sheets at cost, which approximates fair value due to the short-term nature of these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Long-Term Debt</w:t>
      </w:r>
    </w:p>
    <w:p>
      <w:pPr>
        <w:spacing w:after="0" w:line="22"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The Evergy Companies measure the fair value of long-term debt using Level 2 measurements available as of the measurement date. The book value and fair value of the Evergy Companies' long-term debt are summarized in the following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960" w:type="dxa"/>
            <w:vAlign w:val="bottom"/>
            <w:tcBorders>
              <w:top w:val="single" w:sz="8" w:color="auto"/>
            </w:tcBorders>
            <w:gridSpan w:val="4"/>
          </w:tcPr>
          <w:p>
            <w:pPr>
              <w:ind w:left="54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51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18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Long-term debt</w:t>
            </w:r>
            <w:r>
              <w:rPr>
                <w:rFonts w:ascii="Arial" w:cs="Arial" w:eastAsia="Arial" w:hAnsi="Arial"/>
                <w:sz w:val="23"/>
                <w:szCs w:val="23"/>
                <w:b w:val="1"/>
                <w:bCs w:val="1"/>
                <w:color w:val="auto"/>
                <w:vertAlign w:val="superscript"/>
              </w:rPr>
              <w:t>(a)</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(millions)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Evergy</w:t>
            </w:r>
            <w:r>
              <w:rPr>
                <w:rFonts w:ascii="Arial" w:cs="Arial" w:eastAsia="Arial" w:hAnsi="Arial"/>
                <w:sz w:val="23"/>
                <w:szCs w:val="23"/>
                <w:color w:val="auto"/>
                <w:vertAlign w:val="superscript"/>
              </w:rPr>
              <w:t>(b)</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10,187.0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8,695.6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10,344.8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9,160.0</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1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4,282.4</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3,936.9</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3,389.4</w:t>
            </w:r>
          </w:p>
        </w:tc>
      </w:tr>
      <w:tr>
        <w:trPr>
          <w:trHeight w:val="237"/>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2,925.2</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2,567.4</w:t>
            </w:r>
          </w:p>
        </w:tc>
        <w:tc>
          <w:tcPr>
            <w:tcW w:w="2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2,926.6</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2,661.7</w:t>
            </w:r>
          </w:p>
        </w:tc>
      </w:tr>
    </w:tbl>
    <w:p>
      <w:pPr>
        <w:spacing w:after="0" w:line="57"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Includes current maturities.</w:t>
      </w:r>
    </w:p>
    <w:p>
      <w:pPr>
        <w:spacing w:after="0" w:line="10" w:lineRule="exact"/>
        <w:rPr>
          <w:rFonts w:ascii="Arial" w:cs="Arial" w:eastAsia="Arial" w:hAnsi="Arial"/>
          <w:sz w:val="18"/>
          <w:szCs w:val="18"/>
          <w:color w:val="auto"/>
          <w:vertAlign w:val="superscript"/>
        </w:rPr>
      </w:pPr>
    </w:p>
    <w:p>
      <w:pPr>
        <w:ind w:left="180" w:right="280" w:hanging="172"/>
        <w:spacing w:after="0" w:line="244" w:lineRule="auto"/>
        <w:tabs>
          <w:tab w:leader="none" w:pos="167"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Book value as of September 30, 2023 and December 31, 2022, includes $88.4 million and $92.1 million, respectively, of fair value adjustments recorded in connection with purchase accounting for the Great Plains Energy and Evergy Kansas Central merger, which are not part of future principal payments and will amortize over the remaining life of the associated debt instrument.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Recurring Fair Value Measurements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include balances of financial assets and liabilities measured at fair value on a recurring basis.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1560" w:type="dxa"/>
            <w:vAlign w:val="bottom"/>
            <w:tcBorders>
              <w:top w:val="single" w:sz="8" w:color="auto"/>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w w:val="92"/>
              </w:rPr>
              <w:t>September 30, 2023</w:t>
            </w: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7"/>
              </w:rPr>
              <w:t>Netting</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Level 1</w:t>
            </w: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Level 2</w:t>
            </w:r>
          </w:p>
        </w:tc>
        <w:tc>
          <w:tcPr>
            <w:tcW w:w="3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Level 3</w:t>
            </w:r>
          </w:p>
        </w:tc>
        <w:tc>
          <w:tcPr>
            <w:tcW w:w="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NAV</w:t>
            </w:r>
          </w:p>
        </w:tc>
      </w:tr>
      <w:tr>
        <w:trPr>
          <w:trHeight w:val="207"/>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Evergy Kansas Central</w:t>
            </w: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Assets</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2"/>
        </w:trPr>
        <w:tc>
          <w:tcPr>
            <w:tcW w:w="4140" w:type="dxa"/>
            <w:vAlign w:val="bottom"/>
          </w:tcPr>
          <w:p>
            <w:pPr>
              <w:ind w:left="140"/>
              <w:spacing w:after="0" w:line="222"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equity funds</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128.3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13"/>
        </w:trPr>
        <w:tc>
          <w:tcPr>
            <w:tcW w:w="4140" w:type="dxa"/>
            <w:vAlign w:val="bottom"/>
          </w:tcPr>
          <w:p>
            <w:pPr>
              <w:ind w:left="220"/>
              <w:spacing w:after="0"/>
              <w:rPr>
                <w:sz w:val="20"/>
                <w:szCs w:val="20"/>
                <w:color w:val="auto"/>
              </w:rPr>
            </w:pPr>
            <w:r>
              <w:rPr>
                <w:rFonts w:ascii="Arial" w:cs="Arial" w:eastAsia="Arial" w:hAnsi="Arial"/>
                <w:sz w:val="16"/>
                <w:szCs w:val="16"/>
                <w:color w:val="auto"/>
              </w:rPr>
              <w:t>International equity funds</w:t>
            </w:r>
          </w:p>
        </w:tc>
        <w:tc>
          <w:tcPr>
            <w:tcW w:w="5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68.1</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68.1</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bond fund</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53.2</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40" w:type="dxa"/>
            <w:vAlign w:val="bottom"/>
          </w:tcPr>
          <w:p>
            <w:pPr>
              <w:ind w:left="220"/>
              <w:spacing w:after="0"/>
              <w:rPr>
                <w:sz w:val="20"/>
                <w:szCs w:val="20"/>
                <w:color w:val="auto"/>
              </w:rPr>
            </w:pPr>
            <w:r>
              <w:rPr>
                <w:rFonts w:ascii="Arial" w:cs="Arial" w:eastAsia="Arial" w:hAnsi="Arial"/>
                <w:sz w:val="16"/>
                <w:szCs w:val="16"/>
                <w:color w:val="auto"/>
              </w:rPr>
              <w:t>High-yield bond fund</w:t>
            </w:r>
          </w:p>
        </w:tc>
        <w:tc>
          <w:tcPr>
            <w:tcW w:w="5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27.9</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27.9</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 bond fund</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17.2</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40" w:type="dxa"/>
            <w:vAlign w:val="bottom"/>
          </w:tcPr>
          <w:p>
            <w:pPr>
              <w:ind w:left="220"/>
              <w:spacing w:after="0"/>
              <w:rPr>
                <w:sz w:val="20"/>
                <w:szCs w:val="20"/>
                <w:color w:val="auto"/>
              </w:rPr>
            </w:pPr>
            <w:r>
              <w:rPr>
                <w:rFonts w:ascii="Arial" w:cs="Arial" w:eastAsia="Arial" w:hAnsi="Arial"/>
                <w:sz w:val="16"/>
                <w:szCs w:val="16"/>
                <w:color w:val="auto"/>
              </w:rPr>
              <w:t>Alternative investments fund</w:t>
            </w:r>
          </w:p>
        </w:tc>
        <w:tc>
          <w:tcPr>
            <w:tcW w:w="5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35.1</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35.1</w:t>
            </w:r>
          </w:p>
        </w:tc>
      </w:tr>
      <w:tr>
        <w:trPr>
          <w:trHeight w:val="219"/>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Real estate securities fund</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17.3</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13"/>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0.5</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nuclear decommissioning trust</w:t>
            </w: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347.6</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284.7</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w:t>
            </w:r>
          </w:p>
        </w:tc>
      </w:tr>
      <w:tr>
        <w:trPr>
          <w:trHeight w:val="193"/>
        </w:trPr>
        <w:tc>
          <w:tcPr>
            <w:tcW w:w="4140" w:type="dxa"/>
            <w:vAlign w:val="bottom"/>
          </w:tcPr>
          <w:p>
            <w:pPr>
              <w:ind w:left="140"/>
              <w:spacing w:after="0"/>
              <w:rPr>
                <w:sz w:val="20"/>
                <w:szCs w:val="20"/>
                <w:color w:val="auto"/>
              </w:rPr>
            </w:pPr>
            <w:r>
              <w:rPr>
                <w:rFonts w:ascii="Arial" w:cs="Arial" w:eastAsia="Arial" w:hAnsi="Arial"/>
                <w:sz w:val="16"/>
                <w:szCs w:val="16"/>
                <w:color w:val="auto"/>
              </w:rPr>
              <w:t>Rabbi trust</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9"/>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Fixed income funds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14.3</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40" w:type="dxa"/>
            <w:vAlign w:val="bottom"/>
          </w:tcPr>
          <w:p>
            <w:pPr>
              <w:ind w:left="220"/>
              <w:spacing w:after="0"/>
              <w:rPr>
                <w:sz w:val="20"/>
                <w:szCs w:val="20"/>
                <w:color w:val="auto"/>
              </w:rPr>
            </w:pPr>
            <w:r>
              <w:rPr>
                <w:rFonts w:ascii="Arial" w:cs="Arial" w:eastAsia="Arial" w:hAnsi="Arial"/>
                <w:sz w:val="16"/>
                <w:szCs w:val="16"/>
                <w:color w:val="auto"/>
              </w:rPr>
              <w:t>Equity funds</w:t>
            </w:r>
          </w:p>
        </w:tc>
        <w:tc>
          <w:tcPr>
            <w:tcW w:w="5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6.9</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Combination debt/equity/other fund</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0.2</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4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rabbi trust</w:t>
            </w: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23.1</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23.1</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4140" w:type="dxa"/>
            <w:vAlign w:val="bottom"/>
          </w:tcPr>
          <w:p>
            <w:pPr>
              <w:ind w:left="140"/>
              <w:spacing w:after="0" w:line="19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Power</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42.7</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33.2</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Natural gas</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0.2</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4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derivative assets</w:t>
            </w: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44.7</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30.3</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33.4</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7.9</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assets</w:t>
            </w: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415.4</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338.1</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33.4</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7.9</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w:t>
            </w:r>
          </w:p>
        </w:tc>
      </w:tr>
      <w:tr>
        <w:trPr>
          <w:trHeight w:val="19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414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Power</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40.4</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36.6</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Natural gas</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derivative liabilities</w:t>
            </w: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42.0</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36.6</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4.3</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1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 Metro</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Assets</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41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414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271.8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271.8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4140" w:type="dxa"/>
            <w:vAlign w:val="bottom"/>
          </w:tcPr>
          <w:p>
            <w:pPr>
              <w:ind w:left="360"/>
              <w:spacing w:after="0"/>
              <w:rPr>
                <w:sz w:val="20"/>
                <w:szCs w:val="20"/>
                <w:color w:val="auto"/>
              </w:rPr>
            </w:pPr>
            <w:r>
              <w:rPr>
                <w:rFonts w:ascii="Arial" w:cs="Arial" w:eastAsia="Arial" w:hAnsi="Arial"/>
                <w:sz w:val="16"/>
                <w:szCs w:val="16"/>
                <w:color w:val="auto"/>
              </w:rPr>
              <w:t>U.S. Treasury</w:t>
            </w:r>
          </w:p>
        </w:tc>
        <w:tc>
          <w:tcPr>
            <w:tcW w:w="5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44.8</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44.8</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State and local obligations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40" w:type="dxa"/>
            <w:vAlign w:val="bottom"/>
          </w:tcPr>
          <w:p>
            <w:pPr>
              <w:ind w:left="360"/>
              <w:spacing w:after="0"/>
              <w:rPr>
                <w:sz w:val="20"/>
                <w:szCs w:val="20"/>
                <w:color w:val="auto"/>
              </w:rPr>
            </w:pPr>
            <w:r>
              <w:rPr>
                <w:rFonts w:ascii="Arial" w:cs="Arial" w:eastAsia="Arial" w:hAnsi="Arial"/>
                <w:sz w:val="16"/>
                <w:szCs w:val="16"/>
                <w:color w:val="auto"/>
              </w:rPr>
              <w:t>Corporate bonds</w:t>
            </w:r>
          </w:p>
        </w:tc>
        <w:tc>
          <w:tcPr>
            <w:tcW w:w="5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40.6</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40.6</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governments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nuclear decommissioning trust</w:t>
            </w: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363.6</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319.3</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44.3</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4140" w:type="dxa"/>
            <w:vAlign w:val="bottom"/>
          </w:tcPr>
          <w:p>
            <w:pPr>
              <w:ind w:left="140"/>
              <w:spacing w:after="0" w:line="196"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(c)</w:t>
            </w: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securities</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40" w:type="dxa"/>
            <w:vAlign w:val="bottom"/>
          </w:tcPr>
          <w:p>
            <w:pPr>
              <w:ind w:left="220"/>
              <w:spacing w:after="0"/>
              <w:rPr>
                <w:sz w:val="20"/>
                <w:szCs w:val="20"/>
                <w:color w:val="auto"/>
              </w:rPr>
            </w:pPr>
            <w:r>
              <w:rPr>
                <w:rFonts w:ascii="Arial" w:cs="Arial" w:eastAsia="Arial" w:hAnsi="Arial"/>
                <w:sz w:val="16"/>
                <w:szCs w:val="16"/>
                <w:color w:val="auto"/>
              </w:rPr>
              <w:t>Debt securities</w:t>
            </w:r>
          </w:p>
        </w:tc>
        <w:tc>
          <w:tcPr>
            <w:tcW w:w="5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8.3</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6.2</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1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self-insured health plan trust</w:t>
            </w: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13.9</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6.2</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140" w:type="dxa"/>
            <w:vAlign w:val="bottom"/>
            <w:shd w:val="clear" w:color="auto" w:fill="CCEEFF"/>
          </w:tcPr>
          <w:p>
            <w:pPr>
              <w:ind w:left="140"/>
              <w:spacing w:after="0" w:line="199"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Power</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3.0</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derivative assets</w:t>
            </w: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3.0</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assets</w:t>
            </w: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377.5</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327.0</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50.5</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3.0</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414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Power</w:t>
            </w: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4.9</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1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derivative liabilities</w:t>
            </w: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4.9</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1560" w:type="dxa"/>
            <w:vAlign w:val="bottom"/>
            <w:tcBorders>
              <w:top w:val="single" w:sz="8" w:color="auto"/>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w w:val="92"/>
              </w:rPr>
              <w:t>September 30, 2023</w:t>
            </w: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7"/>
              </w:rPr>
              <w:t>Netting</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Level 1</w:t>
            </w: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Level 2</w:t>
            </w:r>
          </w:p>
        </w:tc>
        <w:tc>
          <w:tcPr>
            <w:tcW w:w="3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Level 3</w:t>
            </w:r>
          </w:p>
        </w:tc>
        <w:tc>
          <w:tcPr>
            <w:tcW w:w="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NAV</w:t>
            </w:r>
          </w:p>
        </w:tc>
      </w:tr>
      <w:tr>
        <w:trPr>
          <w:trHeight w:val="207"/>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Other Evergy</w:t>
            </w: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Assets</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4140" w:type="dxa"/>
            <w:vAlign w:val="bottom"/>
          </w:tcPr>
          <w:p>
            <w:pPr>
              <w:ind w:left="180"/>
              <w:spacing w:after="0"/>
              <w:rPr>
                <w:sz w:val="20"/>
                <w:szCs w:val="20"/>
                <w:color w:val="auto"/>
              </w:rPr>
            </w:pPr>
            <w:r>
              <w:rPr>
                <w:rFonts w:ascii="Arial" w:cs="Arial" w:eastAsia="Arial" w:hAnsi="Arial"/>
                <w:sz w:val="16"/>
                <w:szCs w:val="16"/>
                <w:color w:val="auto"/>
              </w:rPr>
              <w:t>Rabbi trusts</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9"/>
        </w:trPr>
        <w:tc>
          <w:tcPr>
            <w:tcW w:w="4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Core bond fund</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1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rabbi trusts</w:t>
            </w: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8.4</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140" w:type="dxa"/>
            <w:vAlign w:val="bottom"/>
            <w:shd w:val="clear" w:color="auto" w:fill="CCEEFF"/>
          </w:tcPr>
          <w:p>
            <w:pPr>
              <w:ind w:left="140"/>
              <w:spacing w:after="0" w:line="199"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Power</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4.6</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derivative assets</w:t>
            </w: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4.6</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assets</w:t>
            </w: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12.2</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4.6</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4140" w:type="dxa"/>
            <w:vAlign w:val="bottom"/>
          </w:tcPr>
          <w:p>
            <w:pPr>
              <w:ind w:left="120"/>
              <w:spacing w:after="0"/>
              <w:rPr>
                <w:sz w:val="20"/>
                <w:szCs w:val="20"/>
                <w:color w:val="auto"/>
              </w:rPr>
            </w:pPr>
            <w:r>
              <w:rPr>
                <w:rFonts w:ascii="Arial" w:cs="Arial" w:eastAsia="Arial" w:hAnsi="Arial"/>
                <w:sz w:val="16"/>
                <w:szCs w:val="16"/>
                <w:color w:val="auto"/>
              </w:rPr>
              <w:t>Derivative instruments</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41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Power</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0.9</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Natural gas</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0.3</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derivative liabilities</w:t>
            </w: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0.3</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0.9</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1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0.3</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Assets</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41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711.2</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604.0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44.3</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r>
      <w:tr>
        <w:trPr>
          <w:trHeight w:val="213"/>
        </w:trPr>
        <w:tc>
          <w:tcPr>
            <w:tcW w:w="4140" w:type="dxa"/>
            <w:vAlign w:val="bottom"/>
          </w:tcPr>
          <w:p>
            <w:pPr>
              <w:ind w:left="140"/>
              <w:spacing w:after="0"/>
              <w:rPr>
                <w:sz w:val="20"/>
                <w:szCs w:val="20"/>
                <w:color w:val="auto"/>
              </w:rPr>
            </w:pPr>
            <w:r>
              <w:rPr>
                <w:rFonts w:ascii="Arial" w:cs="Arial" w:eastAsia="Arial" w:hAnsi="Arial"/>
                <w:sz w:val="16"/>
                <w:szCs w:val="16"/>
                <w:color w:val="auto"/>
              </w:rPr>
              <w:t>Rabbi trusts</w:t>
            </w:r>
          </w:p>
        </w:tc>
        <w:tc>
          <w:tcPr>
            <w:tcW w:w="5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31.5</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31.5</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1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(c)</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13.9</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6.2</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14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1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Power</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46.5</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33.2</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15.5</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Natural gas</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0.2</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derivative assets</w:t>
            </w: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48.5</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30.3</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33.4</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15.5</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assets</w:t>
            </w: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805.1</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673.5</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83.9</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15.5</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w:t>
            </w:r>
          </w:p>
        </w:tc>
      </w:tr>
      <w:tr>
        <w:trPr>
          <w:trHeight w:val="19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414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Power</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42.3</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36.6</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10.1</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Natural gas</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derivative liabilities</w:t>
            </w: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44.2</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36.9</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10.1</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1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2240" w:type="dxa"/>
            <w:vAlign w:val="bottom"/>
            <w:tcBorders>
              <w:top w:val="single" w:sz="8" w:color="auto"/>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Netting</w:t>
            </w: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2"/>
              </w:rPr>
              <w:t>Level 1</w:t>
            </w: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Level 2</w:t>
            </w: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2"/>
              </w:rPr>
              <w:t>Level 3</w:t>
            </w:r>
          </w:p>
        </w:tc>
        <w:tc>
          <w:tcPr>
            <w:tcW w:w="2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NAV</w:t>
            </w:r>
          </w:p>
        </w:tc>
      </w:tr>
      <w:tr>
        <w:trPr>
          <w:trHeight w:val="207"/>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Evergy Kansas Central</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9"/>
              <w:spacing w:after="0"/>
              <w:rPr>
                <w:sz w:val="20"/>
                <w:szCs w:val="20"/>
                <w:color w:val="auto"/>
              </w:rPr>
            </w:pPr>
            <w:r>
              <w:rPr>
                <w:rFonts w:ascii="Arial" w:cs="Arial" w:eastAsia="Arial" w:hAnsi="Arial"/>
                <w:sz w:val="16"/>
                <w:szCs w:val="16"/>
                <w:color w:val="auto"/>
              </w:rPr>
              <w:t>(millions)</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6"/>
                <w:szCs w:val="16"/>
                <w:color w:val="auto"/>
              </w:rPr>
              <w:t>Assets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4040" w:type="dxa"/>
            <w:vAlign w:val="bottom"/>
          </w:tcPr>
          <w:p>
            <w:pPr>
              <w:ind w:left="180"/>
              <w:spacing w:after="0" w:line="222"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equity funds</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112.5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International equity funds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62.9</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62.9</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bond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51.0</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51.0</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High-yield bond fund</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25.3</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25.3</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 bond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16.0</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16.0</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Alternative investments fund</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31.8</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Real estate securities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18.9</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13"/>
        </w:trPr>
        <w:tc>
          <w:tcPr>
            <w:tcW w:w="4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0.4</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0.4</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nuclear decommissioning trust</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318.8</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256.0</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w:t>
            </w:r>
          </w:p>
        </w:tc>
      </w:tr>
      <w:tr>
        <w:trPr>
          <w:trHeight w:val="193"/>
        </w:trPr>
        <w:tc>
          <w:tcPr>
            <w:tcW w:w="4040" w:type="dxa"/>
            <w:vAlign w:val="bottom"/>
          </w:tcPr>
          <w:p>
            <w:pPr>
              <w:ind w:left="180"/>
              <w:spacing w:after="0"/>
              <w:rPr>
                <w:sz w:val="20"/>
                <w:szCs w:val="20"/>
                <w:color w:val="auto"/>
              </w:rPr>
            </w:pPr>
            <w:r>
              <w:rPr>
                <w:rFonts w:ascii="Arial" w:cs="Arial" w:eastAsia="Arial" w:hAnsi="Arial"/>
                <w:sz w:val="16"/>
                <w:szCs w:val="16"/>
                <w:color w:val="auto"/>
              </w:rPr>
              <w:t>Rabbi trust</w:t>
            </w: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Fixed income funds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15.6</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15.6</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Equity funds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7.3</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Combination debt/equity/other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rabbi trust</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24.9</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24.9</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4040" w:type="dxa"/>
            <w:vAlign w:val="bottom"/>
          </w:tcPr>
          <w:p>
            <w:pPr>
              <w:ind w:left="140"/>
              <w:spacing w:after="0" w:line="19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Power</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42.6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46.5</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10.3</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Natural gas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7.3</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(215.3)</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222.5</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derivative assets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49.9</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(275.0)</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268.0</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46.6</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10.3</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assets</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393.6</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(275.0)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548.9</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46.6</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10.3</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w:t>
            </w:r>
          </w:p>
        </w:tc>
      </w:tr>
      <w:tr>
        <w:trPr>
          <w:trHeight w:val="19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04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Power</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46.6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55.9</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Natural gas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(215.3)</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216.6</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derivative liabilities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48.0</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(265.8)</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250.6</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56.0</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7.2</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0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13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56.0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 Metro</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Assets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243.4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243.4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U.S. Treasury</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40.7</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40.7</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Agency</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0.4</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0.4</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State and local obligations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4.2</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 bonds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39.1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39.1</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Foreign governments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equivalents</w:t>
            </w:r>
          </w:p>
        </w:tc>
        <w:tc>
          <w:tcPr>
            <w:tcW w:w="9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6.6</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6.6</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nuclear decommissioning trust</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334.5</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291.1</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43.4</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040" w:type="dxa"/>
            <w:vAlign w:val="bottom"/>
            <w:shd w:val="clear" w:color="auto" w:fill="CCEEFF"/>
          </w:tcPr>
          <w:p>
            <w:pPr>
              <w:ind w:left="180"/>
              <w:spacing w:after="0" w:line="19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(c)</w:t>
            </w: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8.0</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and cash equivalents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self-insured health plan trust</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11.2</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5.7</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5.5</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4040" w:type="dxa"/>
            <w:vAlign w:val="bottom"/>
          </w:tcPr>
          <w:p>
            <w:pPr>
              <w:ind w:left="140"/>
              <w:spacing w:after="0" w:line="19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Power</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04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derivative assets</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345.7</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296.8</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48.9</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40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Power</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0.6</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derivative liabilities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0.6</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4.1</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0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13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2220" w:type="dxa"/>
            <w:vAlign w:val="bottom"/>
            <w:tcBorders>
              <w:top w:val="single" w:sz="8" w:color="auto"/>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4"/>
              </w:rPr>
              <w:t>Netting</w:t>
            </w: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2"/>
              </w:rPr>
              <w:t>Level 1</w:t>
            </w: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Level 2</w:t>
            </w: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2"/>
              </w:rPr>
              <w:t>Level 3</w:t>
            </w:r>
          </w:p>
        </w:tc>
        <w:tc>
          <w:tcPr>
            <w:tcW w:w="2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NAV</w:t>
            </w:r>
          </w:p>
        </w:tc>
      </w:tr>
      <w:tr>
        <w:trPr>
          <w:trHeight w:val="207"/>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Other Evergy</w:t>
            </w: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9"/>
              <w:spacing w:after="0"/>
              <w:rPr>
                <w:sz w:val="20"/>
                <w:szCs w:val="20"/>
                <w:color w:val="auto"/>
              </w:rPr>
            </w:pPr>
            <w:r>
              <w:rPr>
                <w:rFonts w:ascii="Arial" w:cs="Arial" w:eastAsia="Arial" w:hAnsi="Arial"/>
                <w:sz w:val="16"/>
                <w:szCs w:val="16"/>
                <w:color w:val="auto"/>
              </w:rPr>
              <w:t>(millions)</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6"/>
                <w:szCs w:val="16"/>
                <w:color w:val="auto"/>
              </w:rPr>
              <w:t>Assets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40" w:type="dxa"/>
            <w:vAlign w:val="bottom"/>
          </w:tcPr>
          <w:p>
            <w:pPr>
              <w:ind w:left="180"/>
              <w:spacing w:after="0"/>
              <w:rPr>
                <w:sz w:val="20"/>
                <w:szCs w:val="20"/>
                <w:color w:val="auto"/>
              </w:rPr>
            </w:pPr>
            <w:r>
              <w:rPr>
                <w:rFonts w:ascii="Arial" w:cs="Arial" w:eastAsia="Arial" w:hAnsi="Arial"/>
                <w:sz w:val="16"/>
                <w:szCs w:val="16"/>
                <w:color w:val="auto"/>
              </w:rPr>
              <w:t>Rabbi trusts</w:t>
            </w: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9"/>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Core bond fund</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0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rabbi trusts</w:t>
            </w:r>
          </w:p>
        </w:tc>
        <w:tc>
          <w:tcPr>
            <w:tcW w:w="9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9.2</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9.2</w:t>
            </w: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040" w:type="dxa"/>
            <w:vAlign w:val="bottom"/>
            <w:shd w:val="clear" w:color="auto" w:fill="CCEEFF"/>
          </w:tcPr>
          <w:p>
            <w:pPr>
              <w:ind w:left="140"/>
              <w:spacing w:after="0" w:line="199"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4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Power</w:t>
            </w:r>
          </w:p>
        </w:tc>
        <w:tc>
          <w:tcPr>
            <w:tcW w:w="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0.4</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4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derivative assets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0.4</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assets</w:t>
            </w:r>
          </w:p>
        </w:tc>
        <w:tc>
          <w:tcPr>
            <w:tcW w:w="9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9.6</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9.2</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04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Power</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Natural gas</w:t>
            </w:r>
          </w:p>
        </w:tc>
        <w:tc>
          <w:tcPr>
            <w:tcW w:w="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3.7</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derivative liabilities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3.7</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0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13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Assets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653.3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547.1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r>
      <w:tr>
        <w:trPr>
          <w:trHeight w:val="213"/>
        </w:trPr>
        <w:tc>
          <w:tcPr>
            <w:tcW w:w="4040" w:type="dxa"/>
            <w:vAlign w:val="bottom"/>
          </w:tcPr>
          <w:p>
            <w:pPr>
              <w:ind w:left="140"/>
              <w:spacing w:after="0"/>
              <w:rPr>
                <w:sz w:val="20"/>
                <w:szCs w:val="20"/>
                <w:color w:val="auto"/>
              </w:rPr>
            </w:pPr>
            <w:r>
              <w:rPr>
                <w:rFonts w:ascii="Arial" w:cs="Arial" w:eastAsia="Arial" w:hAnsi="Arial"/>
                <w:sz w:val="16"/>
                <w:szCs w:val="16"/>
                <w:color w:val="auto"/>
              </w:rPr>
              <w:t>Rabbi trusts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34.1</w:t>
            </w:r>
          </w:p>
        </w:tc>
        <w:tc>
          <w:tcPr>
            <w:tcW w:w="22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34.1</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(c)</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11.2</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5.7</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04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Power</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43.0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46.5</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Natural gas</w:t>
            </w:r>
          </w:p>
        </w:tc>
        <w:tc>
          <w:tcPr>
            <w:tcW w:w="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7.3</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(215.3)</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222.5</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derivative assets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50.3</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(279.5)</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268.0</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46.6</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15.2</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assets</w:t>
            </w:r>
          </w:p>
        </w:tc>
        <w:tc>
          <w:tcPr>
            <w:tcW w:w="9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748.9</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(279.5)</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854.9</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95.5</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15.2</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w:t>
            </w:r>
          </w:p>
        </w:tc>
      </w:tr>
      <w:tr>
        <w:trPr>
          <w:trHeight w:val="19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04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Power</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47.4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(55.1)</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55.9</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12.4</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Natural gas</w:t>
            </w:r>
          </w:p>
        </w:tc>
        <w:tc>
          <w:tcPr>
            <w:tcW w:w="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5.1</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(215.3)</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216.6</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derivative liabilities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52.5</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(270.4)</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250.8</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59.7</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12.4</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0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13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81"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With the exception of investments measured at NAV, fair value is based on quoted market prices of the investments held by the trust and/or valuation models.</w:t>
      </w:r>
    </w:p>
    <w:p>
      <w:pPr>
        <w:ind w:left="180" w:right="20" w:hanging="172"/>
        <w:spacing w:after="0" w:line="255" w:lineRule="auto"/>
        <w:tabs>
          <w:tab w:leader="none" w:pos="168"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Derivative instruments classified as Level 1 consist of exchange-traded derivative instruments with fair value based on quoted market prices. Derivative instruments classified as Level 2 consist of non-exchange traded derivative instruments with observable forward curves and option contracts priced with models using observable inputs. Derivative instruments classified as Level 3 consist of non-exchange traded derivative instruments for which observable market data is not available to corroborate the valuation inputs and TCRs valued at the most recent auction price in the SPP Integrated Marketplace.</w:t>
      </w:r>
    </w:p>
    <w:p>
      <w:pPr>
        <w:ind w:left="180" w:right="420" w:hanging="172"/>
        <w:spacing w:after="0" w:line="235" w:lineRule="auto"/>
        <w:tabs>
          <w:tab w:leader="none" w:pos="175"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color w:val="auto"/>
        </w:rPr>
        <w:t>Certain Evergy and Evergy Kansas Central investments included in the table above are measured at NAV as they do not have readily determinable fair values. In certain situations, these investments may have redemption restrictions. The following table provides additional information on these Evergy and Evergy Kansas Central investments.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0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2460" w:type="dxa"/>
            <w:vAlign w:val="bottom"/>
            <w:tcBorders>
              <w:top w:val="single" w:sz="8" w:color="auto"/>
              <w:bottom w:val="single" w:sz="8" w:color="auto"/>
            </w:tcBorders>
            <w:gridSpan w:val="3"/>
          </w:tcPr>
          <w:p>
            <w:pPr>
              <w:jc w:val="right"/>
              <w:ind w:right="511"/>
              <w:spacing w:after="0"/>
              <w:rPr>
                <w:sz w:val="20"/>
                <w:szCs w:val="20"/>
                <w:color w:val="auto"/>
              </w:rPr>
            </w:pPr>
            <w:r>
              <w:rPr>
                <w:rFonts w:ascii="Arial" w:cs="Arial" w:eastAsia="Arial" w:hAnsi="Arial"/>
                <w:sz w:val="18"/>
                <w:szCs w:val="18"/>
                <w:b w:val="1"/>
                <w:bCs w:val="1"/>
                <w:color w:val="auto"/>
              </w:rPr>
              <w:t>September 30, 2023</w:t>
            </w:r>
          </w:p>
        </w:tc>
        <w:tc>
          <w:tcPr>
            <w:tcW w:w="380" w:type="dxa"/>
            <w:vAlign w:val="bottom"/>
            <w:tcBorders>
              <w:top w:val="single" w:sz="8" w:color="auto"/>
              <w:bottom w:val="single" w:sz="8" w:color="auto"/>
            </w:tcBorders>
          </w:tcPr>
          <w:p>
            <w:pPr>
              <w:spacing w:after="0"/>
              <w:rPr>
                <w:sz w:val="22"/>
                <w:szCs w:val="22"/>
                <w:color w:val="auto"/>
              </w:rPr>
            </w:pPr>
          </w:p>
        </w:tc>
        <w:tc>
          <w:tcPr>
            <w:tcW w:w="2500" w:type="dxa"/>
            <w:vAlign w:val="bottom"/>
            <w:tcBorders>
              <w:top w:val="single" w:sz="8" w:color="auto"/>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December 31, 2022</w:t>
            </w:r>
          </w:p>
        </w:tc>
        <w:tc>
          <w:tcPr>
            <w:tcW w:w="2660" w:type="dxa"/>
            <w:vAlign w:val="bottom"/>
            <w:tcBorders>
              <w:top w:val="single" w:sz="8" w:color="auto"/>
              <w:bottom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rPr>
              <w:t>September 30, 2023</w:t>
            </w:r>
          </w:p>
        </w:tc>
      </w:tr>
      <w:tr>
        <w:trPr>
          <w:trHeight w:val="218"/>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18"/>
                <w:szCs w:val="18"/>
                <w:color w:val="auto"/>
              </w:rPr>
            </w:pPr>
          </w:p>
        </w:tc>
        <w:tc>
          <w:tcPr>
            <w:tcW w:w="1360" w:type="dxa"/>
            <w:vAlign w:val="bottom"/>
          </w:tcPr>
          <w:p>
            <w:pPr>
              <w:jc w:val="right"/>
              <w:ind w:right="311"/>
              <w:spacing w:after="0"/>
              <w:rPr>
                <w:sz w:val="20"/>
                <w:szCs w:val="20"/>
                <w:color w:val="auto"/>
              </w:rPr>
            </w:pPr>
            <w:r>
              <w:rPr>
                <w:rFonts w:ascii="Arial" w:cs="Arial" w:eastAsia="Arial" w:hAnsi="Arial"/>
                <w:sz w:val="18"/>
                <w:szCs w:val="18"/>
                <w:b w:val="1"/>
                <w:bCs w:val="1"/>
                <w:color w:val="auto"/>
              </w:rPr>
              <w:t>Unfunded</w:t>
            </w:r>
          </w:p>
        </w:tc>
        <w:tc>
          <w:tcPr>
            <w:tcW w:w="38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8"/>
                <w:szCs w:val="18"/>
                <w:b w:val="1"/>
                <w:bCs w:val="1"/>
                <w:color w:val="auto"/>
              </w:rPr>
              <w:t>Fair</w:t>
            </w:r>
          </w:p>
        </w:tc>
        <w:tc>
          <w:tcPr>
            <w:tcW w:w="240" w:type="dxa"/>
            <w:vAlign w:val="bottom"/>
          </w:tcPr>
          <w:p>
            <w:pPr>
              <w:spacing w:after="0"/>
              <w:rPr>
                <w:sz w:val="18"/>
                <w:szCs w:val="18"/>
                <w:color w:val="auto"/>
              </w:rPr>
            </w:pP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Unfunded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Length of</w:t>
            </w:r>
          </w:p>
        </w:tc>
      </w:tr>
      <w:tr>
        <w:trPr>
          <w:trHeight w:val="234"/>
        </w:trPr>
        <w:tc>
          <w:tcPr>
            <w:tcW w:w="3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Value</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1"/>
              </w:rPr>
              <w:t>Commitments</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Value</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Commitments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Frequency</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Settlement</w:t>
            </w:r>
          </w:p>
        </w:tc>
      </w:tr>
      <w:tr>
        <w:trPr>
          <w:trHeight w:val="222"/>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Nuclear decommissioning trust: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equity funds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r>
      <w:tr>
        <w:trPr>
          <w:trHeight w:val="229"/>
        </w:trPr>
        <w:tc>
          <w:tcPr>
            <w:tcW w:w="3040" w:type="dxa"/>
            <w:vAlign w:val="bottom"/>
          </w:tcPr>
          <w:p>
            <w:pPr>
              <w:ind w:left="140"/>
              <w:spacing w:after="0"/>
              <w:rPr>
                <w:sz w:val="20"/>
                <w:szCs w:val="20"/>
                <w:color w:val="auto"/>
              </w:rPr>
            </w:pPr>
            <w:r>
              <w:rPr>
                <w:rFonts w:ascii="Arial" w:cs="Arial" w:eastAsia="Arial" w:hAnsi="Arial"/>
                <w:sz w:val="18"/>
                <w:szCs w:val="18"/>
                <w:color w:val="auto"/>
              </w:rPr>
              <w:t>Alternative investments fund</w:t>
            </w:r>
            <w:r>
              <w:rPr>
                <w:rFonts w:ascii="Arial" w:cs="Arial" w:eastAsia="Arial" w:hAnsi="Arial"/>
                <w:sz w:val="10"/>
                <w:szCs w:val="10"/>
                <w:color w:val="auto"/>
              </w:rPr>
              <w:t>(b)</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2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Quarterly</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65 days</w:t>
            </w:r>
          </w:p>
        </w:tc>
      </w:tr>
      <w:tr>
        <w:trPr>
          <w:trHeight w:val="230"/>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 estate securities fund</w:t>
            </w:r>
            <w:r>
              <w:rPr>
                <w:rFonts w:ascii="Arial" w:cs="Arial" w:eastAsia="Arial" w:hAnsi="Arial"/>
                <w:sz w:val="10"/>
                <w:szCs w:val="10"/>
                <w:color w:val="auto"/>
              </w:rPr>
              <w:t>(b)</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18.9</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Quarterly</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 days</w:t>
            </w:r>
          </w:p>
        </w:tc>
      </w:tr>
      <w:tr>
        <w:trPr>
          <w:trHeight w:val="23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Evergy investments at NAV</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62.8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w:t>
            </w:r>
          </w:p>
        </w:tc>
        <w:tc>
          <w:tcPr>
            <w:tcW w:w="1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bl>
    <w:p>
      <w:pPr>
        <w:spacing w:after="0" w:line="71" w:lineRule="exact"/>
        <w:rPr>
          <w:sz w:val="20"/>
          <w:szCs w:val="20"/>
          <w:color w:val="auto"/>
        </w:rPr>
      </w:pPr>
    </w:p>
    <w:p>
      <w:pPr>
        <w:ind w:left="180" w:right="40" w:hanging="172"/>
        <w:spacing w:after="0" w:line="257" w:lineRule="auto"/>
        <w:tabs>
          <w:tab w:leader="none" w:pos="175"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This investment is in five long-term private equity funds that do not permit early withdrawal. Investments in these funds cannot be distributed until the underlying investments have been liquidated, which may take years from the date of initial liquidation. Three funds have begun to make distributions. The initial investment in the fourth and fifth funds occurred in 2016 and 2018, respectively. The fourth fund's term is 15 years, subject to the general partner's right to extend the term for up to three additional one-year periods. The fifth fund's term is 15 years, subject to additional extensions approved by a fund advisory committee to provide for an orderly liquidation of fund investments and dissolution of the fund.</w:t>
      </w:r>
    </w:p>
    <w:p>
      <w:pPr>
        <w:ind w:left="160" w:hanging="152"/>
        <w:spacing w:after="0" w:line="223"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There is a holdback on final redemptions.</w:t>
      </w:r>
    </w:p>
    <w:p>
      <w:pPr>
        <w:spacing w:after="0" w:line="205" w:lineRule="exact"/>
        <w:rPr>
          <w:sz w:val="20"/>
          <w:szCs w:val="20"/>
          <w:color w:val="auto"/>
        </w:rPr>
      </w:pPr>
    </w:p>
    <w:p>
      <w:pPr>
        <w:ind w:right="220"/>
        <w:spacing w:after="0" w:line="251" w:lineRule="auto"/>
        <w:rPr>
          <w:sz w:val="20"/>
          <w:szCs w:val="20"/>
          <w:color w:val="auto"/>
        </w:rPr>
      </w:pPr>
      <w:r>
        <w:rPr>
          <w:rFonts w:ascii="Arial" w:cs="Arial" w:eastAsia="Arial" w:hAnsi="Arial"/>
          <w:sz w:val="20"/>
          <w:szCs w:val="20"/>
          <w:color w:val="auto"/>
        </w:rPr>
        <w:t>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net unrealized gains (losses) for the Evergy Companies' nuclear decommissioning trusts and rabbi trusts.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44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8"/>
              </w:rPr>
              <w:t>Year to Date</w:t>
            </w:r>
          </w:p>
        </w:tc>
        <w:tc>
          <w:tcPr>
            <w:tcW w:w="1020" w:type="dxa"/>
            <w:vAlign w:val="bottom"/>
            <w:tcBorders>
              <w:top w:val="single" w:sz="8" w:color="auto"/>
            </w:tcBorders>
          </w:tcPr>
          <w:p>
            <w:pPr>
              <w:spacing w:after="0"/>
              <w:rPr>
                <w:sz w:val="18"/>
                <w:szCs w:val="18"/>
                <w:color w:val="auto"/>
              </w:rPr>
            </w:pPr>
          </w:p>
        </w:tc>
      </w:tr>
      <w:tr>
        <w:trPr>
          <w:trHeight w:val="229"/>
        </w:trPr>
        <w:tc>
          <w:tcPr>
            <w:tcW w:w="4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94"/>
              </w:rPr>
              <w:t>September 30</w:t>
            </w: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September 30</w:t>
            </w:r>
          </w:p>
        </w:tc>
        <w:tc>
          <w:tcPr>
            <w:tcW w:w="1020" w:type="dxa"/>
            <w:vAlign w:val="bottom"/>
          </w:tcPr>
          <w:p>
            <w:pPr>
              <w:spacing w:after="0"/>
              <w:rPr>
                <w:sz w:val="19"/>
                <w:szCs w:val="19"/>
                <w:color w:val="auto"/>
              </w:rPr>
            </w:pPr>
          </w:p>
        </w:tc>
      </w:tr>
      <w:tr>
        <w:trPr>
          <w:trHeight w:val="234"/>
        </w:trPr>
        <w:tc>
          <w:tcPr>
            <w:tcW w:w="4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2022</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00" w:type="dxa"/>
            <w:vAlign w:val="bottom"/>
            <w:gridSpan w:val="2"/>
          </w:tcPr>
          <w:p>
            <w:pPr>
              <w:jc w:val="right"/>
              <w:ind w:right="670"/>
              <w:spacing w:after="0"/>
              <w:rPr>
                <w:sz w:val="20"/>
                <w:szCs w:val="20"/>
                <w:color w:val="auto"/>
              </w:rPr>
            </w:pPr>
            <w:r>
              <w:rPr>
                <w:rFonts w:ascii="Arial" w:cs="Arial" w:eastAsia="Arial" w:hAnsi="Arial"/>
                <w:sz w:val="16"/>
                <w:szCs w:val="16"/>
                <w:color w:val="auto"/>
              </w:rPr>
              <w:t>(millions)</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11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0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(74.3)</w:t>
            </w:r>
          </w:p>
        </w:tc>
        <w:tc>
          <w:tcPr>
            <w:tcW w:w="11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46.4</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Nuclear decommissioning trust - debt securities</w:t>
            </w:r>
          </w:p>
        </w:tc>
        <w:tc>
          <w:tcPr>
            <w:tcW w:w="114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80" w:type="dxa"/>
            <w:vAlign w:val="bottom"/>
          </w:tcPr>
          <w:p>
            <w:pPr>
              <w:spacing w:after="0"/>
              <w:rPr>
                <w:sz w:val="19"/>
                <w:szCs w:val="19"/>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10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Rabbi trusts - equity securities</w:t>
            </w: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6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4440" w:type="dxa"/>
            <w:vAlign w:val="bottom"/>
          </w:tcPr>
          <w:p>
            <w:pPr>
              <w:ind w:left="140"/>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08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(82.3)</w:t>
            </w:r>
          </w:p>
        </w:tc>
        <w:tc>
          <w:tcPr>
            <w:tcW w:w="110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44.4</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(169.7)</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114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108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(37.1)</w:t>
            </w:r>
          </w:p>
        </w:tc>
        <w:tc>
          <w:tcPr>
            <w:tcW w:w="110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23.4</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(67.2)</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Rabbi trust - equity securities</w:t>
            </w: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6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4440" w:type="dxa"/>
            <w:vAlign w:val="bottom"/>
          </w:tcPr>
          <w:p>
            <w:pPr>
              <w:ind w:left="140"/>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0.7</w:t>
            </w:r>
          </w:p>
        </w:tc>
        <w:tc>
          <w:tcPr>
            <w:tcW w:w="108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(38.5)</w:t>
            </w:r>
          </w:p>
        </w:tc>
        <w:tc>
          <w:tcPr>
            <w:tcW w:w="110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24.2</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114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8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(37.2)</w:t>
            </w:r>
          </w:p>
        </w:tc>
        <w:tc>
          <w:tcPr>
            <w:tcW w:w="110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23.0</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(78.7)</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Nuclear decommissioning trust - debt securities</w:t>
            </w: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6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4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w:t>
            </w:r>
          </w:p>
        </w:tc>
        <w:tc>
          <w:tcPr>
            <w:tcW w:w="10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(43.1)</w:t>
            </w:r>
          </w:p>
        </w:tc>
        <w:tc>
          <w:tcPr>
            <w:tcW w:w="11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20.4</w:t>
            </w:r>
          </w:p>
        </w:tc>
        <w:tc>
          <w:tcPr>
            <w:tcW w:w="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2"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 evolved over time. These laws, regulations, interpretations and actions can also change, restrict or otherwise impact the Evergy Companies' operations or financial results. The failure to comply with these laws, regulations, interpretations and actions could result in the assessment of administrative, civil and criminal penalties and the imposition of remedial requirements. The Evergy Companies believe that all of their operations are in substantial compliance with current federal, state and local environmental standards.</w:t>
      </w:r>
    </w:p>
    <w:p>
      <w:pPr>
        <w:spacing w:after="0" w:line="190" w:lineRule="exact"/>
        <w:rPr>
          <w:sz w:val="20"/>
          <w:szCs w:val="20"/>
          <w:color w:val="auto"/>
        </w:rPr>
      </w:pPr>
    </w:p>
    <w:p>
      <w:pPr>
        <w:ind w:right="80"/>
        <w:spacing w:after="0" w:line="360" w:lineRule="auto"/>
        <w:rPr>
          <w:sz w:val="20"/>
          <w:szCs w:val="20"/>
          <w:color w:val="auto"/>
        </w:rPr>
      </w:pPr>
      <w:r>
        <w:rPr>
          <w:rFonts w:ascii="Arial" w:cs="Arial" w:eastAsia="Arial" w:hAnsi="Arial"/>
          <w:sz w:val="16"/>
          <w:szCs w:val="16"/>
          <w:color w:val="auto"/>
        </w:rPr>
        <w:t>There are a variety of final and proposed laws and regulations that could have a material adverse effect on the Evergy Companies' operations and consolidated financial results. Due in part to the complex nature of environmental laws and regulations, the Evergy Companies are unable to assess the impact of potential changes that may develop with respect to the environmental contingencies described below.</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Clean Air Act - Startup, Shutdown and Malfunction (SSM) Regulation</w:t>
      </w:r>
    </w:p>
    <w:p>
      <w:pPr>
        <w:spacing w:after="0" w:line="20"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In 2015, the Environmental Protection Agency (EPA) issued a final rule addressing how state implementation plans (SIPs) can treat excess emissions during SSM events. This rule was referred to as the 2015 SIP Call Rule. The rule required 36 states to submit SIP revisions by November 2016 to remove certain exemptions and other discretionary enforcement provisions that apply to excess emissions during SSM events. Legal challenges ensued and the case was eventually placed in abeyance. In December 2021, the U.S. Court of Appeals for the D.C. Circuit (D.C. Circuit) restarted the litigation and oral arguments were held in March 2022. An additional case was also taking place in the U.S. District Court for the Northern District of California (District Court of Northern California) and in June 2022, the District Court of Northern California entered a final consent decree establishing deadlines for the EPA to take final action on SIP revisions that were submitted in response to the 2015 SIP Call Rule. Deadlines for 26 states and air districts, including Kansas, Missouri and Oklahoma, are listed in the final consent decree. Final action from the EPA could result in required SIP revisions in Oklahoma, Kansas and Missouri which could have a material impact on the Evergy Companies. If the D.C. Circuit overturns the EPA's 2015 SIP Call Rule, the final consent decree's deadlines will no longer be valid.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Mercury and Air Toxics Standards (MATS)</w:t>
      </w:r>
    </w:p>
    <w:p>
      <w:pPr>
        <w:spacing w:after="0" w:line="20"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In April 2023, the EPA released a proposal to tighten certain aspects of the MATS rule. The EPA is proposing to lower the emission limit for particulate matter (PM), require the use of PM continuous emissions monitors (CEMS) and lower the mercury emission limit for lignite coal-fired electric generating units (EGUs). The EPA is also soliciting comment on further strengthening of the PM emission limitation. Due to uncertainty regarding final actions on the MATS rule, the Evergy Companies are unable to accurately assess the impacts of these potential EPA actions on their operations or consolidated financial results, but the cost to comply with the emission limitations as proposed do not appear to be material.</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Ozone Interstate Transport State Implementation Plans (ITSIP)</w:t>
      </w:r>
    </w:p>
    <w:p>
      <w:pPr>
        <w:spacing w:after="0" w:line="20"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In 2015, the EPA lowered the Ozone National Ambient Air Quality Standards (NAAQS) from 75 ppb to 70 ppb. Impacted states were required to submit ITSIPs in 2018 to comply with the "Good Neighbor Provision" of the Clean Air Act (CAA). The EPA did not act on these ITSIP submissions by the deadline established in the CAA and entered consent decrees establishing deadlines to take final action on various ITSIPs. In February 2022, the EPA published a proposed rule to disapprove the ITSIPs submitted by nineteen states including Missouri and Oklahoma. In April 2022, the EPA published a final approval of the Kansas ITSIP in the Federal Register. The Missouri Department of Natural Resources (MDNR) submitted a supplemental ITSIP to the EPA on November 1, 2022, but the EPA has not taken action or proposed action on that supplemental ITSIP. In February 2023, the EPA published a final rule disapproving the ITSIPs submitted by 19 states, including the final disapproval of the Missouri and Oklahoma ITSIPs. In April 2023, the Attorneys General of Missouri and Oklahoma filed Petitions for Review in the U.S. Courts of Appeals for the Eighth and Tenth Circuits, respectively, challenging the EPA's disapproval.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May 2023, the Eighth Circuit granted a stay of the EPA's disapproval of the Missouri ITSIP. Similarly, in July 2023, the Tenth Circuit granted a stay of the EPA's disapproval of the Oklahoma ITSIP.</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Ozone Interstate Transport Federal Implementation Plans (ITFIP)</w:t>
      </w:r>
    </w:p>
    <w:p>
      <w:pPr>
        <w:spacing w:after="0" w:line="20"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In April 2022, the EPA published in the Federal Register the proposed ITFIP to resolve outstanding "Good Neighbor" obligations with respect to the 2015 Ozone NAAQS for 26 states including Missouri and Oklahoma. This ITFIP would establish a revised Cross-State Air Pollution Rule (CSAPR) ozone season nitrogen oxide (NOx) emissions trading program for electric generating units (EGUs) beginning in 2023 and would limit ozone season NOx emissions from certain industrial stationary sources beginning in 2026. The proposed rule would also establish a new daily backstop NOx emissions rate limit for applicable coal-fired units larger than 100 MW, as well as unit-specific NOx emission rate limits for certain industrial emission units and would feature "dynamic" adjustments of emission budgets for EGUs beginning with ozone season 2025. The proposed ITFIP includes reductions to the state ozone season NOx budgets for Missouri and Oklahoma beginning in 2023 with additional reductions in future years. The Evergy Companies provided formal comments as part of the rulemaking process. In March 2023, the EPA issued the final ITFIPs for twenty-three states, including Missouri and Oklahoma. As a result of the judicial stays of the EPA's disapproval of the Missouri and Oklahoma ITSIPs, the EPA issued interim final rules staying the effectiveness of the ITFIP in both Missouri and Oklahoma while the stays issued by the Eighth and Tenth Circuits in the ITSIP disapproval cases remain in place. During this time, both states will continue to operate under the existing CSAPR program. While Kansas was not included in the ITFIP, the EPA notes within the preamble to the ITFIP its updated 2023 modeling analysis suggesting that Kansas may be significantly contributing to one or more nonattainment or maintenance receptors. The EPA further notes that it intends to address this in a subsequent action. Due to these uncertainties, the impact on the Evergy Companies' operations and the cost to comply could be material.</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Particulate Matter and Ozone National Ambient Air Quality Standards</w:t>
      </w:r>
    </w:p>
    <w:p>
      <w:pPr>
        <w:spacing w:after="0" w:line="16" w:lineRule="exact"/>
        <w:rPr>
          <w:sz w:val="20"/>
          <w:szCs w:val="20"/>
          <w:color w:val="auto"/>
        </w:rPr>
      </w:pPr>
    </w:p>
    <w:p>
      <w:pPr>
        <w:ind w:right="120"/>
        <w:spacing w:after="0" w:line="210" w:lineRule="auto"/>
        <w:rPr>
          <w:sz w:val="20"/>
          <w:szCs w:val="20"/>
          <w:color w:val="auto"/>
        </w:rPr>
      </w:pPr>
      <w:r>
        <w:rPr>
          <w:rFonts w:ascii="Arial" w:cs="Arial" w:eastAsia="Arial" w:hAnsi="Arial"/>
          <w:sz w:val="19"/>
          <w:szCs w:val="19"/>
          <w:color w:val="auto"/>
        </w:rPr>
        <w:t>In January 2023, the EPA proposed strengthening the primary annual PM</w:t>
      </w:r>
      <w:r>
        <w:rPr>
          <w:rFonts w:ascii="Arial" w:cs="Arial" w:eastAsia="Arial" w:hAnsi="Arial"/>
          <w:sz w:val="24"/>
          <w:szCs w:val="24"/>
          <w:color w:val="auto"/>
          <w:vertAlign w:val="subscript"/>
        </w:rPr>
        <w:t>2.5</w:t>
      </w:r>
      <w:r>
        <w:rPr>
          <w:rFonts w:ascii="Arial" w:cs="Arial" w:eastAsia="Arial" w:hAnsi="Arial"/>
          <w:sz w:val="19"/>
          <w:szCs w:val="19"/>
          <w:color w:val="auto"/>
        </w:rPr>
        <w:t xml:space="preserve"> (particulate matter less than 2.5 microns in diameter) NAAQS. The EPA is proposing to lower the primary annual PM</w:t>
      </w:r>
      <w:r>
        <w:rPr>
          <w:rFonts w:ascii="Arial" w:cs="Arial" w:eastAsia="Arial" w:hAnsi="Arial"/>
          <w:sz w:val="24"/>
          <w:szCs w:val="24"/>
          <w:color w:val="auto"/>
          <w:vertAlign w:val="subscript"/>
        </w:rPr>
        <w:t>2.5</w:t>
      </w:r>
      <w:r>
        <w:rPr>
          <w:rFonts w:ascii="Arial" w:cs="Arial" w:eastAsia="Arial" w:hAnsi="Arial"/>
          <w:sz w:val="19"/>
          <w:szCs w:val="19"/>
          <w:color w:val="auto"/>
        </w:rPr>
        <w:t xml:space="preserve"> NAAQS from 12.0 µg/m3 (micrograms per cubic meter) to a level that would be between 9.0 and 10.0 µg/m3. The EPA is also in the process of reconsidering its decision to retain each of the other Ozone NAAQS at the level set in 2015. Due to uncertainty regarding the potential lowering of the ozone and PM</w:t>
      </w:r>
      <w:r>
        <w:rPr>
          <w:rFonts w:ascii="Arial" w:cs="Arial" w:eastAsia="Arial" w:hAnsi="Arial"/>
          <w:sz w:val="24"/>
          <w:szCs w:val="24"/>
          <w:color w:val="auto"/>
          <w:vertAlign w:val="subscript"/>
        </w:rPr>
        <w:t>2.5</w:t>
      </w:r>
      <w:r>
        <w:rPr>
          <w:rFonts w:ascii="Arial" w:cs="Arial" w:eastAsia="Arial" w:hAnsi="Arial"/>
          <w:sz w:val="19"/>
          <w:szCs w:val="19"/>
          <w:color w:val="auto"/>
        </w:rPr>
        <w:t xml:space="preserve"> NAAQS, the Evergy Companies are unable to accurately assess the impacts of these potential EPA actions on their operations or consolidated financial results, but the cost to comply with lower future ozone or PM</w:t>
      </w:r>
      <w:r>
        <w:rPr>
          <w:rFonts w:ascii="Arial" w:cs="Arial" w:eastAsia="Arial" w:hAnsi="Arial"/>
          <w:sz w:val="24"/>
          <w:szCs w:val="24"/>
          <w:color w:val="auto"/>
          <w:vertAlign w:val="subscript"/>
        </w:rPr>
        <w:t>2.5</w:t>
      </w:r>
      <w:r>
        <w:rPr>
          <w:rFonts w:ascii="Arial" w:cs="Arial" w:eastAsia="Arial" w:hAnsi="Arial"/>
          <w:sz w:val="19"/>
          <w:szCs w:val="19"/>
          <w:color w:val="auto"/>
        </w:rPr>
        <w:t xml:space="preserve"> NAAQS could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Regional Haze Rule</w:t>
      </w:r>
    </w:p>
    <w:p>
      <w:pPr>
        <w:spacing w:after="0" w:line="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1999, the EPA finalized the Regional Haze Rule which aims to restore national parks and wilderness areas to pristine conditions. The rule requires states in coordination with the EPA, the National Park Service, the U.S. Fish and Wildlife Service, the U.S. Forest Service, and other interested parties to develop and implement air quality protection plans to reduce the pollution that causes visibility impairment. There are 156 "Class I" areas across the U.S. that must be restored to pristine conditions by the year 2064. There are no Class I areas in Kansas, whereas Missouri has two: the Hercules-Glades Wilderness Area and the Mingo Wilderness Area. States must submit revisions to their Regional Haze Rule SIPs every ten years and the first round was due in 2007. For the second ten-year implementation period, the EPA issued a final rule revision in 2017 that allowed states to submit their SIP revisions by July 31, 2021. The Evergy Companies have been in contact with the Kansas Department of Health and Environment (KDHE) and MDNR as they worked to draft their SIP revisions. The Missouri SIP revision does not require any additional reductions from the Evergy Companies' generating units in the state. MDNR submitted the Missouri SIP revision to the EPA in August 2022, however, they failed to do so by the EPA's revised submittal deadline of August 15, 2022. As a result, on August 30, 2022, the EPA published "finding of failure" with respect to Missouri and fourteen other states for failing to submit their Regional Haze SIP revisions by the applicable deadline. This finding of failure established a two-year deadline for the EPA to issue a Regional Haze federal implementation plan (FIP) for each state unless the state submits and the EPA approves a revised SIP that meets all applicable requirements before the EPA issues the FIP. The Kansas SIP revision was placed on public notice in June 2021 and requested no additional emission reductions by electric utilities based on the significant reductions that were achieved during the first implementation period. The EPA provided comments on the Kansas SIP revision in June 2021 that each state is statutorily required to conduct a "four-factor analysis" on at least two sources within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80"/>
        <w:spacing w:after="0" w:line="267" w:lineRule="auto"/>
        <w:rPr>
          <w:sz w:val="20"/>
          <w:szCs w:val="20"/>
          <w:color w:val="auto"/>
        </w:rPr>
      </w:pPr>
      <w:r>
        <w:rPr>
          <w:rFonts w:ascii="Arial" w:cs="Arial" w:eastAsia="Arial" w:hAnsi="Arial"/>
          <w:sz w:val="19"/>
          <w:szCs w:val="19"/>
          <w:color w:val="auto"/>
        </w:rPr>
        <w:t>the state to help determine if further emission reductions are necessary. The EPA also stated it would be difficult to approve the Kansas SIP revision if at least two four-factor analyses are not conducted on Kansas emission sources. KDHE submitted the Kansas SIP revision in July 2021. If a Kansas generating unit of the Evergy Companies is selected for analysis, the possibility exists that the state or the EPA, through a revised SIP or a FIP, could determine that additional operational or physical modifications are required on the generating unit to further reduce emissions. The overall cost of those modifications could be material to the Evergy Companies. In June 2023, certain parties filed suit against the EPA for failing to take final action to approve or disapprove the Regional Haze SIP Revisions submitted by Kansas and seven other states for the second planning period.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Greenhouse Gases</w:t>
      </w:r>
    </w:p>
    <w:p>
      <w:pPr>
        <w:spacing w:after="0" w:line="20"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Burning coal and other fossil fuels releases carbon dioxide (CO</w:t>
      </w:r>
      <w:r>
        <w:rPr>
          <w:rFonts w:ascii="Arial" w:cs="Arial" w:eastAsia="Arial" w:hAnsi="Arial"/>
          <w:sz w:val="23"/>
          <w:szCs w:val="23"/>
          <w:color w:val="auto"/>
          <w:vertAlign w:val="subscript"/>
        </w:rPr>
        <w:t>2</w:t>
      </w:r>
      <w:r>
        <w:rPr>
          <w:rFonts w:ascii="Arial" w:cs="Arial" w:eastAsia="Arial" w:hAnsi="Arial"/>
          <w:sz w:val="18"/>
          <w:szCs w:val="18"/>
          <w:color w:val="auto"/>
        </w:rPr>
        <w:t>) and other gases referred to as greenhouse gases (GHG). Various regulations under the CAA limit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and other GHG emissions, and in addition, other measures are being imposed or offered by individual states, municipalities and regional agreements with the goal of reducing GHG emissions. In May 2023, the EPA proposed GHG regulations that would apply to fossil fuel fired EGUs. The proposal would set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limitations for new gas-fired combustion turbines, existing coal, oil and gas-fired steam generating units, and certain existing gas-fired combustion turbines. The proposed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limitations assume technologies such as carbon capture and sequestration/storage (CCS), hydrogen co-firing, and natural gas co-firing will be utilized.</w:t>
      </w:r>
    </w:p>
    <w:p>
      <w:pPr>
        <w:spacing w:after="0" w:line="197" w:lineRule="exact"/>
        <w:rPr>
          <w:sz w:val="20"/>
          <w:szCs w:val="20"/>
          <w:color w:val="auto"/>
        </w:rPr>
      </w:pPr>
    </w:p>
    <w:p>
      <w:pPr>
        <w:ind w:right="740"/>
        <w:spacing w:after="0" w:line="301" w:lineRule="auto"/>
        <w:rPr>
          <w:sz w:val="20"/>
          <w:szCs w:val="20"/>
          <w:color w:val="auto"/>
        </w:rPr>
      </w:pPr>
      <w:r>
        <w:rPr>
          <w:rFonts w:ascii="Arial" w:cs="Arial" w:eastAsia="Arial" w:hAnsi="Arial"/>
          <w:sz w:val="19"/>
          <w:szCs w:val="19"/>
          <w:color w:val="auto"/>
        </w:rPr>
        <w:t>Due to uncertainty regarding the future of the EPA's GHG regulations, the Evergy Companies cannot determine the impacts on their operations or consolidated financial results, but the cost to comply with potential GHG rules could be material.</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Water</w:t>
      </w:r>
    </w:p>
    <w:p>
      <w:pPr>
        <w:spacing w:after="0" w:line="16"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The Evergy Companies discharge some of the water used in generation and other operations containing substances deemed to be pollutants. A November 2015 EPA rule applicable to steam-electric power generating plants establishes effluent limitations guidelines (ELG) and standards for wastewater discharges, including limits on the amount of toxic metals and other pollutants that can be discharged. Implementation timelines for this 2015 rule vary from 2018 to 2023. In April 2019, the U.S. Court of Appeals for the Fifth Circuit issued a ruling that vacated and remanded portions of the original ELG rule. Due to this ruling, the EPA announced a plan in July 2021 to issue a proposed rule in the fall of 2022 to address the vacated limitations for legacy wastewater and landfill leachate. In March 2023, the EPA published a proposed update to the ELG to address the vacated limitations and prior reviews of the existing rule by the current administration. Flue Gas Desulfurization (FGD) wastewater, bottom ash transport wastewater, coal residual leachate, and legacy wastewater are addressed in the proposal. The Evergy Companies have reviewed the proposed modifications to limitations on FGD wastewater and bottom ash transport water and if the regulation is finalized as proposed, the Evergy Companies do not believe the impact to be material. Modifications for best available technology economically available for the discharge of coal residual leachate could be material if the rulemaking is finalized as proposed.</w:t>
      </w:r>
    </w:p>
    <w:p>
      <w:pPr>
        <w:spacing w:after="0" w:line="175"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In August 2021, based on an order issued by the U.S. District Court for the District of Arizona, which vacated and remanded the EPA's 2020 Navigable Waters Protection Rule (NWPR), the EPA and the U.S. Army Corps of Engineers (Corps) announced that they had halted implementation of the NWPR nationwide, and were interpreting "Waters of the United States" consistent with the regulatory regime that was in place prior to 2015. In December 2021, the EPA and the Department of the Army published a proposed rule that would formally repeal the NWPR and revise the definition of "Waters of the United States." In December 2022, the EPA and the Department of the Army issued a final rule establishing a definition for "Waters of the United States." The final rule was published in the Federal Register in January 2023 and took effect in March 2023. In May 2023, the United States Supreme Court (Supreme Court) issued a decision that interpreted the meaning of "Waters of the United States" under the Clean Water Act. The Supreme Court's decision impacted the January 2023 rulemaking and required the EPA and the Corps to issue a new direct final rule to conform aspects of the regulatory text to the Supreme Court ruling. This direct final rule was published and took effect in September 2023. The Evergy Companies are reviewing the Supreme Court's decision and the EPA's and the Corps' final rule. The impact on the Evergy Companies' operations or consolidated financial results are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0" w:name="page51"/>
    <w:bookmarkEnd w:id="5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 of Coal Combustion Residuals</w:t>
      </w:r>
    </w:p>
    <w:p>
      <w:pPr>
        <w:spacing w:after="0" w:line="20"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In the course of operating their coal generation plants, the Evergy Companies produce coal combustion residuals (CCRs), including fly ash, gypsum and bottom ash. The EPA published a rule to regulate CCRs in April 2015 that requires additional CCR handling, processing and storage equipment and closure of certain ash disposal units. In January 2022, the EPA published proposed determinations for facilities that filed closure extensions for unlined or clay-lined CCR units. These proposed determinations include various interpretations of the CCR regulations and compliance expectations that may impact all owners of CCR units. These interpretations could require modified compliance plans such as different methods of CCR unit closure. Additionally, more stringent remediation requirements for units that are in corrective action or forced to go into corrective action are possible. In April 2022, the Utility Solid Waste Activities Group (USWAG) and other interested parties filed similar petitions in the D.C. Circuit challenging the EPA's legal positions regarding the CCR rule determinations proposed in January 2022. The cost to comply with these proposed determinations by the EPA could be material.</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In May 2023, the EPA published a proposed expansion to the CCR regulation focused on legacy surface impoundments. This regulation expands applicability of the 2015 CCR regulation to two newly defined types of CCR disposal units. If finalized, the Evergy Companies anticipate having additional CCR units requiring evaluation and potential remediation. The cost to comply with these proposed regulations by the EPA could be material.</w:t>
      </w:r>
    </w:p>
    <w:p>
      <w:pPr>
        <w:spacing w:after="0" w:line="184" w:lineRule="exact"/>
        <w:rPr>
          <w:sz w:val="20"/>
          <w:szCs w:val="20"/>
          <w:color w:val="auto"/>
        </w:rPr>
      </w:pPr>
    </w:p>
    <w:p>
      <w:pPr>
        <w:ind w:right="200"/>
        <w:spacing w:after="0" w:line="252" w:lineRule="auto"/>
        <w:rPr>
          <w:sz w:val="20"/>
          <w:szCs w:val="20"/>
          <w:color w:val="auto"/>
        </w:rPr>
      </w:pPr>
      <w:r>
        <w:rPr>
          <w:rFonts w:ascii="Arial" w:cs="Arial" w:eastAsia="Arial" w:hAnsi="Arial"/>
          <w:sz w:val="20"/>
          <w:szCs w:val="20"/>
          <w:color w:val="auto"/>
        </w:rPr>
        <w:t>The Evergy Companies have recorded asset retirement obligations (AROs) for their current estimates for the closure of ash disposal ponds and landfills, but the revision of these AROs may be required in the future due to changes in existing CCR regulations, the results of groundwater monitoring of CCR units or changes in interpretation of existing CCR regulations or changes in the timing or cost to close ash disposal ponds and landfills. The revision of AROs for regulated operations has no income statement impact due to the deferral of the adjustments through a regulatory asset. If revisions to these AROs are necessary, the impact on the Evergy Companies' operations or consolidated financial results could be material.</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RELATED PARTY TRANSACTIONS AND RELATIONSHIPS</w:t>
      </w:r>
    </w:p>
    <w:p>
      <w:pPr>
        <w:spacing w:after="0" w:line="114" w:lineRule="exact"/>
        <w:rPr>
          <w:sz w:val="20"/>
          <w:szCs w:val="20"/>
          <w:color w:val="auto"/>
        </w:rPr>
      </w:pPr>
    </w:p>
    <w:p>
      <w:pPr>
        <w:ind w:right="140"/>
        <w:spacing w:after="0" w:line="274" w:lineRule="auto"/>
        <w:rPr>
          <w:sz w:val="20"/>
          <w:szCs w:val="20"/>
          <w:color w:val="auto"/>
        </w:rPr>
      </w:pPr>
      <w:r>
        <w:rPr>
          <w:rFonts w:ascii="Arial" w:cs="Arial" w:eastAsia="Arial" w:hAnsi="Arial"/>
          <w:sz w:val="20"/>
          <w:szCs w:val="20"/>
          <w:color w:val="auto"/>
        </w:rPr>
        <w:t>In the normal course of business, Evergy Kansas Central, Evergy Metro and Evergy Missouri West engage in related party transactions with one another. A summary of these transactions and the amounts associated with them is provided below.</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Jointly-Owned Plants and Shared Services</w:t>
      </w:r>
    </w:p>
    <w:p>
      <w:pPr>
        <w:spacing w:after="0" w:line="22" w:lineRule="exact"/>
        <w:rPr>
          <w:sz w:val="20"/>
          <w:szCs w:val="20"/>
          <w:color w:val="auto"/>
        </w:rPr>
      </w:pPr>
    </w:p>
    <w:p>
      <w:pPr>
        <w:ind w:right="140"/>
        <w:spacing w:after="0" w:line="264" w:lineRule="auto"/>
        <w:rPr>
          <w:sz w:val="20"/>
          <w:szCs w:val="20"/>
          <w:color w:val="auto"/>
        </w:rPr>
      </w:pPr>
      <w:r>
        <w:rPr>
          <w:rFonts w:ascii="Arial" w:cs="Arial" w:eastAsia="Arial" w:hAnsi="Arial"/>
          <w:sz w:val="19"/>
          <w:szCs w:val="19"/>
          <w:color w:val="auto"/>
        </w:rPr>
        <w:t>Employees of Evergy Kansas Central and Evergy Metro manage Evergy Missouri West's business and operate its facilities at cost, including Evergy Missouri West's 18% ownership interest in Evergy Metro's Iatan Nos. 1 and 2. Employees of Evergy Kansas Central manage JEC and operate its facilities at cost, including Evergy Missouri West's 8% ownership interest in JEC. Employees of Evergy Metro manage La Cygne Station and operate its facilities at cost, including Evergy Kansas Central's 50% interest in La Cygne Station. Employees of Evergy Metro and Evergy Kansas Central also provide one another with shared service support, including costs related to human resources, information technology, accounting and legal services.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operating expenses and capital costs billed for jointly-owned plants and shared services are detailed in the following table.</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484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gridSpan w:val="3"/>
          </w:tcPr>
          <w:p>
            <w:pPr>
              <w:jc w:val="center"/>
              <w:ind w:left="1070"/>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jc w:val="center"/>
              <w:ind w:left="330"/>
              <w:spacing w:after="0"/>
              <w:rPr>
                <w:sz w:val="20"/>
                <w:szCs w:val="20"/>
                <w:color w:val="auto"/>
              </w:rPr>
            </w:pPr>
            <w:r>
              <w:rPr>
                <w:rFonts w:ascii="Arial" w:cs="Arial" w:eastAsia="Arial" w:hAnsi="Arial"/>
                <w:sz w:val="18"/>
                <w:szCs w:val="18"/>
                <w:b w:val="1"/>
                <w:bCs w:val="1"/>
                <w:color w:val="auto"/>
                <w:w w:val="91"/>
              </w:rPr>
              <w:t>Year to Date</w:t>
            </w:r>
          </w:p>
        </w:tc>
        <w:tc>
          <w:tcPr>
            <w:tcW w:w="820" w:type="dxa"/>
            <w:vAlign w:val="bottom"/>
            <w:tcBorders>
              <w:top w:val="single" w:sz="8" w:color="auto"/>
            </w:tcBorders>
          </w:tcPr>
          <w:p>
            <w:pPr>
              <w:spacing w:after="0"/>
              <w:rPr>
                <w:sz w:val="18"/>
                <w:szCs w:val="18"/>
                <w:color w:val="auto"/>
              </w:rPr>
            </w:pPr>
          </w:p>
        </w:tc>
      </w:tr>
      <w:tr>
        <w:trPr>
          <w:trHeight w:val="230"/>
        </w:trPr>
        <w:tc>
          <w:tcPr>
            <w:tcW w:w="4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6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89"/>
              </w:rPr>
              <w:t>September 30</w:t>
            </w:r>
          </w:p>
        </w:tc>
        <w:tc>
          <w:tcPr>
            <w:tcW w:w="820" w:type="dxa"/>
            <w:vAlign w:val="bottom"/>
          </w:tcPr>
          <w:p>
            <w:pPr>
              <w:spacing w:after="0"/>
              <w:rPr>
                <w:sz w:val="19"/>
                <w:szCs w:val="19"/>
                <w:color w:val="auto"/>
              </w:rPr>
            </w:pPr>
          </w:p>
        </w:tc>
      </w:tr>
      <w:tr>
        <w:trPr>
          <w:trHeight w:val="234"/>
        </w:trPr>
        <w:tc>
          <w:tcPr>
            <w:tcW w:w="48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2022</w:t>
            </w:r>
          </w:p>
        </w:tc>
      </w:tr>
      <w:tr>
        <w:trPr>
          <w:trHeight w:val="206"/>
        </w:trPr>
        <w:tc>
          <w:tcPr>
            <w:tcW w:w="4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gridSpan w:val="2"/>
          </w:tcPr>
          <w:p>
            <w:pPr>
              <w:jc w:val="right"/>
              <w:ind w:right="30"/>
              <w:spacing w:after="0"/>
              <w:rPr>
                <w:sz w:val="20"/>
                <w:szCs w:val="20"/>
                <w:color w:val="auto"/>
              </w:rPr>
            </w:pPr>
            <w:r>
              <w:rPr>
                <w:rFonts w:ascii="Arial" w:cs="Arial" w:eastAsia="Arial" w:hAnsi="Arial"/>
                <w:sz w:val="16"/>
                <w:szCs w:val="16"/>
                <w:color w:val="auto"/>
              </w:rPr>
              <w:t>(millions)</w:t>
            </w: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 billings to Evergy Missouri West</w:t>
            </w:r>
          </w:p>
        </w:tc>
        <w:tc>
          <w:tcPr>
            <w:tcW w:w="15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9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Evergy Metro billings to Evergy Missouri West</w:t>
            </w:r>
          </w:p>
        </w:tc>
        <w:tc>
          <w:tcPr>
            <w:tcW w:w="158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29.7</w:t>
            </w:r>
          </w:p>
        </w:tc>
        <w:tc>
          <w:tcPr>
            <w:tcW w:w="96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w w:val="96"/>
              </w:rPr>
              <w:t>35.7</w:t>
            </w:r>
          </w:p>
        </w:tc>
        <w:tc>
          <w:tcPr>
            <w:tcW w:w="4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86.9</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100.7</w:t>
            </w: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 billings to Evergy Metro</w:t>
            </w:r>
          </w:p>
        </w:tc>
        <w:tc>
          <w:tcPr>
            <w:tcW w:w="15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6"/>
              </w:rPr>
              <w:t>10.6</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37"/>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Evergy Metro billings to Evergy Kansas Central</w:t>
            </w:r>
          </w:p>
        </w:tc>
        <w:tc>
          <w:tcPr>
            <w:tcW w:w="15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32.6</w:t>
            </w:r>
          </w:p>
        </w:tc>
        <w:tc>
          <w:tcPr>
            <w:tcW w:w="9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6"/>
              </w:rPr>
              <w:t>39.2</w:t>
            </w: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93.2</w:t>
            </w:r>
          </w:p>
        </w:tc>
        <w:tc>
          <w:tcPr>
            <w:tcW w:w="5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Money Pool</w:t>
      </w:r>
    </w:p>
    <w:p>
      <w:pPr>
        <w:spacing w:after="0" w:line="26" w:lineRule="exact"/>
        <w:rPr>
          <w:sz w:val="20"/>
          <w:szCs w:val="20"/>
          <w:color w:val="auto"/>
        </w:rPr>
      </w:pPr>
    </w:p>
    <w:p>
      <w:pPr>
        <w:ind w:right="320"/>
        <w:spacing w:after="0" w:line="253" w:lineRule="auto"/>
        <w:rPr>
          <w:sz w:val="20"/>
          <w:szCs w:val="20"/>
          <w:color w:val="auto"/>
        </w:rPr>
      </w:pPr>
      <w:r>
        <w:rPr>
          <w:rFonts w:ascii="Arial" w:cs="Arial" w:eastAsia="Arial" w:hAnsi="Arial"/>
          <w:sz w:val="20"/>
          <w:szCs w:val="20"/>
          <w:color w:val="auto"/>
        </w:rPr>
        <w:t>Evergy Kansas Central, Evergy Metro and Evergy Missouri West are authorized to participate in the Evergy, Inc. money pool, which is an internal financing arrangement in which funds may be lent on a short-term basis between Evergy Kansas Central, Evergy Metro, Evergy Missouri West and Evergy, Inc. Evergy, Inc. can lend but not borrow under the money pool.</w:t>
      </w:r>
    </w:p>
    <w:p>
      <w:pPr>
        <w:spacing w:after="0" w:line="183" w:lineRule="exact"/>
        <w:rPr>
          <w:sz w:val="20"/>
          <w:szCs w:val="20"/>
          <w:color w:val="auto"/>
        </w:rPr>
      </w:pPr>
    </w:p>
    <w:p>
      <w:pPr>
        <w:ind w:right="180"/>
        <w:spacing w:after="0" w:line="284" w:lineRule="auto"/>
        <w:rPr>
          <w:sz w:val="20"/>
          <w:szCs w:val="20"/>
          <w:color w:val="auto"/>
        </w:rPr>
      </w:pPr>
      <w:r>
        <w:rPr>
          <w:rFonts w:ascii="Arial" w:cs="Arial" w:eastAsia="Arial" w:hAnsi="Arial"/>
          <w:sz w:val="19"/>
          <w:szCs w:val="19"/>
          <w:color w:val="auto"/>
        </w:rPr>
        <w:t>As of September 30, 2023, Evergy Metro had no outstanding receivables or payables under the money pool. As of December 31, 2022, Evergy Metro had a $31.0 million outstanding receivable from Evergy Missouri West under the money pool. As of September 30, 2023 and December 31, 2022, Evergy Kansas Central had no outstanding receivables or payables under the money pool.</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Party Net Receivables and Payables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Kansas Central's and Evergy Metro's related party net receivables and payables.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52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4"/>
              </w:rPr>
              <w:t>September 30</w:t>
            </w: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5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52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4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payable to Evergy</w:t>
            </w:r>
          </w:p>
        </w:tc>
        <w:tc>
          <w:tcPr>
            <w:tcW w:w="2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Net payable to Evergy Metro</w:t>
            </w:r>
          </w:p>
        </w:tc>
        <w:tc>
          <w:tcPr>
            <w:tcW w:w="2520" w:type="dxa"/>
            <w:vAlign w:val="bottom"/>
          </w:tcPr>
          <w:p>
            <w:pPr>
              <w:spacing w:after="0"/>
              <w:rPr>
                <w:sz w:val="19"/>
                <w:szCs w:val="19"/>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receivable from Evergy Missouri West</w:t>
            </w:r>
          </w:p>
        </w:tc>
        <w:tc>
          <w:tcPr>
            <w:tcW w:w="25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9.3</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57"/>
        </w:trPr>
        <w:tc>
          <w:tcPr>
            <w:tcW w:w="55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25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Net receivable from Evergy</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17.4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receivable from Evergy Kansas Central</w:t>
            </w:r>
          </w:p>
        </w:tc>
        <w:tc>
          <w:tcPr>
            <w:tcW w:w="25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15.9</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37"/>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receivable from Evergy Missouri West</w:t>
            </w:r>
          </w:p>
        </w:tc>
        <w:tc>
          <w:tcPr>
            <w:tcW w:w="25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89.4</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Allocation Agreement</w:t>
      </w:r>
    </w:p>
    <w:p>
      <w:pPr>
        <w:spacing w:after="0" w:line="26" w:lineRule="exact"/>
        <w:rPr>
          <w:sz w:val="20"/>
          <w:szCs w:val="20"/>
          <w:color w:val="auto"/>
        </w:rPr>
      </w:pPr>
    </w:p>
    <w:p>
      <w:pPr>
        <w:ind w:right="280"/>
        <w:spacing w:after="0" w:line="248" w:lineRule="auto"/>
        <w:rPr>
          <w:sz w:val="20"/>
          <w:szCs w:val="20"/>
          <w:color w:val="auto"/>
        </w:rPr>
      </w:pPr>
      <w:r>
        <w:rPr>
          <w:rFonts w:ascii="Arial" w:cs="Arial" w:eastAsia="Arial" w:hAnsi="Arial"/>
          <w:sz w:val="20"/>
          <w:szCs w:val="20"/>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The following table summarizes Evergy Kansas Central's and Evergy Metro's income taxes receivable from (payable to) Evergy.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74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7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30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4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receivable from (payable to) Evergy</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20.2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56"/>
        </w:trPr>
        <w:tc>
          <w:tcPr>
            <w:tcW w:w="57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2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taxes receivable from (payable to) Evergy</w:t>
            </w:r>
          </w:p>
        </w:tc>
        <w:tc>
          <w:tcPr>
            <w:tcW w:w="2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(7.3)</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TAXES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Components of income tax expense are detailed in the following tables.</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Borders>
              <w:top w:val="single" w:sz="8" w:color="auto"/>
            </w:tcBorders>
          </w:tcPr>
          <w:p>
            <w:pPr>
              <w:spacing w:after="0"/>
              <w:rPr>
                <w:sz w:val="16"/>
                <w:szCs w:val="16"/>
                <w:color w:val="auto"/>
              </w:rPr>
            </w:pPr>
          </w:p>
        </w:tc>
        <w:tc>
          <w:tcPr>
            <w:tcW w:w="480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gridSpan w:val="3"/>
          </w:tcPr>
          <w:p>
            <w:pPr>
              <w:jc w:val="center"/>
              <w:ind w:left="370"/>
              <w:spacing w:after="0" w:line="191" w:lineRule="exact"/>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2"/>
          </w:tcPr>
          <w:p>
            <w:pPr>
              <w:jc w:val="center"/>
              <w:ind w:left="470"/>
              <w:spacing w:after="0" w:line="191" w:lineRule="exact"/>
              <w:rPr>
                <w:sz w:val="20"/>
                <w:szCs w:val="20"/>
                <w:color w:val="auto"/>
              </w:rPr>
            </w:pPr>
            <w:r>
              <w:rPr>
                <w:rFonts w:ascii="Arial" w:cs="Arial" w:eastAsia="Arial" w:hAnsi="Arial"/>
                <w:sz w:val="18"/>
                <w:szCs w:val="18"/>
                <w:b w:val="1"/>
                <w:bCs w:val="1"/>
                <w:color w:val="auto"/>
                <w:w w:val="91"/>
              </w:rPr>
              <w:t>Year to Date</w:t>
            </w:r>
          </w:p>
        </w:tc>
        <w:tc>
          <w:tcPr>
            <w:tcW w:w="9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8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9"/>
              </w:rPr>
              <w:t>September 30</w:t>
            </w: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60" w:type="dxa"/>
            <w:vAlign w:val="bottom"/>
            <w:gridSpan w:val="2"/>
          </w:tcPr>
          <w:p>
            <w:pPr>
              <w:jc w:val="center"/>
              <w:ind w:left="530"/>
              <w:spacing w:after="0"/>
              <w:rPr>
                <w:sz w:val="20"/>
                <w:szCs w:val="20"/>
                <w:color w:val="auto"/>
              </w:rPr>
            </w:pPr>
            <w:r>
              <w:rPr>
                <w:rFonts w:ascii="Arial" w:cs="Arial" w:eastAsia="Arial" w:hAnsi="Arial"/>
                <w:sz w:val="18"/>
                <w:szCs w:val="18"/>
                <w:b w:val="1"/>
                <w:bCs w:val="1"/>
                <w:color w:val="auto"/>
                <w:w w:val="89"/>
              </w:rPr>
              <w:t>September 30</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Current income taxes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gridSpan w:val="2"/>
          </w:tcPr>
          <w:p>
            <w:pPr>
              <w:ind w:left="260"/>
              <w:spacing w:after="0"/>
              <w:rPr>
                <w:sz w:val="20"/>
                <w:szCs w:val="20"/>
                <w:color w:val="auto"/>
              </w:rPr>
            </w:pPr>
            <w:r>
              <w:rPr>
                <w:rFonts w:ascii="Arial" w:cs="Arial" w:eastAsia="Arial" w:hAnsi="Arial"/>
                <w:sz w:val="16"/>
                <w:szCs w:val="16"/>
                <w:color w:val="auto"/>
              </w:rPr>
              <w:t>(millions)</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(17.3)</w:t>
            </w:r>
          </w:p>
        </w:tc>
        <w:tc>
          <w:tcPr>
            <w:tcW w:w="10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8.2</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6.0</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20.1</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48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1.8</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13.4</w:t>
            </w: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25.7</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50.9</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38.9</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48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19.8</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49.3</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24.1</w:t>
            </w: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Investment tax credit</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Deferral</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Amortization</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48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shd w:val="clear" w:color="auto" w:fill="CCEEFF"/>
          </w:tcPr>
          <w:p>
            <w:pPr>
              <w:spacing w:after="0"/>
              <w:rPr>
                <w:sz w:val="19"/>
                <w:szCs w:val="19"/>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Income tax expense</w:t>
            </w: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8.8</w:t>
            </w:r>
          </w:p>
        </w:tc>
        <w:tc>
          <w:tcPr>
            <w:tcW w:w="10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49.5</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32.0</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20" w:type="dxa"/>
            <w:vAlign w:val="bottom"/>
            <w:tcBorders>
              <w:bottom w:val="single" w:sz="8" w:color="auto"/>
            </w:tcBorders>
          </w:tcPr>
          <w:p>
            <w:pPr>
              <w:spacing w:after="0"/>
              <w:rPr>
                <w:sz w:val="20"/>
                <w:szCs w:val="20"/>
                <w:color w:val="auto"/>
              </w:rPr>
            </w:pPr>
          </w:p>
        </w:tc>
      </w:tr>
      <w:tr>
        <w:trPr>
          <w:trHeight w:val="574"/>
        </w:trPr>
        <w:tc>
          <w:tcPr>
            <w:tcW w:w="20" w:type="dxa"/>
            <w:vAlign w:val="bottom"/>
          </w:tcPr>
          <w:p>
            <w:pPr>
              <w:spacing w:after="0"/>
              <w:rPr>
                <w:sz w:val="24"/>
                <w:szCs w:val="24"/>
                <w:color w:val="auto"/>
              </w:rPr>
            </w:pP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9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620" w:type="dxa"/>
            <w:vAlign w:val="bottom"/>
            <w:gridSpan w:val="3"/>
          </w:tcPr>
          <w:p>
            <w:pPr>
              <w:jc w:val="center"/>
              <w:ind w:left="370"/>
              <w:spacing w:after="0" w:line="176" w:lineRule="exact"/>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60" w:type="dxa"/>
            <w:vAlign w:val="bottom"/>
            <w:gridSpan w:val="2"/>
          </w:tcPr>
          <w:p>
            <w:pPr>
              <w:jc w:val="center"/>
              <w:ind w:left="470"/>
              <w:spacing w:after="0" w:line="176" w:lineRule="exact"/>
              <w:rPr>
                <w:sz w:val="20"/>
                <w:szCs w:val="20"/>
                <w:color w:val="auto"/>
              </w:rPr>
            </w:pPr>
            <w:r>
              <w:rPr>
                <w:rFonts w:ascii="Arial" w:cs="Arial" w:eastAsia="Arial" w:hAnsi="Arial"/>
                <w:sz w:val="18"/>
                <w:szCs w:val="18"/>
                <w:b w:val="1"/>
                <w:bCs w:val="1"/>
                <w:color w:val="auto"/>
                <w:w w:val="91"/>
              </w:rPr>
              <w:t>Year to Date</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80" w:type="dxa"/>
            <w:vAlign w:val="bottom"/>
            <w:gridSpan w:val="2"/>
          </w:tcPr>
          <w:p>
            <w:pPr>
              <w:jc w:val="center"/>
              <w:ind w:right="390"/>
              <w:spacing w:after="0"/>
              <w:rPr>
                <w:sz w:val="20"/>
                <w:szCs w:val="20"/>
                <w:color w:val="auto"/>
              </w:rPr>
            </w:pPr>
            <w:r>
              <w:rPr>
                <w:rFonts w:ascii="Arial" w:cs="Arial" w:eastAsia="Arial" w:hAnsi="Arial"/>
                <w:sz w:val="18"/>
                <w:szCs w:val="18"/>
                <w:b w:val="1"/>
                <w:bCs w:val="1"/>
                <w:color w:val="auto"/>
                <w:w w:val="88"/>
              </w:rPr>
              <w:t>September 30</w:t>
            </w: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gridSpan w:val="2"/>
          </w:tcPr>
          <w:p>
            <w:pPr>
              <w:ind w:left="260"/>
              <w:spacing w:after="0"/>
              <w:rPr>
                <w:sz w:val="20"/>
                <w:szCs w:val="20"/>
                <w:color w:val="auto"/>
              </w:rPr>
            </w:pPr>
            <w:r>
              <w:rPr>
                <w:rFonts w:ascii="Arial" w:cs="Arial" w:eastAsia="Arial" w:hAnsi="Arial"/>
                <w:sz w:val="16"/>
                <w:szCs w:val="16"/>
                <w:color w:val="auto"/>
              </w:rPr>
              <w:t>(millions)</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(7.0)</w:t>
            </w:r>
          </w:p>
        </w:tc>
        <w:tc>
          <w:tcPr>
            <w:tcW w:w="10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14.5</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3.0</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3.2</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7.9</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(4.0)</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25.5</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22.4</w:t>
            </w: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(8.3)</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(1.8)</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(0.6)</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(4.1)</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(2.9)</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(8.9)</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(15.9)</w:t>
            </w: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Investment tax credit</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Deferral</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(3.9)</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(5.8)</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(1.0)</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(1.1)</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(2.9)</w:t>
            </w: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expense (benefit)</w:t>
            </w: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(7.9)</w:t>
            </w:r>
          </w:p>
        </w:tc>
        <w:tc>
          <w:tcPr>
            <w:tcW w:w="10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15.5</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3.6</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 Metro</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20" w:type="dxa"/>
            <w:vAlign w:val="bottom"/>
            <w:tcBorders>
              <w:top w:val="single" w:sz="8" w:color="auto"/>
            </w:tcBorders>
          </w:tcPr>
          <w:p>
            <w:pPr>
              <w:spacing w:after="0"/>
              <w:rPr>
                <w:sz w:val="15"/>
                <w:szCs w:val="15"/>
                <w:color w:val="auto"/>
              </w:rPr>
            </w:pPr>
          </w:p>
        </w:tc>
        <w:tc>
          <w:tcPr>
            <w:tcW w:w="2600" w:type="dxa"/>
            <w:vAlign w:val="bottom"/>
            <w:tcBorders>
              <w:top w:val="single" w:sz="8" w:color="auto"/>
            </w:tcBorders>
            <w:gridSpan w:val="3"/>
          </w:tcPr>
          <w:p>
            <w:pPr>
              <w:jc w:val="right"/>
              <w:ind w:right="150"/>
              <w:spacing w:after="0" w:line="182" w:lineRule="exact"/>
              <w:rPr>
                <w:sz w:val="20"/>
                <w:szCs w:val="20"/>
                <w:color w:val="auto"/>
              </w:rPr>
            </w:pPr>
            <w:r>
              <w:rPr>
                <w:rFonts w:ascii="Arial" w:cs="Arial" w:eastAsia="Arial" w:hAnsi="Arial"/>
                <w:sz w:val="18"/>
                <w:szCs w:val="18"/>
                <w:b w:val="1"/>
                <w:bCs w:val="1"/>
                <w:color w:val="auto"/>
              </w:rPr>
              <w:t>Three Months Ended</w:t>
            </w:r>
          </w:p>
        </w:tc>
        <w:tc>
          <w:tcPr>
            <w:tcW w:w="6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ind w:right="50"/>
              <w:spacing w:after="0" w:line="182" w:lineRule="exact"/>
              <w:rPr>
                <w:sz w:val="20"/>
                <w:szCs w:val="20"/>
                <w:color w:val="auto"/>
              </w:rPr>
            </w:pPr>
            <w:r>
              <w:rPr>
                <w:rFonts w:ascii="Arial" w:cs="Arial" w:eastAsia="Arial" w:hAnsi="Arial"/>
                <w:sz w:val="18"/>
                <w:szCs w:val="18"/>
                <w:b w:val="1"/>
                <w:bCs w:val="1"/>
                <w:color w:val="auto"/>
                <w:w w:val="97"/>
              </w:rPr>
              <w:t>Year to Date</w:t>
            </w:r>
          </w:p>
        </w:tc>
        <w:tc>
          <w:tcPr>
            <w:tcW w:w="960" w:type="dxa"/>
            <w:vAlign w:val="bottom"/>
            <w:tcBorders>
              <w:top w:val="single" w:sz="8" w:color="auto"/>
            </w:tcBorders>
          </w:tcPr>
          <w:p>
            <w:pPr>
              <w:spacing w:after="0"/>
              <w:rPr>
                <w:sz w:val="15"/>
                <w:szCs w:val="15"/>
                <w:color w:val="auto"/>
              </w:rPr>
            </w:pPr>
          </w:p>
        </w:tc>
      </w:tr>
      <w:tr>
        <w:trPr>
          <w:trHeight w:val="234"/>
        </w:trPr>
        <w:tc>
          <w:tcPr>
            <w:tcW w:w="4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4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3"/>
              </w:rPr>
              <w:t>September 30</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September 30</w:t>
            </w:r>
          </w:p>
        </w:tc>
        <w:tc>
          <w:tcPr>
            <w:tcW w:w="960" w:type="dxa"/>
            <w:vAlign w:val="bottom"/>
          </w:tcPr>
          <w:p>
            <w:pPr>
              <w:spacing w:after="0"/>
              <w:rPr>
                <w:sz w:val="20"/>
                <w:szCs w:val="20"/>
                <w:color w:val="auto"/>
              </w:rPr>
            </w:pPr>
          </w:p>
        </w:tc>
      </w:tr>
      <w:tr>
        <w:trPr>
          <w:trHeight w:val="238"/>
        </w:trPr>
        <w:tc>
          <w:tcPr>
            <w:tcW w:w="48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2022</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80" w:type="dxa"/>
            <w:vAlign w:val="bottom"/>
            <w:gridSpan w:val="2"/>
          </w:tcPr>
          <w:p>
            <w:pPr>
              <w:jc w:val="right"/>
              <w:ind w:right="670"/>
              <w:spacing w:after="0"/>
              <w:rPr>
                <w:sz w:val="20"/>
                <w:szCs w:val="20"/>
                <w:color w:val="auto"/>
              </w:rPr>
            </w:pPr>
            <w:r>
              <w:rPr>
                <w:rFonts w:ascii="Arial" w:cs="Arial" w:eastAsia="Arial" w:hAnsi="Arial"/>
                <w:sz w:val="16"/>
                <w:szCs w:val="16"/>
                <w:color w:val="auto"/>
              </w:rPr>
              <w:t>(millions)</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0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(22.5)</w:t>
            </w:r>
          </w:p>
        </w:tc>
        <w:tc>
          <w:tcPr>
            <w:tcW w:w="10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3.7</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2.1</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8.9</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48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(20.4)</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7.2</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23.0</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54.3</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43.5</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29"/>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48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20.8</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54.2</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37.7</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23"/>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Investment tax credit amortization</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(0.6)</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23.7</w:t>
            </w:r>
          </w:p>
        </w:tc>
        <w:tc>
          <w:tcPr>
            <w:tcW w:w="10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33.2</w:t>
            </w:r>
          </w:p>
        </w:tc>
        <w:tc>
          <w:tcPr>
            <w:tcW w:w="10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42.3</w:t>
            </w:r>
          </w:p>
        </w:tc>
        <w:tc>
          <w:tcPr>
            <w:tcW w:w="6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Income Tax Rates</w:t>
      </w:r>
    </w:p>
    <w:p>
      <w:pPr>
        <w:spacing w:after="0" w:line="22" w:lineRule="exact"/>
        <w:rPr>
          <w:sz w:val="20"/>
          <w:szCs w:val="20"/>
          <w:color w:val="auto"/>
        </w:rPr>
      </w:pPr>
    </w:p>
    <w:p>
      <w:pPr>
        <w:ind w:right="640"/>
        <w:spacing w:after="0" w:line="258" w:lineRule="auto"/>
        <w:rPr>
          <w:sz w:val="20"/>
          <w:szCs w:val="20"/>
          <w:color w:val="auto"/>
        </w:rPr>
      </w:pPr>
      <w:r>
        <w:rPr>
          <w:rFonts w:ascii="Arial" w:cs="Arial" w:eastAsia="Arial" w:hAnsi="Arial"/>
          <w:sz w:val="20"/>
          <w:szCs w:val="20"/>
          <w:color w:val="auto"/>
        </w:rPr>
        <w:t>Effective income tax rates reflected in the financial statements and the reasons for their differences from the statutory federal rates are detailed in the following tables.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40" w:type="dxa"/>
            <w:vAlign w:val="bottom"/>
            <w:tcBorders>
              <w:top w:val="single" w:sz="8" w:color="auto"/>
            </w:tcBorders>
          </w:tcPr>
          <w:p>
            <w:pPr>
              <w:spacing w:after="0"/>
              <w:rPr>
                <w:sz w:val="16"/>
                <w:szCs w:val="16"/>
                <w:color w:val="auto"/>
              </w:rPr>
            </w:pPr>
          </w:p>
        </w:tc>
        <w:tc>
          <w:tcPr>
            <w:tcW w:w="3620" w:type="dxa"/>
            <w:vAlign w:val="bottom"/>
            <w:tcBorders>
              <w:top w:val="single" w:sz="8" w:color="auto"/>
            </w:tcBorders>
            <w:gridSpan w:val="2"/>
          </w:tcPr>
          <w:p>
            <w:pPr>
              <w:jc w:val="right"/>
              <w:ind w:right="970"/>
              <w:spacing w:after="0" w:line="191" w:lineRule="exact"/>
              <w:rPr>
                <w:sz w:val="20"/>
                <w:szCs w:val="20"/>
                <w:color w:val="auto"/>
              </w:rPr>
            </w:pPr>
            <w:r>
              <w:rPr>
                <w:rFonts w:ascii="Arial" w:cs="Arial" w:eastAsia="Arial" w:hAnsi="Arial"/>
                <w:sz w:val="18"/>
                <w:szCs w:val="18"/>
                <w:b w:val="1"/>
                <w:bCs w:val="1"/>
                <w:color w:val="auto"/>
              </w:rPr>
              <w:t>Three Months Ended</w:t>
            </w:r>
          </w:p>
        </w:tc>
        <w:tc>
          <w:tcPr>
            <w:tcW w:w="194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rPr>
              <w:t>Year to Date</w:t>
            </w:r>
          </w:p>
        </w:tc>
        <w:tc>
          <w:tcPr>
            <w:tcW w:w="940" w:type="dxa"/>
            <w:vAlign w:val="bottom"/>
            <w:tcBorders>
              <w:top w:val="single" w:sz="8" w:color="auto"/>
            </w:tcBorders>
          </w:tcPr>
          <w:p>
            <w:pPr>
              <w:spacing w:after="0"/>
              <w:rPr>
                <w:sz w:val="16"/>
                <w:szCs w:val="16"/>
                <w:color w:val="auto"/>
              </w:rPr>
            </w:pPr>
          </w:p>
        </w:tc>
      </w:tr>
      <w:tr>
        <w:trPr>
          <w:trHeight w:val="229"/>
        </w:trPr>
        <w:tc>
          <w:tcPr>
            <w:tcW w:w="47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19"/>
                <w:szCs w:val="19"/>
                <w:color w:val="auto"/>
              </w:rPr>
            </w:pPr>
          </w:p>
        </w:tc>
      </w:tr>
      <w:tr>
        <w:trPr>
          <w:trHeight w:val="234"/>
        </w:trPr>
        <w:tc>
          <w:tcPr>
            <w:tcW w:w="47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2023</w:t>
            </w:r>
          </w:p>
        </w:tc>
        <w:tc>
          <w:tcPr>
            <w:tcW w:w="13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99"/>
              </w:rPr>
              <w:t>2022</w:t>
            </w:r>
          </w:p>
        </w:tc>
        <w:tc>
          <w:tcPr>
            <w:tcW w:w="194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2023</w:t>
            </w: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2022</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w:t>
            </w:r>
          </w:p>
        </w:tc>
        <w:tc>
          <w:tcPr>
            <w:tcW w:w="23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21.0 %</w:t>
            </w: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21.0 %</w:t>
            </w:r>
          </w:p>
        </w:tc>
        <w:tc>
          <w:tcPr>
            <w:tcW w:w="19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21.0 %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COLI policies</w:t>
            </w:r>
          </w:p>
        </w:tc>
        <w:tc>
          <w:tcPr>
            <w:tcW w:w="2320" w:type="dxa"/>
            <w:vAlign w:val="bottom"/>
          </w:tcPr>
          <w:p>
            <w:pPr>
              <w:jc w:val="right"/>
              <w:ind w:right="770"/>
              <w:spacing w:after="0"/>
              <w:rPr>
                <w:sz w:val="20"/>
                <w:szCs w:val="20"/>
                <w:color w:val="auto"/>
              </w:rPr>
            </w:pPr>
            <w:r>
              <w:rPr>
                <w:rFonts w:ascii="Arial" w:cs="Arial" w:eastAsia="Arial" w:hAnsi="Arial"/>
                <w:sz w:val="18"/>
                <w:szCs w:val="18"/>
                <w:color w:val="auto"/>
              </w:rPr>
              <w:t>(1.8)</w:t>
            </w: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(1.3)</w:t>
            </w:r>
          </w:p>
        </w:tc>
        <w:tc>
          <w:tcPr>
            <w:tcW w:w="1940" w:type="dxa"/>
            <w:vAlign w:val="bottom"/>
          </w:tcPr>
          <w:p>
            <w:pPr>
              <w:jc w:val="right"/>
              <w:ind w:right="770"/>
              <w:spacing w:after="0"/>
              <w:rPr>
                <w:sz w:val="20"/>
                <w:szCs w:val="20"/>
                <w:color w:val="auto"/>
              </w:rPr>
            </w:pPr>
            <w:r>
              <w:rPr>
                <w:rFonts w:ascii="Arial" w:cs="Arial" w:eastAsia="Arial" w:hAnsi="Arial"/>
                <w:sz w:val="18"/>
                <w:szCs w:val="18"/>
                <w:color w:val="auto"/>
              </w:rPr>
              <w:t>(1.6)</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w:t>
            </w:r>
          </w:p>
        </w:tc>
        <w:tc>
          <w:tcPr>
            <w:tcW w:w="23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(0.5)</w:t>
            </w:r>
          </w:p>
        </w:tc>
        <w:tc>
          <w:tcPr>
            <w:tcW w:w="1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0.7</w:t>
            </w:r>
          </w:p>
        </w:tc>
        <w:tc>
          <w:tcPr>
            <w:tcW w:w="194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(0.2)</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2320" w:type="dxa"/>
            <w:vAlign w:val="bottom"/>
          </w:tcPr>
          <w:p>
            <w:pPr>
              <w:jc w:val="right"/>
              <w:ind w:right="770"/>
              <w:spacing w:after="0"/>
              <w:rPr>
                <w:sz w:val="20"/>
                <w:szCs w:val="20"/>
                <w:color w:val="auto"/>
              </w:rPr>
            </w:pPr>
            <w:r>
              <w:rPr>
                <w:rFonts w:ascii="Arial" w:cs="Arial" w:eastAsia="Arial" w:hAnsi="Arial"/>
                <w:sz w:val="18"/>
                <w:szCs w:val="18"/>
                <w:color w:val="auto"/>
              </w:rPr>
              <w:t>(9.9)</w:t>
            </w: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(5.6)</w:t>
            </w:r>
          </w:p>
        </w:tc>
        <w:tc>
          <w:tcPr>
            <w:tcW w:w="1940" w:type="dxa"/>
            <w:vAlign w:val="bottom"/>
          </w:tcPr>
          <w:p>
            <w:pPr>
              <w:jc w:val="right"/>
              <w:ind w:right="770"/>
              <w:spacing w:after="0"/>
              <w:rPr>
                <w:sz w:val="20"/>
                <w:szCs w:val="20"/>
                <w:color w:val="auto"/>
              </w:rPr>
            </w:pPr>
            <w:r>
              <w:rPr>
                <w:rFonts w:ascii="Arial" w:cs="Arial" w:eastAsia="Arial" w:hAnsi="Arial"/>
                <w:sz w:val="18"/>
                <w:szCs w:val="18"/>
                <w:color w:val="auto"/>
              </w:rPr>
              <w:t>(8.7)</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(5.8)</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credits</w:t>
            </w:r>
          </w:p>
        </w:tc>
        <w:tc>
          <w:tcPr>
            <w:tcW w:w="23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(6.7)</w:t>
            </w:r>
          </w:p>
        </w:tc>
        <w:tc>
          <w:tcPr>
            <w:tcW w:w="13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(3.7)</w:t>
            </w:r>
          </w:p>
        </w:tc>
        <w:tc>
          <w:tcPr>
            <w:tcW w:w="194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(5.9)</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2320" w:type="dxa"/>
            <w:vAlign w:val="bottom"/>
          </w:tcPr>
          <w:p>
            <w:pPr>
              <w:jc w:val="right"/>
              <w:ind w:right="770"/>
              <w:spacing w:after="0"/>
              <w:rPr>
                <w:sz w:val="20"/>
                <w:szCs w:val="20"/>
                <w:color w:val="auto"/>
              </w:rPr>
            </w:pPr>
            <w:r>
              <w:rPr>
                <w:rFonts w:ascii="Arial" w:cs="Arial" w:eastAsia="Arial" w:hAnsi="Arial"/>
                <w:sz w:val="18"/>
                <w:szCs w:val="18"/>
                <w:color w:val="auto"/>
              </w:rPr>
              <w:t>(0.4)</w:t>
            </w: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(0.3)</w:t>
            </w:r>
          </w:p>
        </w:tc>
        <w:tc>
          <w:tcPr>
            <w:tcW w:w="1940" w:type="dxa"/>
            <w:vAlign w:val="bottom"/>
          </w:tcPr>
          <w:p>
            <w:pPr>
              <w:jc w:val="right"/>
              <w:ind w:right="770"/>
              <w:spacing w:after="0"/>
              <w:rPr>
                <w:sz w:val="20"/>
                <w:szCs w:val="20"/>
                <w:color w:val="auto"/>
              </w:rPr>
            </w:pPr>
            <w:r>
              <w:rPr>
                <w:rFonts w:ascii="Arial" w:cs="Arial" w:eastAsia="Arial" w:hAnsi="Arial"/>
                <w:sz w:val="18"/>
                <w:szCs w:val="18"/>
                <w:color w:val="auto"/>
              </w:rPr>
              <w:t>(0.3)</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(0.3)</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AFUDC equity</w:t>
            </w:r>
          </w:p>
        </w:tc>
        <w:tc>
          <w:tcPr>
            <w:tcW w:w="23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0.2</w:t>
            </w:r>
          </w:p>
        </w:tc>
        <w:tc>
          <w:tcPr>
            <w:tcW w:w="13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(0.5)</w:t>
            </w:r>
          </w:p>
        </w:tc>
        <w:tc>
          <w:tcPr>
            <w:tcW w:w="194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(0.2)</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2320" w:type="dxa"/>
            <w:vAlign w:val="bottom"/>
          </w:tcPr>
          <w:p>
            <w:pPr>
              <w:jc w:val="right"/>
              <w:ind w:right="770"/>
              <w:spacing w:after="0"/>
              <w:rPr>
                <w:sz w:val="20"/>
                <w:szCs w:val="20"/>
                <w:color w:val="auto"/>
              </w:rPr>
            </w:pPr>
            <w:r>
              <w:rPr>
                <w:rFonts w:ascii="Arial" w:cs="Arial" w:eastAsia="Arial" w:hAnsi="Arial"/>
                <w:sz w:val="18"/>
                <w:szCs w:val="18"/>
                <w:color w:val="auto"/>
              </w:rPr>
              <w:t>(0.8)</w:t>
            </w: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(0.2)</w:t>
            </w:r>
          </w:p>
        </w:tc>
        <w:tc>
          <w:tcPr>
            <w:tcW w:w="1940" w:type="dxa"/>
            <w:vAlign w:val="bottom"/>
          </w:tcPr>
          <w:p>
            <w:pPr>
              <w:jc w:val="right"/>
              <w:ind w:right="770"/>
              <w:spacing w:after="0"/>
              <w:rPr>
                <w:sz w:val="20"/>
                <w:szCs w:val="20"/>
                <w:color w:val="auto"/>
              </w:rPr>
            </w:pPr>
            <w:r>
              <w:rPr>
                <w:rFonts w:ascii="Arial" w:cs="Arial" w:eastAsia="Arial" w:hAnsi="Arial"/>
                <w:sz w:val="18"/>
                <w:szCs w:val="18"/>
                <w:color w:val="auto"/>
              </w:rPr>
              <w:t>(0.7)</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(0.2)</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23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1.0</w:t>
            </w:r>
          </w:p>
        </w:tc>
        <w:tc>
          <w:tcPr>
            <w:tcW w:w="1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0.6</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232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(0.2)</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 compensation limitation</w:t>
            </w:r>
          </w:p>
        </w:tc>
        <w:tc>
          <w:tcPr>
            <w:tcW w:w="23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0.3</w:t>
            </w:r>
          </w:p>
        </w:tc>
        <w:tc>
          <w:tcPr>
            <w:tcW w:w="1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0.2</w:t>
            </w:r>
          </w:p>
        </w:tc>
        <w:tc>
          <w:tcPr>
            <w:tcW w:w="194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0.3</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3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3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0.2</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(0.2)</w:t>
            </w:r>
          </w:p>
        </w:tc>
      </w:tr>
      <w:tr>
        <w:trPr>
          <w:trHeight w:val="230"/>
        </w:trPr>
        <w:tc>
          <w:tcPr>
            <w:tcW w:w="4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Effective income tax rate</w:t>
            </w:r>
          </w:p>
        </w:tc>
        <w:tc>
          <w:tcPr>
            <w:tcW w:w="23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2.4 %</w:t>
            </w:r>
          </w:p>
        </w:tc>
        <w:tc>
          <w:tcPr>
            <w:tcW w:w="13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10.3 %</w:t>
            </w:r>
          </w:p>
        </w:tc>
        <w:tc>
          <w:tcPr>
            <w:tcW w:w="194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4.5 %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Evergy Kansas Central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720" w:type="dxa"/>
            <w:vAlign w:val="bottom"/>
            <w:tcBorders>
              <w:top w:val="single" w:sz="8" w:color="auto"/>
            </w:tcBorders>
          </w:tcPr>
          <w:p>
            <w:pPr>
              <w:spacing w:after="0"/>
              <w:rPr>
                <w:sz w:val="15"/>
                <w:szCs w:val="15"/>
                <w:color w:val="auto"/>
              </w:rPr>
            </w:pPr>
          </w:p>
        </w:tc>
        <w:tc>
          <w:tcPr>
            <w:tcW w:w="3620" w:type="dxa"/>
            <w:vAlign w:val="bottom"/>
            <w:tcBorders>
              <w:top w:val="single" w:sz="8" w:color="auto"/>
            </w:tcBorders>
            <w:gridSpan w:val="2"/>
          </w:tcPr>
          <w:p>
            <w:pPr>
              <w:jc w:val="center"/>
              <w:ind w:right="50"/>
              <w:spacing w:after="0" w:line="182" w:lineRule="exact"/>
              <w:rPr>
                <w:sz w:val="20"/>
                <w:szCs w:val="20"/>
                <w:color w:val="auto"/>
              </w:rPr>
            </w:pPr>
            <w:r>
              <w:rPr>
                <w:rFonts w:ascii="Arial" w:cs="Arial" w:eastAsia="Arial" w:hAnsi="Arial"/>
                <w:sz w:val="18"/>
                <w:szCs w:val="18"/>
                <w:b w:val="1"/>
                <w:bCs w:val="1"/>
                <w:color w:val="auto"/>
                <w:w w:val="92"/>
              </w:rPr>
              <w:t>Three Months Ended</w:t>
            </w:r>
          </w:p>
        </w:tc>
        <w:tc>
          <w:tcPr>
            <w:tcW w:w="1940" w:type="dxa"/>
            <w:vAlign w:val="bottom"/>
            <w:tcBorders>
              <w:top w:val="single" w:sz="8" w:color="auto"/>
            </w:tcBorders>
          </w:tcPr>
          <w:p>
            <w:pPr>
              <w:ind w:left="860"/>
              <w:spacing w:after="0" w:line="182" w:lineRule="exact"/>
              <w:rPr>
                <w:sz w:val="20"/>
                <w:szCs w:val="20"/>
                <w:color w:val="auto"/>
              </w:rPr>
            </w:pPr>
            <w:r>
              <w:rPr>
                <w:rFonts w:ascii="Arial" w:cs="Arial" w:eastAsia="Arial" w:hAnsi="Arial"/>
                <w:sz w:val="18"/>
                <w:szCs w:val="18"/>
                <w:b w:val="1"/>
                <w:bCs w:val="1"/>
                <w:color w:val="auto"/>
              </w:rPr>
              <w:t>Year to Date</w:t>
            </w:r>
          </w:p>
        </w:tc>
        <w:tc>
          <w:tcPr>
            <w:tcW w:w="9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320" w:type="dxa"/>
            <w:vAlign w:val="bottom"/>
          </w:tcPr>
          <w:p>
            <w:pPr>
              <w:jc w:val="center"/>
              <w:ind w:left="1050"/>
              <w:spacing w:after="0"/>
              <w:rPr>
                <w:sz w:val="20"/>
                <w:szCs w:val="20"/>
                <w:color w:val="auto"/>
              </w:rPr>
            </w:pPr>
            <w:r>
              <w:rPr>
                <w:rFonts w:ascii="Arial" w:cs="Arial" w:eastAsia="Arial" w:hAnsi="Arial"/>
                <w:sz w:val="18"/>
                <w:szCs w:val="18"/>
                <w:b w:val="1"/>
                <w:bCs w:val="1"/>
                <w:color w:val="auto"/>
                <w:w w:val="89"/>
              </w:rPr>
              <w:t>September 30</w:t>
            </w:r>
          </w:p>
        </w:tc>
        <w:tc>
          <w:tcPr>
            <w:tcW w:w="1300" w:type="dxa"/>
            <w:vAlign w:val="bottom"/>
          </w:tcPr>
          <w:p>
            <w:pPr>
              <w:spacing w:after="0"/>
              <w:rPr>
                <w:sz w:val="20"/>
                <w:szCs w:val="20"/>
                <w:color w:val="auto"/>
              </w:rPr>
            </w:pPr>
          </w:p>
        </w:tc>
        <w:tc>
          <w:tcPr>
            <w:tcW w:w="1940" w:type="dxa"/>
            <w:vAlign w:val="bottom"/>
          </w:tcPr>
          <w:p>
            <w:pPr>
              <w:ind w:left="820"/>
              <w:spacing w:after="0"/>
              <w:rPr>
                <w:sz w:val="20"/>
                <w:szCs w:val="20"/>
                <w:color w:val="auto"/>
              </w:rPr>
            </w:pPr>
            <w:r>
              <w:rPr>
                <w:rFonts w:ascii="Arial" w:cs="Arial" w:eastAsia="Arial" w:hAnsi="Arial"/>
                <w:sz w:val="18"/>
                <w:szCs w:val="18"/>
                <w:b w:val="1"/>
                <w:bCs w:val="1"/>
                <w:color w:val="auto"/>
                <w:w w:val="93"/>
              </w:rPr>
              <w:t>September 30</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2023</w:t>
            </w:r>
          </w:p>
        </w:tc>
        <w:tc>
          <w:tcPr>
            <w:tcW w:w="13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94"/>
              </w:rPr>
              <w:t>2022</w:t>
            </w:r>
          </w:p>
        </w:tc>
        <w:tc>
          <w:tcPr>
            <w:tcW w:w="19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2023</w:t>
            </w: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2022</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w:t>
            </w:r>
          </w:p>
        </w:tc>
        <w:tc>
          <w:tcPr>
            <w:tcW w:w="23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21.0 %</w:t>
            </w:r>
          </w:p>
        </w:tc>
        <w:tc>
          <w:tcPr>
            <w:tcW w:w="13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21.0 %</w:t>
            </w:r>
          </w:p>
        </w:tc>
        <w:tc>
          <w:tcPr>
            <w:tcW w:w="19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21.0 %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COLI policies</w:t>
            </w:r>
          </w:p>
        </w:tc>
        <w:tc>
          <w:tcPr>
            <w:tcW w:w="2320" w:type="dxa"/>
            <w:vAlign w:val="bottom"/>
          </w:tcPr>
          <w:p>
            <w:pPr>
              <w:ind w:left="1100"/>
              <w:spacing w:after="0"/>
              <w:rPr>
                <w:sz w:val="20"/>
                <w:szCs w:val="20"/>
                <w:color w:val="auto"/>
              </w:rPr>
            </w:pPr>
            <w:r>
              <w:rPr>
                <w:rFonts w:ascii="Arial" w:cs="Arial" w:eastAsia="Arial" w:hAnsi="Arial"/>
                <w:sz w:val="18"/>
                <w:szCs w:val="18"/>
                <w:color w:val="auto"/>
              </w:rPr>
              <w:t>(4.3)</w:t>
            </w:r>
          </w:p>
        </w:tc>
        <w:tc>
          <w:tcPr>
            <w:tcW w:w="1300" w:type="dxa"/>
            <w:vAlign w:val="bottom"/>
          </w:tcPr>
          <w:p>
            <w:pPr>
              <w:ind w:left="400"/>
              <w:spacing w:after="0"/>
              <w:rPr>
                <w:sz w:val="20"/>
                <w:szCs w:val="20"/>
                <w:color w:val="auto"/>
              </w:rPr>
            </w:pPr>
            <w:r>
              <w:rPr>
                <w:rFonts w:ascii="Arial" w:cs="Arial" w:eastAsia="Arial" w:hAnsi="Arial"/>
                <w:sz w:val="18"/>
                <w:szCs w:val="18"/>
                <w:color w:val="auto"/>
              </w:rPr>
              <w:t>(2.7)</w:t>
            </w:r>
          </w:p>
        </w:tc>
        <w:tc>
          <w:tcPr>
            <w:tcW w:w="1940" w:type="dxa"/>
            <w:vAlign w:val="bottom"/>
          </w:tcPr>
          <w:p>
            <w:pPr>
              <w:ind w:left="720"/>
              <w:spacing w:after="0"/>
              <w:rPr>
                <w:sz w:val="20"/>
                <w:szCs w:val="20"/>
                <w:color w:val="auto"/>
              </w:rPr>
            </w:pPr>
            <w:r>
              <w:rPr>
                <w:rFonts w:ascii="Arial" w:cs="Arial" w:eastAsia="Arial" w:hAnsi="Arial"/>
                <w:sz w:val="18"/>
                <w:szCs w:val="18"/>
                <w:color w:val="auto"/>
              </w:rPr>
              <w:t>(3.1)</w:t>
            </w:r>
          </w:p>
        </w:tc>
        <w:tc>
          <w:tcPr>
            <w:tcW w:w="920" w:type="dxa"/>
            <w:vAlign w:val="bottom"/>
          </w:tcPr>
          <w:p>
            <w:pPr>
              <w:ind w:left="40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w:t>
            </w:r>
          </w:p>
        </w:tc>
        <w:tc>
          <w:tcPr>
            <w:tcW w:w="23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(2.3)</w:t>
            </w:r>
          </w:p>
        </w:tc>
        <w:tc>
          <w:tcPr>
            <w:tcW w:w="13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0.7</w:t>
            </w:r>
          </w:p>
        </w:tc>
        <w:tc>
          <w:tcPr>
            <w:tcW w:w="1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(0.5)</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2320" w:type="dxa"/>
            <w:vAlign w:val="bottom"/>
          </w:tcPr>
          <w:p>
            <w:pPr>
              <w:ind w:left="1100"/>
              <w:spacing w:after="0"/>
              <w:rPr>
                <w:sz w:val="20"/>
                <w:szCs w:val="20"/>
                <w:color w:val="auto"/>
              </w:rPr>
            </w:pPr>
            <w:r>
              <w:rPr>
                <w:rFonts w:ascii="Arial" w:cs="Arial" w:eastAsia="Arial" w:hAnsi="Arial"/>
                <w:sz w:val="18"/>
                <w:szCs w:val="18"/>
                <w:color w:val="auto"/>
              </w:rPr>
              <w:t>(6.2)</w:t>
            </w:r>
          </w:p>
        </w:tc>
        <w:tc>
          <w:tcPr>
            <w:tcW w:w="1300" w:type="dxa"/>
            <w:vAlign w:val="bottom"/>
          </w:tcPr>
          <w:p>
            <w:pPr>
              <w:ind w:left="400"/>
              <w:spacing w:after="0"/>
              <w:rPr>
                <w:sz w:val="20"/>
                <w:szCs w:val="20"/>
                <w:color w:val="auto"/>
              </w:rPr>
            </w:pPr>
            <w:r>
              <w:rPr>
                <w:rFonts w:ascii="Arial" w:cs="Arial" w:eastAsia="Arial" w:hAnsi="Arial"/>
                <w:sz w:val="18"/>
                <w:szCs w:val="18"/>
                <w:color w:val="auto"/>
              </w:rPr>
              <w:t>(3.6)</w:t>
            </w:r>
          </w:p>
        </w:tc>
        <w:tc>
          <w:tcPr>
            <w:tcW w:w="1940" w:type="dxa"/>
            <w:vAlign w:val="bottom"/>
          </w:tcPr>
          <w:p>
            <w:pPr>
              <w:ind w:left="720"/>
              <w:spacing w:after="0"/>
              <w:rPr>
                <w:sz w:val="20"/>
                <w:szCs w:val="20"/>
                <w:color w:val="auto"/>
              </w:rPr>
            </w:pPr>
            <w:r>
              <w:rPr>
                <w:rFonts w:ascii="Arial" w:cs="Arial" w:eastAsia="Arial" w:hAnsi="Arial"/>
                <w:sz w:val="18"/>
                <w:szCs w:val="18"/>
                <w:color w:val="auto"/>
              </w:rPr>
              <w:t>(4.5)</w:t>
            </w:r>
          </w:p>
        </w:tc>
        <w:tc>
          <w:tcPr>
            <w:tcW w:w="920" w:type="dxa"/>
            <w:vAlign w:val="bottom"/>
          </w:tcPr>
          <w:p>
            <w:pPr>
              <w:ind w:left="40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credits</w:t>
            </w:r>
          </w:p>
        </w:tc>
        <w:tc>
          <w:tcPr>
            <w:tcW w:w="23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(16.3)</w:t>
            </w:r>
          </w:p>
        </w:tc>
        <w:tc>
          <w:tcPr>
            <w:tcW w:w="1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(7.7)</w:t>
            </w:r>
          </w:p>
        </w:tc>
        <w:tc>
          <w:tcPr>
            <w:tcW w:w="1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(11.7)</w:t>
            </w:r>
          </w:p>
        </w:tc>
        <w:tc>
          <w:tcPr>
            <w:tcW w:w="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2320" w:type="dxa"/>
            <w:vAlign w:val="bottom"/>
          </w:tcPr>
          <w:p>
            <w:pPr>
              <w:ind w:left="1100"/>
              <w:spacing w:after="0"/>
              <w:rPr>
                <w:sz w:val="20"/>
                <w:szCs w:val="20"/>
                <w:color w:val="auto"/>
              </w:rPr>
            </w:pPr>
            <w:r>
              <w:rPr>
                <w:rFonts w:ascii="Arial" w:cs="Arial" w:eastAsia="Arial" w:hAnsi="Arial"/>
                <w:sz w:val="18"/>
                <w:szCs w:val="18"/>
                <w:color w:val="auto"/>
              </w:rPr>
              <w:t>(0.9)</w:t>
            </w:r>
          </w:p>
        </w:tc>
        <w:tc>
          <w:tcPr>
            <w:tcW w:w="1300" w:type="dxa"/>
            <w:vAlign w:val="bottom"/>
          </w:tcPr>
          <w:p>
            <w:pPr>
              <w:ind w:left="400"/>
              <w:spacing w:after="0"/>
              <w:rPr>
                <w:sz w:val="20"/>
                <w:szCs w:val="20"/>
                <w:color w:val="auto"/>
              </w:rPr>
            </w:pPr>
            <w:r>
              <w:rPr>
                <w:rFonts w:ascii="Arial" w:cs="Arial" w:eastAsia="Arial" w:hAnsi="Arial"/>
                <w:sz w:val="18"/>
                <w:szCs w:val="18"/>
                <w:color w:val="auto"/>
              </w:rPr>
              <w:t>(0.6)</w:t>
            </w:r>
          </w:p>
        </w:tc>
        <w:tc>
          <w:tcPr>
            <w:tcW w:w="1940" w:type="dxa"/>
            <w:vAlign w:val="bottom"/>
          </w:tcPr>
          <w:p>
            <w:pPr>
              <w:ind w:left="720"/>
              <w:spacing w:after="0"/>
              <w:rPr>
                <w:sz w:val="20"/>
                <w:szCs w:val="20"/>
                <w:color w:val="auto"/>
              </w:rPr>
            </w:pPr>
            <w:r>
              <w:rPr>
                <w:rFonts w:ascii="Arial" w:cs="Arial" w:eastAsia="Arial" w:hAnsi="Arial"/>
                <w:sz w:val="18"/>
                <w:szCs w:val="18"/>
                <w:color w:val="auto"/>
              </w:rPr>
              <w:t>(0.7)</w:t>
            </w:r>
          </w:p>
        </w:tc>
        <w:tc>
          <w:tcPr>
            <w:tcW w:w="920" w:type="dxa"/>
            <w:vAlign w:val="bottom"/>
          </w:tcPr>
          <w:p>
            <w:pPr>
              <w:ind w:left="40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AFUDC equity</w:t>
            </w:r>
          </w:p>
        </w:tc>
        <w:tc>
          <w:tcPr>
            <w:tcW w:w="23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0.3</w:t>
            </w:r>
          </w:p>
        </w:tc>
        <w:tc>
          <w:tcPr>
            <w:tcW w:w="1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(0.7)</w:t>
            </w:r>
          </w:p>
        </w:tc>
        <w:tc>
          <w:tcPr>
            <w:tcW w:w="1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(0.2)</w:t>
            </w:r>
          </w:p>
        </w:tc>
        <w:tc>
          <w:tcPr>
            <w:tcW w:w="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2320" w:type="dxa"/>
            <w:vAlign w:val="bottom"/>
          </w:tcPr>
          <w:p>
            <w:pPr>
              <w:ind w:left="1100"/>
              <w:spacing w:after="0"/>
              <w:rPr>
                <w:sz w:val="20"/>
                <w:szCs w:val="20"/>
                <w:color w:val="auto"/>
              </w:rPr>
            </w:pPr>
            <w:r>
              <w:rPr>
                <w:rFonts w:ascii="Arial" w:cs="Arial" w:eastAsia="Arial" w:hAnsi="Arial"/>
                <w:sz w:val="18"/>
                <w:szCs w:val="18"/>
                <w:color w:val="auto"/>
              </w:rPr>
              <w:t>(0.8)</w:t>
            </w:r>
          </w:p>
        </w:tc>
        <w:tc>
          <w:tcPr>
            <w:tcW w:w="1300" w:type="dxa"/>
            <w:vAlign w:val="bottom"/>
          </w:tcPr>
          <w:p>
            <w:pPr>
              <w:jc w:val="right"/>
              <w:ind w:right="510"/>
              <w:spacing w:after="0"/>
              <w:rPr>
                <w:sz w:val="20"/>
                <w:szCs w:val="20"/>
                <w:color w:val="auto"/>
              </w:rPr>
            </w:pPr>
            <w:r>
              <w:rPr>
                <w:rFonts w:ascii="Arial" w:cs="Arial" w:eastAsia="Arial" w:hAnsi="Arial"/>
                <w:sz w:val="18"/>
                <w:szCs w:val="18"/>
                <w:color w:val="auto"/>
              </w:rPr>
              <w:t>0.1</w:t>
            </w:r>
          </w:p>
        </w:tc>
        <w:tc>
          <w:tcPr>
            <w:tcW w:w="1940" w:type="dxa"/>
            <w:vAlign w:val="bottom"/>
          </w:tcPr>
          <w:p>
            <w:pPr>
              <w:ind w:left="720"/>
              <w:spacing w:after="0"/>
              <w:rPr>
                <w:sz w:val="20"/>
                <w:szCs w:val="20"/>
                <w:color w:val="auto"/>
              </w:rPr>
            </w:pPr>
            <w:r>
              <w:rPr>
                <w:rFonts w:ascii="Arial" w:cs="Arial" w:eastAsia="Arial" w:hAnsi="Arial"/>
                <w:sz w:val="18"/>
                <w:szCs w:val="18"/>
                <w:color w:val="auto"/>
              </w:rPr>
              <w:t>(0.6)</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23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2.8</w:t>
            </w:r>
          </w:p>
        </w:tc>
        <w:tc>
          <w:tcPr>
            <w:tcW w:w="13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1.1</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23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920" w:type="dxa"/>
            <w:vAlign w:val="bottom"/>
          </w:tcPr>
          <w:p>
            <w:pPr>
              <w:ind w:left="40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3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0.4</w:t>
            </w:r>
          </w:p>
        </w:tc>
        <w:tc>
          <w:tcPr>
            <w:tcW w:w="13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0.1</w:t>
            </w:r>
          </w:p>
        </w:tc>
        <w:tc>
          <w:tcPr>
            <w:tcW w:w="19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0.3</w:t>
            </w:r>
          </w:p>
        </w:tc>
        <w:tc>
          <w:tcPr>
            <w:tcW w:w="9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Effective income tax rate</w:t>
            </w:r>
          </w:p>
        </w:tc>
        <w:tc>
          <w:tcPr>
            <w:tcW w:w="232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(6.3)%</w:t>
            </w: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6.6 %</w:t>
            </w:r>
          </w:p>
        </w:tc>
        <w:tc>
          <w:tcPr>
            <w:tcW w:w="19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1.1 %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20" w:type="dxa"/>
            <w:vAlign w:val="bottom"/>
          </w:tcPr>
          <w:p>
            <w:pPr>
              <w:spacing w:after="0"/>
              <w:rPr>
                <w:sz w:val="20"/>
                <w:szCs w:val="20"/>
                <w:color w:val="auto"/>
              </w:rPr>
            </w:pPr>
          </w:p>
        </w:tc>
      </w:tr>
      <w:tr>
        <w:trPr>
          <w:trHeight w:val="479"/>
        </w:trPr>
        <w:tc>
          <w:tcPr>
            <w:tcW w:w="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Evergy Metro</w:t>
            </w:r>
          </w:p>
        </w:tc>
        <w:tc>
          <w:tcPr>
            <w:tcW w:w="2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620" w:type="dxa"/>
            <w:vAlign w:val="bottom"/>
            <w:gridSpan w:val="2"/>
          </w:tcPr>
          <w:p>
            <w:pPr>
              <w:jc w:val="center"/>
              <w:ind w:right="50"/>
              <w:spacing w:after="0" w:line="176" w:lineRule="exact"/>
              <w:rPr>
                <w:sz w:val="20"/>
                <w:szCs w:val="20"/>
                <w:color w:val="auto"/>
              </w:rPr>
            </w:pPr>
            <w:r>
              <w:rPr>
                <w:rFonts w:ascii="Arial" w:cs="Arial" w:eastAsia="Arial" w:hAnsi="Arial"/>
                <w:sz w:val="18"/>
                <w:szCs w:val="18"/>
                <w:b w:val="1"/>
                <w:bCs w:val="1"/>
                <w:color w:val="auto"/>
                <w:w w:val="92"/>
              </w:rPr>
              <w:t>Three Months Ended</w:t>
            </w:r>
          </w:p>
        </w:tc>
        <w:tc>
          <w:tcPr>
            <w:tcW w:w="1940" w:type="dxa"/>
            <w:vAlign w:val="bottom"/>
          </w:tcPr>
          <w:p>
            <w:pPr>
              <w:ind w:left="860"/>
              <w:spacing w:after="0" w:line="176" w:lineRule="exact"/>
              <w:rPr>
                <w:sz w:val="20"/>
                <w:szCs w:val="20"/>
                <w:color w:val="auto"/>
              </w:rPr>
            </w:pPr>
            <w:r>
              <w:rPr>
                <w:rFonts w:ascii="Arial" w:cs="Arial" w:eastAsia="Arial" w:hAnsi="Arial"/>
                <w:sz w:val="18"/>
                <w:szCs w:val="18"/>
                <w:b w:val="1"/>
                <w:bCs w:val="1"/>
                <w:color w:val="auto"/>
              </w:rPr>
              <w:t>Year to Date</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3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September 30</w:t>
            </w:r>
          </w:p>
        </w:tc>
        <w:tc>
          <w:tcPr>
            <w:tcW w:w="1300" w:type="dxa"/>
            <w:vAlign w:val="bottom"/>
          </w:tcPr>
          <w:p>
            <w:pPr>
              <w:spacing w:after="0"/>
              <w:rPr>
                <w:sz w:val="20"/>
                <w:szCs w:val="20"/>
                <w:color w:val="auto"/>
              </w:rPr>
            </w:pPr>
          </w:p>
        </w:tc>
        <w:tc>
          <w:tcPr>
            <w:tcW w:w="1940" w:type="dxa"/>
            <w:vAlign w:val="bottom"/>
          </w:tcPr>
          <w:p>
            <w:pPr>
              <w:ind w:left="840"/>
              <w:spacing w:after="0"/>
              <w:rPr>
                <w:sz w:val="20"/>
                <w:szCs w:val="20"/>
                <w:color w:val="auto"/>
              </w:rPr>
            </w:pPr>
            <w:r>
              <w:rPr>
                <w:rFonts w:ascii="Arial" w:cs="Arial" w:eastAsia="Arial" w:hAnsi="Arial"/>
                <w:sz w:val="18"/>
                <w:szCs w:val="18"/>
                <w:b w:val="1"/>
                <w:bCs w:val="1"/>
                <w:color w:val="auto"/>
                <w:w w:val="91"/>
              </w:rPr>
              <w:t>September 30</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2023</w:t>
            </w:r>
          </w:p>
        </w:tc>
        <w:tc>
          <w:tcPr>
            <w:tcW w:w="13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99"/>
              </w:rPr>
              <w:t>2022</w:t>
            </w:r>
          </w:p>
        </w:tc>
        <w:tc>
          <w:tcPr>
            <w:tcW w:w="19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2023</w:t>
            </w: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w:t>
            </w:r>
          </w:p>
        </w:tc>
        <w:tc>
          <w:tcPr>
            <w:tcW w:w="23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21.0 %</w:t>
            </w:r>
          </w:p>
        </w:tc>
        <w:tc>
          <w:tcPr>
            <w:tcW w:w="1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21.0 %</w:t>
            </w:r>
          </w:p>
        </w:tc>
        <w:tc>
          <w:tcPr>
            <w:tcW w:w="1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21.0 %</w:t>
            </w:r>
          </w:p>
        </w:tc>
        <w:tc>
          <w:tcPr>
            <w:tcW w:w="9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21.0 %</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COLI policies</w:t>
            </w:r>
          </w:p>
        </w:tc>
        <w:tc>
          <w:tcPr>
            <w:tcW w:w="2320" w:type="dxa"/>
            <w:vAlign w:val="bottom"/>
          </w:tcPr>
          <w:p>
            <w:pPr>
              <w:jc w:val="right"/>
              <w:ind w:right="770"/>
              <w:spacing w:after="0"/>
              <w:rPr>
                <w:sz w:val="20"/>
                <w:szCs w:val="20"/>
                <w:color w:val="auto"/>
              </w:rPr>
            </w:pPr>
            <w:r>
              <w:rPr>
                <w:rFonts w:ascii="Arial" w:cs="Arial" w:eastAsia="Arial" w:hAnsi="Arial"/>
                <w:sz w:val="18"/>
                <w:szCs w:val="18"/>
                <w:color w:val="auto"/>
              </w:rPr>
              <w:t>(0.1)</w:t>
            </w: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(0.1)</w:t>
            </w:r>
          </w:p>
        </w:tc>
        <w:tc>
          <w:tcPr>
            <w:tcW w:w="1940" w:type="dxa"/>
            <w:vAlign w:val="bottom"/>
          </w:tcPr>
          <w:p>
            <w:pPr>
              <w:jc w:val="right"/>
              <w:ind w:right="770"/>
              <w:spacing w:after="0"/>
              <w:rPr>
                <w:sz w:val="20"/>
                <w:szCs w:val="20"/>
                <w:color w:val="auto"/>
              </w:rPr>
            </w:pPr>
            <w:r>
              <w:rPr>
                <w:rFonts w:ascii="Arial" w:cs="Arial" w:eastAsia="Arial" w:hAnsi="Arial"/>
                <w:sz w:val="18"/>
                <w:szCs w:val="18"/>
                <w:color w:val="auto"/>
              </w:rPr>
              <w:t>(0.1)</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w:t>
            </w:r>
          </w:p>
        </w:tc>
        <w:tc>
          <w:tcPr>
            <w:tcW w:w="23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0.6</w:t>
            </w:r>
          </w:p>
        </w:tc>
        <w:tc>
          <w:tcPr>
            <w:tcW w:w="1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0.7</w:t>
            </w:r>
          </w:p>
        </w:tc>
        <w:tc>
          <w:tcPr>
            <w:tcW w:w="19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0.7</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Flow through depreciation for plant-related differences</w:t>
            </w:r>
          </w:p>
        </w:tc>
        <w:tc>
          <w:tcPr>
            <w:tcW w:w="2320" w:type="dxa"/>
            <w:vAlign w:val="bottom"/>
          </w:tcPr>
          <w:p>
            <w:pPr>
              <w:jc w:val="right"/>
              <w:ind w:right="770"/>
              <w:spacing w:after="0"/>
              <w:rPr>
                <w:sz w:val="20"/>
                <w:szCs w:val="20"/>
                <w:color w:val="auto"/>
              </w:rPr>
            </w:pPr>
            <w:r>
              <w:rPr>
                <w:rFonts w:ascii="Arial" w:cs="Arial" w:eastAsia="Arial" w:hAnsi="Arial"/>
                <w:sz w:val="18"/>
                <w:szCs w:val="18"/>
                <w:color w:val="auto"/>
              </w:rPr>
              <w:t>(8.7)</w:t>
            </w: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(6.3)</w:t>
            </w:r>
          </w:p>
        </w:tc>
        <w:tc>
          <w:tcPr>
            <w:tcW w:w="1940" w:type="dxa"/>
            <w:vAlign w:val="bottom"/>
          </w:tcPr>
          <w:p>
            <w:pPr>
              <w:jc w:val="right"/>
              <w:ind w:right="770"/>
              <w:spacing w:after="0"/>
              <w:rPr>
                <w:sz w:val="20"/>
                <w:szCs w:val="20"/>
                <w:color w:val="auto"/>
              </w:rPr>
            </w:pPr>
            <w:r>
              <w:rPr>
                <w:rFonts w:ascii="Arial" w:cs="Arial" w:eastAsia="Arial" w:hAnsi="Arial"/>
                <w:sz w:val="18"/>
                <w:szCs w:val="18"/>
                <w:color w:val="auto"/>
              </w:rPr>
              <w:t>(8.5)</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Federal tax credits</w:t>
            </w:r>
          </w:p>
        </w:tc>
        <w:tc>
          <w:tcPr>
            <w:tcW w:w="23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(0.3)</w:t>
            </w:r>
          </w:p>
        </w:tc>
        <w:tc>
          <w:tcPr>
            <w:tcW w:w="13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(0.1)</w:t>
            </w:r>
          </w:p>
        </w:tc>
        <w:tc>
          <w:tcPr>
            <w:tcW w:w="194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(0.2)</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AFUDC equity</w:t>
            </w:r>
          </w:p>
        </w:tc>
        <w:tc>
          <w:tcPr>
            <w:tcW w:w="2320" w:type="dxa"/>
            <w:vAlign w:val="bottom"/>
          </w:tcPr>
          <w:p>
            <w:pPr>
              <w:jc w:val="right"/>
              <w:ind w:right="810"/>
              <w:spacing w:after="0"/>
              <w:rPr>
                <w:sz w:val="20"/>
                <w:szCs w:val="20"/>
                <w:color w:val="auto"/>
              </w:rPr>
            </w:pPr>
            <w:r>
              <w:rPr>
                <w:rFonts w:ascii="Arial" w:cs="Arial" w:eastAsia="Arial" w:hAnsi="Arial"/>
                <w:sz w:val="18"/>
                <w:szCs w:val="18"/>
                <w:color w:val="auto"/>
              </w:rPr>
              <w:t>0.2</w:t>
            </w: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(0.4)</w:t>
            </w:r>
          </w:p>
        </w:tc>
        <w:tc>
          <w:tcPr>
            <w:tcW w:w="1940" w:type="dxa"/>
            <w:vAlign w:val="bottom"/>
          </w:tcPr>
          <w:p>
            <w:pPr>
              <w:jc w:val="right"/>
              <w:ind w:right="770"/>
              <w:spacing w:after="0"/>
              <w:rPr>
                <w:sz w:val="20"/>
                <w:szCs w:val="20"/>
                <w:color w:val="auto"/>
              </w:rPr>
            </w:pPr>
            <w:r>
              <w:rPr>
                <w:rFonts w:ascii="Arial" w:cs="Arial" w:eastAsia="Arial" w:hAnsi="Arial"/>
                <w:sz w:val="18"/>
                <w:szCs w:val="18"/>
                <w:color w:val="auto"/>
              </w:rPr>
              <w:t>(0.3)</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federal investment tax credits</w:t>
            </w:r>
          </w:p>
        </w:tc>
        <w:tc>
          <w:tcPr>
            <w:tcW w:w="23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(0.9)</w:t>
            </w:r>
          </w:p>
        </w:tc>
        <w:tc>
          <w:tcPr>
            <w:tcW w:w="13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(0.5)</w:t>
            </w:r>
          </w:p>
        </w:tc>
        <w:tc>
          <w:tcPr>
            <w:tcW w:w="194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(0.9)</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Stock compensation</w:t>
            </w:r>
          </w:p>
        </w:tc>
        <w:tc>
          <w:tcPr>
            <w:tcW w:w="232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940" w:type="dxa"/>
            <w:vAlign w:val="bottom"/>
          </w:tcPr>
          <w:p>
            <w:pPr>
              <w:ind w:left="820"/>
              <w:spacing w:after="0"/>
              <w:rPr>
                <w:sz w:val="20"/>
                <w:szCs w:val="20"/>
                <w:color w:val="auto"/>
              </w:rPr>
            </w:pPr>
            <w:r>
              <w:rPr>
                <w:rFonts w:ascii="Arial" w:cs="Arial" w:eastAsia="Arial" w:hAnsi="Arial"/>
                <w:sz w:val="18"/>
                <w:szCs w:val="18"/>
                <w:color w:val="auto"/>
              </w:rPr>
              <w:t>0.2</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Officer compensation limitation</w:t>
            </w:r>
          </w:p>
        </w:tc>
        <w:tc>
          <w:tcPr>
            <w:tcW w:w="23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0.5</w:t>
            </w:r>
          </w:p>
        </w:tc>
        <w:tc>
          <w:tcPr>
            <w:tcW w:w="1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0.4</w:t>
            </w:r>
          </w:p>
        </w:tc>
        <w:tc>
          <w:tcPr>
            <w:tcW w:w="19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0.5</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3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(0.1)</w:t>
            </w: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(0.1)</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auto"/>
            </w:tcBorders>
          </w:tcPr>
          <w:p>
            <w:pPr>
              <w:spacing w:after="0"/>
              <w:rPr>
                <w:sz w:val="19"/>
                <w:szCs w:val="19"/>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47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Effective income tax rate</w:t>
            </w:r>
          </w:p>
        </w:tc>
        <w:tc>
          <w:tcPr>
            <w:tcW w:w="232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12.2 %</w:t>
            </w:r>
          </w:p>
        </w:tc>
        <w:tc>
          <w:tcPr>
            <w:tcW w:w="13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14.7 %</w:t>
            </w:r>
          </w:p>
        </w:tc>
        <w:tc>
          <w:tcPr>
            <w:tcW w:w="19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12.3 %</w:t>
            </w:r>
          </w:p>
        </w:tc>
        <w:tc>
          <w:tcPr>
            <w:tcW w:w="9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9"/>
              </w:rPr>
              <w:t>14.1 %</w:t>
            </w:r>
          </w:p>
        </w:tc>
        <w:tc>
          <w:tcPr>
            <w:tcW w:w="20" w:type="dxa"/>
            <w:vAlign w:val="bottom"/>
            <w:tcBorders>
              <w:bottom w:val="single" w:sz="8" w:color="auto"/>
            </w:tcBorders>
            <w:shd w:val="clear" w:color="auto" w:fill="CCEEFF"/>
          </w:tcPr>
          <w:p>
            <w:pPr>
              <w:spacing w:after="0"/>
              <w:rPr>
                <w:sz w:val="20"/>
                <w:szCs w:val="20"/>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2" w:lineRule="exact"/>
        <w:rPr>
          <w:sz w:val="20"/>
          <w:szCs w:val="20"/>
          <w:color w:val="auto"/>
        </w:rPr>
      </w:pPr>
    </w:p>
    <w:p>
      <w:pPr>
        <w:jc w:val="both"/>
        <w:ind w:right="140"/>
        <w:spacing w:after="0" w:line="255" w:lineRule="auto"/>
        <w:rPr>
          <w:sz w:val="20"/>
          <w:szCs w:val="20"/>
          <w:color w:val="auto"/>
        </w:rPr>
      </w:pPr>
      <w:r>
        <w:rPr>
          <w:rFonts w:ascii="Arial" w:cs="Arial" w:eastAsia="Arial" w:hAnsi="Arial"/>
          <w:sz w:val="20"/>
          <w:szCs w:val="20"/>
          <w:color w:val="auto"/>
        </w:rPr>
        <w:t>The following combined Management's Discussion and Analysis of Financial Condition and Results of Operations (MD&amp;A) should be read in conjunction with the consolidated financial statements and accompanying notes in this combined Quarterly Report on Form 10-Q and the Evergy Companies' combined 2022 Form 10-K. None of the registrants make any representation as to information related solely to Evergy, Evergy Kansas Central or Evergy Metro other than itself.</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EVERGY,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EXECUTIVE SUMMARY</w:t>
      </w:r>
    </w:p>
    <w:p>
      <w:pPr>
        <w:spacing w:after="0" w:line="222" w:lineRule="exact"/>
        <w:rPr>
          <w:sz w:val="20"/>
          <w:szCs w:val="20"/>
          <w:color w:val="auto"/>
        </w:rPr>
      </w:pPr>
    </w:p>
    <w:p>
      <w:pPr>
        <w:ind w:right="440"/>
        <w:spacing w:after="0" w:line="274" w:lineRule="auto"/>
        <w:rPr>
          <w:sz w:val="20"/>
          <w:szCs w:val="20"/>
          <w:color w:val="auto"/>
        </w:rPr>
      </w:pPr>
      <w:r>
        <w:rPr>
          <w:rFonts w:ascii="Arial" w:cs="Arial" w:eastAsia="Arial" w:hAnsi="Arial"/>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63" w:lineRule="exact"/>
        <w:rPr>
          <w:sz w:val="20"/>
          <w:szCs w:val="20"/>
          <w:color w:val="auto"/>
        </w:rPr>
      </w:pPr>
    </w:p>
    <w:p>
      <w:pPr>
        <w:ind w:left="660" w:right="100" w:hanging="328"/>
        <w:spacing w:after="0" w:line="301" w:lineRule="auto"/>
        <w:tabs>
          <w:tab w:leader="none" w:pos="648" w:val="left"/>
        </w:tabs>
        <w:numPr>
          <w:ilvl w:val="0"/>
          <w:numId w:val="10"/>
        </w:numPr>
        <w:rPr>
          <w:rFonts w:ascii="Arial" w:cs="Arial" w:eastAsia="Arial" w:hAnsi="Arial"/>
          <w:sz w:val="19"/>
          <w:szCs w:val="19"/>
          <w:color w:val="auto"/>
        </w:rPr>
      </w:pPr>
      <w:r>
        <w:rPr>
          <w:rFonts w:ascii="Arial" w:cs="Arial" w:eastAsia="Arial" w:hAnsi="Arial"/>
          <w:sz w:val="19"/>
          <w:szCs w:val="19"/>
          <w:color w:val="auto"/>
        </w:rPr>
        <w:t>Evergy Kansas Central is an integrated, regulated electric utility that provides electricity to customers in the state of Kansas. Evergy Kansas Central has one active wholly-owned subsidiary with significant operations, Evergy Kansas South.</w:t>
      </w:r>
    </w:p>
    <w:p>
      <w:pPr>
        <w:spacing w:after="0" w:line="45" w:lineRule="exact"/>
        <w:rPr>
          <w:rFonts w:ascii="Arial" w:cs="Arial" w:eastAsia="Arial" w:hAnsi="Arial"/>
          <w:sz w:val="19"/>
          <w:szCs w:val="19"/>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Evergy Metro is an integrated, regulated electric utility that provides electricity to customers in the states of Missouri and Kansas.</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Evergy Missouri West is an integrated, regulated electric utility that provides electricity to customers in the state of Missouri.</w:t>
      </w:r>
    </w:p>
    <w:p>
      <w:pPr>
        <w:spacing w:after="0" w:line="132" w:lineRule="exact"/>
        <w:rPr>
          <w:rFonts w:ascii="Arial" w:cs="Arial" w:eastAsia="Arial" w:hAnsi="Arial"/>
          <w:sz w:val="19"/>
          <w:szCs w:val="19"/>
          <w:color w:val="auto"/>
        </w:rPr>
      </w:pPr>
    </w:p>
    <w:p>
      <w:pPr>
        <w:ind w:left="660" w:hanging="328"/>
        <w:spacing w:after="0" w:line="277" w:lineRule="auto"/>
        <w:tabs>
          <w:tab w:leader="none" w:pos="648" w:val="left"/>
        </w:tabs>
        <w:numPr>
          <w:ilvl w:val="0"/>
          <w:numId w:val="10"/>
        </w:numPr>
        <w:rPr>
          <w:rFonts w:ascii="Arial" w:cs="Arial" w:eastAsia="Arial" w:hAnsi="Arial"/>
          <w:sz w:val="19"/>
          <w:szCs w:val="19"/>
          <w:color w:val="auto"/>
        </w:rPr>
      </w:pPr>
      <w:r>
        <w:rPr>
          <w:rFonts w:ascii="Arial" w:cs="Arial" w:eastAsia="Arial" w:hAnsi="Arial"/>
          <w:sz w:val="19"/>
          <w:szCs w:val="19"/>
          <w:color w:val="auto"/>
        </w:rPr>
        <w:t>Evergy Transmission Company owns 13.5% of Transource with the remaining 86.5% owned by AEP Transmission Holding Company, LLC, a subsidiary of AEP. Transource is focused on the development of competitive electric transmission projects. Evergy Transmission Company accounts for its investment in Transource under the equity method.</w:t>
      </w:r>
    </w:p>
    <w:p>
      <w:pPr>
        <w:spacing w:after="0" w:line="175" w:lineRule="exact"/>
        <w:rPr>
          <w:sz w:val="20"/>
          <w:szCs w:val="20"/>
          <w:color w:val="auto"/>
        </w:rPr>
      </w:pPr>
    </w:p>
    <w:p>
      <w:pPr>
        <w:ind w:right="20"/>
        <w:spacing w:after="0" w:line="299" w:lineRule="auto"/>
        <w:rPr>
          <w:sz w:val="20"/>
          <w:szCs w:val="20"/>
          <w:color w:val="auto"/>
        </w:rPr>
      </w:pPr>
      <w:r>
        <w:rPr>
          <w:rFonts w:ascii="Arial" w:cs="Arial" w:eastAsia="Arial" w:hAnsi="Arial"/>
          <w:sz w:val="18"/>
          <w:szCs w:val="18"/>
          <w:color w:val="auto"/>
        </w:rPr>
        <w:t>Evergy Kansas Central also owns a 50% interest in Prairie Wind, which is a joint venture between Evergy Kansas Central and subsidiaries of AEP and Berkshire Hathaway Energy Company. Prairie Wind owns a 108-mile, 345 kV double-circuit transmission line that provides transmission service in the SPP. Evergy Kansas Central accounts for its investment in Prairie Wind under the equity method.</w:t>
      </w:r>
    </w:p>
    <w:p>
      <w:pPr>
        <w:spacing w:after="0" w:line="144" w:lineRule="exact"/>
        <w:rPr>
          <w:sz w:val="20"/>
          <w:szCs w:val="20"/>
          <w:color w:val="auto"/>
        </w:rPr>
      </w:pPr>
    </w:p>
    <w:p>
      <w:pPr>
        <w:ind w:right="200"/>
        <w:spacing w:after="0" w:line="255" w:lineRule="auto"/>
        <w:rPr>
          <w:sz w:val="20"/>
          <w:szCs w:val="20"/>
          <w:color w:val="auto"/>
        </w:rPr>
      </w:pPr>
      <w:r>
        <w:rPr>
          <w:rFonts w:ascii="Arial" w:cs="Arial" w:eastAsia="Arial" w:hAnsi="Arial"/>
          <w:sz w:val="20"/>
          <w:szCs w:val="20"/>
          <w:color w:val="auto"/>
        </w:rPr>
        <w:t>Evergy Kansas Central, Evergy Kansas South, Evergy Metro and Evergy Missouri West conduct business in their respective service territories using the name Evergy. Collectively, the Evergy Companies have approximately 15,600 MWs of owned generating capacity and renewable power purchase agreements and engage in the generation, transmission, distribution and sale of electricity to approximately 1.7 million customers in the states of Kansas and Missouri. The Evergy Companies assess financial performance and allocate resources on a consolidated basis (i.e., operate in one segment).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and Evergy Metro 2023 Rate Case Proceeding</w:t>
      </w:r>
    </w:p>
    <w:p>
      <w:pPr>
        <w:spacing w:after="0" w:line="26"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color w:val="auto"/>
        </w:rPr>
        <w:t>In April 2023, Evergy Kansas Central and Evergy Metro filed an application with the KCC to request an increase to their retail revenues. In September 2023, Evergy Kansas Central, Evergy Metro, the KCC staff and other intervenors reached a unanimous settlement agreement to settle all outstanding issues in the case. The unanimous settlement agreement must still be approved by the KCC. See Note 4 to the consolidated financial statements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Renewable Generation Investment</w:t>
      </w:r>
    </w:p>
    <w:p>
      <w:pPr>
        <w:spacing w:after="0" w:line="26"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In May 2023, Evergy Kansas Central closed on the purchase of Persimmon Creek, owner of an operational wind farm located in the state of Oklahoma with a generating capacity of approximately 199 MW, for $220.9 million, including costs incidental to the purchase of the plant. Evergy Kansas Central included the purchase of Persimmon Creek in its rate case application to the KCC which was filed in April 2023. The addition of Persimmon Creek is consistent with the preferred plan identified through Evergy Kansas Central’s integrated resource plan filed with the KCC in June 2023, which identified it as part of the lowest-cost resource plan to serve customers. In September 2023, Evergy Kansas Central reached a unanimous settlement agreement that included the purchase of Persimmon Creek in its rates through a levelized revenue requirement approach at a fixed annual rate of $18.6 million for the first 20 years, after which the levelized revenue requirement will be reevaluated. See Note 1 and Note 4 to the consolidated financial statements for additional information on Evergy Kansas Central's purchase of Persimmon Creek and rate case proceeding, respectively.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6" w:name="page57"/>
    <w:bookmarkEnd w:id="5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Natural Gas Plant Investment</w:t>
      </w:r>
    </w:p>
    <w:p>
      <w:pPr>
        <w:spacing w:after="0" w:line="26"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In November 2023, Evergy Missouri West entered into an agreement to buy a joint ownership interest representing approximately 143 MW in an operational natural gas combined cycle facility located in Missouri for approximately $60 million. The purchase is subject to regulatory approvals and closing conditions, including the granting by the MPSC of a CCN with reasonably acceptable terms. Evergy Missouri West is expected to request a CCN from the MPSC in November 2023 with a decision expected in the second quarter of 2024. Closing of the transaction is also expected in the second quarter of 2024.</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Proceedings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See Note 4 to the consolidated financial statements for information regarding other regulatory proceedings.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Wolf Creek Refueling Outage</w:t>
      </w:r>
    </w:p>
    <w:p>
      <w:pPr>
        <w:spacing w:after="0" w:line="22" w:lineRule="exact"/>
        <w:rPr>
          <w:sz w:val="20"/>
          <w:szCs w:val="20"/>
          <w:color w:val="auto"/>
        </w:rPr>
      </w:pPr>
    </w:p>
    <w:p>
      <w:pPr>
        <w:ind w:right="460"/>
        <w:spacing w:after="0" w:line="258" w:lineRule="auto"/>
        <w:rPr>
          <w:sz w:val="20"/>
          <w:szCs w:val="20"/>
          <w:color w:val="auto"/>
        </w:rPr>
      </w:pPr>
      <w:r>
        <w:rPr>
          <w:rFonts w:ascii="Arial" w:cs="Arial" w:eastAsia="Arial" w:hAnsi="Arial"/>
          <w:sz w:val="20"/>
          <w:szCs w:val="20"/>
          <w:color w:val="auto"/>
        </w:rPr>
        <w:t>Wolf Creek's most recent refueling outage began in October 2022 and the unit returned to service in November 2022. Wolf Creek's next refueling outage is planned to begin in the first quarter of 2024.</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Overview</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Evergy's net income and diluted EPS.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93"/>
              </w:rPr>
              <w:t>Three Months Ended</w:t>
            </w:r>
          </w:p>
        </w:tc>
        <w:tc>
          <w:tcPr>
            <w:tcW w:w="8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spacing w:after="0" w:line="202" w:lineRule="exact"/>
              <w:rPr>
                <w:sz w:val="20"/>
                <w:szCs w:val="20"/>
                <w:color w:val="auto"/>
              </w:rPr>
            </w:pPr>
            <w:r>
              <w:rPr>
                <w:rFonts w:ascii="Arial" w:cs="Arial" w:eastAsia="Arial" w:hAnsi="Arial"/>
                <w:sz w:val="18"/>
                <w:szCs w:val="18"/>
                <w:b w:val="1"/>
                <w:bCs w:val="1"/>
                <w:color w:val="auto"/>
                <w:w w:val="91"/>
              </w:rPr>
              <w:t>Year to Date</w:t>
            </w: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34"/>
        </w:trPr>
        <w:tc>
          <w:tcPr>
            <w:tcW w:w="3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88"/>
              </w:rPr>
              <w:t>September 30</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8"/>
        </w:trPr>
        <w:tc>
          <w:tcPr>
            <w:tcW w:w="3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Change</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r>
      <w:tr>
        <w:trPr>
          <w:trHeight w:val="207"/>
        </w:trPr>
        <w:tc>
          <w:tcPr>
            <w:tcW w:w="3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gridSpan w:val="4"/>
          </w:tcPr>
          <w:p>
            <w:pPr>
              <w:jc w:val="right"/>
              <w:ind w:right="10"/>
              <w:spacing w:after="0"/>
              <w:rPr>
                <w:sz w:val="20"/>
                <w:szCs w:val="20"/>
                <w:color w:val="auto"/>
              </w:rPr>
            </w:pPr>
            <w:r>
              <w:rPr>
                <w:rFonts w:ascii="Arial" w:cs="Arial" w:eastAsia="Arial" w:hAnsi="Arial"/>
                <w:sz w:val="16"/>
                <w:szCs w:val="16"/>
                <w:color w:val="auto"/>
                <w:w w:val="91"/>
              </w:rPr>
              <w:t>(millions, except per share amounts)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(76.6)</w:t>
            </w:r>
          </w:p>
        </w:tc>
        <w:tc>
          <w:tcPr>
            <w:tcW w:w="3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428.2</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673.3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745.2</w:t>
            </w:r>
          </w:p>
        </w:tc>
      </w:tr>
      <w:tr>
        <w:trPr>
          <w:trHeight w:val="237"/>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common share, diluted</w:t>
            </w:r>
          </w:p>
        </w:tc>
        <w:tc>
          <w:tcPr>
            <w:tcW w:w="7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(0.33)</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1.86</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2.92</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(0.31)</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r>
    </w:tbl>
    <w:p>
      <w:pPr>
        <w:spacing w:after="0" w:line="280" w:lineRule="exact"/>
        <w:rPr>
          <w:sz w:val="20"/>
          <w:szCs w:val="20"/>
          <w:color w:val="auto"/>
        </w:rPr>
      </w:pPr>
    </w:p>
    <w:p>
      <w:pPr>
        <w:ind w:right="320"/>
        <w:spacing w:after="0" w:line="267" w:lineRule="auto"/>
        <w:rPr>
          <w:sz w:val="20"/>
          <w:szCs w:val="20"/>
          <w:color w:val="auto"/>
        </w:rPr>
      </w:pPr>
      <w:r>
        <w:rPr>
          <w:rFonts w:ascii="Arial" w:cs="Arial" w:eastAsia="Arial" w:hAnsi="Arial"/>
          <w:sz w:val="19"/>
          <w:szCs w:val="19"/>
          <w:color w:val="auto"/>
        </w:rPr>
        <w:t>Net income attributable to Evergy, Inc. decreased for the three months ended September 30, 2023, compared to the same period in 2022, primarily due to recording a $96.5 million deferral of revenues in 2023 for future refund of amounts previously collected from customers related to COLI rate credits, the refund obligation of amounts collected from customers for the return on investment of Sibley Station recorded in 2022, lower retail sales in the third quarter of 2023 driven by unfavorable weather, higher depreciation expense and higher interest expense; partially offset by lower income tax expense, lower operating and maintenance expenses, higher COLI benefits and new Evergy Metro and Evergy Missouri West retail rates effective in January 2023.</w:t>
      </w:r>
    </w:p>
    <w:p>
      <w:pPr>
        <w:spacing w:after="0" w:line="189" w:lineRule="exact"/>
        <w:rPr>
          <w:sz w:val="20"/>
          <w:szCs w:val="20"/>
          <w:color w:val="auto"/>
        </w:rPr>
      </w:pPr>
    </w:p>
    <w:p>
      <w:pPr>
        <w:ind w:right="160"/>
        <w:spacing w:after="0" w:line="274" w:lineRule="auto"/>
        <w:rPr>
          <w:sz w:val="20"/>
          <w:szCs w:val="20"/>
          <w:color w:val="auto"/>
        </w:rPr>
      </w:pPr>
      <w:r>
        <w:rPr>
          <w:rFonts w:ascii="Arial" w:cs="Arial" w:eastAsia="Arial" w:hAnsi="Arial"/>
          <w:sz w:val="20"/>
          <w:szCs w:val="20"/>
          <w:color w:val="auto"/>
        </w:rPr>
        <w:t>Diluted EPS decreased for the three months ended September 30, 2023, compared to the same period in 2022, primarily due to the decrease in net income attributable to Evergy, Inc. discussed above.</w:t>
      </w:r>
    </w:p>
    <w:p>
      <w:pPr>
        <w:spacing w:after="0" w:line="163" w:lineRule="exact"/>
        <w:rPr>
          <w:sz w:val="20"/>
          <w:szCs w:val="20"/>
          <w:color w:val="auto"/>
        </w:rPr>
      </w:pPr>
    </w:p>
    <w:p>
      <w:pPr>
        <w:ind w:right="220"/>
        <w:spacing w:after="0" w:line="252" w:lineRule="auto"/>
        <w:rPr>
          <w:sz w:val="20"/>
          <w:szCs w:val="20"/>
          <w:color w:val="auto"/>
        </w:rPr>
      </w:pPr>
      <w:r>
        <w:rPr>
          <w:rFonts w:ascii="Arial" w:cs="Arial" w:eastAsia="Arial" w:hAnsi="Arial"/>
          <w:sz w:val="20"/>
          <w:szCs w:val="20"/>
          <w:color w:val="auto"/>
        </w:rPr>
        <w:t>Net income attributable to Evergy, Inc. decreased year to date September 30, 2023, compared to the same period in 2022, primarily due to higher depreciation expense, recording a $96.5 million deferral of revenues in 2023 for future refund of amounts previously collected from customers related to COLI rate credits, the refund obligation of amounts collected from customers for the return on investment of Sibley Station recorded in 2022, higher interest expense and lower retail sales in 2023 driven by unfavorable weather; partially offset by lower operating and maintenance expenses, lower income tax expense, new Evergy Metro and Evergy Missouri West retail rates effective in January 2023 and higher COLI benefits.</w:t>
      </w:r>
    </w:p>
    <w:p>
      <w:pPr>
        <w:spacing w:after="0" w:line="198"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Diluted EPS decreased year to date September 30, 2023, compared to the same period in 2022, primarily due to the decrease in net income attributable to Evergy, Inc. discussed above.</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For additional information regarding the change in net income, refer to the Evergy Results of Operations section within this MD&amp;A.</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Measures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Utility Gross Margin (non-GAAP)</w:t>
      </w:r>
    </w:p>
    <w:p>
      <w:pPr>
        <w:spacing w:after="0" w:line="8"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color w:val="auto"/>
        </w:rPr>
        <w:t>Utility gross margin (non-GAAP) is a financial measure that is not calculated in accordance with GAAP. Utility gross margin (non-GAAP), as used by the Evergy Companies, is defined as operating revenues less fuel and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7" w:name="page58"/>
    <w:bookmarkEnd w:id="5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RTO. As with fuel and purchased power costs, changes in SPP network transmission costs are mostly reflected in the prices charged to customers with minimal impact on net income. The Evergy Companies' definition of utility gross margin (non-GAAP) may differ from similar terms used by other companies.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Utility gross margin (non-GAAP) is intended to aid an investor's overall understanding of results. Management believes that utility gross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margin (non-GAAP) provides a meaningful basis for evaluating the Evergy Companies' operations across periods because utility gross</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margin (non-GAAP) excludes the revenue effect of fluctuations in fuel and purchased power costs and SPP network transmission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costs. Utility gross margin (non-GAAP) is used internally to measure performance against budget and in reports for management and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Evergy Board. Utility gross margin (non-GAAP) should be viewed as a supplement to, and not a substitute for, gross margin, which is the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most directly comparable financial measure prepared in accordance with GAAP. Gross margin under GAAP is defined as the excess of sales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over cost of goods sold.</w:t>
      </w:r>
    </w:p>
    <w:p>
      <w:pPr>
        <w:spacing w:after="0" w:line="213" w:lineRule="exact"/>
        <w:rPr>
          <w:sz w:val="20"/>
          <w:szCs w:val="20"/>
          <w:color w:val="auto"/>
        </w:rPr>
      </w:pPr>
    </w:p>
    <w:p>
      <w:pPr>
        <w:ind w:right="260"/>
        <w:spacing w:after="0" w:line="255" w:lineRule="auto"/>
        <w:rPr>
          <w:sz w:val="20"/>
          <w:szCs w:val="20"/>
          <w:color w:val="auto"/>
        </w:rPr>
      </w:pPr>
      <w:r>
        <w:rPr>
          <w:rFonts w:ascii="Arial" w:cs="Arial" w:eastAsia="Arial" w:hAnsi="Arial"/>
          <w:sz w:val="20"/>
          <w:szCs w:val="20"/>
          <w:color w:val="auto"/>
        </w:rPr>
        <w:t>Utility gross margin (non-GAAP) differs from the GAAP definition of gross margin due to the exclusion of operating and maintenance expenses determined to be directly attributable to revenue-producing activities, depreciation and amortization and taxes other than income tax. See the Evergy Companies' Results of Operations for a reconciliation of utility gross margin (non-GAAP) to gross margin, the most comparable GAAP measure.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Earnings (non-GAAP) and Adjusted EPS (non-GAAP)</w:t>
      </w:r>
    </w:p>
    <w:p>
      <w:pPr>
        <w:spacing w:after="0" w:line="20"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Management believes that adjusted earnings (non-GAAP) and adjusted EPS (non-GAAP) are representative measures of Evergy's recurring earnings, assists in the comparability of results and is consistent with how management reviews performance. Evergy's adjusted earnings (non-GAAP) and adjusted EPS (non-GAAP) for the three months ended and year to date September 30, 2022 have been recast, as applicable, to conform to the current year presentation.</w:t>
      </w:r>
    </w:p>
    <w:p>
      <w:pPr>
        <w:spacing w:after="0" w:line="203" w:lineRule="exact"/>
        <w:rPr>
          <w:sz w:val="20"/>
          <w:szCs w:val="20"/>
          <w:color w:val="auto"/>
        </w:rPr>
      </w:pPr>
    </w:p>
    <w:p>
      <w:pPr>
        <w:ind w:right="340"/>
        <w:spacing w:after="0" w:line="255" w:lineRule="auto"/>
        <w:rPr>
          <w:sz w:val="20"/>
          <w:szCs w:val="20"/>
          <w:color w:val="auto"/>
        </w:rPr>
      </w:pPr>
      <w:r>
        <w:rPr>
          <w:rFonts w:ascii="Arial" w:cs="Arial" w:eastAsia="Arial" w:hAnsi="Arial"/>
          <w:sz w:val="20"/>
          <w:szCs w:val="20"/>
          <w:color w:val="auto"/>
        </w:rPr>
        <w:t>Evergy's adjusted earnings (non-GAAP) and adjusted EPS (non-GAAP) for the three months ended and year to date September 30, 2023 were $432.3 million or $1.88 per share and $754.5 million or $3.27 per share, respectively. For the three months ended and year to date September 30, 2022, Evergy's adjusted earnings (non-GAAP) and adjusted EPS (non-GAAP) were $460.8 million or $2.00 per share and $785.2 million or $3.41 per share, respectively.</w:t>
      </w:r>
    </w:p>
    <w:p>
      <w:pPr>
        <w:spacing w:after="0" w:line="184"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In addition to net income attributable to Evergy, Inc. and diluted EPS, Evergy's management uses adjusted earnings (non-GAAP) and adjusted EPS (non-GAAP) to evaluate earnings and EPS without i.) the costs resulting from non-regulated energy marketing margins from the February 2021 winter weather event; ii.) gains or losses related to equity investments subject to a restriction on sale; iii.) the revenues collected from customers for the return on investment of the retired Sibley Station in 2022 for future refunds to customers; iv.) the mark-to-market impacts of economic hedges related to Evergy Kansas Central's non-regulated 8% ownership share of JEC; v.) costs resulting from executive transition and advisor expenses; vi.) the transmission revenues collected from customers in 2022 through Evergy Kansas Central's FERC TFR to be refunded to customers in accordance with a December 2022 FERC order; vii.) the impairment loss on Sibley Unit 3; viii.) the second quarter 2023 deferral of the cumulative amount of prior year revenues collected since October 2019 for costs related to an electric subdivision rebate program to be refunded to customers in accordance with a June 2020 KCC order; and ix.) the deferral of revenues for future refund of amounts previously collected from customers related to COLI rate credits in accordance with a September 2023 KCC rate case unanimous settlement agreement.</w:t>
      </w:r>
    </w:p>
    <w:p>
      <w:pPr>
        <w:spacing w:after="0" w:line="191"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Adjusted earnings (non-GAAP) and adjusted EPS (non-GAAP) are intended to aid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performance or that can create period to period earnings volatility.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8" w:name="page59"/>
    <w:bookmarkEnd w:id="5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Adjusted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w:t>
      </w:r>
    </w:p>
    <w:p>
      <w:pPr>
        <w:spacing w:after="0" w:line="184" w:lineRule="exact"/>
        <w:rPr>
          <w:sz w:val="20"/>
          <w:szCs w:val="20"/>
          <w:color w:val="auto"/>
        </w:rPr>
      </w:pPr>
    </w:p>
    <w:p>
      <w:pPr>
        <w:ind w:right="260"/>
        <w:spacing w:after="0" w:line="274" w:lineRule="auto"/>
        <w:rPr>
          <w:sz w:val="20"/>
          <w:szCs w:val="20"/>
          <w:color w:val="auto"/>
        </w:rPr>
      </w:pPr>
      <w:r>
        <w:rPr>
          <w:rFonts w:ascii="Arial" w:cs="Arial" w:eastAsia="Arial" w:hAnsi="Arial"/>
          <w:sz w:val="20"/>
          <w:szCs w:val="20"/>
          <w:color w:val="auto"/>
        </w:rPr>
        <w:t>The following tables provide a reconciliation between net income attributable to Evergy, Inc. and diluted EPS as determined in accordance with GAAP and adjusted earnings (non-GAAP) and adjusted EPS (non-GAAP), respectively.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10"/>
              <w:spacing w:after="0" w:line="202" w:lineRule="exact"/>
              <w:rPr>
                <w:sz w:val="20"/>
                <w:szCs w:val="20"/>
                <w:color w:val="auto"/>
              </w:rPr>
            </w:pPr>
            <w:r>
              <w:rPr>
                <w:rFonts w:ascii="Arial" w:cs="Arial" w:eastAsia="Arial" w:hAnsi="Arial"/>
                <w:sz w:val="18"/>
                <w:szCs w:val="18"/>
                <w:b w:val="1"/>
                <w:bCs w:val="1"/>
                <w:color w:val="auto"/>
                <w:w w:val="90"/>
              </w:rPr>
              <w:t>Earnings</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30"/>
              <w:spacing w:after="0" w:line="202" w:lineRule="exact"/>
              <w:rPr>
                <w:sz w:val="20"/>
                <w:szCs w:val="20"/>
                <w:color w:val="auto"/>
              </w:rPr>
            </w:pPr>
            <w:r>
              <w:rPr>
                <w:rFonts w:ascii="Arial" w:cs="Arial" w:eastAsia="Arial" w:hAnsi="Arial"/>
                <w:sz w:val="18"/>
                <w:szCs w:val="18"/>
                <w:b w:val="1"/>
                <w:bCs w:val="1"/>
                <w:color w:val="auto"/>
                <w:w w:val="90"/>
              </w:rPr>
              <w:t>Earnings</w:t>
            </w: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3"/>
              </w:rPr>
              <w:t>Earnings</w:t>
            </w: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(Loss) per</w:t>
            </w:r>
          </w:p>
        </w:tc>
        <w:tc>
          <w:tcPr>
            <w:tcW w:w="240" w:type="dxa"/>
            <w:vAlign w:val="bottom"/>
          </w:tcPr>
          <w:p>
            <w:pPr>
              <w:spacing w:after="0"/>
              <w:rPr>
                <w:sz w:val="15"/>
                <w:szCs w:val="15"/>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9"/>
              </w:rPr>
              <w:t>(Loss) per</w:t>
            </w: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4"/>
              </w:rPr>
              <w:t>Diluted</w:t>
            </w: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4"/>
              </w:rPr>
              <w:t>Diluted</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(Loss)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Share</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(Loss)</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Share</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8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Arial" w:cs="Arial" w:eastAsia="Arial" w:hAnsi="Arial"/>
                <w:sz w:val="16"/>
                <w:szCs w:val="16"/>
                <w:color w:val="auto"/>
                <w:w w:val="93"/>
              </w:rPr>
              <w:t>(millions, except per share amounts)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351.6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Non-GAAP reconciling items: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Non-regulated energy marketing margin related to February 2021</w:t>
            </w:r>
          </w:p>
        </w:tc>
        <w:tc>
          <w:tcPr>
            <w:tcW w:w="8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ind w:left="480"/>
              <w:spacing w:after="0" w:line="243" w:lineRule="exact"/>
              <w:rPr>
                <w:sz w:val="20"/>
                <w:szCs w:val="20"/>
                <w:color w:val="auto"/>
              </w:rPr>
            </w:pPr>
            <w:r>
              <w:rPr>
                <w:rFonts w:ascii="Arial" w:cs="Arial" w:eastAsia="Arial" w:hAnsi="Arial"/>
                <w:sz w:val="18"/>
                <w:szCs w:val="18"/>
                <w:color w:val="auto"/>
              </w:rPr>
              <w:t>winter weather event, pre-tax</w:t>
            </w:r>
            <w:r>
              <w:rPr>
                <w:rFonts w:ascii="Arial" w:cs="Arial" w:eastAsia="Arial" w:hAnsi="Arial"/>
                <w:sz w:val="23"/>
                <w:szCs w:val="23"/>
                <w:color w:val="auto"/>
                <w:vertAlign w:val="superscript"/>
              </w:rPr>
              <w:t>(a)</w:t>
            </w:r>
          </w:p>
        </w:tc>
        <w:tc>
          <w:tcPr>
            <w:tcW w:w="8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line="230" w:lineRule="exact"/>
              <w:rPr>
                <w:sz w:val="20"/>
                <w:szCs w:val="20"/>
                <w:color w:val="auto"/>
              </w:rPr>
            </w:pPr>
            <w:r>
              <w:rPr>
                <w:rFonts w:ascii="Arial" w:cs="Arial" w:eastAsia="Arial" w:hAnsi="Arial"/>
                <w:sz w:val="18"/>
                <w:szCs w:val="18"/>
                <w:color w:val="auto"/>
              </w:rPr>
              <w:t>Sibley Station return on investment, pre-tax</w:t>
            </w:r>
            <w:r>
              <w:rPr>
                <w:rFonts w:ascii="Arial" w:cs="Arial" w:eastAsia="Arial" w:hAnsi="Arial"/>
                <w:sz w:val="23"/>
                <w:szCs w:val="23"/>
                <w:color w:val="auto"/>
                <w:vertAlign w:val="superscript"/>
              </w:rPr>
              <w:t>(b)</w:t>
            </w:r>
          </w:p>
        </w:tc>
        <w:tc>
          <w:tcPr>
            <w:tcW w:w="8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44.4</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Mark-to-market impact of JEC economic hedges, pre-tax</w:t>
            </w:r>
            <w:r>
              <w:rPr>
                <w:rFonts w:ascii="Arial" w:cs="Arial" w:eastAsia="Arial" w:hAnsi="Arial"/>
                <w:sz w:val="23"/>
                <w:szCs w:val="23"/>
                <w:color w:val="auto"/>
                <w:vertAlign w:val="superscript"/>
              </w:rPr>
              <w:t>(c)</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76"/>
        </w:trPr>
        <w:tc>
          <w:tcPr>
            <w:tcW w:w="5780" w:type="dxa"/>
            <w:vAlign w:val="bottom"/>
          </w:tcPr>
          <w:p>
            <w:pPr>
              <w:ind w:left="360"/>
              <w:spacing w:after="0" w:line="176" w:lineRule="exact"/>
              <w:rPr>
                <w:sz w:val="20"/>
                <w:szCs w:val="20"/>
                <w:color w:val="auto"/>
              </w:rPr>
            </w:pPr>
            <w:r>
              <w:rPr>
                <w:rFonts w:ascii="Arial" w:cs="Arial" w:eastAsia="Arial" w:hAnsi="Arial"/>
                <w:sz w:val="18"/>
                <w:szCs w:val="18"/>
                <w:color w:val="auto"/>
              </w:rPr>
              <w:t>Non-regulated energy marketing costs related to February 2021</w:t>
            </w: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480"/>
              <w:spacing w:after="0" w:line="243" w:lineRule="exact"/>
              <w:rPr>
                <w:sz w:val="20"/>
                <w:szCs w:val="20"/>
                <w:color w:val="auto"/>
              </w:rPr>
            </w:pPr>
            <w:r>
              <w:rPr>
                <w:rFonts w:ascii="Arial" w:cs="Arial" w:eastAsia="Arial" w:hAnsi="Arial"/>
                <w:sz w:val="18"/>
                <w:szCs w:val="18"/>
                <w:color w:val="auto"/>
              </w:rPr>
              <w:t>winter weather event, pre-tax</w:t>
            </w:r>
            <w:r>
              <w:rPr>
                <w:rFonts w:ascii="Arial" w:cs="Arial" w:eastAsia="Arial" w:hAnsi="Arial"/>
                <w:sz w:val="23"/>
                <w:szCs w:val="23"/>
                <w:color w:val="auto"/>
                <w:vertAlign w:val="superscript"/>
              </w:rPr>
              <w:t>(d)</w:t>
            </w:r>
          </w:p>
        </w:tc>
        <w:tc>
          <w:tcPr>
            <w:tcW w:w="8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Executive transition costs, pre-tax</w:t>
            </w:r>
            <w:r>
              <w:rPr>
                <w:rFonts w:ascii="Arial" w:cs="Arial" w:eastAsia="Arial" w:hAnsi="Arial"/>
                <w:sz w:val="23"/>
                <w:szCs w:val="23"/>
                <w:color w:val="auto"/>
                <w:vertAlign w:val="superscript"/>
              </w:rPr>
              <w:t>(e)</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line="230" w:lineRule="exact"/>
              <w:rPr>
                <w:sz w:val="20"/>
                <w:szCs w:val="20"/>
                <w:color w:val="auto"/>
              </w:rPr>
            </w:pPr>
            <w:r>
              <w:rPr>
                <w:rFonts w:ascii="Arial" w:cs="Arial" w:eastAsia="Arial" w:hAnsi="Arial"/>
                <w:sz w:val="18"/>
                <w:szCs w:val="18"/>
                <w:color w:val="auto"/>
              </w:rPr>
              <w:t>Advisor expenses, pre-tax</w:t>
            </w:r>
            <w:r>
              <w:rPr>
                <w:rFonts w:ascii="Arial" w:cs="Arial" w:eastAsia="Arial" w:hAnsi="Arial"/>
                <w:sz w:val="23"/>
                <w:szCs w:val="23"/>
                <w:color w:val="auto"/>
                <w:vertAlign w:val="superscript"/>
              </w:rPr>
              <w:t>(f)</w:t>
            </w:r>
          </w:p>
        </w:tc>
        <w:tc>
          <w:tcPr>
            <w:tcW w:w="8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Sibley Unit 3 impairment loss, pre-tax</w:t>
            </w:r>
            <w:r>
              <w:rPr>
                <w:rFonts w:ascii="Arial" w:cs="Arial" w:eastAsia="Arial" w:hAnsi="Arial"/>
                <w:sz w:val="23"/>
                <w:szCs w:val="23"/>
                <w:color w:val="auto"/>
                <w:vertAlign w:val="superscript"/>
              </w:rPr>
              <w:t>(g)</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line="230" w:lineRule="exact"/>
              <w:rPr>
                <w:sz w:val="20"/>
                <w:szCs w:val="20"/>
                <w:color w:val="auto"/>
              </w:rPr>
            </w:pPr>
            <w:r>
              <w:rPr>
                <w:rFonts w:ascii="Arial" w:cs="Arial" w:eastAsia="Arial" w:hAnsi="Arial"/>
                <w:sz w:val="18"/>
                <w:szCs w:val="18"/>
                <w:color w:val="auto"/>
              </w:rPr>
              <w:t>TFR refund, pre-tax</w:t>
            </w:r>
            <w:r>
              <w:rPr>
                <w:rFonts w:ascii="Arial" w:cs="Arial" w:eastAsia="Arial" w:hAnsi="Arial"/>
                <w:sz w:val="23"/>
                <w:szCs w:val="23"/>
                <w:color w:val="auto"/>
                <w:vertAlign w:val="superscript"/>
              </w:rPr>
              <w:t>(i)</w:t>
            </w:r>
          </w:p>
        </w:tc>
        <w:tc>
          <w:tcPr>
            <w:tcW w:w="8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Customer refund related to COLI rate credits, pre-tax</w:t>
            </w:r>
            <w:r>
              <w:rPr>
                <w:rFonts w:ascii="Arial" w:cs="Arial" w:eastAsia="Arial" w:hAnsi="Arial"/>
                <w:sz w:val="23"/>
                <w:szCs w:val="23"/>
                <w:color w:val="auto"/>
                <w:vertAlign w:val="superscript"/>
              </w:rPr>
              <w:t>(k)</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96.5</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auto"/>
            </w:tcBorders>
          </w:tcPr>
          <w:p>
            <w:pPr>
              <w:ind w:left="360"/>
              <w:spacing w:after="0" w:line="230" w:lineRule="exact"/>
              <w:rPr>
                <w:sz w:val="20"/>
                <w:szCs w:val="20"/>
                <w:color w:val="auto"/>
              </w:rPr>
            </w:pPr>
            <w:r>
              <w:rPr>
                <w:rFonts w:ascii="Arial" w:cs="Arial" w:eastAsia="Arial" w:hAnsi="Arial"/>
                <w:sz w:val="18"/>
                <w:szCs w:val="18"/>
                <w:color w:val="auto"/>
              </w:rPr>
              <w:t>Income tax benefit</w:t>
            </w:r>
            <w:r>
              <w:rPr>
                <w:rFonts w:ascii="Arial" w:cs="Arial" w:eastAsia="Arial" w:hAnsi="Arial"/>
                <w:sz w:val="23"/>
                <w:szCs w:val="23"/>
                <w:color w:val="auto"/>
                <w:vertAlign w:val="superscript"/>
              </w:rPr>
              <w:t>(l)</w:t>
            </w:r>
          </w:p>
        </w:tc>
        <w:tc>
          <w:tcPr>
            <w:tcW w:w="8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(0.10)</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Adjusted earnings (non-GAAP)</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460.8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10"/>
              <w:spacing w:after="0" w:line="202" w:lineRule="exact"/>
              <w:rPr>
                <w:sz w:val="20"/>
                <w:szCs w:val="20"/>
                <w:color w:val="auto"/>
              </w:rPr>
            </w:pPr>
            <w:r>
              <w:rPr>
                <w:rFonts w:ascii="Arial" w:cs="Arial" w:eastAsia="Arial" w:hAnsi="Arial"/>
                <w:sz w:val="18"/>
                <w:szCs w:val="18"/>
                <w:b w:val="1"/>
                <w:bCs w:val="1"/>
                <w:color w:val="auto"/>
                <w:w w:val="90"/>
              </w:rPr>
              <w:t>Earnings</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30"/>
              <w:spacing w:after="0" w:line="202" w:lineRule="exact"/>
              <w:rPr>
                <w:sz w:val="20"/>
                <w:szCs w:val="20"/>
                <w:color w:val="auto"/>
              </w:rPr>
            </w:pPr>
            <w:r>
              <w:rPr>
                <w:rFonts w:ascii="Arial" w:cs="Arial" w:eastAsia="Arial" w:hAnsi="Arial"/>
                <w:sz w:val="18"/>
                <w:szCs w:val="18"/>
                <w:b w:val="1"/>
                <w:bCs w:val="1"/>
                <w:color w:val="auto"/>
                <w:w w:val="90"/>
              </w:rPr>
              <w:t>Earnings</w:t>
            </w:r>
          </w:p>
        </w:tc>
        <w:tc>
          <w:tcPr>
            <w:tcW w:w="0" w:type="dxa"/>
            <w:vAlign w:val="bottom"/>
          </w:tcPr>
          <w:p>
            <w:pPr>
              <w:spacing w:after="0"/>
              <w:rPr>
                <w:sz w:val="1"/>
                <w:szCs w:val="1"/>
                <w:color w:val="auto"/>
              </w:rPr>
            </w:pPr>
          </w:p>
        </w:tc>
      </w:tr>
      <w:tr>
        <w:trPr>
          <w:trHeight w:val="184"/>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3"/>
              </w:rPr>
              <w:t>Earnings</w:t>
            </w:r>
          </w:p>
        </w:tc>
        <w:tc>
          <w:tcPr>
            <w:tcW w:w="240" w:type="dxa"/>
            <w:vAlign w:val="bottom"/>
          </w:tcPr>
          <w:p>
            <w:pPr>
              <w:spacing w:after="0"/>
              <w:rPr>
                <w:sz w:val="16"/>
                <w:szCs w:val="16"/>
                <w:color w:val="auto"/>
              </w:rPr>
            </w:pPr>
          </w:p>
        </w:tc>
        <w:tc>
          <w:tcPr>
            <w:tcW w:w="1020" w:type="dxa"/>
            <w:vAlign w:val="bottom"/>
          </w:tcPr>
          <w:p>
            <w:pPr>
              <w:jc w:val="center"/>
              <w:ind w:right="110"/>
              <w:spacing w:after="0" w:line="184" w:lineRule="exact"/>
              <w:rPr>
                <w:sz w:val="20"/>
                <w:szCs w:val="20"/>
                <w:color w:val="auto"/>
              </w:rPr>
            </w:pPr>
            <w:r>
              <w:rPr>
                <w:rFonts w:ascii="Arial" w:cs="Arial" w:eastAsia="Arial" w:hAnsi="Arial"/>
                <w:sz w:val="18"/>
                <w:szCs w:val="18"/>
                <w:b w:val="1"/>
                <w:bCs w:val="1"/>
                <w:color w:val="auto"/>
                <w:w w:val="89"/>
              </w:rPr>
              <w:t>(Loss) per</w:t>
            </w:r>
          </w:p>
        </w:tc>
        <w:tc>
          <w:tcPr>
            <w:tcW w:w="240" w:type="dxa"/>
            <w:vAlign w:val="bottom"/>
          </w:tcPr>
          <w:p>
            <w:pPr>
              <w:spacing w:after="0"/>
              <w:rPr>
                <w:sz w:val="16"/>
                <w:szCs w:val="16"/>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16"/>
                <w:szCs w:val="16"/>
                <w:color w:val="auto"/>
              </w:rPr>
            </w:pPr>
          </w:p>
        </w:tc>
        <w:tc>
          <w:tcPr>
            <w:tcW w:w="940" w:type="dxa"/>
            <w:vAlign w:val="bottom"/>
          </w:tcPr>
          <w:p>
            <w:pPr>
              <w:jc w:val="center"/>
              <w:ind w:right="30"/>
              <w:spacing w:after="0" w:line="184" w:lineRule="exact"/>
              <w:rPr>
                <w:sz w:val="20"/>
                <w:szCs w:val="20"/>
                <w:color w:val="auto"/>
              </w:rPr>
            </w:pPr>
            <w:r>
              <w:rPr>
                <w:rFonts w:ascii="Arial" w:cs="Arial" w:eastAsia="Arial" w:hAnsi="Arial"/>
                <w:sz w:val="18"/>
                <w:szCs w:val="18"/>
                <w:b w:val="1"/>
                <w:bCs w:val="1"/>
                <w:color w:val="auto"/>
                <w:w w:val="89"/>
              </w:rPr>
              <w:t>(Loss) per</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4"/>
              </w:rPr>
              <w:t>Diluted</w:t>
            </w: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4"/>
              </w:rPr>
              <w:t>Diluted</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(Loss)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Share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Share</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Arial" w:cs="Arial" w:eastAsia="Arial" w:hAnsi="Arial"/>
                <w:sz w:val="16"/>
                <w:szCs w:val="16"/>
                <w:color w:val="auto"/>
                <w:w w:val="93"/>
              </w:rPr>
              <w:t>(millions, except per share amounts)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745.2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Non-GAAP reconciling items:</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Non-regulated energy marketing margin related to February 2021</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480"/>
              <w:spacing w:after="0" w:line="243" w:lineRule="exact"/>
              <w:rPr>
                <w:sz w:val="20"/>
                <w:szCs w:val="20"/>
                <w:color w:val="auto"/>
              </w:rPr>
            </w:pPr>
            <w:r>
              <w:rPr>
                <w:rFonts w:ascii="Arial" w:cs="Arial" w:eastAsia="Arial" w:hAnsi="Arial"/>
                <w:sz w:val="18"/>
                <w:szCs w:val="18"/>
                <w:color w:val="auto"/>
              </w:rPr>
              <w:t>winter weather event, pre-tax</w:t>
            </w:r>
            <w:r>
              <w:rPr>
                <w:rFonts w:ascii="Arial" w:cs="Arial" w:eastAsia="Arial" w:hAnsi="Arial"/>
                <w:sz w:val="23"/>
                <w:szCs w:val="23"/>
                <w:color w:val="auto"/>
                <w:vertAlign w:val="superscript"/>
              </w:rPr>
              <w:t>(a)</w:t>
            </w: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6280" w:type="dxa"/>
            <w:vAlign w:val="bottom"/>
          </w:tcPr>
          <w:p>
            <w:pPr>
              <w:ind w:left="360"/>
              <w:spacing w:after="0" w:line="230" w:lineRule="exact"/>
              <w:rPr>
                <w:sz w:val="20"/>
                <w:szCs w:val="20"/>
                <w:color w:val="auto"/>
              </w:rPr>
            </w:pPr>
            <w:r>
              <w:rPr>
                <w:rFonts w:ascii="Arial" w:cs="Arial" w:eastAsia="Arial" w:hAnsi="Arial"/>
                <w:sz w:val="18"/>
                <w:szCs w:val="18"/>
                <w:color w:val="auto"/>
              </w:rPr>
              <w:t>Sibley Station return on investment, pre-tax</w:t>
            </w:r>
            <w:r>
              <w:rPr>
                <w:rFonts w:ascii="Arial" w:cs="Arial" w:eastAsia="Arial" w:hAnsi="Arial"/>
                <w:sz w:val="23"/>
                <w:szCs w:val="23"/>
                <w:color w:val="auto"/>
                <w:vertAlign w:val="superscript"/>
              </w:rPr>
              <w:t>(b)</w:t>
            </w:r>
          </w:p>
        </w:tc>
        <w:tc>
          <w:tcPr>
            <w:tcW w:w="3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38.2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Mark-to-market impact of JEC economic hedges, pre-tax</w:t>
            </w:r>
            <w:r>
              <w:rPr>
                <w:rFonts w:ascii="Arial" w:cs="Arial" w:eastAsia="Arial" w:hAnsi="Arial"/>
                <w:sz w:val="23"/>
                <w:szCs w:val="23"/>
                <w:color w:val="auto"/>
                <w:vertAlign w:val="superscript"/>
              </w:rPr>
              <w:t>(c)</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75"/>
        </w:trPr>
        <w:tc>
          <w:tcPr>
            <w:tcW w:w="6280" w:type="dxa"/>
            <w:vAlign w:val="bottom"/>
          </w:tcPr>
          <w:p>
            <w:pPr>
              <w:ind w:left="360"/>
              <w:spacing w:after="0" w:line="176" w:lineRule="exact"/>
              <w:rPr>
                <w:sz w:val="20"/>
                <w:szCs w:val="20"/>
                <w:color w:val="auto"/>
              </w:rPr>
            </w:pPr>
            <w:r>
              <w:rPr>
                <w:rFonts w:ascii="Arial" w:cs="Arial" w:eastAsia="Arial" w:hAnsi="Arial"/>
                <w:sz w:val="18"/>
                <w:szCs w:val="18"/>
                <w:color w:val="auto"/>
                <w:w w:val="93"/>
              </w:rPr>
              <w:t>Non-regulated energy marketing costs related to February 2021 winter weather</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360"/>
              <w:spacing w:after="0" w:line="243" w:lineRule="exact"/>
              <w:rPr>
                <w:sz w:val="20"/>
                <w:szCs w:val="20"/>
                <w:color w:val="auto"/>
              </w:rPr>
            </w:pPr>
            <w:r>
              <w:rPr>
                <w:rFonts w:ascii="Arial" w:cs="Arial" w:eastAsia="Arial" w:hAnsi="Arial"/>
                <w:sz w:val="18"/>
                <w:szCs w:val="18"/>
                <w:color w:val="auto"/>
              </w:rPr>
              <w:t>event, pre-tax</w:t>
            </w:r>
            <w:r>
              <w:rPr>
                <w:rFonts w:ascii="Arial" w:cs="Arial" w:eastAsia="Arial" w:hAnsi="Arial"/>
                <w:sz w:val="23"/>
                <w:szCs w:val="23"/>
                <w:color w:val="auto"/>
                <w:vertAlign w:val="superscript"/>
              </w:rPr>
              <w:t>(d)</w:t>
            </w:r>
          </w:p>
        </w:tc>
        <w:tc>
          <w:tcPr>
            <w:tcW w:w="3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Executive transition costs, pre-tax</w:t>
            </w:r>
            <w:r>
              <w:rPr>
                <w:rFonts w:ascii="Arial" w:cs="Arial" w:eastAsia="Arial" w:hAnsi="Arial"/>
                <w:sz w:val="23"/>
                <w:szCs w:val="23"/>
                <w:color w:val="auto"/>
                <w:vertAlign w:val="superscript"/>
              </w:rPr>
              <w:t>(e)</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tcPr>
          <w:p>
            <w:pPr>
              <w:ind w:left="360"/>
              <w:spacing w:after="0" w:line="230" w:lineRule="exact"/>
              <w:rPr>
                <w:sz w:val="20"/>
                <w:szCs w:val="20"/>
                <w:color w:val="auto"/>
              </w:rPr>
            </w:pPr>
            <w:r>
              <w:rPr>
                <w:rFonts w:ascii="Arial" w:cs="Arial" w:eastAsia="Arial" w:hAnsi="Arial"/>
                <w:sz w:val="18"/>
                <w:szCs w:val="18"/>
                <w:color w:val="auto"/>
              </w:rPr>
              <w:t>Advisor expenses, pre-tax</w:t>
            </w:r>
            <w:r>
              <w:rPr>
                <w:rFonts w:ascii="Arial" w:cs="Arial" w:eastAsia="Arial" w:hAnsi="Arial"/>
                <w:sz w:val="23"/>
                <w:szCs w:val="23"/>
                <w:color w:val="auto"/>
                <w:vertAlign w:val="superscript"/>
              </w:rPr>
              <w:t>(f)</w:t>
            </w:r>
          </w:p>
        </w:tc>
        <w:tc>
          <w:tcPr>
            <w:tcW w:w="3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Sibley Unit 3 impairment loss, pre-tax</w:t>
            </w:r>
            <w:r>
              <w:rPr>
                <w:rFonts w:ascii="Arial" w:cs="Arial" w:eastAsia="Arial" w:hAnsi="Arial"/>
                <w:sz w:val="23"/>
                <w:szCs w:val="23"/>
                <w:color w:val="auto"/>
                <w:vertAlign w:val="superscript"/>
              </w:rPr>
              <w:t>(g)</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6280" w:type="dxa"/>
            <w:vAlign w:val="bottom"/>
          </w:tcPr>
          <w:p>
            <w:pPr>
              <w:ind w:left="360"/>
              <w:spacing w:after="0" w:line="230" w:lineRule="exact"/>
              <w:rPr>
                <w:sz w:val="20"/>
                <w:szCs w:val="20"/>
                <w:color w:val="auto"/>
              </w:rPr>
            </w:pPr>
            <w:r>
              <w:rPr>
                <w:rFonts w:ascii="Arial" w:cs="Arial" w:eastAsia="Arial" w:hAnsi="Arial"/>
                <w:sz w:val="18"/>
                <w:szCs w:val="18"/>
                <w:color w:val="auto"/>
              </w:rPr>
              <w:t>Restricted equity investment losses, pre-tax</w:t>
            </w:r>
            <w:r>
              <w:rPr>
                <w:rFonts w:ascii="Arial" w:cs="Arial" w:eastAsia="Arial" w:hAnsi="Arial"/>
                <w:sz w:val="23"/>
                <w:szCs w:val="23"/>
                <w:color w:val="auto"/>
                <w:vertAlign w:val="superscript"/>
              </w:rPr>
              <w:t>(h)</w:t>
            </w:r>
          </w:p>
        </w:tc>
        <w:tc>
          <w:tcPr>
            <w:tcW w:w="3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TFR refund, pre-tax</w:t>
            </w:r>
            <w:r>
              <w:rPr>
                <w:rFonts w:ascii="Arial" w:cs="Arial" w:eastAsia="Arial" w:hAnsi="Arial"/>
                <w:sz w:val="23"/>
                <w:szCs w:val="23"/>
                <w:color w:val="auto"/>
                <w:vertAlign w:val="superscript"/>
              </w:rPr>
              <w:t>(i)</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9"/>
        </w:trPr>
        <w:tc>
          <w:tcPr>
            <w:tcW w:w="6280" w:type="dxa"/>
            <w:vAlign w:val="bottom"/>
          </w:tcPr>
          <w:p>
            <w:pPr>
              <w:ind w:left="360"/>
              <w:spacing w:after="0" w:line="230" w:lineRule="exact"/>
              <w:rPr>
                <w:sz w:val="20"/>
                <w:szCs w:val="20"/>
                <w:color w:val="auto"/>
              </w:rPr>
            </w:pPr>
            <w:r>
              <w:rPr>
                <w:rFonts w:ascii="Arial" w:cs="Arial" w:eastAsia="Arial" w:hAnsi="Arial"/>
                <w:sz w:val="18"/>
                <w:szCs w:val="18"/>
                <w:color w:val="auto"/>
              </w:rPr>
              <w:t>Electric subdivision rebate program costs refund, pre-tax</w:t>
            </w:r>
            <w:r>
              <w:rPr>
                <w:rFonts w:ascii="Arial" w:cs="Arial" w:eastAsia="Arial" w:hAnsi="Arial"/>
                <w:sz w:val="23"/>
                <w:szCs w:val="23"/>
                <w:color w:val="auto"/>
                <w:vertAlign w:val="superscript"/>
              </w:rPr>
              <w:t>(j)</w:t>
            </w:r>
          </w:p>
        </w:tc>
        <w:tc>
          <w:tcPr>
            <w:tcW w:w="3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Customer refunds related to COLI rate credits, pre-tax</w:t>
            </w:r>
            <w:r>
              <w:rPr>
                <w:rFonts w:ascii="Arial" w:cs="Arial" w:eastAsia="Arial" w:hAnsi="Arial"/>
                <w:sz w:val="23"/>
                <w:szCs w:val="23"/>
                <w:color w:val="auto"/>
                <w:vertAlign w:val="superscript"/>
              </w:rPr>
              <w:t>(k)</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96.5</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auto"/>
            </w:tcBorders>
          </w:tcPr>
          <w:p>
            <w:pPr>
              <w:ind w:left="360"/>
              <w:spacing w:after="0" w:line="230" w:lineRule="exact"/>
              <w:rPr>
                <w:sz w:val="20"/>
                <w:szCs w:val="20"/>
                <w:color w:val="auto"/>
              </w:rPr>
            </w:pPr>
            <w:r>
              <w:rPr>
                <w:rFonts w:ascii="Arial" w:cs="Arial" w:eastAsia="Arial" w:hAnsi="Arial"/>
                <w:sz w:val="18"/>
                <w:szCs w:val="18"/>
                <w:color w:val="auto"/>
              </w:rPr>
              <w:t>Income tax benefit</w:t>
            </w:r>
            <w:r>
              <w:rPr>
                <w:rFonts w:ascii="Arial" w:cs="Arial" w:eastAsia="Arial" w:hAnsi="Arial"/>
                <w:sz w:val="23"/>
                <w:szCs w:val="23"/>
                <w:color w:val="auto"/>
                <w:vertAlign w:val="superscript"/>
              </w:rPr>
              <w:t>(l)</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(0.10)</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(11.2)</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Adjusted earnings (non-GAAP)</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754.5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785.2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80" w:right="20" w:hanging="172"/>
        <w:spacing w:after="0" w:line="233" w:lineRule="auto"/>
        <w:tabs>
          <w:tab w:leader="none" w:pos="175"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Reflects non-regulated energy marketing margins related to the February 2021 winter weather event and are included in operating revenues on the consolidated statements of comprehensive income.</w:t>
      </w:r>
    </w:p>
    <w:p>
      <w:pPr>
        <w:spacing w:after="0" w:line="1" w:lineRule="exact"/>
        <w:rPr>
          <w:rFonts w:ascii="Arial" w:cs="Arial" w:eastAsia="Arial" w:hAnsi="Arial"/>
          <w:sz w:val="20"/>
          <w:szCs w:val="20"/>
          <w:color w:val="auto"/>
          <w:vertAlign w:val="superscript"/>
        </w:rPr>
      </w:pPr>
    </w:p>
    <w:p>
      <w:pPr>
        <w:ind w:left="180" w:right="40" w:hanging="172"/>
        <w:spacing w:after="0"/>
        <w:tabs>
          <w:tab w:leader="none" w:pos="168"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Reflects revenues collected from customers for the return on investment of the retired Sibley Station and the 2022 deferral of the cumulative amount of revenues collected since December 2018 that are included in operating revenues on the consolidated statements of comprehensive income.</w:t>
      </w:r>
    </w:p>
    <w:p>
      <w:pPr>
        <w:ind w:left="180" w:right="160" w:hanging="172"/>
        <w:spacing w:after="0" w:line="255" w:lineRule="auto"/>
        <w:tabs>
          <w:tab w:leader="none" w:pos="175"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Reflects mark-to-market gains or losses related to forward contracts for natural gas and electricity entered into as economic hedges against fuel price volatility related to Evergy Kansas Central's non-regulated 8% ownership share of JEC that are included in operating revenues on the consolidated statements of comprehensive income.</w:t>
      </w:r>
    </w:p>
    <w:p>
      <w:pPr>
        <w:ind w:left="180" w:right="140" w:hanging="172"/>
        <w:spacing w:after="0" w:line="234" w:lineRule="auto"/>
        <w:tabs>
          <w:tab w:leader="none" w:pos="168"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Reflects non-regulated energy marketing incentive compensation costs related to the February 2021 winter weather event that are included in operating and maintenance expense on the consolidated statements of comprehensive income.</w:t>
      </w:r>
    </w:p>
    <w:p>
      <w:pPr>
        <w:ind w:left="180" w:right="200" w:hanging="172"/>
        <w:spacing w:after="0" w:line="233" w:lineRule="auto"/>
        <w:tabs>
          <w:tab w:leader="none" w:pos="175"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Reflects costs associated with executive transition including inducement bonuses, severance agreements and other transition expenses and are included in operating and maintenance expense on the consolidated statements of comprehensive income.</w:t>
      </w:r>
    </w:p>
    <w:p>
      <w:pPr>
        <w:ind w:left="180" w:right="760" w:hanging="172"/>
        <w:spacing w:after="0" w:line="218" w:lineRule="auto"/>
        <w:tabs>
          <w:tab w:leader="none" w:pos="177"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Reflects advisor expenses incurred associated with strategic planning and are included in operating and maintenance expense on the consolidated statements of comprehensive income.</w:t>
      </w:r>
    </w:p>
    <w:p>
      <w:pPr>
        <w:spacing w:after="0" w:line="1" w:lineRule="exact"/>
        <w:rPr>
          <w:rFonts w:ascii="Arial" w:cs="Arial" w:eastAsia="Arial" w:hAnsi="Arial"/>
          <w:sz w:val="21"/>
          <w:szCs w:val="21"/>
          <w:color w:val="auto"/>
          <w:vertAlign w:val="superscript"/>
        </w:rPr>
      </w:pPr>
    </w:p>
    <w:p>
      <w:pPr>
        <w:ind w:left="160" w:hanging="152"/>
        <w:spacing w:after="0" w:line="223" w:lineRule="auto"/>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Reflects the impairment loss on Sibley Unit 3 and is included in Sibley Unit 3 impairment loss on the consolidated statements of comprehensive income.</w:t>
      </w:r>
    </w:p>
    <w:p>
      <w:pPr>
        <w:spacing w:after="0" w:line="10" w:lineRule="exact"/>
        <w:rPr>
          <w:rFonts w:ascii="Arial" w:cs="Arial" w:eastAsia="Arial" w:hAnsi="Arial"/>
          <w:sz w:val="18"/>
          <w:szCs w:val="18"/>
          <w:color w:val="auto"/>
          <w:vertAlign w:val="superscript"/>
        </w:rPr>
      </w:pPr>
    </w:p>
    <w:p>
      <w:pPr>
        <w:ind w:left="180" w:right="620" w:hanging="172"/>
        <w:spacing w:after="0" w:line="234" w:lineRule="auto"/>
        <w:tabs>
          <w:tab w:leader="none" w:pos="168"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Reflects losses related to equity investments which were subject to a restriction on sale that are included in investment earnings on the consolidated statements of comprehensive income.</w:t>
      </w:r>
    </w:p>
    <w:p>
      <w:pPr>
        <w:ind w:left="180" w:right="700" w:hanging="172"/>
        <w:spacing w:after="0" w:line="218" w:lineRule="auto"/>
        <w:tabs>
          <w:tab w:leader="none" w:pos="171"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Reflects transmission revenues collected from customers in 2022 through Evergy Kansas Central's FERC TFR to be refunded to customers in accordance with a December 2022 FERC order that are included in operating revenues on the consolidated statements of comprehensive income.</w:t>
      </w:r>
    </w:p>
    <w:p>
      <w:pPr>
        <w:spacing w:after="0" w:line="1" w:lineRule="exact"/>
        <w:rPr>
          <w:rFonts w:ascii="Arial" w:cs="Arial" w:eastAsia="Arial" w:hAnsi="Arial"/>
          <w:sz w:val="21"/>
          <w:szCs w:val="21"/>
          <w:color w:val="auto"/>
          <w:vertAlign w:val="superscript"/>
        </w:rPr>
      </w:pPr>
    </w:p>
    <w:p>
      <w:pPr>
        <w:ind w:left="180" w:right="460" w:hanging="172"/>
        <w:spacing w:after="0" w:line="255" w:lineRule="auto"/>
        <w:tabs>
          <w:tab w:leader="none" w:pos="171"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Reflects the deferral of the cumulative amount of prior year revenues collected since October 2019 for costs related to an electric subdivision rebate program to be refunded to customers in accordance with a June 2020 KCC order that are included in operating revenues on the consolidated statements of comprehensive income.</w:t>
      </w:r>
    </w:p>
    <w:p>
      <w:pPr>
        <w:ind w:left="180" w:right="20" w:hanging="172"/>
        <w:spacing w:after="0" w:line="242" w:lineRule="auto"/>
        <w:tabs>
          <w:tab w:leader="none" w:pos="168"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Reflects the deferral of revenues for future refund of amounts previously collected from customers related to COLI rate credits in accordance with a September 2023 KCC rate case unanimous settlement agreement reached between Evergy, the KCC staff and other intervenors that are included in operating revenues on the consolidated statements of comprehensive income.</w:t>
      </w:r>
    </w:p>
    <w:p>
      <w:pPr>
        <w:ind w:left="160" w:hanging="152"/>
        <w:spacing w:after="0" w:line="191" w:lineRule="auto"/>
        <w:tabs>
          <w:tab w:leader="none" w:pos="16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Reflects an income tax effect calculated at a statutory rate of approximately 22%.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ENVIRONMENTAL MATTERS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See Note 11 to the consolidated financial statements for information regarding environmental matters.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RELATED PARTY TRANSACTIONS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See Note 12 to the consolidated financial statements for information regarding related party transactions.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EVERGY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Evergy's comparative results of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gridSpan w:val="4"/>
          </w:tcPr>
          <w:p>
            <w:pPr>
              <w:jc w:val="right"/>
              <w:ind w:right="30"/>
              <w:spacing w:after="0" w:line="202" w:lineRule="exact"/>
              <w:rPr>
                <w:sz w:val="20"/>
                <w:szCs w:val="20"/>
                <w:color w:val="auto"/>
              </w:rPr>
            </w:pPr>
            <w:r>
              <w:rPr>
                <w:rFonts w:ascii="Arial" w:cs="Arial" w:eastAsia="Arial" w:hAnsi="Arial"/>
                <w:sz w:val="18"/>
                <w:szCs w:val="18"/>
                <w:b w:val="1"/>
                <w:bCs w:val="1"/>
                <w:color w:val="auto"/>
              </w:rPr>
              <w:t>Three Months Ended</w:t>
            </w:r>
          </w:p>
        </w:tc>
        <w:tc>
          <w:tcPr>
            <w:tcW w:w="8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140"/>
              <w:spacing w:after="0" w:line="202" w:lineRule="exact"/>
              <w:rPr>
                <w:sz w:val="20"/>
                <w:szCs w:val="20"/>
                <w:color w:val="auto"/>
              </w:rPr>
            </w:pPr>
            <w:r>
              <w:rPr>
                <w:rFonts w:ascii="Arial" w:cs="Arial" w:eastAsia="Arial" w:hAnsi="Arial"/>
                <w:sz w:val="18"/>
                <w:szCs w:val="18"/>
                <w:b w:val="1"/>
                <w:bCs w:val="1"/>
                <w:color w:val="auto"/>
              </w:rPr>
              <w:t>Year to Date</w:t>
            </w: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34"/>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w w:val="96"/>
              </w:rPr>
              <w:t>September 30</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September 30</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8"/>
        </w:trPr>
        <w:tc>
          <w:tcPr>
            <w:tcW w:w="4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Change</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Change</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r>
      <w:tr>
        <w:trPr>
          <w:trHeight w:val="220"/>
        </w:trPr>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1,669.3</w:t>
            </w:r>
          </w:p>
        </w:tc>
        <w:tc>
          <w:tcPr>
            <w:tcW w:w="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1,909.1</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4,320.3</w:t>
            </w:r>
          </w:p>
        </w:tc>
        <w:tc>
          <w:tcPr>
            <w:tcW w:w="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(259.2)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4,579.5</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478.4</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(164.6)</w:t>
            </w:r>
          </w:p>
        </w:tc>
        <w:tc>
          <w:tcPr>
            <w:tcW w:w="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643.0</w:t>
            </w:r>
          </w:p>
        </w:tc>
        <w:tc>
          <w:tcPr>
            <w:tcW w:w="4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1,177.4</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(188.9)</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1,366.3</w:t>
            </w: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75.4</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81.6</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232.0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253.2</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266.2</w:t>
            </w:r>
          </w:p>
        </w:tc>
        <w:tc>
          <w:tcPr>
            <w:tcW w:w="4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697.1</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(104.1)</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801.2</w:t>
            </w: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273.3</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40.1</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233.2</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806.1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111.8</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103.1</w:t>
            </w:r>
          </w:p>
        </w:tc>
        <w:tc>
          <w:tcPr>
            <w:tcW w:w="2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100.7</w:t>
            </w:r>
          </w:p>
        </w:tc>
        <w:tc>
          <w:tcPr>
            <w:tcW w:w="4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305.9</w:t>
            </w:r>
          </w:p>
        </w:tc>
        <w:tc>
          <w:tcPr>
            <w:tcW w:w="28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302.9</w:t>
            </w: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Sibley Unit 3 impairment loss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400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485.9</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(92.5)</w:t>
            </w:r>
          </w:p>
        </w:tc>
        <w:tc>
          <w:tcPr>
            <w:tcW w:w="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578.4</w:t>
            </w:r>
          </w:p>
        </w:tc>
        <w:tc>
          <w:tcPr>
            <w:tcW w:w="4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1,101.8</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(65.2)</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1,167.0</w:t>
            </w: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42.6</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136.8</w:t>
            </w:r>
          </w:p>
        </w:tc>
        <w:tc>
          <w:tcPr>
            <w:tcW w:w="2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34.5</w:t>
            </w:r>
          </w:p>
        </w:tc>
        <w:tc>
          <w:tcPr>
            <w:tcW w:w="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102.3</w:t>
            </w:r>
          </w:p>
        </w:tc>
        <w:tc>
          <w:tcPr>
            <w:tcW w:w="4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393.6</w:t>
            </w:r>
          </w:p>
        </w:tc>
        <w:tc>
          <w:tcPr>
            <w:tcW w:w="28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100.2</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293.4</w:t>
            </w: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(40.7)</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49.5</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(51.1)</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175"/>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w w:val="94"/>
              </w:rPr>
              <w:t>Equity in earnings of equity method investees, net of</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w:t>
            </w: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354.6</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(76.6)</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431.2</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682.5</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(71.9)</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w:t>
            </w:r>
          </w:p>
        </w:tc>
      </w:tr>
      <w:tr>
        <w:trPr>
          <w:trHeight w:val="175"/>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Less: Net income attributable to noncontrolling</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w:t>
            </w: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351.6</w:t>
            </w:r>
          </w:p>
        </w:tc>
        <w:tc>
          <w:tcPr>
            <w:tcW w:w="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428.2</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673.3</w:t>
            </w:r>
          </w:p>
        </w:tc>
        <w:tc>
          <w:tcPr>
            <w:tcW w:w="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ind w:left="1"/>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Gross Margin (GAAP) and Utility Gross Margin (non-GAAP)</w:t>
      </w:r>
    </w:p>
    <w:p>
      <w:pPr>
        <w:spacing w:after="0" w:line="26" w:lineRule="exact"/>
        <w:rPr>
          <w:sz w:val="20"/>
          <w:szCs w:val="20"/>
          <w:color w:val="auto"/>
        </w:rPr>
      </w:pPr>
    </w:p>
    <w:p>
      <w:pPr>
        <w:ind w:left="1" w:right="140"/>
        <w:spacing w:after="0" w:line="253" w:lineRule="auto"/>
        <w:rPr>
          <w:sz w:val="20"/>
          <w:szCs w:val="20"/>
          <w:color w:val="auto"/>
        </w:rPr>
      </w:pPr>
      <w:r>
        <w:rPr>
          <w:rFonts w:ascii="Arial" w:cs="Arial" w:eastAsia="Arial" w:hAnsi="Arial"/>
          <w:sz w:val="20"/>
          <w:szCs w:val="20"/>
          <w:color w:val="auto"/>
        </w:rPr>
        <w:t>The following table summarizes Evergy's gross margin (GAAP) and MWhs sold and reconciles Evergy's gross margin (GAAP) to Evergy's utility gross margin (non-GAAP). See "Executive Summary - Non-GAAP Measures", above for additional information regarding gross margin (GAAP) and utility gross margin (non-GAAP).</w:t>
      </w:r>
    </w:p>
    <w:p>
      <w:pPr>
        <w:spacing w:after="0" w:line="99" w:lineRule="exact"/>
        <w:rPr>
          <w:sz w:val="20"/>
          <w:szCs w:val="20"/>
          <w:color w:val="auto"/>
        </w:rPr>
      </w:pPr>
    </w:p>
    <w:tbl>
      <w:tblPr>
        <w:tblLayout w:type="fixed"/>
        <w:tblInd w:w="1" w:type="dxa"/>
        <w:tblCellMar>
          <w:top w:w="0" w:type="dxa"/>
          <w:left w:w="0" w:type="dxa"/>
          <w:bottom w:w="0" w:type="dxa"/>
          <w:right w:w="0" w:type="dxa"/>
        </w:tblCellMar>
      </w:tblPr>
      <w:tr>
        <w:trPr>
          <w:trHeight w:val="252"/>
        </w:trPr>
        <w:tc>
          <w:tcPr>
            <w:tcW w:w="5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5"/>
          </w:tcPr>
          <w:p>
            <w:pPr>
              <w:jc w:val="center"/>
              <w:ind w:right="110"/>
              <w:spacing w:after="0"/>
              <w:rPr>
                <w:sz w:val="20"/>
                <w:szCs w:val="20"/>
                <w:color w:val="auto"/>
              </w:rPr>
            </w:pPr>
            <w:r>
              <w:rPr>
                <w:rFonts w:ascii="Arial" w:cs="Arial" w:eastAsia="Arial" w:hAnsi="Arial"/>
                <w:sz w:val="18"/>
                <w:szCs w:val="18"/>
                <w:b w:val="1"/>
                <w:bCs w:val="1"/>
                <w:color w:val="auto"/>
                <w:w w:val="86"/>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2"/>
              </w:rPr>
              <w:t>MWhs Sold</w:t>
            </w:r>
          </w:p>
        </w:tc>
        <w:tc>
          <w:tcPr>
            <w:tcW w:w="840" w:type="dxa"/>
            <w:vAlign w:val="bottom"/>
            <w:tcBorders>
              <w:top w:val="single" w:sz="8" w:color="auto"/>
            </w:tcBorders>
          </w:tcPr>
          <w:p>
            <w:pPr>
              <w:spacing w:after="0"/>
              <w:rPr>
                <w:sz w:val="21"/>
                <w:szCs w:val="21"/>
                <w:color w:val="auto"/>
              </w:rPr>
            </w:pPr>
          </w:p>
        </w:tc>
      </w:tr>
      <w:tr>
        <w:trPr>
          <w:trHeight w:val="23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Change</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1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7"/>
              </w:rPr>
              <w:t>Change</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ind w:right="90"/>
              <w:spacing w:after="0"/>
              <w:rPr>
                <w:sz w:val="20"/>
                <w:szCs w:val="20"/>
                <w:color w:val="auto"/>
              </w:rPr>
            </w:pPr>
            <w:r>
              <w:rPr>
                <w:rFonts w:ascii="Arial" w:cs="Arial" w:eastAsia="Arial" w:hAnsi="Arial"/>
                <w:sz w:val="16"/>
                <w:szCs w:val="16"/>
                <w:color w:val="auto"/>
                <w:w w:val="96"/>
              </w:rPr>
              <w:t>(millions)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Arial" w:cs="Arial" w:eastAsia="Arial" w:hAnsi="Arial"/>
                <w:sz w:val="16"/>
                <w:szCs w:val="16"/>
                <w:color w:val="auto"/>
                <w:w w:val="89"/>
              </w:rPr>
              <w:t>(thousands)</w:t>
            </w: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746.6</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5,134</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528.6</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583.7</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5,212</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(65)</w:t>
            </w:r>
          </w:p>
        </w:tc>
        <w:tc>
          <w:tcPr>
            <w:tcW w:w="840" w:type="dxa"/>
            <w:vAlign w:val="bottom"/>
          </w:tcPr>
          <w:p>
            <w:pPr>
              <w:jc w:val="right"/>
              <w:spacing w:after="0"/>
              <w:rPr>
                <w:sz w:val="20"/>
                <w:szCs w:val="20"/>
                <w:color w:val="auto"/>
              </w:rPr>
            </w:pPr>
            <w:r>
              <w:rPr>
                <w:rFonts w:ascii="Arial" w:cs="Arial" w:eastAsia="Arial" w:hAnsi="Arial"/>
                <w:sz w:val="18"/>
                <w:szCs w:val="18"/>
                <w:color w:val="auto"/>
              </w:rPr>
              <w:t>5,277</w:t>
            </w: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158.9</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2,229</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Other retail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50.6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(39.0)</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30</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1,374.2</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1,488.5</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12,605</w:t>
            </w: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(307)</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12,912</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148.3</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(102.3)</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250.6</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4,636</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(955)</w:t>
            </w:r>
          </w:p>
        </w:tc>
        <w:tc>
          <w:tcPr>
            <w:tcW w:w="840" w:type="dxa"/>
            <w:vAlign w:val="bottom"/>
          </w:tcPr>
          <w:p>
            <w:pPr>
              <w:jc w:val="right"/>
              <w:spacing w:after="0"/>
              <w:rPr>
                <w:sz w:val="20"/>
                <w:szCs w:val="20"/>
                <w:color w:val="auto"/>
              </w:rPr>
            </w:pPr>
            <w:r>
              <w:rPr>
                <w:rFonts w:ascii="Arial" w:cs="Arial" w:eastAsia="Arial" w:hAnsi="Arial"/>
                <w:sz w:val="18"/>
                <w:szCs w:val="18"/>
                <w:color w:val="auto"/>
              </w:rPr>
              <w:t>5,591</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101.9</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44.9</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1,669.3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17,241</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(1,262)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18,503</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(478.4)</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164.6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(643.0)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Arial" w:cs="Arial" w:eastAsia="Arial" w:hAnsi="Arial"/>
                <w:sz w:val="18"/>
                <w:szCs w:val="18"/>
                <w:color w:val="auto"/>
              </w:rPr>
              <w:t>Operating and maintenance</w:t>
            </w:r>
            <w:r>
              <w:rPr>
                <w:rFonts w:ascii="Arial" w:cs="Arial" w:eastAsia="Arial" w:hAnsi="Arial"/>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(131.3)</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 (GAAP)</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607.8</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711.8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Arial" w:cs="Arial" w:eastAsia="Arial" w:hAnsi="Arial"/>
                <w:sz w:val="18"/>
                <w:szCs w:val="18"/>
                <w:color w:val="auto"/>
              </w:rPr>
              <w:t>Operating and maintenance</w:t>
            </w:r>
            <w:r>
              <w:rPr>
                <w:rFonts w:ascii="Arial" w:cs="Arial" w:eastAsia="Arial" w:hAnsi="Arial"/>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131.3</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273.3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103.1</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Utility gross margin (non-GAAP)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1,184.5</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r>
    </w:tbl>
    <w:p>
      <w:pPr>
        <w:spacing w:after="0" w:line="4" w:lineRule="exact"/>
        <w:rPr>
          <w:sz w:val="20"/>
          <w:szCs w:val="20"/>
          <w:color w:val="auto"/>
        </w:rPr>
      </w:pPr>
    </w:p>
    <w:p>
      <w:pPr>
        <w:ind w:left="161" w:right="140" w:hanging="161"/>
        <w:spacing w:after="0" w:line="225" w:lineRule="auto"/>
        <w:tabs>
          <w:tab w:leader="none" w:pos="156"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$121.9 million and $127.4 million for the three months ended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1"/>
          </w:cols>
          <w:pgMar w:left="319" w:top="122" w:right="399" w:bottom="1440" w:gutter="0" w:footer="0" w:header="0"/>
        </w:sectPr>
      </w:pPr>
    </w:p>
    <w:bookmarkStart w:id="62" w:name="page63"/>
    <w:bookmarkEnd w:id="62"/>
    <w:p>
      <w:pPr>
        <w:ind w:left="1"/>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 w:type="dxa"/>
        <w:tblCellMar>
          <w:top w:w="0" w:type="dxa"/>
          <w:left w:w="0" w:type="dxa"/>
          <w:bottom w:w="0" w:type="dxa"/>
          <w:right w:w="0" w:type="dxa"/>
        </w:tblCellMar>
      </w:tblPr>
      <w:tr>
        <w:trPr>
          <w:trHeight w:val="252"/>
        </w:trPr>
        <w:tc>
          <w:tcPr>
            <w:tcW w:w="5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800" w:type="dxa"/>
            <w:vAlign w:val="bottom"/>
            <w:tcBorders>
              <w:top w:val="single" w:sz="8" w:color="auto"/>
            </w:tcBorders>
            <w:gridSpan w:val="5"/>
          </w:tcPr>
          <w:p>
            <w:pPr>
              <w:jc w:val="center"/>
              <w:ind w:right="90"/>
              <w:spacing w:after="0"/>
              <w:rPr>
                <w:sz w:val="20"/>
                <w:szCs w:val="20"/>
                <w:color w:val="auto"/>
              </w:rPr>
            </w:pPr>
            <w:r>
              <w:rPr>
                <w:rFonts w:ascii="Arial" w:cs="Arial" w:eastAsia="Arial" w:hAnsi="Arial"/>
                <w:sz w:val="18"/>
                <w:szCs w:val="18"/>
                <w:b w:val="1"/>
                <w:bCs w:val="1"/>
                <w:color w:val="auto"/>
                <w:w w:val="86"/>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2"/>
              </w:rPr>
              <w:t>MWhs Sold</w:t>
            </w:r>
          </w:p>
        </w:tc>
        <w:tc>
          <w:tcPr>
            <w:tcW w:w="840" w:type="dxa"/>
            <w:vAlign w:val="bottom"/>
            <w:tcBorders>
              <w:top w:val="single" w:sz="8" w:color="auto"/>
            </w:tcBorders>
          </w:tcPr>
          <w:p>
            <w:pPr>
              <w:spacing w:after="0"/>
              <w:rPr>
                <w:sz w:val="21"/>
                <w:szCs w:val="21"/>
                <w:color w:val="auto"/>
              </w:rPr>
            </w:pPr>
          </w:p>
        </w:tc>
      </w:tr>
      <w:tr>
        <w:trPr>
          <w:trHeight w:val="23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1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7"/>
              </w:rPr>
              <w:t>Change</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ind w:right="90"/>
              <w:spacing w:after="0"/>
              <w:rPr>
                <w:sz w:val="20"/>
                <w:szCs w:val="20"/>
                <w:color w:val="auto"/>
              </w:rPr>
            </w:pPr>
            <w:r>
              <w:rPr>
                <w:rFonts w:ascii="Arial" w:cs="Arial" w:eastAsia="Arial" w:hAnsi="Arial"/>
                <w:sz w:val="16"/>
                <w:szCs w:val="16"/>
                <w:color w:val="auto"/>
                <w:w w:val="96"/>
              </w:rPr>
              <w:t>(millions)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Arial" w:cs="Arial" w:eastAsia="Arial" w:hAnsi="Arial"/>
                <w:sz w:val="16"/>
                <w:szCs w:val="16"/>
                <w:color w:val="auto"/>
                <w:w w:val="89"/>
              </w:rPr>
              <w:t>(thousands)</w:t>
            </w: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1,711.8</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12,491</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12,934</w:t>
            </w: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1,419.3</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1,452.3</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13,961</w:t>
            </w:r>
          </w:p>
        </w:tc>
        <w:tc>
          <w:tcPr>
            <w:tcW w:w="1160" w:type="dxa"/>
            <w:vAlign w:val="bottom"/>
          </w:tcPr>
          <w:p>
            <w:pPr>
              <w:jc w:val="center"/>
              <w:ind w:left="371"/>
              <w:spacing w:after="0"/>
              <w:rPr>
                <w:sz w:val="20"/>
                <w:szCs w:val="20"/>
                <w:color w:val="auto"/>
              </w:rPr>
            </w:pPr>
            <w:r>
              <w:rPr>
                <w:rFonts w:ascii="Arial" w:cs="Arial" w:eastAsia="Arial" w:hAnsi="Arial"/>
                <w:sz w:val="18"/>
                <w:szCs w:val="18"/>
                <w:color w:val="auto"/>
                <w:w w:val="89"/>
              </w:rPr>
              <w:t>40</w:t>
            </w:r>
          </w:p>
        </w:tc>
        <w:tc>
          <w:tcPr>
            <w:tcW w:w="840" w:type="dxa"/>
            <w:vAlign w:val="bottom"/>
          </w:tcPr>
          <w:p>
            <w:pPr>
              <w:jc w:val="right"/>
              <w:spacing w:after="0"/>
              <w:rPr>
                <w:sz w:val="20"/>
                <w:szCs w:val="20"/>
                <w:color w:val="auto"/>
              </w:rPr>
            </w:pPr>
            <w:r>
              <w:rPr>
                <w:rFonts w:ascii="Arial" w:cs="Arial" w:eastAsia="Arial" w:hAnsi="Arial"/>
                <w:sz w:val="18"/>
                <w:szCs w:val="18"/>
                <w:color w:val="auto"/>
              </w:rPr>
              <w:t>13,921</w:t>
            </w: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475.3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6,411</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w:t>
            </w: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Other retail revenues</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31.8</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92</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w:t>
            </w: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3,552.8</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3,661.5</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32,955</w:t>
            </w: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(675)</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33,630</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301.8</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382.0</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11,682</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(2,181)</w:t>
            </w:r>
          </w:p>
        </w:tc>
        <w:tc>
          <w:tcPr>
            <w:tcW w:w="840" w:type="dxa"/>
            <w:vAlign w:val="bottom"/>
          </w:tcPr>
          <w:p>
            <w:pPr>
              <w:jc w:val="right"/>
              <w:spacing w:after="0"/>
              <w:rPr>
                <w:sz w:val="20"/>
                <w:szCs w:val="20"/>
                <w:color w:val="auto"/>
              </w:rPr>
            </w:pPr>
            <w:r>
              <w:rPr>
                <w:rFonts w:ascii="Arial" w:cs="Arial" w:eastAsia="Arial" w:hAnsi="Arial"/>
                <w:sz w:val="18"/>
                <w:szCs w:val="18"/>
                <w:color w:val="auto"/>
              </w:rPr>
              <w:t>13,863</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16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9"/>
              </w:rPr>
              <w:t>N/A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157.5</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160" w:type="dxa"/>
            <w:vAlign w:val="bottom"/>
            <w:tcBorders>
              <w:bottom w:val="single" w:sz="8" w:color="auto"/>
            </w:tcBorders>
          </w:tcPr>
          <w:p>
            <w:pPr>
              <w:jc w:val="center"/>
              <w:ind w:left="331"/>
              <w:spacing w:after="0"/>
              <w:rPr>
                <w:sz w:val="20"/>
                <w:szCs w:val="20"/>
                <w:color w:val="auto"/>
              </w:rPr>
            </w:pPr>
            <w:r>
              <w:rPr>
                <w:rFonts w:ascii="Arial" w:cs="Arial" w:eastAsia="Arial" w:hAnsi="Arial"/>
                <w:sz w:val="18"/>
                <w:szCs w:val="18"/>
                <w:color w:val="auto"/>
                <w:w w:val="99"/>
              </w:rPr>
              <w:t>N/A</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4,320.3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44,637</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(2,856)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47,493</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(1,177.4)</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188.9</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(1,366.3)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Arial" w:cs="Arial" w:eastAsia="Arial" w:hAnsi="Arial"/>
                <w:sz w:val="18"/>
                <w:szCs w:val="18"/>
                <w:color w:val="auto"/>
              </w:rPr>
              <w:t>Operating and maintenance</w:t>
            </w:r>
            <w:r>
              <w:rPr>
                <w:rFonts w:ascii="Arial" w:cs="Arial" w:eastAsia="Arial" w:hAnsi="Arial"/>
                <w:sz w:val="23"/>
                <w:szCs w:val="23"/>
                <w:color w:val="auto"/>
                <w:vertAlign w:val="superscript"/>
              </w:rPr>
              <w:t>(a)</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(370.6)</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40.6</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(411.2)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 (GAAP)</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1,428.3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(134.7)</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1,563.0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line="230" w:lineRule="exact"/>
              <w:rPr>
                <w:sz w:val="20"/>
                <w:szCs w:val="20"/>
                <w:color w:val="auto"/>
              </w:rPr>
            </w:pPr>
            <w:r>
              <w:rPr>
                <w:rFonts w:ascii="Arial" w:cs="Arial" w:eastAsia="Arial" w:hAnsi="Arial"/>
                <w:sz w:val="18"/>
                <w:szCs w:val="18"/>
                <w:color w:val="auto"/>
              </w:rPr>
              <w:t>Operating and maintenance</w:t>
            </w:r>
            <w:r>
              <w:rPr>
                <w:rFonts w:ascii="Arial" w:cs="Arial" w:eastAsia="Arial" w:hAnsi="Arial"/>
                <w:sz w:val="23"/>
                <w:szCs w:val="23"/>
                <w:color w:val="auto"/>
                <w:vertAlign w:val="superscript"/>
              </w:rPr>
              <w:t>(a)</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370.6</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411.2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806.1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111.8</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305.9</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Utility gross margin (non-GAAP)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2,910.9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2,971.4</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r>
    </w:tbl>
    <w:p>
      <w:pPr>
        <w:spacing w:after="0" w:line="4" w:lineRule="exact"/>
        <w:rPr>
          <w:sz w:val="20"/>
          <w:szCs w:val="20"/>
          <w:color w:val="auto"/>
        </w:rPr>
      </w:pPr>
    </w:p>
    <w:p>
      <w:pPr>
        <w:ind w:left="161" w:right="140" w:hanging="161"/>
        <w:spacing w:after="0" w:line="225" w:lineRule="auto"/>
        <w:tabs>
          <w:tab w:leader="none" w:pos="156"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$326.5 million and $390.0 million year to date September 30, 2023 and 2022, respectively.</w:t>
      </w:r>
    </w:p>
    <w:p>
      <w:pPr>
        <w:spacing w:after="0" w:line="289" w:lineRule="exact"/>
        <w:rPr>
          <w:sz w:val="20"/>
          <w:szCs w:val="20"/>
          <w:color w:val="auto"/>
        </w:rPr>
      </w:pPr>
    </w:p>
    <w:p>
      <w:pPr>
        <w:jc w:val="both"/>
        <w:ind w:left="1" w:right="200"/>
        <w:spacing w:after="0" w:line="264" w:lineRule="auto"/>
        <w:rPr>
          <w:sz w:val="20"/>
          <w:szCs w:val="20"/>
          <w:color w:val="auto"/>
        </w:rPr>
      </w:pPr>
      <w:r>
        <w:rPr>
          <w:rFonts w:ascii="Arial" w:cs="Arial" w:eastAsia="Arial" w:hAnsi="Arial"/>
          <w:sz w:val="20"/>
          <w:szCs w:val="20"/>
          <w:color w:val="auto"/>
        </w:rPr>
        <w:t>Evergy's gross margin (GAAP) decreased $104.0 million for the three months ended September 30, 2023, compared to the same period in 2022 and Evergy's utility gross margin (non-GAAP) decreased $69.0 million for the three months ended September 30, 2023, compared to the same period in 2022, both measures were driven by:</w:t>
      </w:r>
    </w:p>
    <w:p>
      <w:pPr>
        <w:spacing w:after="0" w:line="65" w:lineRule="exact"/>
        <w:rPr>
          <w:sz w:val="20"/>
          <w:szCs w:val="20"/>
          <w:color w:val="auto"/>
        </w:rPr>
      </w:pPr>
    </w:p>
    <w:p>
      <w:pPr>
        <w:ind w:left="661" w:right="320" w:hanging="328"/>
        <w:spacing w:after="0" w:line="274" w:lineRule="auto"/>
        <w:tabs>
          <w:tab w:leader="none" w:pos="649" w:val="left"/>
        </w:tabs>
        <w:numPr>
          <w:ilvl w:val="0"/>
          <w:numId w:val="14"/>
        </w:numPr>
        <w:rPr>
          <w:rFonts w:ascii="Arial" w:cs="Arial" w:eastAsia="Arial" w:hAnsi="Arial"/>
          <w:sz w:val="20"/>
          <w:szCs w:val="20"/>
          <w:color w:val="auto"/>
        </w:rPr>
      </w:pPr>
      <w:r>
        <w:rPr>
          <w:rFonts w:ascii="Arial" w:cs="Arial" w:eastAsia="Arial" w:hAnsi="Arial"/>
          <w:sz w:val="20"/>
          <w:szCs w:val="20"/>
          <w:color w:val="auto"/>
        </w:rPr>
        <w:t>a $96.5 million decrease due to the deferral of revenues at Evergy Kansas Central in the third quarter of 2023 for future refund to customers of amounts previously collected from customers related to COLI rate credits;</w:t>
      </w:r>
    </w:p>
    <w:p>
      <w:pPr>
        <w:spacing w:after="0" w:line="55" w:lineRule="exact"/>
        <w:rPr>
          <w:rFonts w:ascii="Arial" w:cs="Arial" w:eastAsia="Arial" w:hAnsi="Arial"/>
          <w:sz w:val="20"/>
          <w:szCs w:val="20"/>
          <w:color w:val="auto"/>
        </w:rPr>
      </w:pPr>
    </w:p>
    <w:p>
      <w:pPr>
        <w:ind w:left="661" w:right="160" w:hanging="328"/>
        <w:spacing w:after="0" w:line="274" w:lineRule="auto"/>
        <w:tabs>
          <w:tab w:leader="none" w:pos="649"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 $18.0 million decrease primarily due to lower retail sales driven by unfavorable weather (cooling degree days decreased by 5%) and lower weather-normalized commercial and industrial demand;</w:t>
      </w:r>
    </w:p>
    <w:p>
      <w:pPr>
        <w:spacing w:after="0" w:line="55" w:lineRule="exact"/>
        <w:rPr>
          <w:rFonts w:ascii="Arial" w:cs="Arial" w:eastAsia="Arial" w:hAnsi="Arial"/>
          <w:sz w:val="20"/>
          <w:szCs w:val="20"/>
          <w:color w:val="auto"/>
        </w:rPr>
      </w:pPr>
    </w:p>
    <w:p>
      <w:pPr>
        <w:jc w:val="both"/>
        <w:ind w:left="661" w:right="420" w:hanging="328"/>
        <w:spacing w:after="0" w:line="387"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$17.1 million decrease due to mark-to-market losses related to forward contracts for natural gas and electricity entered into as economic hedges against fuel price volatility related to Evergy Kansas Central's non-regulated 8% ownership share of JEC; and</w:t>
      </w:r>
    </w:p>
    <w:p>
      <w:pPr>
        <w:ind w:left="661" w:right="180" w:hanging="328"/>
        <w:spacing w:after="0" w:line="260" w:lineRule="auto"/>
        <w:tabs>
          <w:tab w:leader="none" w:pos="649" w:val="left"/>
        </w:tabs>
        <w:numPr>
          <w:ilvl w:val="0"/>
          <w:numId w:val="14"/>
        </w:numPr>
        <w:rPr>
          <w:rFonts w:ascii="Arial" w:cs="Arial" w:eastAsia="Arial" w:hAnsi="Arial"/>
          <w:sz w:val="20"/>
          <w:szCs w:val="20"/>
          <w:color w:val="auto"/>
        </w:rPr>
      </w:pPr>
      <w:r>
        <w:rPr>
          <w:rFonts w:ascii="Arial" w:cs="Arial" w:eastAsia="Arial" w:hAnsi="Arial"/>
          <w:sz w:val="20"/>
          <w:szCs w:val="20"/>
          <w:color w:val="auto"/>
        </w:rPr>
        <w:t>a $3.8 million decrease in operating revenue related to non-regulated energy marketing activity at Evergy Kansas Central; partially offset by</w:t>
      </w:r>
    </w:p>
    <w:p>
      <w:pPr>
        <w:spacing w:after="0" w:line="82" w:lineRule="exact"/>
        <w:rPr>
          <w:rFonts w:ascii="Arial" w:cs="Arial" w:eastAsia="Arial" w:hAnsi="Arial"/>
          <w:sz w:val="20"/>
          <w:szCs w:val="20"/>
          <w:color w:val="auto"/>
        </w:rPr>
      </w:pPr>
    </w:p>
    <w:p>
      <w:pPr>
        <w:ind w:left="661" w:right="720" w:hanging="328"/>
        <w:spacing w:after="0" w:line="260" w:lineRule="auto"/>
        <w:tabs>
          <w:tab w:leader="none" w:pos="649" w:val="left"/>
        </w:tabs>
        <w:numPr>
          <w:ilvl w:val="0"/>
          <w:numId w:val="14"/>
        </w:numPr>
        <w:rPr>
          <w:rFonts w:ascii="Arial" w:cs="Arial" w:eastAsia="Arial" w:hAnsi="Arial"/>
          <w:sz w:val="20"/>
          <w:szCs w:val="20"/>
          <w:color w:val="auto"/>
        </w:rPr>
      </w:pPr>
      <w:r>
        <w:rPr>
          <w:rFonts w:ascii="Arial" w:cs="Arial" w:eastAsia="Arial" w:hAnsi="Arial"/>
          <w:sz w:val="20"/>
          <w:szCs w:val="20"/>
          <w:color w:val="auto"/>
        </w:rPr>
        <w:t>a $44.4 million increase due to the deferral of revenues in the third quarter of 2022 for the refund of amounts collected from customers since December 2018 for the return on investment of the retired Sibley Station; and</w:t>
      </w:r>
    </w:p>
    <w:p>
      <w:pPr>
        <w:spacing w:after="0" w:line="82" w:lineRule="exact"/>
        <w:rPr>
          <w:rFonts w:ascii="Arial" w:cs="Arial" w:eastAsia="Arial" w:hAnsi="Arial"/>
          <w:sz w:val="20"/>
          <w:szCs w:val="20"/>
          <w:color w:val="auto"/>
        </w:rPr>
      </w:pPr>
    </w:p>
    <w:p>
      <w:pPr>
        <w:ind w:left="641" w:hanging="308"/>
        <w:spacing w:after="0"/>
        <w:tabs>
          <w:tab w:leader="none" w:pos="641" w:val="left"/>
        </w:tabs>
        <w:numPr>
          <w:ilvl w:val="0"/>
          <w:numId w:val="14"/>
        </w:numPr>
        <w:rPr>
          <w:rFonts w:ascii="Arial" w:cs="Arial" w:eastAsia="Arial" w:hAnsi="Arial"/>
          <w:sz w:val="20"/>
          <w:szCs w:val="20"/>
          <w:color w:val="auto"/>
        </w:rPr>
      </w:pPr>
      <w:r>
        <w:rPr>
          <w:rFonts w:ascii="Arial" w:cs="Arial" w:eastAsia="Arial" w:hAnsi="Arial"/>
          <w:sz w:val="20"/>
          <w:szCs w:val="20"/>
          <w:color w:val="auto"/>
        </w:rPr>
        <w:t>a $22.0 million increase from new Evergy Metro and Evergy Missouri West retail rates effective in January 2023.</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1"/>
          </w:cols>
          <w:pgMar w:left="319" w:top="122" w:right="399" w:bottom="1440" w:gutter="0" w:footer="0" w:header="0"/>
        </w:sectPr>
      </w:pPr>
    </w:p>
    <w:bookmarkStart w:id="63" w:name="page64"/>
    <w:bookmarkEnd w:id="6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Additionally, the decrease in Evergy's gross margin (GAAP) was also driven by:</w:t>
      </w:r>
    </w:p>
    <w:p>
      <w:pPr>
        <w:spacing w:after="0" w:line="121"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$40.1 million increase in depreciation and amortization as further described below; partially offset by</w:t>
      </w:r>
    </w:p>
    <w:p>
      <w:pPr>
        <w:spacing w:after="0" w:line="107" w:lineRule="exact"/>
        <w:rPr>
          <w:rFonts w:ascii="Arial" w:cs="Arial" w:eastAsia="Arial" w:hAnsi="Arial"/>
          <w:sz w:val="20"/>
          <w:szCs w:val="20"/>
          <w:color w:val="auto"/>
        </w:rPr>
      </w:pPr>
    </w:p>
    <w:p>
      <w:pPr>
        <w:ind w:left="660" w:right="80" w:hanging="328"/>
        <w:spacing w:after="0" w:line="299"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$7.5 million decrease in operating and maintenance expenses which are determined to be directly attributable to revenue producing activities primarily driven by a $3.4 million decrease in plant operating and maintenance expense at Wolf Creek and a $1.8 million decrease in plant operating and maintenance expense at fossil-fuel generating units as further described below.</w:t>
      </w:r>
    </w:p>
    <w:p>
      <w:pPr>
        <w:spacing w:after="0" w:line="50"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Evergy's gross margin (GAAP) decreased $134.7 million year to date September 30, 2023, compared to the same period in 2022 and Evergy's utility gross margin (non-GAAP) decreased $60.5 million year to date September 30, 2023, compared to the same period in 2022, both measures were driven by:</w:t>
      </w:r>
    </w:p>
    <w:p>
      <w:pPr>
        <w:spacing w:after="0" w:line="85" w:lineRule="exact"/>
        <w:rPr>
          <w:sz w:val="20"/>
          <w:szCs w:val="20"/>
          <w:color w:val="auto"/>
        </w:rPr>
      </w:pPr>
    </w:p>
    <w:p>
      <w:pPr>
        <w:ind w:left="660" w:right="380" w:hanging="328"/>
        <w:spacing w:after="0" w:line="260"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$96.5 million decrease due to the deferral of revenues at Evergy Kansas Central in the third quarter of 2023 for future refund to customers of amounts previously collected from customers related to COLI rate credits;</w:t>
      </w:r>
    </w:p>
    <w:p>
      <w:pPr>
        <w:spacing w:after="0" w:line="82" w:lineRule="exact"/>
        <w:rPr>
          <w:rFonts w:ascii="Arial" w:cs="Arial" w:eastAsia="Arial" w:hAnsi="Arial"/>
          <w:sz w:val="20"/>
          <w:szCs w:val="20"/>
          <w:color w:val="auto"/>
        </w:rPr>
      </w:pPr>
    </w:p>
    <w:p>
      <w:pPr>
        <w:ind w:left="660" w:right="60" w:hanging="328"/>
        <w:spacing w:after="0" w:line="332"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$48.1 million decrease primarily due to lower retail sales driven by unfavorable weather (cooling degree days decreased by 7% and heating degree days decreased by 13%), partially offset by higher weather-normalized residential and commercial demand;</w:t>
      </w:r>
    </w:p>
    <w:p>
      <w:pPr>
        <w:spacing w:after="0" w:line="7" w:lineRule="exact"/>
        <w:rPr>
          <w:rFonts w:ascii="Arial" w:cs="Arial" w:eastAsia="Arial" w:hAnsi="Arial"/>
          <w:sz w:val="18"/>
          <w:szCs w:val="18"/>
          <w:color w:val="auto"/>
        </w:rPr>
      </w:pPr>
    </w:p>
    <w:p>
      <w:pPr>
        <w:jc w:val="both"/>
        <w:ind w:left="660" w:right="480" w:hanging="328"/>
        <w:spacing w:after="0" w:line="378" w:lineRule="auto"/>
        <w:tabs>
          <w:tab w:leader="none" w:pos="648"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$15.1 million decrease due to mark-to-market losses related to forward contracts for natural gas and electricity entered into as economic hedges against fuel price volatility related to Evergy Kansas Central's non-regulated 8% ownership share of JEC; and</w:t>
      </w:r>
    </w:p>
    <w:p>
      <w:pPr>
        <w:ind w:left="660" w:right="240" w:hanging="328"/>
        <w:spacing w:after="0" w:line="274"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$2.5 million decrease in operating revenue related to non-regulated energy marketing activity at Evergy Kansas Central; partially offset by</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$55.6 million increase from new Evergy Metro and Evergy Missouri West retail rates effective in January 2023;</w:t>
      </w:r>
    </w:p>
    <w:p>
      <w:pPr>
        <w:spacing w:after="0" w:line="107" w:lineRule="exact"/>
        <w:rPr>
          <w:rFonts w:ascii="Arial" w:cs="Arial" w:eastAsia="Arial" w:hAnsi="Arial"/>
          <w:sz w:val="20"/>
          <w:szCs w:val="20"/>
          <w:color w:val="auto"/>
        </w:rPr>
      </w:pPr>
    </w:p>
    <w:p>
      <w:pPr>
        <w:ind w:left="660" w:right="780" w:hanging="328"/>
        <w:spacing w:after="0" w:line="274"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$38.2 million increase due to the deferral of revenues in the third quarter of 2022 for the refund of amounts collected from customers since December 2018 for the return on investment of the retired Sibley Station; and</w:t>
      </w:r>
    </w:p>
    <w:p>
      <w:pPr>
        <w:spacing w:after="0" w:line="55" w:lineRule="exact"/>
        <w:rPr>
          <w:rFonts w:ascii="Arial" w:cs="Arial" w:eastAsia="Arial" w:hAnsi="Arial"/>
          <w:sz w:val="20"/>
          <w:szCs w:val="20"/>
          <w:color w:val="auto"/>
        </w:rPr>
      </w:pPr>
    </w:p>
    <w:p>
      <w:pPr>
        <w:ind w:left="660" w:right="440" w:hanging="328"/>
        <w:spacing w:after="0" w:line="274"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$7.9 million increase in transmission revenue primarily due to updated transmission costs reflected in Evergy Kansas Central's FERC TFR effective in January 2023 and revised in March 2023.</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Additionally, the decrease in Evergy's gross margin (GAAP) was also driven by:</w:t>
      </w:r>
    </w:p>
    <w:p>
      <w:pPr>
        <w:spacing w:after="0" w:line="121"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$111.8 million increase in depreciation and amortization as further described below; partially offset by</w:t>
      </w:r>
    </w:p>
    <w:p>
      <w:pPr>
        <w:spacing w:after="0" w:line="121" w:lineRule="exact"/>
        <w:rPr>
          <w:rFonts w:ascii="Arial" w:cs="Arial" w:eastAsia="Arial" w:hAnsi="Arial"/>
          <w:sz w:val="20"/>
          <w:szCs w:val="20"/>
          <w:color w:val="auto"/>
        </w:rPr>
      </w:pPr>
    </w:p>
    <w:p>
      <w:pPr>
        <w:ind w:left="660" w:right="100" w:hanging="328"/>
        <w:spacing w:after="0" w:line="268" w:lineRule="auto"/>
        <w:tabs>
          <w:tab w:leader="none" w:pos="648" w:val="left"/>
        </w:tabs>
        <w:numPr>
          <w:ilvl w:val="0"/>
          <w:numId w:val="17"/>
        </w:numPr>
        <w:rPr>
          <w:rFonts w:ascii="Arial" w:cs="Arial" w:eastAsia="Arial" w:hAnsi="Arial"/>
          <w:sz w:val="19"/>
          <w:szCs w:val="19"/>
          <w:color w:val="auto"/>
        </w:rPr>
      </w:pPr>
      <w:r>
        <w:rPr>
          <w:rFonts w:ascii="Arial" w:cs="Arial" w:eastAsia="Arial" w:hAnsi="Arial"/>
          <w:sz w:val="19"/>
          <w:szCs w:val="19"/>
          <w:color w:val="auto"/>
        </w:rPr>
        <w:t>a $40.6 million decrease in operating and maintenance expenses which are determined to be directly attributable to revenue producing activities primarily driven by a $15.5 million decrease in plant and operating and maintenance expense at fossil-fuel generating units, an $11.5 million decrease in transmission and distribution operating and maintenance expenses and a $10.3 million decrease in plant operating and maintenance expense at Wolf Creek as further described below.</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and Maintenance</w:t>
      </w:r>
    </w:p>
    <w:p>
      <w:pPr>
        <w:spacing w:after="0" w:line="26"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color w:val="auto"/>
        </w:rPr>
        <w:t>Evergy's operating and maintenance expense decreased $13.0 million for the three months ended September 30, 2023, compared to the same period in 2022, primarily driven by:</w:t>
      </w:r>
    </w:p>
    <w:p>
      <w:pPr>
        <w:spacing w:after="0" w:line="88" w:lineRule="exact"/>
        <w:rPr>
          <w:sz w:val="20"/>
          <w:szCs w:val="20"/>
          <w:color w:val="auto"/>
        </w:rPr>
      </w:pPr>
    </w:p>
    <w:p>
      <w:pPr>
        <w:ind w:left="660" w:right="140" w:hanging="328"/>
        <w:spacing w:after="0" w:line="26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$7.5 million decrease in various administrative and general operating and maintenance expenses primarily due to lower regulatory amortizations at Evergy Metro and Evergy Missouri West as a result of their 2022 rate cases; and</w:t>
      </w:r>
    </w:p>
    <w:p>
      <w:pPr>
        <w:spacing w:after="0" w:line="82" w:lineRule="exact"/>
        <w:rPr>
          <w:rFonts w:ascii="Arial" w:cs="Arial" w:eastAsia="Arial" w:hAnsi="Arial"/>
          <w:sz w:val="20"/>
          <w:szCs w:val="20"/>
          <w:color w:val="auto"/>
        </w:rPr>
      </w:pPr>
    </w:p>
    <w:p>
      <w:pPr>
        <w:ind w:left="660" w:right="540" w:hanging="328"/>
        <w:spacing w:after="0" w:line="257"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$3.4 million decrease in plant operating and maintenance expense at Wolf Creek at Evergy Kansas Central and Evergy Metro primarily due to lower refueling outage amortization in 2023 and lower labor expense in 2023 driven by an increase in labor capitalization and lower employee headcount.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420"/>
        <w:spacing w:after="0" w:line="274" w:lineRule="auto"/>
        <w:rPr>
          <w:sz w:val="20"/>
          <w:szCs w:val="20"/>
          <w:color w:val="auto"/>
        </w:rPr>
      </w:pPr>
      <w:r>
        <w:rPr>
          <w:rFonts w:ascii="Arial" w:cs="Arial" w:eastAsia="Arial" w:hAnsi="Arial"/>
          <w:sz w:val="20"/>
          <w:szCs w:val="20"/>
          <w:color w:val="auto"/>
        </w:rPr>
        <w:t>Evergy's operating and maintenance expense decreased $104.1 million year to date September 30, 2023, compared to the same period in 2022, primarily driven by:</w:t>
      </w:r>
    </w:p>
    <w:p>
      <w:pPr>
        <w:spacing w:after="0" w:line="55"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$25.7 million decrease in administrative labor and employee benefits expenses primarily due to lower employee headcount in 2023;</w:t>
      </w:r>
    </w:p>
    <w:p>
      <w:pPr>
        <w:spacing w:after="0" w:line="167" w:lineRule="exact"/>
        <w:rPr>
          <w:rFonts w:ascii="Arial" w:cs="Arial" w:eastAsia="Arial" w:hAnsi="Arial"/>
          <w:sz w:val="16"/>
          <w:szCs w:val="16"/>
          <w:color w:val="auto"/>
        </w:rPr>
      </w:pPr>
    </w:p>
    <w:p>
      <w:pPr>
        <w:ind w:left="660" w:right="20" w:hanging="328"/>
        <w:spacing w:after="0" w:line="26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$17.6 million decrease in various administrative and general operating and maintenance expenses primarily due to lower regulatory amortizations at Evergy Metro and Evergy Missouri West as a result of their 2022 rate cases;</w:t>
      </w:r>
    </w:p>
    <w:p>
      <w:pPr>
        <w:spacing w:after="0" w:line="82" w:lineRule="exact"/>
        <w:rPr>
          <w:rFonts w:ascii="Arial" w:cs="Arial" w:eastAsia="Arial" w:hAnsi="Arial"/>
          <w:sz w:val="20"/>
          <w:szCs w:val="20"/>
          <w:color w:val="auto"/>
        </w:rPr>
      </w:pPr>
    </w:p>
    <w:p>
      <w:pPr>
        <w:ind w:left="660" w:right="20" w:hanging="328"/>
        <w:spacing w:after="0" w:line="255"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$15.5 million decrease in plant operating and maintenance expense at fossil-fuel generating units primarily due to an $11.5 million decrease at Evergy Kansas Central driven by major maintenance outages at JEC in 2022 and a $2.0 million decrease at Evergy Metro driven by major maintenance outages at Iatan Station Unit 1 and La Cygne Unit 2 in 2022; partially offset by a major maintenance outage at Hawthorn Station in 2023;</w:t>
      </w:r>
    </w:p>
    <w:p>
      <w:pPr>
        <w:spacing w:after="0" w:line="75" w:lineRule="exact"/>
        <w:rPr>
          <w:rFonts w:ascii="Arial" w:cs="Arial" w:eastAsia="Arial" w:hAnsi="Arial"/>
          <w:sz w:val="20"/>
          <w:szCs w:val="20"/>
          <w:color w:val="auto"/>
        </w:rPr>
      </w:pPr>
    </w:p>
    <w:p>
      <w:pPr>
        <w:ind w:left="660" w:right="60" w:hanging="328"/>
        <w:spacing w:after="0" w:line="264"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an $11.6 million decrease in transmission and distribution operating and maintenance expenses driven by a $15.8 million decrease in labor expense primarily due to an increase in labor capitalization and lower employee headcount; partially offset by $5.4 million of costs primarily at Evergy Metro incurred from storms that occurred in July 2023;</w:t>
      </w:r>
    </w:p>
    <w:p>
      <w:pPr>
        <w:spacing w:after="0" w:line="64" w:lineRule="exact"/>
        <w:rPr>
          <w:rFonts w:ascii="Arial" w:cs="Arial" w:eastAsia="Arial" w:hAnsi="Arial"/>
          <w:sz w:val="20"/>
          <w:szCs w:val="20"/>
          <w:color w:val="auto"/>
        </w:rPr>
      </w:pPr>
    </w:p>
    <w:p>
      <w:pPr>
        <w:ind w:left="660" w:right="420" w:hanging="328"/>
        <w:spacing w:after="0" w:line="257"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$10.3 million decrease in plant operating and maintenance expense at Wolf Creek at Evergy Kansas Central and Evergy Metro primarily due to lower refueling outage amortization in 2023 and lower labor expense in 2023 driven by an increase in labor capitalization and lower employee headcount; and</w:t>
      </w:r>
    </w:p>
    <w:p>
      <w:pPr>
        <w:spacing w:after="0" w:line="84"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$3.1 million of advisor expenses incurred in 2022 associated with strategic planning; partially offset by</w:t>
      </w:r>
    </w:p>
    <w:p>
      <w:pPr>
        <w:spacing w:after="0" w:line="121" w:lineRule="exact"/>
        <w:rPr>
          <w:rFonts w:ascii="Arial" w:cs="Arial" w:eastAsia="Arial" w:hAnsi="Arial"/>
          <w:sz w:val="20"/>
          <w:szCs w:val="20"/>
          <w:color w:val="auto"/>
        </w:rPr>
      </w:pPr>
    </w:p>
    <w:p>
      <w:pPr>
        <w:ind w:left="660" w:right="180" w:hanging="328"/>
        <w:spacing w:after="0" w:line="26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$3.7 million increase due to a lower annual refund of nuclear insurance premiums received by Evergy Kansas Central and Evergy Metro in 2023 related to their ownership interest in Wolf Creek.</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Depreciation and Amortization</w:t>
      </w:r>
    </w:p>
    <w:p>
      <w:pPr>
        <w:spacing w:after="0" w:line="22"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Evergy's depreciation and amortization increased $40.1 million for the three months ended September 30, 2023, compared to the same period in 2022, primarily driven by:</w:t>
      </w:r>
    </w:p>
    <w:p>
      <w:pPr>
        <w:spacing w:after="0" w:line="70" w:lineRule="exact"/>
        <w:rPr>
          <w:sz w:val="20"/>
          <w:szCs w:val="20"/>
          <w:color w:val="auto"/>
        </w:rPr>
      </w:pPr>
    </w:p>
    <w:p>
      <w:pPr>
        <w:jc w:val="both"/>
        <w:ind w:left="660" w:right="560" w:hanging="328"/>
        <w:spacing w:after="0" w:line="387" w:lineRule="auto"/>
        <w:tabs>
          <w:tab w:leader="none" w:pos="648"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$17.0 million increase primarily due to a change in depreciation rates and the rebasing of plant-in-service-accounting (PISA) depreciation deferrals as a result of Evergy Metro's and Evergy Missouri West's 2022 rate cases effective in January 2023; and</w:t>
      </w:r>
    </w:p>
    <w:p>
      <w:pPr>
        <w:ind w:left="640" w:hanging="308"/>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$23.1 million increase primarily due to capital additions.</w:t>
      </w:r>
    </w:p>
    <w:p>
      <w:pPr>
        <w:spacing w:after="0" w:line="108" w:lineRule="exact"/>
        <w:rPr>
          <w:sz w:val="20"/>
          <w:szCs w:val="20"/>
          <w:color w:val="auto"/>
        </w:rPr>
      </w:pPr>
    </w:p>
    <w:p>
      <w:pPr>
        <w:ind w:right="440"/>
        <w:spacing w:after="0" w:line="274" w:lineRule="auto"/>
        <w:rPr>
          <w:sz w:val="20"/>
          <w:szCs w:val="20"/>
          <w:color w:val="auto"/>
        </w:rPr>
      </w:pPr>
      <w:r>
        <w:rPr>
          <w:rFonts w:ascii="Arial" w:cs="Arial" w:eastAsia="Arial" w:hAnsi="Arial"/>
          <w:sz w:val="20"/>
          <w:szCs w:val="20"/>
          <w:color w:val="auto"/>
        </w:rPr>
        <w:t>Evergy's depreciation and amortization increased $111.8 million year to date September 30, 2023, compared to the same period in 2022, primarily driven by:</w:t>
      </w:r>
    </w:p>
    <w:p>
      <w:pPr>
        <w:spacing w:after="0" w:line="55" w:lineRule="exact"/>
        <w:rPr>
          <w:sz w:val="20"/>
          <w:szCs w:val="20"/>
          <w:color w:val="auto"/>
        </w:rPr>
      </w:pPr>
    </w:p>
    <w:p>
      <w:pPr>
        <w:ind w:left="660" w:right="80" w:hanging="328"/>
        <w:spacing w:after="0" w:line="274"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$54.7 million increase primarily due to a change in depreciation rates and the rebasing of PISA depreciation deferrals as a result of Evergy Metro's and Evergy Missouri West's 2022 rate cases effective in January 2023; and</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$57.1 million increase primarily due to capital additions.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26" w:lineRule="exact"/>
        <w:rPr>
          <w:sz w:val="20"/>
          <w:szCs w:val="20"/>
          <w:color w:val="auto"/>
        </w:rPr>
      </w:pPr>
    </w:p>
    <w:p>
      <w:pPr>
        <w:ind w:right="300"/>
        <w:spacing w:after="0" w:line="253" w:lineRule="auto"/>
        <w:rPr>
          <w:sz w:val="20"/>
          <w:szCs w:val="20"/>
          <w:color w:val="auto"/>
        </w:rPr>
      </w:pPr>
      <w:r>
        <w:rPr>
          <w:rFonts w:ascii="Arial" w:cs="Arial" w:eastAsia="Arial" w:hAnsi="Arial"/>
          <w:sz w:val="20"/>
          <w:szCs w:val="20"/>
          <w:color w:val="auto"/>
        </w:rPr>
        <w:t>Evergy's other income, net increased $10.1 million for the three months ended September 30, 2023, compared to the same period in 2022, primarily driven by:</w:t>
      </w:r>
    </w:p>
    <w:p>
      <w:pPr>
        <w:spacing w:after="0" w:line="88"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$17.0 million increase due to recording higher Evergy Kansas Central COLI benefits in 2023; and</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$3.7 million decrease in pension non-service costs; partially offset by</w:t>
      </w:r>
    </w:p>
    <w:p>
      <w:pPr>
        <w:spacing w:after="0" w:line="107" w:lineRule="exact"/>
        <w:rPr>
          <w:rFonts w:ascii="Arial" w:cs="Arial" w:eastAsia="Arial" w:hAnsi="Arial"/>
          <w:sz w:val="20"/>
          <w:szCs w:val="20"/>
          <w:color w:val="auto"/>
        </w:rPr>
      </w:pPr>
    </w:p>
    <w:p>
      <w:pPr>
        <w:ind w:left="660" w:right="160" w:hanging="328"/>
        <w:spacing w:after="0" w:line="257"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$15.0 million of carrying charges recorded by Evergy Missouri West in the third quarter of 2022 associated with its regulatory asset for fuel and purchased power costs related to the February 2021 winter weather event, driven by an MPSC order allowing for their recovery as part of Evergy Missouri West's securitization financing request.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5" w:name="page66"/>
    <w:bookmarkEnd w:id="6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color w:val="auto"/>
        </w:rPr>
        <w:t>Evergy's other expense, net year to date September 30, 2022 became other income, net year to date September 30, 2023 as a result of a $42.6 million increase in net other income items, primarily driven by:</w:t>
      </w:r>
    </w:p>
    <w:p>
      <w:pPr>
        <w:spacing w:after="0" w:line="55"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$24.8 million increase due to recording higher Evergy Kansas Central COLI benefits in 2023; and</w:t>
      </w:r>
    </w:p>
    <w:p>
      <w:pPr>
        <w:spacing w:after="0" w:line="121" w:lineRule="exact"/>
        <w:rPr>
          <w:rFonts w:ascii="Arial" w:cs="Arial" w:eastAsia="Arial" w:hAnsi="Arial"/>
          <w:sz w:val="20"/>
          <w:szCs w:val="20"/>
          <w:color w:val="auto"/>
        </w:rPr>
      </w:pPr>
    </w:p>
    <w:p>
      <w:pPr>
        <w:ind w:left="660" w:right="180" w:hanging="328"/>
        <w:spacing w:after="0" w:line="255" w:lineRule="auto"/>
        <w:tabs>
          <w:tab w:leader="none" w:pos="648"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$19.4 million increase due to higher investment earnings primarily driven by a $16.3 million loss related to Evergy's equity investment in an early-stage energy solutions company that was sold in March 2022 through a share forward agreement which was completed in June 2022 and a $6.4 million increase due to net unrealized losses becoming net unrealized gains in Evergy Kansas Central's rabbi trust; partially offset by</w:t>
      </w:r>
    </w:p>
    <w:p>
      <w:pPr>
        <w:spacing w:after="0" w:line="75" w:lineRule="exact"/>
        <w:rPr>
          <w:rFonts w:ascii="Arial" w:cs="Arial" w:eastAsia="Arial" w:hAnsi="Arial"/>
          <w:sz w:val="20"/>
          <w:szCs w:val="20"/>
          <w:color w:val="auto"/>
        </w:rPr>
      </w:pPr>
    </w:p>
    <w:p>
      <w:pPr>
        <w:ind w:left="660" w:right="560" w:hanging="328"/>
        <w:spacing w:after="0" w:line="274" w:lineRule="auto"/>
        <w:tabs>
          <w:tab w:leader="none" w:pos="648" w:val="left"/>
        </w:tabs>
        <w:numPr>
          <w:ilvl w:val="0"/>
          <w:numId w:val="23"/>
        </w:numPr>
        <w:rPr>
          <w:rFonts w:ascii="Arial" w:cs="Arial" w:eastAsia="Arial" w:hAnsi="Arial"/>
          <w:sz w:val="20"/>
          <w:szCs w:val="20"/>
          <w:color w:val="auto"/>
        </w:rPr>
      </w:pPr>
      <w:r>
        <w:rPr>
          <w:rFonts w:ascii="Arial" w:cs="Arial" w:eastAsia="Arial" w:hAnsi="Arial"/>
          <w:sz w:val="20"/>
          <w:szCs w:val="20"/>
          <w:color w:val="auto"/>
        </w:rPr>
        <w:t>$11.7 million of lower equity allowance for funds used during construction (AFUDC) primarily at Evergy Kansas Central and Evergy Metro primarily driven by higher short-term debt balances in 2023.</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26" w:lineRule="exact"/>
        <w:rPr>
          <w:sz w:val="20"/>
          <w:szCs w:val="20"/>
          <w:color w:val="auto"/>
        </w:rPr>
      </w:pPr>
    </w:p>
    <w:p>
      <w:pPr>
        <w:ind w:right="380"/>
        <w:spacing w:after="0" w:line="267" w:lineRule="auto"/>
        <w:rPr>
          <w:sz w:val="20"/>
          <w:szCs w:val="20"/>
          <w:color w:val="auto"/>
        </w:rPr>
      </w:pPr>
      <w:r>
        <w:rPr>
          <w:rFonts w:ascii="Arial" w:cs="Arial" w:eastAsia="Arial" w:hAnsi="Arial"/>
          <w:sz w:val="20"/>
          <w:szCs w:val="20"/>
          <w:color w:val="auto"/>
        </w:rPr>
        <w:t>Evergy's interest expense increased $34.5 million for the three months ended September 30, 2023, compared to the same period in 2022, primarily driven by:</w:t>
      </w:r>
    </w:p>
    <w:p>
      <w:pPr>
        <w:spacing w:after="0" w:line="61" w:lineRule="exact"/>
        <w:rPr>
          <w:sz w:val="20"/>
          <w:szCs w:val="20"/>
          <w:color w:val="auto"/>
        </w:rPr>
      </w:pPr>
    </w:p>
    <w:p>
      <w:pPr>
        <w:ind w:left="660" w:hanging="328"/>
        <w:spacing w:after="0" w:line="274"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$22.6 million increase in interest expense on short-term borrowings primarily due to higher short-term debt balances and weighted-average interest rates in 2023;</w:t>
      </w:r>
    </w:p>
    <w:p>
      <w:pPr>
        <w:spacing w:after="0" w:line="55" w:lineRule="exact"/>
        <w:rPr>
          <w:rFonts w:ascii="Arial" w:cs="Arial" w:eastAsia="Arial" w:hAnsi="Arial"/>
          <w:sz w:val="20"/>
          <w:szCs w:val="20"/>
          <w:color w:val="auto"/>
        </w:rPr>
      </w:pPr>
    </w:p>
    <w:p>
      <w:pPr>
        <w:ind w:left="640" w:hanging="308"/>
        <w:spacing w:after="0"/>
        <w:tabs>
          <w:tab w:leader="none" w:pos="6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 $5.7 million increase due to the issuance of Evergy Kansas Central's $400.0 million of 5.70% FMBs in March 2023; and</w:t>
      </w:r>
    </w:p>
    <w:p>
      <w:pPr>
        <w:spacing w:after="0" w:line="132" w:lineRule="exact"/>
        <w:rPr>
          <w:rFonts w:ascii="Arial" w:cs="Arial" w:eastAsia="Arial" w:hAnsi="Arial"/>
          <w:sz w:val="19"/>
          <w:szCs w:val="19"/>
          <w:color w:val="auto"/>
        </w:rPr>
      </w:pPr>
    </w:p>
    <w:p>
      <w:pPr>
        <w:ind w:left="640" w:hanging="308"/>
        <w:spacing w:after="0"/>
        <w:tabs>
          <w:tab w:leader="none" w:pos="6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 $3.9 million increase due to the issuance of Evergy Missouri West's $300.0 million of 5.15% FMBs in December 2022.</w:t>
      </w:r>
    </w:p>
    <w:p>
      <w:pPr>
        <w:spacing w:after="0" w:line="133"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Evergy's interest expense increased $100.2 million year to date September 30, 2023, compared to the same period in 2022, primarily driven by:</w:t>
      </w:r>
    </w:p>
    <w:p>
      <w:pPr>
        <w:spacing w:after="0" w:line="190" w:lineRule="exact"/>
        <w:rPr>
          <w:sz w:val="20"/>
          <w:szCs w:val="20"/>
          <w:color w:val="auto"/>
        </w:rPr>
      </w:pPr>
    </w:p>
    <w:p>
      <w:pPr>
        <w:ind w:left="660" w:hanging="328"/>
        <w:spacing w:after="0" w:line="260"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$76.9 million increase in interest expense on short-term borrowings primarily due to higher short-term debt balances and weighted-average interest rates in 2023;</w:t>
      </w:r>
    </w:p>
    <w:p>
      <w:pPr>
        <w:spacing w:after="0" w:line="82"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 $12.5 million increase due to the issuance of Evergy Kansas Central's $400.0 million of 5.70% FMBs in March 2023; and</w:t>
      </w:r>
    </w:p>
    <w:p>
      <w:pPr>
        <w:spacing w:after="0" w:line="119" w:lineRule="exact"/>
        <w:rPr>
          <w:rFonts w:ascii="Arial" w:cs="Arial" w:eastAsia="Arial" w:hAnsi="Arial"/>
          <w:sz w:val="19"/>
          <w:szCs w:val="19"/>
          <w:color w:val="auto"/>
        </w:rPr>
      </w:pPr>
    </w:p>
    <w:p>
      <w:pPr>
        <w:ind w:left="640" w:hanging="308"/>
        <w:spacing w:after="0"/>
        <w:tabs>
          <w:tab w:leader="none" w:pos="6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an $11.6 million increase due to the issuance of Evergy Missouri West's $300.0 million of 5.15% FMBs in December 2022.</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Expense</w:t>
      </w:r>
    </w:p>
    <w:p>
      <w:pPr>
        <w:spacing w:after="0" w:line="26"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Evergy's income tax expense decreased $40.7 million for the three months ended September 30, 2023, compared to the same period in 2022, primarily driven by:</w:t>
      </w:r>
    </w:p>
    <w:p>
      <w:pPr>
        <w:spacing w:after="0" w:line="88" w:lineRule="exact"/>
        <w:rPr>
          <w:sz w:val="20"/>
          <w:szCs w:val="20"/>
          <w:color w:val="auto"/>
        </w:rPr>
      </w:pPr>
    </w:p>
    <w:p>
      <w:pPr>
        <w:ind w:left="660" w:right="440" w:hanging="328"/>
        <w:spacing w:after="0" w:line="260"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$25.8 million decrease primarily due to Evergy Metro and Evergy Kansas Central lower pre-tax income in the third quarter of 2023;</w:t>
      </w:r>
    </w:p>
    <w:p>
      <w:pPr>
        <w:spacing w:after="0" w:line="82" w:lineRule="exact"/>
        <w:rPr>
          <w:rFonts w:ascii="Arial" w:cs="Arial" w:eastAsia="Arial" w:hAnsi="Arial"/>
          <w:sz w:val="20"/>
          <w:szCs w:val="20"/>
          <w:color w:val="auto"/>
        </w:rPr>
      </w:pPr>
    </w:p>
    <w:p>
      <w:pPr>
        <w:ind w:left="660" w:right="460" w:hanging="328"/>
        <w:spacing w:after="0" w:line="274"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$9.3 million decrease primarily due to higher amortization of excess deferred income taxes authorized by Evergy Metro's and Evergy Missouri West's 2022 rate case; and</w:t>
      </w:r>
    </w:p>
    <w:p>
      <w:pPr>
        <w:spacing w:after="0" w:line="55" w:lineRule="exact"/>
        <w:rPr>
          <w:rFonts w:ascii="Arial" w:cs="Arial" w:eastAsia="Arial" w:hAnsi="Arial"/>
          <w:sz w:val="20"/>
          <w:szCs w:val="20"/>
          <w:color w:val="auto"/>
        </w:rPr>
      </w:pPr>
    </w:p>
    <w:p>
      <w:pPr>
        <w:ind w:left="660" w:right="60" w:hanging="328"/>
        <w:spacing w:after="0" w:line="274"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 $8.6 million decrease due to higher wind and other income tax credits in the third quarter of 2023 driven by the acquisition of the Persimmon Creek wind farm.</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6" w:name="page67"/>
    <w:bookmarkEnd w:id="6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520"/>
        <w:spacing w:after="0" w:line="274" w:lineRule="auto"/>
        <w:rPr>
          <w:sz w:val="20"/>
          <w:szCs w:val="20"/>
          <w:color w:val="auto"/>
        </w:rPr>
      </w:pPr>
      <w:r>
        <w:rPr>
          <w:rFonts w:ascii="Arial" w:cs="Arial" w:eastAsia="Arial" w:hAnsi="Arial"/>
          <w:sz w:val="20"/>
          <w:szCs w:val="20"/>
          <w:color w:val="auto"/>
        </w:rPr>
        <w:t>Evergy's income tax expense decreased $51.1 million year to date September 30, 2023, compared to the same period in 2022, primarily driven by:</w:t>
      </w:r>
    </w:p>
    <w:p>
      <w:pPr>
        <w:spacing w:after="0" w:line="55"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$27.1 million decrease primarily due to lower Evergy Metro and Evergy Kansas Central pre-tax income in 2023;</w:t>
      </w:r>
    </w:p>
    <w:p>
      <w:pPr>
        <w:spacing w:after="0" w:line="121" w:lineRule="exact"/>
        <w:rPr>
          <w:rFonts w:ascii="Arial" w:cs="Arial" w:eastAsia="Arial" w:hAnsi="Arial"/>
          <w:sz w:val="20"/>
          <w:szCs w:val="20"/>
          <w:color w:val="auto"/>
        </w:rPr>
      </w:pPr>
    </w:p>
    <w:p>
      <w:pPr>
        <w:ind w:left="660" w:right="420" w:hanging="328"/>
        <w:spacing w:after="0" w:line="260"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$13.5 million decrease primarily due to higher amortization of excess deferred income taxes authorized by Evergy Metro's and Evergy Missouri West's 2022 rate case; and</w:t>
      </w:r>
    </w:p>
    <w:p>
      <w:pPr>
        <w:spacing w:after="0" w:line="82" w:lineRule="exact"/>
        <w:rPr>
          <w:rFonts w:ascii="Arial" w:cs="Arial" w:eastAsia="Arial" w:hAnsi="Arial"/>
          <w:sz w:val="20"/>
          <w:szCs w:val="20"/>
          <w:color w:val="auto"/>
        </w:rPr>
      </w:pPr>
    </w:p>
    <w:p>
      <w:pPr>
        <w:ind w:left="660" w:right="880" w:hanging="328"/>
        <w:spacing w:after="0" w:line="274"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$13.5 million decrease primarily due to higher wind and other income tax credits in 2023 driven by the acquisition of the Persimmon Creek wind farm.</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LIQUIDITY AND CAPITAL RESOURCES</w:t>
      </w:r>
    </w:p>
    <w:p>
      <w:pPr>
        <w:spacing w:after="0" w:line="235"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Evergy relies primarily upon cash from operations, short-term borrowings, long-term debt and equity issuances and its existing cash and cash equivalents to fund its capital requirements. Evergy's capital requirements primarily consist of capital expenditures, payment of contractual obligations and other commitments, and the payment of dividends to shareholders. See the Evergy Companies' combined 2022 Form 10-K for more information on Evergy's sources and uses of cash.</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Short-Term Borrowings</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As of September 30, 2023, Evergy had $819.9 million of available borrowing capacity under its master credit facility. The available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borrowing capacity under the master credit facility consisted of $186.4 million for Evergy, Inc., $188.8 million for Evergy Kansas Central,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$318.2 million for Evergy Metro and $126.5 million for Evergy Missouri West. The Evergy Companies' borrowing capacity under the master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also supports their issuance of commercial paper. See Note 7 to the consolidated financial statements for more information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regarding the master credit facility.</w:t>
      </w:r>
    </w:p>
    <w:p>
      <w:pPr>
        <w:spacing w:after="0" w:line="21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 February 2022, Evergy, Inc. entered into a $500.0 million unsecured Term Loan Facility that originally expired in February 2023. In February 2023, Evergy, Inc. amended the $500.0 million Term Loan Facility to extend the expiration date to February 2024. As a result of the amendment, Evergy, Inc. demonstrated its intent and ability to refinance the Term Loan Facility and reflected this $500.0 million borrowing within long-term debt, net, on Evergy's consolidated balance sheet as of December 31, 2022. As of September 30, 2023, Evergy had borrowed $500.0 million under the Term Loan Facility that is reflected within notes payable and commercial paper on Evergy's consolidated balance sheet. Evergy's borrowings under the Term Loan Facility were used for, among other things, working capital, capital expenditures and general corporate purposes.</w:t>
      </w:r>
    </w:p>
    <w:p>
      <w:pPr>
        <w:spacing w:after="0" w:line="200"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Along with cash flows from operations and receivable sales facilities, Evergy generally uses borrowings under its master credit facility and the issuance of commercial paper to meet its day-to-day cash flow requirements. Evergy may also utilize these short-term borrowings to repay maturing long-term debt until the long-term debt is able to be refinanced. Evergy believes that its existing cash on hand and available borrowing capacity under its master credit facility provide sufficient liquidity for its existing capital requirements.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Debt Issuances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See Note 8 to the consolidated financial statements for information regarding significant debt issuances.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Pensions</w:t>
      </w:r>
    </w:p>
    <w:p>
      <w:pPr>
        <w:spacing w:after="0" w:line="26"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color w:val="auto"/>
        </w:rPr>
        <w:t xml:space="preserve">Year to date September 30, 2023, Evergy made pension contributions of $27.0 million. </w:t>
      </w:r>
      <w:r>
        <w:rPr>
          <w:rFonts w:ascii="Arial" w:cs="Arial" w:eastAsia="Arial" w:hAnsi="Arial"/>
          <w:sz w:val="20"/>
          <w:szCs w:val="20"/>
          <w:color w:val="202122"/>
        </w:rPr>
        <w:t>Evergy, Evergy Kansas Central and Evergy Metro do</w:t>
      </w:r>
      <w:r>
        <w:rPr>
          <w:rFonts w:ascii="Arial" w:cs="Arial" w:eastAsia="Arial" w:hAnsi="Arial"/>
          <w:sz w:val="20"/>
          <w:szCs w:val="20"/>
          <w:color w:val="auto"/>
        </w:rPr>
        <w:t xml:space="preserve"> </w:t>
      </w:r>
      <w:r>
        <w:rPr>
          <w:rFonts w:ascii="Arial" w:cs="Arial" w:eastAsia="Arial" w:hAnsi="Arial"/>
          <w:sz w:val="20"/>
          <w:szCs w:val="20"/>
          <w:color w:val="202122"/>
        </w:rPr>
        <w:t xml:space="preserve">not expect to make additional pension contributions in </w:t>
      </w:r>
      <w:r>
        <w:rPr>
          <w:rFonts w:ascii="Arial" w:cs="Arial" w:eastAsia="Arial" w:hAnsi="Arial"/>
          <w:sz w:val="20"/>
          <w:szCs w:val="20"/>
          <w:color w:val="000000"/>
        </w:rPr>
        <w:t>2023</w:t>
      </w:r>
      <w:r>
        <w:rPr>
          <w:rFonts w:ascii="Arial" w:cs="Arial" w:eastAsia="Arial" w:hAnsi="Arial"/>
          <w:sz w:val="20"/>
          <w:szCs w:val="20"/>
          <w:color w:val="202122"/>
        </w:rPr>
        <w:t xml:space="preserve">. </w:t>
      </w:r>
      <w:r>
        <w:rPr>
          <w:rFonts w:ascii="Arial" w:cs="Arial" w:eastAsia="Arial" w:hAnsi="Arial"/>
          <w:sz w:val="20"/>
          <w:szCs w:val="20"/>
          <w:color w:val="000000"/>
        </w:rPr>
        <w:t>Also in 2023, Evergy expects to make additional post-retirement benefit</w:t>
      </w:r>
      <w:r>
        <w:rPr>
          <w:rFonts w:ascii="Arial" w:cs="Arial" w:eastAsia="Arial" w:hAnsi="Arial"/>
          <w:sz w:val="20"/>
          <w:szCs w:val="20"/>
          <w:color w:val="202122"/>
        </w:rPr>
        <w:t xml:space="preserve"> </w:t>
      </w:r>
      <w:r>
        <w:rPr>
          <w:rFonts w:ascii="Arial" w:cs="Arial" w:eastAsia="Arial" w:hAnsi="Arial"/>
          <w:sz w:val="20"/>
          <w:szCs w:val="20"/>
          <w:color w:val="000000"/>
        </w:rPr>
        <w:t>contributions of $1.1 million. See Note 6 to the consolidated financial statements for additional information on Evergy's pension and post-retirement plans.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Covenants</w:t>
      </w:r>
    </w:p>
    <w:p>
      <w:pPr>
        <w:spacing w:after="0" w:line="26" w:lineRule="exact"/>
        <w:rPr>
          <w:sz w:val="20"/>
          <w:szCs w:val="20"/>
          <w:color w:val="auto"/>
        </w:rPr>
      </w:pPr>
    </w:p>
    <w:p>
      <w:pPr>
        <w:ind w:right="200"/>
        <w:spacing w:after="0" w:line="253" w:lineRule="auto"/>
        <w:rPr>
          <w:sz w:val="20"/>
          <w:szCs w:val="20"/>
          <w:color w:val="auto"/>
        </w:rPr>
      </w:pPr>
      <w:r>
        <w:rPr>
          <w:rFonts w:ascii="Arial" w:cs="Arial" w:eastAsia="Arial" w:hAnsi="Arial"/>
          <w:sz w:val="20"/>
          <w:szCs w:val="20"/>
          <w:color w:val="auto"/>
        </w:rPr>
        <w:t>As of September 30, 2023, Evergy was in compliance with all debt covenants under the master credit facility, the Term Loan Facility and certain debt instruments that contain restrictions that require the maintenance of certain capitalization and leverage ratios. See Note 7 to the consolidated financial statements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Evergy's cash flows from operating, investing and financing activities.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5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3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07"/>
        </w:trPr>
        <w:tc>
          <w:tcPr>
            <w:tcW w:w="57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17"/>
                <w:szCs w:val="17"/>
                <w:color w:val="auto"/>
              </w:rPr>
            </w:pPr>
          </w:p>
        </w:tc>
      </w:tr>
      <w:tr>
        <w:trPr>
          <w:trHeight w:val="23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1,551.7</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1,477.7</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3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(1,791.9)</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(1,625.1)</w:t>
            </w:r>
          </w:p>
        </w:tc>
      </w:tr>
      <w:tr>
        <w:trPr>
          <w:trHeight w:val="237"/>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Operating Activities</w:t>
      </w:r>
    </w:p>
    <w:p>
      <w:pPr>
        <w:spacing w:after="0" w:line="16" w:lineRule="exact"/>
        <w:rPr>
          <w:sz w:val="20"/>
          <w:szCs w:val="20"/>
          <w:color w:val="auto"/>
        </w:rPr>
      </w:pPr>
    </w:p>
    <w:p>
      <w:pPr>
        <w:ind w:right="40"/>
        <w:spacing w:after="0" w:line="284" w:lineRule="auto"/>
        <w:rPr>
          <w:sz w:val="20"/>
          <w:szCs w:val="20"/>
          <w:color w:val="auto"/>
        </w:rPr>
      </w:pPr>
      <w:r>
        <w:rPr>
          <w:rFonts w:ascii="Arial" w:cs="Arial" w:eastAsia="Arial" w:hAnsi="Arial"/>
          <w:sz w:val="19"/>
          <w:szCs w:val="19"/>
          <w:color w:val="auto"/>
        </w:rPr>
        <w:t>Evergy's cash flows from operating activities increased $74.0 million year to date September 30, 2023, compared to the same period in 2022, primarily driven by an $85.3 million increase in fuel recovery mechanism net collections, primarily at Evergy Missouri West.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used in Investing Activities</w:t>
      </w:r>
    </w:p>
    <w:p>
      <w:pPr>
        <w:spacing w:after="0" w:line="16" w:lineRule="exact"/>
        <w:rPr>
          <w:sz w:val="20"/>
          <w:szCs w:val="20"/>
          <w:color w:val="auto"/>
        </w:rPr>
      </w:pPr>
    </w:p>
    <w:p>
      <w:pPr>
        <w:ind w:right="280"/>
        <w:spacing w:after="0" w:line="258" w:lineRule="auto"/>
        <w:rPr>
          <w:sz w:val="20"/>
          <w:szCs w:val="20"/>
          <w:color w:val="auto"/>
        </w:rPr>
      </w:pPr>
      <w:r>
        <w:rPr>
          <w:rFonts w:ascii="Arial" w:cs="Arial" w:eastAsia="Arial" w:hAnsi="Arial"/>
          <w:sz w:val="20"/>
          <w:szCs w:val="20"/>
          <w:color w:val="auto"/>
        </w:rPr>
        <w:t>Evergy's cash flows used in investing activities increased $166.8 million year to date September 30, 2023, compared to the same period in 2022, primarily driven by:</w:t>
      </w:r>
    </w:p>
    <w:p>
      <w:pPr>
        <w:spacing w:after="0" w:line="70"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acquisition of Persimmon Creek Wind Farm for $217.9 million, net of cash acquired, in 2023; partially offset by</w:t>
      </w:r>
    </w:p>
    <w:p>
      <w:pPr>
        <w:spacing w:after="0" w:line="121" w:lineRule="exact"/>
        <w:rPr>
          <w:rFonts w:ascii="Arial" w:cs="Arial" w:eastAsia="Arial" w:hAnsi="Arial"/>
          <w:sz w:val="20"/>
          <w:szCs w:val="20"/>
          <w:color w:val="auto"/>
        </w:rPr>
      </w:pPr>
    </w:p>
    <w:p>
      <w:pPr>
        <w:ind w:left="660" w:right="440" w:hanging="328"/>
        <w:spacing w:after="0" w:line="274"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color w:val="auto"/>
        </w:rPr>
        <w:t>a $114.8 million increase in proceeds from COLI investments, primarily from Evergy Kansas Central due to a higher number of policy settlements in 2023.</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Financing Activities</w:t>
      </w:r>
    </w:p>
    <w:p>
      <w:pPr>
        <w:spacing w:after="0" w:line="16" w:lineRule="exact"/>
        <w:rPr>
          <w:sz w:val="20"/>
          <w:szCs w:val="20"/>
          <w:color w:val="auto"/>
        </w:rPr>
      </w:pPr>
    </w:p>
    <w:p>
      <w:pPr>
        <w:ind w:right="440"/>
        <w:spacing w:after="0" w:line="244" w:lineRule="auto"/>
        <w:rPr>
          <w:sz w:val="20"/>
          <w:szCs w:val="20"/>
          <w:color w:val="auto"/>
        </w:rPr>
      </w:pPr>
      <w:r>
        <w:rPr>
          <w:rFonts w:ascii="Arial" w:cs="Arial" w:eastAsia="Arial" w:hAnsi="Arial"/>
          <w:sz w:val="20"/>
          <w:szCs w:val="20"/>
          <w:color w:val="auto"/>
        </w:rPr>
        <w:t>Evergy's cash flows from financing activities increased $110.1 million year to date September 30, 2023, compared to the same period in 2022, primarily driven by:</w:t>
      </w:r>
    </w:p>
    <w:p>
      <w:pPr>
        <w:spacing w:after="0" w:line="97" w:lineRule="exact"/>
        <w:rPr>
          <w:sz w:val="20"/>
          <w:szCs w:val="20"/>
          <w:color w:val="auto"/>
        </w:rPr>
      </w:pPr>
    </w:p>
    <w:p>
      <w:pPr>
        <w:ind w:left="660" w:right="320" w:hanging="328"/>
        <w:spacing w:after="0" w:line="277" w:lineRule="auto"/>
        <w:tabs>
          <w:tab w:leader="none" w:pos="648" w:val="left"/>
        </w:tabs>
        <w:numPr>
          <w:ilvl w:val="0"/>
          <w:numId w:val="29"/>
        </w:numPr>
        <w:rPr>
          <w:rFonts w:ascii="Arial" w:cs="Arial" w:eastAsia="Arial" w:hAnsi="Arial"/>
          <w:sz w:val="19"/>
          <w:szCs w:val="19"/>
          <w:color w:val="auto"/>
        </w:rPr>
      </w:pPr>
      <w:r>
        <w:rPr>
          <w:rFonts w:ascii="Arial" w:cs="Arial" w:eastAsia="Arial" w:hAnsi="Arial"/>
          <w:sz w:val="19"/>
          <w:szCs w:val="19"/>
          <w:color w:val="auto"/>
        </w:rPr>
        <w:t>a $443.4 million increase in proceeds from long-term debt due to Evergy Kansas Central's issuance of $400.0 million of 5.70% FMBs in March 2023 and Evergy Metro’s issuance of $300.0 million of 4.95% Mortgage Bonds in April 2023; partially offset by Evergy Missouri West's issuance of $250.0 million of 3.75% FMBs in March 2022; partially offset by</w:t>
      </w:r>
    </w:p>
    <w:p>
      <w:pPr>
        <w:spacing w:after="0" w:line="66" w:lineRule="exact"/>
        <w:rPr>
          <w:rFonts w:ascii="Arial" w:cs="Arial" w:eastAsia="Arial" w:hAnsi="Arial"/>
          <w:sz w:val="19"/>
          <w:szCs w:val="19"/>
          <w:color w:val="auto"/>
        </w:rPr>
      </w:pPr>
    </w:p>
    <w:p>
      <w:pPr>
        <w:ind w:left="660" w:right="120" w:hanging="328"/>
        <w:spacing w:after="0" w:line="277" w:lineRule="auto"/>
        <w:tabs>
          <w:tab w:leader="none" w:pos="648" w:val="left"/>
        </w:tabs>
        <w:numPr>
          <w:ilvl w:val="0"/>
          <w:numId w:val="29"/>
        </w:numPr>
        <w:rPr>
          <w:rFonts w:ascii="Arial" w:cs="Arial" w:eastAsia="Arial" w:hAnsi="Arial"/>
          <w:sz w:val="19"/>
          <w:szCs w:val="19"/>
          <w:color w:val="auto"/>
        </w:rPr>
      </w:pPr>
      <w:r>
        <w:rPr>
          <w:rFonts w:ascii="Arial" w:cs="Arial" w:eastAsia="Arial" w:hAnsi="Arial"/>
          <w:sz w:val="19"/>
          <w:szCs w:val="19"/>
          <w:color w:val="auto"/>
        </w:rPr>
        <w:t>a $218.2 million decrease in short-term debt borrowings primarily due to Evergy Kansas Central's repayment of commercial paper borrowings with the proceeds from its issuance of $400.0 million of 5.70% FMBs in March 2023; partially offset by Evergy Kansas South's repayment of $50.0 million of 6.15% FMBs in May 2023 with commercial paper borrowings; and</w:t>
      </w:r>
    </w:p>
    <w:p>
      <w:pPr>
        <w:spacing w:after="0" w:line="66" w:lineRule="exact"/>
        <w:rPr>
          <w:rFonts w:ascii="Arial" w:cs="Arial" w:eastAsia="Arial" w:hAnsi="Arial"/>
          <w:sz w:val="19"/>
          <w:szCs w:val="19"/>
          <w:color w:val="auto"/>
        </w:rPr>
      </w:pPr>
    </w:p>
    <w:p>
      <w:pPr>
        <w:ind w:left="660" w:right="60" w:hanging="328"/>
        <w:spacing w:after="0" w:line="260"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 $88.6 million increase in the repayment of borrowings against the cash surrender value of COLI primarily due to a higher number of policy settlements in 2023.</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EVERGY KANSAS CENTRAL,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NARRATIVE ANALYSIS OF RESULTS OF OPERATIONS</w:t>
      </w:r>
    </w:p>
    <w:p>
      <w:pPr>
        <w:spacing w:after="0" w:line="222" w:lineRule="exact"/>
        <w:rPr>
          <w:sz w:val="20"/>
          <w:szCs w:val="20"/>
          <w:color w:val="auto"/>
        </w:rPr>
      </w:pPr>
    </w:p>
    <w:p>
      <w:pPr>
        <w:ind w:right="220"/>
        <w:spacing w:after="0" w:line="274" w:lineRule="auto"/>
        <w:rPr>
          <w:sz w:val="20"/>
          <w:szCs w:val="20"/>
          <w:color w:val="auto"/>
        </w:rPr>
      </w:pPr>
      <w:r>
        <w:rPr>
          <w:rFonts w:ascii="Arial" w:cs="Arial" w:eastAsia="Arial" w:hAnsi="Arial"/>
          <w:sz w:val="20"/>
          <w:szCs w:val="20"/>
          <w:color w:val="auto"/>
        </w:rPr>
        <w:t>The below results of operations and related discussion for Evergy Kansas Central is presented in a reduced disclosure format in accordance with General Instruction (H)(2)(a) to Form 10-Q.</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Kansas Central's comparative results of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2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6"/>
              </w:rPr>
              <w:t>Change</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r>
      <w:tr>
        <w:trPr>
          <w:trHeight w:val="220"/>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11"/>
              <w:spacing w:after="0"/>
              <w:rPr>
                <w:sz w:val="20"/>
                <w:szCs w:val="20"/>
                <w:color w:val="auto"/>
              </w:rPr>
            </w:pPr>
            <w:r>
              <w:rPr>
                <w:rFonts w:ascii="Arial" w:cs="Arial" w:eastAsia="Arial" w:hAnsi="Arial"/>
                <w:sz w:val="16"/>
                <w:szCs w:val="16"/>
                <w:color w:val="auto"/>
              </w:rPr>
              <w:t>(millions)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2"/>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2,091.5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(267.8)</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2,359.3</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470.5</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(158.7)</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629.2</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232.0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347.1</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(55.2)</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402.3</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386.0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24.1</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165.1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r>
      <w:tr>
        <w:trPr>
          <w:trHeight w:val="223"/>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490.8</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(70.0)</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28.0</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163.3</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31.6</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(19.9)</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equity method investees, net of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(0.5)</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77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327.6</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(54.2)</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381.8</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9.2</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Evergy Kansas Central, Inc.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318.4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(54.2)</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ind w:left="1"/>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Evergy Kansas Central Gross Margin (GAAP) and Utility Gross Margin (non-GAAP)</w:t>
      </w:r>
    </w:p>
    <w:p>
      <w:pPr>
        <w:spacing w:after="0" w:line="26" w:lineRule="exact"/>
        <w:rPr>
          <w:sz w:val="20"/>
          <w:szCs w:val="20"/>
          <w:color w:val="auto"/>
        </w:rPr>
      </w:pPr>
    </w:p>
    <w:p>
      <w:pPr>
        <w:ind w:left="1" w:right="220"/>
        <w:spacing w:after="0" w:line="272" w:lineRule="auto"/>
        <w:rPr>
          <w:sz w:val="20"/>
          <w:szCs w:val="20"/>
          <w:color w:val="auto"/>
        </w:rPr>
      </w:pPr>
      <w:r>
        <w:rPr>
          <w:rFonts w:ascii="Arial" w:cs="Arial" w:eastAsia="Arial" w:hAnsi="Arial"/>
          <w:sz w:val="19"/>
          <w:szCs w:val="19"/>
          <w:color w:val="auto"/>
        </w:rPr>
        <w:t>The following table summarizes Evergy Kansas Central's gross margin (GAAP) and MWhs sold and reconciles Evergy Kansas Central's gross margin (GAAP) to Evergy Kansas Central's utility gross margin (non-GAAP). See "Executive Summary - Non-GAAP Measures" for additional information regarding gross margin (GAAP) and utility gross margin (non-GAAP).</w:t>
      </w:r>
    </w:p>
    <w:p>
      <w:pPr>
        <w:spacing w:after="0" w:line="84" w:lineRule="exact"/>
        <w:rPr>
          <w:sz w:val="20"/>
          <w:szCs w:val="20"/>
          <w:color w:val="auto"/>
        </w:rPr>
      </w:pPr>
    </w:p>
    <w:tbl>
      <w:tblPr>
        <w:tblLayout w:type="fixed"/>
        <w:tblInd w:w="1" w:type="dxa"/>
        <w:tblCellMar>
          <w:top w:w="0" w:type="dxa"/>
          <w:left w:w="0" w:type="dxa"/>
          <w:bottom w:w="0" w:type="dxa"/>
          <w:right w:w="0" w:type="dxa"/>
        </w:tblCellMar>
      </w:tblPr>
      <w:tr>
        <w:trPr>
          <w:trHeight w:val="252"/>
        </w:trPr>
        <w:tc>
          <w:tcPr>
            <w:tcW w:w="40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5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Revenues and Expenses</w:t>
            </w:r>
          </w:p>
        </w:tc>
        <w:tc>
          <w:tcPr>
            <w:tcW w:w="7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2"/>
              </w:rPr>
              <w:t>MWhs Sold</w:t>
            </w:r>
          </w:p>
        </w:tc>
        <w:tc>
          <w:tcPr>
            <w:tcW w:w="960" w:type="dxa"/>
            <w:vAlign w:val="bottom"/>
            <w:tcBorders>
              <w:top w:val="single" w:sz="8" w:color="auto"/>
            </w:tcBorders>
          </w:tcPr>
          <w:p>
            <w:pPr>
              <w:spacing w:after="0"/>
              <w:rPr>
                <w:sz w:val="21"/>
                <w:szCs w:val="21"/>
                <w:color w:val="auto"/>
              </w:rPr>
            </w:pPr>
          </w:p>
        </w:tc>
      </w:tr>
      <w:tr>
        <w:trPr>
          <w:trHeight w:val="234"/>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Change</w:t>
            </w: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2022</w:t>
            </w: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4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7"/>
              </w:rPr>
              <w:t>Change</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6"/>
                <w:szCs w:val="16"/>
                <w:color w:val="auto"/>
              </w:rPr>
              <w:t>(millions)</w:t>
            </w: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jc w:val="center"/>
              <w:ind w:right="91"/>
              <w:spacing w:after="0"/>
              <w:rPr>
                <w:sz w:val="20"/>
                <w:szCs w:val="20"/>
                <w:color w:val="auto"/>
              </w:rPr>
            </w:pPr>
            <w:r>
              <w:rPr>
                <w:rFonts w:ascii="Arial" w:cs="Arial" w:eastAsia="Arial" w:hAnsi="Arial"/>
                <w:sz w:val="16"/>
                <w:szCs w:val="16"/>
                <w:color w:val="auto"/>
                <w:w w:val="87"/>
              </w:rPr>
              <w:t>(thousands)</w:t>
            </w:r>
          </w:p>
        </w:tc>
        <w:tc>
          <w:tcPr>
            <w:tcW w:w="960" w:type="dxa"/>
            <w:vAlign w:val="bottom"/>
          </w:tcPr>
          <w:p>
            <w:pPr>
              <w:spacing w:after="0"/>
              <w:rPr>
                <w:sz w:val="19"/>
                <w:szCs w:val="19"/>
                <w:color w:val="auto"/>
              </w:rPr>
            </w:pPr>
          </w:p>
        </w:tc>
      </w:tr>
      <w:tr>
        <w:trPr>
          <w:trHeight w:val="229"/>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647.3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(114.7)</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5,276</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555.3</w:t>
            </w:r>
          </w:p>
        </w:tc>
        <w:tc>
          <w:tcPr>
            <w:tcW w:w="2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(70.6)</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625.9</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5,683</w:t>
            </w:r>
          </w:p>
        </w:tc>
        <w:tc>
          <w:tcPr>
            <w:tcW w:w="1400" w:type="dxa"/>
            <w:vAlign w:val="bottom"/>
          </w:tcPr>
          <w:p>
            <w:pPr>
              <w:jc w:val="center"/>
              <w:ind w:left="411"/>
              <w:spacing w:after="0"/>
              <w:rPr>
                <w:sz w:val="20"/>
                <w:szCs w:val="20"/>
                <w:color w:val="auto"/>
              </w:rPr>
            </w:pPr>
            <w:r>
              <w:rPr>
                <w:rFonts w:ascii="Arial" w:cs="Arial" w:eastAsia="Arial" w:hAnsi="Arial"/>
                <w:sz w:val="18"/>
                <w:szCs w:val="18"/>
                <w:color w:val="auto"/>
                <w:w w:val="89"/>
              </w:rPr>
              <w:t>68</w:t>
            </w:r>
          </w:p>
        </w:tc>
        <w:tc>
          <w:tcPr>
            <w:tcW w:w="960" w:type="dxa"/>
            <w:vAlign w:val="bottom"/>
          </w:tcPr>
          <w:p>
            <w:pPr>
              <w:jc w:val="right"/>
              <w:spacing w:after="0"/>
              <w:rPr>
                <w:sz w:val="20"/>
                <w:szCs w:val="20"/>
                <w:color w:val="auto"/>
              </w:rPr>
            </w:pPr>
            <w:r>
              <w:rPr>
                <w:rFonts w:ascii="Arial" w:cs="Arial" w:eastAsia="Arial" w:hAnsi="Arial"/>
                <w:sz w:val="18"/>
                <w:szCs w:val="18"/>
                <w:color w:val="auto"/>
              </w:rPr>
              <w:t>5,615</w:t>
            </w:r>
          </w:p>
        </w:tc>
      </w:tr>
      <w:tr>
        <w:trPr>
          <w:trHeight w:val="229"/>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300.1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(46.6)</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4,070</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(229)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w:t>
            </w:r>
          </w:p>
        </w:tc>
      </w:tr>
      <w:tr>
        <w:trPr>
          <w:trHeight w:val="230"/>
        </w:trPr>
        <w:tc>
          <w:tcPr>
            <w:tcW w:w="4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retail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12.5</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(0.7)</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30</w:t>
            </w:r>
          </w:p>
        </w:tc>
        <w:tc>
          <w:tcPr>
            <w:tcW w:w="1400" w:type="dxa"/>
            <w:vAlign w:val="bottom"/>
            <w:tcBorders>
              <w:bottom w:val="single" w:sz="8" w:color="auto"/>
            </w:tcBorders>
          </w:tcPr>
          <w:p>
            <w:pPr>
              <w:jc w:val="center"/>
              <w:ind w:left="41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1,515.2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(232.6)</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1,747.8</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15,059</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(372)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15,431</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232.7</w:t>
            </w:r>
          </w:p>
        </w:tc>
        <w:tc>
          <w:tcPr>
            <w:tcW w:w="2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(55.7)</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288.4</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7,567</w:t>
            </w:r>
          </w:p>
        </w:tc>
        <w:tc>
          <w:tcPr>
            <w:tcW w:w="1400" w:type="dxa"/>
            <w:vAlign w:val="bottom"/>
          </w:tcPr>
          <w:p>
            <w:pPr>
              <w:jc w:val="right"/>
              <w:ind w:right="211"/>
              <w:spacing w:after="0"/>
              <w:rPr>
                <w:sz w:val="20"/>
                <w:szCs w:val="20"/>
                <w:color w:val="auto"/>
              </w:rPr>
            </w:pPr>
            <w:r>
              <w:rPr>
                <w:rFonts w:ascii="Arial" w:cs="Arial" w:eastAsia="Arial" w:hAnsi="Arial"/>
                <w:sz w:val="18"/>
                <w:szCs w:val="18"/>
                <w:color w:val="auto"/>
              </w:rPr>
              <w:t>(1,088)</w:t>
            </w:r>
          </w:p>
        </w:tc>
        <w:tc>
          <w:tcPr>
            <w:tcW w:w="960" w:type="dxa"/>
            <w:vAlign w:val="bottom"/>
          </w:tcPr>
          <w:p>
            <w:pPr>
              <w:jc w:val="right"/>
              <w:spacing w:after="0"/>
              <w:rPr>
                <w:sz w:val="20"/>
                <w:szCs w:val="20"/>
                <w:color w:val="auto"/>
              </w:rPr>
            </w:pPr>
            <w:r>
              <w:rPr>
                <w:rFonts w:ascii="Arial" w:cs="Arial" w:eastAsia="Arial" w:hAnsi="Arial"/>
                <w:sz w:val="18"/>
                <w:szCs w:val="18"/>
                <w:color w:val="auto"/>
              </w:rPr>
              <w:t>8,655</w:t>
            </w: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294.8</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25.0</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CEEFF"/>
          </w:tcPr>
          <w:p>
            <w:pPr>
              <w:jc w:val="center"/>
              <w:ind w:left="411"/>
              <w:spacing w:after="0"/>
              <w:rPr>
                <w:sz w:val="20"/>
                <w:szCs w:val="20"/>
                <w:color w:val="auto"/>
              </w:rPr>
            </w:pPr>
            <w:r>
              <w:rPr>
                <w:rFonts w:ascii="Arial" w:cs="Arial" w:eastAsia="Arial" w:hAnsi="Arial"/>
                <w:sz w:val="18"/>
                <w:szCs w:val="18"/>
                <w:color w:val="auto"/>
                <w:w w:val="99"/>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48.8</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N/A</w:t>
            </w:r>
          </w:p>
        </w:tc>
        <w:tc>
          <w:tcPr>
            <w:tcW w:w="1400" w:type="dxa"/>
            <w:vAlign w:val="bottom"/>
            <w:tcBorders>
              <w:bottom w:val="single" w:sz="8" w:color="auto"/>
            </w:tcBorders>
          </w:tcPr>
          <w:p>
            <w:pPr>
              <w:jc w:val="center"/>
              <w:ind w:left="411"/>
              <w:spacing w:after="0"/>
              <w:rPr>
                <w:sz w:val="20"/>
                <w:szCs w:val="20"/>
                <w:color w:val="auto"/>
              </w:rPr>
            </w:pPr>
            <w:r>
              <w:rPr>
                <w:rFonts w:ascii="Arial" w:cs="Arial" w:eastAsia="Arial" w:hAnsi="Arial"/>
                <w:sz w:val="18"/>
                <w:szCs w:val="18"/>
                <w:color w:val="auto"/>
                <w:w w:val="99"/>
              </w:rPr>
              <w:t>N/A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2,091.5</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(267.8)</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2,359.3</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22,626</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(1,460)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24,086</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(470.5)</w:t>
            </w:r>
          </w:p>
        </w:tc>
        <w:tc>
          <w:tcPr>
            <w:tcW w:w="28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158.7</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(629.2)</w:t>
            </w: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(232.0)</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9.8</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Operating and maintenance </w:t>
            </w:r>
            <w:r>
              <w:rPr>
                <w:rFonts w:ascii="Arial" w:cs="Arial" w:eastAsia="Arial" w:hAnsi="Arial"/>
                <w:sz w:val="23"/>
                <w:szCs w:val="23"/>
                <w:color w:val="auto"/>
                <w:vertAlign w:val="superscript"/>
              </w:rPr>
              <w:t>(a)</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(171.6)</w:t>
            </w:r>
          </w:p>
        </w:tc>
        <w:tc>
          <w:tcPr>
            <w:tcW w:w="28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28.9</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(200.5)</w:t>
            </w: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(386.0)</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(165.1)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3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 (GAAP)</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666.3</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(96.3)</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762.6</w:t>
            </w:r>
          </w:p>
        </w:tc>
        <w:tc>
          <w:tcPr>
            <w:tcW w:w="1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Operating and maintenance </w:t>
            </w:r>
            <w:r>
              <w:rPr>
                <w:rFonts w:ascii="Arial" w:cs="Arial" w:eastAsia="Arial" w:hAnsi="Arial"/>
                <w:sz w:val="23"/>
                <w:szCs w:val="23"/>
                <w:color w:val="auto"/>
                <w:vertAlign w:val="superscript"/>
              </w:rPr>
              <w:t>(a)</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171.6</w:t>
            </w:r>
          </w:p>
        </w:tc>
        <w:tc>
          <w:tcPr>
            <w:tcW w:w="2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(28.9)</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200.5</w:t>
            </w: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386.0</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24.1</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165.1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3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30"/>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Utility gross margin (non-GAAP)</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1,389.0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(99.3)</w:t>
            </w:r>
          </w:p>
        </w:tc>
        <w:tc>
          <w:tcPr>
            <w:tcW w:w="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1,488.3</w:t>
            </w:r>
          </w:p>
        </w:tc>
        <w:tc>
          <w:tcPr>
            <w:tcW w:w="13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r>
    </w:tbl>
    <w:p>
      <w:pPr>
        <w:spacing w:after="0" w:line="4" w:lineRule="exact"/>
        <w:rPr>
          <w:sz w:val="20"/>
          <w:szCs w:val="20"/>
          <w:color w:val="auto"/>
        </w:rPr>
      </w:pPr>
    </w:p>
    <w:p>
      <w:pPr>
        <w:ind w:left="161" w:right="200" w:hanging="161"/>
        <w:spacing w:after="0" w:line="257" w:lineRule="auto"/>
        <w:tabs>
          <w:tab w:leader="none" w:pos="142" w:val="left"/>
        </w:tabs>
        <w:numPr>
          <w:ilvl w:val="0"/>
          <w:numId w:val="30"/>
        </w:numPr>
        <w:rPr>
          <w:rFonts w:ascii="Arial" w:cs="Arial" w:eastAsia="Arial" w:hAnsi="Arial"/>
          <w:sz w:val="17"/>
          <w:szCs w:val="17"/>
          <w:color w:val="auto"/>
          <w:vertAlign w:val="superscript"/>
        </w:rPr>
      </w:pPr>
      <w:r>
        <w:rPr>
          <w:rFonts w:ascii="Arial" w:cs="Arial" w:eastAsia="Arial" w:hAnsi="Arial"/>
          <w:sz w:val="13"/>
          <w:szCs w:val="13"/>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$175.5 million and $201.8 million year to date September 30, 2023 and 2022, respectively.</w:t>
      </w:r>
    </w:p>
    <w:p>
      <w:pPr>
        <w:spacing w:after="0" w:line="355" w:lineRule="exact"/>
        <w:rPr>
          <w:sz w:val="20"/>
          <w:szCs w:val="20"/>
          <w:color w:val="auto"/>
        </w:rPr>
      </w:pPr>
    </w:p>
    <w:p>
      <w:pPr>
        <w:ind w:left="1" w:right="160"/>
        <w:spacing w:after="0" w:line="257" w:lineRule="auto"/>
        <w:rPr>
          <w:sz w:val="20"/>
          <w:szCs w:val="20"/>
          <w:color w:val="auto"/>
        </w:rPr>
      </w:pPr>
      <w:r>
        <w:rPr>
          <w:rFonts w:ascii="Arial" w:cs="Arial" w:eastAsia="Arial" w:hAnsi="Arial"/>
          <w:sz w:val="20"/>
          <w:szCs w:val="20"/>
          <w:color w:val="auto"/>
        </w:rPr>
        <w:t>Evergy Kansas Central's gross margin (GAAP) decreased $96.3 million year to date September 30, 2023, compared to the same period in 2022, and Evergy Kansas Central's utility gross margin (non-GAAP) decreased $99.3 million year to date September 30, 2023, compared to the same period in 2022, both measures were driven by:</w:t>
      </w:r>
    </w:p>
    <w:p>
      <w:pPr>
        <w:spacing w:after="0" w:line="85" w:lineRule="exact"/>
        <w:rPr>
          <w:sz w:val="20"/>
          <w:szCs w:val="20"/>
          <w:color w:val="auto"/>
        </w:rPr>
      </w:pPr>
    </w:p>
    <w:p>
      <w:pPr>
        <w:ind w:left="661" w:right="660" w:hanging="328"/>
        <w:spacing w:after="0" w:line="260" w:lineRule="auto"/>
        <w:tabs>
          <w:tab w:leader="none" w:pos="649"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$96.5 million decrease due to the deferral of revenues in the third quarter of 2023 for future refund to customers of amounts previously collected from customers related to COLI rate credits;</w:t>
      </w:r>
    </w:p>
    <w:p>
      <w:pPr>
        <w:spacing w:after="0" w:line="82" w:lineRule="exact"/>
        <w:rPr>
          <w:rFonts w:ascii="Arial" w:cs="Arial" w:eastAsia="Arial" w:hAnsi="Arial"/>
          <w:sz w:val="20"/>
          <w:szCs w:val="20"/>
          <w:color w:val="auto"/>
        </w:rPr>
      </w:pPr>
    </w:p>
    <w:p>
      <w:pPr>
        <w:jc w:val="both"/>
        <w:ind w:left="661" w:right="480" w:hanging="328"/>
        <w:spacing w:after="0" w:line="378"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$15.1 million decrease due to mark-to-market losses related to forward contracts for natural gas and electricity entered into as economic hedges against fuel price volatility related to Evergy Kansas Central's non-regulated 8% ownership share of JEC; and</w:t>
      </w:r>
    </w:p>
    <w:p>
      <w:pPr>
        <w:ind w:left="661" w:right="60" w:hanging="328"/>
        <w:spacing w:after="0" w:line="301" w:lineRule="auto"/>
        <w:tabs>
          <w:tab w:leader="none" w:pos="649" w:val="left"/>
        </w:tabs>
        <w:numPr>
          <w:ilvl w:val="0"/>
          <w:numId w:val="31"/>
        </w:numPr>
        <w:rPr>
          <w:rFonts w:ascii="Arial" w:cs="Arial" w:eastAsia="Arial" w:hAnsi="Arial"/>
          <w:sz w:val="19"/>
          <w:szCs w:val="19"/>
          <w:color w:val="auto"/>
        </w:rPr>
      </w:pPr>
      <w:r>
        <w:rPr>
          <w:rFonts w:ascii="Arial" w:cs="Arial" w:eastAsia="Arial" w:hAnsi="Arial"/>
          <w:sz w:val="19"/>
          <w:szCs w:val="19"/>
          <w:color w:val="auto"/>
        </w:rPr>
        <w:t>a $12.7 million decrease primarily due to lower retail sales driven by unfavorable weather (cooling degree days decreased by 4% and heating degree days decreased by 13%); partially offset by higher weather-normalized demand; partially offset by</w:t>
      </w:r>
    </w:p>
    <w:p>
      <w:pPr>
        <w:spacing w:after="0" w:line="32" w:lineRule="exact"/>
        <w:rPr>
          <w:rFonts w:ascii="Arial" w:cs="Arial" w:eastAsia="Arial" w:hAnsi="Arial"/>
          <w:sz w:val="19"/>
          <w:szCs w:val="19"/>
          <w:color w:val="auto"/>
        </w:rPr>
      </w:pPr>
    </w:p>
    <w:p>
      <w:pPr>
        <w:ind w:left="661" w:right="340" w:hanging="328"/>
        <w:spacing w:after="0" w:line="274" w:lineRule="auto"/>
        <w:tabs>
          <w:tab w:leader="none" w:pos="649"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$25.0 million increase in transmission revenue primarily due to updated transmission costs reflected in Evergy Kansas Central's FERC TFR effective in January 2023 and revised in March 2023.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1"/>
          </w:cols>
          <w:pgMar w:left="319" w:top="122" w:right="339" w:bottom="1440" w:gutter="0" w:footer="0" w:header="0"/>
        </w:sectPr>
      </w:pPr>
    </w:p>
    <w:bookmarkStart w:id="70" w:name="page71"/>
    <w:bookmarkEnd w:id="7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Additionally, the decrease in Evergy Kansas Central's gross margin (GAAP) was also driven by:</w:t>
      </w:r>
    </w:p>
    <w:p>
      <w:pPr>
        <w:spacing w:after="0" w:line="121" w:lineRule="exact"/>
        <w:rPr>
          <w:sz w:val="20"/>
          <w:szCs w:val="20"/>
          <w:color w:val="auto"/>
        </w:rPr>
      </w:pPr>
    </w:p>
    <w:p>
      <w:pPr>
        <w:ind w:left="660" w:right="300" w:hanging="328"/>
        <w:spacing w:after="0" w:line="288"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$28.9 million decrease in operating and maintenance expenses which are determined to be directly attributable to revenue producing activities primarily driven by an $11.5 million decrease in operating and maintenance expense at fossil-fuel generating units, a $7.3 million decrease in transmission and distribution operating and maintenance expenses and a $4.9 million decrease in operating and maintenance expense at Wolf Creek as described further below; partially offset by</w:t>
      </w:r>
    </w:p>
    <w:p>
      <w:pPr>
        <w:spacing w:after="0" w:line="59" w:lineRule="exact"/>
        <w:rPr>
          <w:rFonts w:ascii="Arial" w:cs="Arial" w:eastAsia="Arial" w:hAnsi="Arial"/>
          <w:sz w:val="18"/>
          <w:szCs w:val="18"/>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$24.1 million increase in depreciation and amortization expense as described further below.</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Operating and Maintenance</w:t>
      </w:r>
    </w:p>
    <w:p>
      <w:pPr>
        <w:spacing w:after="0" w:line="22"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Evergy Kansas Central's operating and maintenance expense decreased $55.2 million year to date September 30, 2023, compared to the same period in 2022, primarily driven by:</w:t>
      </w:r>
    </w:p>
    <w:p>
      <w:pPr>
        <w:spacing w:after="0" w:line="70" w:lineRule="exact"/>
        <w:rPr>
          <w:sz w:val="20"/>
          <w:szCs w:val="20"/>
          <w:color w:val="auto"/>
        </w:rPr>
      </w:pPr>
    </w:p>
    <w:p>
      <w:pPr>
        <w:ind w:left="660" w:right="420" w:hanging="328"/>
        <w:spacing w:after="0" w:line="274" w:lineRule="auto"/>
        <w:tabs>
          <w:tab w:leader="none" w:pos="648"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 $11.5 million decrease in plant operating and maintenance expense at fossil-fuel generating units primarily driven by a major maintenance outage at JEC in 2022;</w:t>
      </w:r>
    </w:p>
    <w:p>
      <w:pPr>
        <w:spacing w:after="0" w:line="68" w:lineRule="exact"/>
        <w:rPr>
          <w:rFonts w:ascii="Arial" w:cs="Arial" w:eastAsia="Arial" w:hAnsi="Arial"/>
          <w:sz w:val="20"/>
          <w:szCs w:val="20"/>
          <w:color w:val="auto"/>
        </w:rPr>
      </w:pPr>
    </w:p>
    <w:p>
      <w:pPr>
        <w:ind w:left="660" w:right="380" w:hanging="328"/>
        <w:spacing w:after="0" w:line="260" w:lineRule="auto"/>
        <w:tabs>
          <w:tab w:leader="none" w:pos="648"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 $11.0 million decrease in administrative labor and employee benefits expenses primarily due to lower employee headcount in 2023;</w:t>
      </w:r>
    </w:p>
    <w:p>
      <w:pPr>
        <w:spacing w:after="0" w:line="82" w:lineRule="exact"/>
        <w:rPr>
          <w:rFonts w:ascii="Arial" w:cs="Arial" w:eastAsia="Arial" w:hAnsi="Arial"/>
          <w:sz w:val="20"/>
          <w:szCs w:val="20"/>
          <w:color w:val="auto"/>
        </w:rPr>
      </w:pPr>
    </w:p>
    <w:p>
      <w:pPr>
        <w:ind w:left="660" w:right="320" w:hanging="328"/>
        <w:spacing w:after="0" w:line="257" w:lineRule="auto"/>
        <w:tabs>
          <w:tab w:leader="none" w:pos="648"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$7.6 million decrease in various transmission and distribution operating and maintenance expenses primarily due to lower labor costs driven by an increase in labor capitalization and lower employee headcount, partially offset by a $3.4 million increase in vegetation management costs;</w:t>
      </w:r>
    </w:p>
    <w:p>
      <w:pPr>
        <w:spacing w:after="0" w:line="84" w:lineRule="exact"/>
        <w:rPr>
          <w:rFonts w:ascii="Arial" w:cs="Arial" w:eastAsia="Arial" w:hAnsi="Arial"/>
          <w:sz w:val="20"/>
          <w:szCs w:val="20"/>
          <w:color w:val="auto"/>
        </w:rPr>
      </w:pPr>
    </w:p>
    <w:p>
      <w:pPr>
        <w:ind w:left="660" w:right="100" w:hanging="328"/>
        <w:spacing w:after="0" w:line="378" w:lineRule="auto"/>
        <w:tabs>
          <w:tab w:leader="none" w:pos="648"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$4.9 million decrease in plant operating and maintenance expense at Wolf Creek primarily due to lower refueling outage amortization in 2023 and lower labor costs in 2023 driven by an increase in labor capitalization and lower employee headcount; and</w:t>
      </w: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$4.9 million decrease in injuries and damages expense primarily due to settled litigation in 2023; partially offset by</w:t>
      </w:r>
    </w:p>
    <w:p>
      <w:pPr>
        <w:spacing w:after="0" w:line="107" w:lineRule="exact"/>
        <w:rPr>
          <w:rFonts w:ascii="Arial" w:cs="Arial" w:eastAsia="Arial" w:hAnsi="Arial"/>
          <w:sz w:val="20"/>
          <w:szCs w:val="20"/>
          <w:color w:val="auto"/>
        </w:rPr>
      </w:pPr>
    </w:p>
    <w:p>
      <w:pPr>
        <w:ind w:left="660" w:right="160" w:hanging="328"/>
        <w:spacing w:after="0" w:line="274" w:lineRule="auto"/>
        <w:tabs>
          <w:tab w:leader="none" w:pos="648"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$1.9 million increase in operating and maintenance expense due to a lower annual refund of nuclear insurance premiums received in 2023 related to Evergy Kansas Central's ownership interest in Wolf Creek.</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Depreciation and Amortization</w:t>
      </w:r>
    </w:p>
    <w:p>
      <w:pPr>
        <w:spacing w:after="0" w:line="26" w:lineRule="exact"/>
        <w:rPr>
          <w:sz w:val="20"/>
          <w:szCs w:val="20"/>
          <w:color w:val="auto"/>
        </w:rPr>
      </w:pPr>
    </w:p>
    <w:p>
      <w:pPr>
        <w:ind w:right="260"/>
        <w:spacing w:after="0" w:line="267" w:lineRule="auto"/>
        <w:rPr>
          <w:sz w:val="20"/>
          <w:szCs w:val="20"/>
          <w:color w:val="auto"/>
        </w:rPr>
      </w:pPr>
      <w:r>
        <w:rPr>
          <w:rFonts w:ascii="Arial" w:cs="Arial" w:eastAsia="Arial" w:hAnsi="Arial"/>
          <w:sz w:val="20"/>
          <w:szCs w:val="20"/>
          <w:color w:val="auto"/>
        </w:rPr>
        <w:t>Evergy Kansas Central's depreciation and amortization expense increased $24.1 million year to date September 30, 2023, compared to the same period in 2022, primarily driven by capital additions.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Other Expense, Net</w:t>
      </w:r>
    </w:p>
    <w:p>
      <w:pPr>
        <w:spacing w:after="0" w:line="26" w:lineRule="exact"/>
        <w:rPr>
          <w:sz w:val="20"/>
          <w:szCs w:val="20"/>
          <w:color w:val="auto"/>
        </w:rPr>
      </w:pPr>
    </w:p>
    <w:p>
      <w:pPr>
        <w:ind w:right="120"/>
        <w:spacing w:after="0" w:line="253" w:lineRule="auto"/>
        <w:rPr>
          <w:sz w:val="20"/>
          <w:szCs w:val="20"/>
          <w:color w:val="auto"/>
        </w:rPr>
      </w:pPr>
      <w:r>
        <w:rPr>
          <w:rFonts w:ascii="Arial" w:cs="Arial" w:eastAsia="Arial" w:hAnsi="Arial"/>
          <w:sz w:val="20"/>
          <w:szCs w:val="20"/>
          <w:color w:val="auto"/>
        </w:rPr>
        <w:t>Evergy Kansas Central's other expense, net year to date September 30, 2022 became other income, net year to date September 30, 2023 as a result of a $28.0 million increase in net other income items, primarily driven by:</w:t>
      </w:r>
    </w:p>
    <w:p>
      <w:pPr>
        <w:spacing w:after="0" w:line="88"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$24.8 million increase due to recording higher COLI benefits in 2023; and</w:t>
      </w:r>
    </w:p>
    <w:p>
      <w:pPr>
        <w:spacing w:after="0" w:line="121" w:lineRule="exact"/>
        <w:rPr>
          <w:rFonts w:ascii="Arial" w:cs="Arial" w:eastAsia="Arial" w:hAnsi="Arial"/>
          <w:sz w:val="20"/>
          <w:szCs w:val="20"/>
          <w:color w:val="auto"/>
        </w:rPr>
      </w:pPr>
    </w:p>
    <w:p>
      <w:pPr>
        <w:ind w:left="660" w:right="260" w:hanging="328"/>
        <w:spacing w:after="0" w:line="260" w:lineRule="auto"/>
        <w:tabs>
          <w:tab w:leader="none" w:pos="648"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$6.4 million increase due to net unrealized losses becoming net unrealized gains in Evergy Kansas Central's rabbi trust; partially offset by</w:t>
      </w:r>
    </w:p>
    <w:p>
      <w:pPr>
        <w:spacing w:after="0" w:line="82" w:lineRule="exact"/>
        <w:rPr>
          <w:rFonts w:ascii="Arial" w:cs="Arial" w:eastAsia="Arial" w:hAnsi="Arial"/>
          <w:sz w:val="20"/>
          <w:szCs w:val="20"/>
          <w:color w:val="auto"/>
        </w:rPr>
      </w:pPr>
    </w:p>
    <w:p>
      <w:pPr>
        <w:ind w:left="640" w:hanging="308"/>
        <w:spacing w:after="0"/>
        <w:tabs>
          <w:tab w:leader="none" w:pos="6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$4.4 million of lower equity AFUDC driven by higher short-term debt balances in 2023.</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Interest Expense</w:t>
      </w:r>
    </w:p>
    <w:p>
      <w:pPr>
        <w:spacing w:after="0" w:line="26" w:lineRule="exact"/>
        <w:rPr>
          <w:sz w:val="20"/>
          <w:szCs w:val="20"/>
          <w:color w:val="auto"/>
        </w:rPr>
      </w:pPr>
    </w:p>
    <w:p>
      <w:pPr>
        <w:ind w:right="340"/>
        <w:spacing w:after="0" w:line="267" w:lineRule="auto"/>
        <w:rPr>
          <w:sz w:val="20"/>
          <w:szCs w:val="20"/>
          <w:color w:val="auto"/>
        </w:rPr>
      </w:pPr>
      <w:r>
        <w:rPr>
          <w:rFonts w:ascii="Arial" w:cs="Arial" w:eastAsia="Arial" w:hAnsi="Arial"/>
          <w:sz w:val="20"/>
          <w:szCs w:val="20"/>
          <w:color w:val="auto"/>
        </w:rPr>
        <w:t>Evergy Kansas Central's interest expense increased $31.6 million year to date September 30, 2023, compared to the same period in 2022, primarily driven by</w:t>
      </w:r>
    </w:p>
    <w:p>
      <w:pPr>
        <w:spacing w:after="0" w:line="61" w:lineRule="exact"/>
        <w:rPr>
          <w:sz w:val="20"/>
          <w:szCs w:val="20"/>
          <w:color w:val="auto"/>
        </w:rPr>
      </w:pPr>
    </w:p>
    <w:p>
      <w:pPr>
        <w:ind w:left="660" w:right="800" w:hanging="328"/>
        <w:spacing w:after="0" w:line="274" w:lineRule="auto"/>
        <w:tabs>
          <w:tab w:leader="none" w:pos="698"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$25.8 million increase in interest expense on short-term borrowings primarily due to higher short-term debt balances and weighted-average interest rates in 2023; and</w:t>
      </w:r>
    </w:p>
    <w:p>
      <w:pPr>
        <w:spacing w:after="0" w:line="55" w:lineRule="exact"/>
        <w:rPr>
          <w:rFonts w:ascii="Arial" w:cs="Arial" w:eastAsia="Arial" w:hAnsi="Arial"/>
          <w:sz w:val="20"/>
          <w:szCs w:val="20"/>
          <w:color w:val="auto"/>
        </w:rPr>
      </w:pPr>
    </w:p>
    <w:p>
      <w:pPr>
        <w:ind w:left="640" w:hanging="308"/>
        <w:spacing w:after="0"/>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$12.5 million increase due to the issuance of $400.0 million of 5.70% FMBs in March 2023; partially offset by</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an $8.8 million decrease due to higher debt AFUDC.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1" w:name="page72"/>
    <w:bookmarkEnd w:id="71"/>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Income Tax Expense</w:t>
      </w:r>
    </w:p>
    <w:p>
      <w:pPr>
        <w:spacing w:after="0" w:line="26"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color w:val="auto"/>
        </w:rPr>
        <w:t>Evergy Kansas Central's income tax expense decreased $19.9 million year to date September 30, 2023, compared to the same period in 2022, primarily driven by lower pre-tax income in 2023.</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EVERGY METRO,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NARRATIVE ANALYSIS OF RESULTS OF OPERATIONS</w:t>
      </w:r>
    </w:p>
    <w:p>
      <w:pPr>
        <w:spacing w:after="0" w:line="235" w:lineRule="exact"/>
        <w:rPr>
          <w:sz w:val="20"/>
          <w:szCs w:val="20"/>
          <w:color w:val="auto"/>
        </w:rPr>
      </w:pPr>
    </w:p>
    <w:p>
      <w:pPr>
        <w:ind w:right="540"/>
        <w:spacing w:after="0" w:line="274" w:lineRule="auto"/>
        <w:rPr>
          <w:sz w:val="20"/>
          <w:szCs w:val="20"/>
          <w:color w:val="auto"/>
        </w:rPr>
      </w:pPr>
      <w:r>
        <w:rPr>
          <w:rFonts w:ascii="Arial" w:cs="Arial" w:eastAsia="Arial" w:hAnsi="Arial"/>
          <w:sz w:val="20"/>
          <w:szCs w:val="20"/>
          <w:color w:val="auto"/>
        </w:rPr>
        <w:t>The below results of operations and related discussion for Evergy Metro is presented in a reduced disclosure format in accordance with General Instruction (H)(2)(a) to Form 10-Q.</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Metro's comparative results of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2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6"/>
              </w:rPr>
              <w:t>Change</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r>
      <w:tr>
        <w:trPr>
          <w:trHeight w:val="220"/>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211"/>
              <w:spacing w:after="0"/>
              <w:rPr>
                <w:sz w:val="20"/>
                <w:szCs w:val="20"/>
                <w:color w:val="auto"/>
              </w:rPr>
            </w:pPr>
            <w:r>
              <w:rPr>
                <w:rFonts w:ascii="Arial" w:cs="Arial" w:eastAsia="Arial" w:hAnsi="Arial"/>
                <w:sz w:val="16"/>
                <w:szCs w:val="16"/>
                <w:color w:val="auto"/>
              </w:rPr>
              <w:t>(millions)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2"/>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1,499.9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(64.5)</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1,564.4</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417.8</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(69.4)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487.2</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213.6</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(27.2)</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311.9</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59.7</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252.2</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100.4</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0.4</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778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456.2</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(28.0)</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484.2</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100.6</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19.1</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29"/>
        </w:trPr>
        <w:tc>
          <w:tcPr>
            <w:tcW w:w="7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42.3</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(12.9)</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30"/>
        </w:trPr>
        <w:tc>
          <w:tcPr>
            <w:tcW w:w="7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(34.5)</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ind w:left="1"/>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Evergy Metro Gross Margin (GAAP) and Utility Gross Margin (non-GAAP)</w:t>
      </w:r>
    </w:p>
    <w:p>
      <w:pPr>
        <w:spacing w:after="0" w:line="26" w:lineRule="exact"/>
        <w:rPr>
          <w:sz w:val="20"/>
          <w:szCs w:val="20"/>
          <w:color w:val="auto"/>
        </w:rPr>
      </w:pPr>
    </w:p>
    <w:p>
      <w:pPr>
        <w:jc w:val="both"/>
        <w:ind w:left="1"/>
        <w:spacing w:after="0" w:line="253" w:lineRule="auto"/>
        <w:rPr>
          <w:sz w:val="20"/>
          <w:szCs w:val="20"/>
          <w:color w:val="auto"/>
        </w:rPr>
      </w:pPr>
      <w:r>
        <w:rPr>
          <w:rFonts w:ascii="Arial" w:cs="Arial" w:eastAsia="Arial" w:hAnsi="Arial"/>
          <w:sz w:val="20"/>
          <w:szCs w:val="20"/>
          <w:color w:val="auto"/>
        </w:rPr>
        <w:t>The following table summarizes Evergy Metro's gross margin (GAAP) and MWhs sold and reconciles Evergy Metro's gross margin (GAAP) to Evergy Metro's utility gross margin (non-GAAP). See "Executive Summary - Non-GAAP Measures" for additional information regarding gross margin (GAAP) and utility gross margin (non-GAAP).</w:t>
      </w:r>
    </w:p>
    <w:p>
      <w:pPr>
        <w:spacing w:after="0" w:line="113" w:lineRule="exact"/>
        <w:rPr>
          <w:sz w:val="20"/>
          <w:szCs w:val="20"/>
          <w:color w:val="auto"/>
        </w:rPr>
      </w:pPr>
    </w:p>
    <w:tbl>
      <w:tblPr>
        <w:tblLayout w:type="fixed"/>
        <w:tblInd w:w="1" w:type="dxa"/>
        <w:tblCellMar>
          <w:top w:w="0" w:type="dxa"/>
          <w:left w:w="0" w:type="dxa"/>
          <w:bottom w:w="0" w:type="dxa"/>
          <w:right w:w="0" w:type="dxa"/>
        </w:tblCellMar>
      </w:tblPr>
      <w:tr>
        <w:trPr>
          <w:trHeight w:val="252"/>
        </w:trPr>
        <w:tc>
          <w:tcPr>
            <w:tcW w:w="39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6"/>
              </w:rPr>
              <w:t>Revenues and Expenses</w:t>
            </w:r>
          </w:p>
        </w:tc>
        <w:tc>
          <w:tcPr>
            <w:tcW w:w="7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2"/>
              </w:rPr>
              <w:t>MWhs Sold</w:t>
            </w:r>
          </w:p>
        </w:tc>
        <w:tc>
          <w:tcPr>
            <w:tcW w:w="960" w:type="dxa"/>
            <w:vAlign w:val="bottom"/>
            <w:tcBorders>
              <w:top w:val="single" w:sz="8" w:color="auto"/>
            </w:tcBorders>
          </w:tcPr>
          <w:p>
            <w:pPr>
              <w:spacing w:after="0"/>
              <w:rPr>
                <w:sz w:val="21"/>
                <w:szCs w:val="21"/>
                <w:color w:val="auto"/>
              </w:rPr>
            </w:pPr>
          </w:p>
        </w:tc>
      </w:tr>
      <w:tr>
        <w:trPr>
          <w:trHeight w:val="234"/>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Change</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2022</w:t>
            </w:r>
          </w:p>
        </w:tc>
        <w:tc>
          <w:tcPr>
            <w:tcW w:w="13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4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0"/>
              </w:rPr>
              <w:t>Change</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center"/>
              <w:ind w:right="170"/>
              <w:spacing w:after="0"/>
              <w:rPr>
                <w:sz w:val="20"/>
                <w:szCs w:val="20"/>
                <w:color w:val="auto"/>
              </w:rPr>
            </w:pPr>
            <w:r>
              <w:rPr>
                <w:rFonts w:ascii="Arial" w:cs="Arial" w:eastAsia="Arial" w:hAnsi="Arial"/>
                <w:sz w:val="16"/>
                <w:szCs w:val="16"/>
                <w:color w:val="auto"/>
                <w:w w:val="99"/>
              </w:rPr>
              <w:t>(millions)</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jc w:val="center"/>
              <w:ind w:right="71"/>
              <w:spacing w:after="0"/>
              <w:rPr>
                <w:sz w:val="20"/>
                <w:szCs w:val="20"/>
                <w:color w:val="auto"/>
              </w:rPr>
            </w:pPr>
            <w:r>
              <w:rPr>
                <w:rFonts w:ascii="Arial" w:cs="Arial" w:eastAsia="Arial" w:hAnsi="Arial"/>
                <w:sz w:val="16"/>
                <w:szCs w:val="16"/>
                <w:color w:val="auto"/>
                <w:w w:val="89"/>
              </w:rPr>
              <w:t>(thousands)</w:t>
            </w: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603.9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4,374</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(128)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606.1</w:t>
            </w:r>
          </w:p>
        </w:tc>
        <w:tc>
          <w:tcPr>
            <w:tcW w:w="2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16.4</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589.7</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5,648</w:t>
            </w:r>
          </w:p>
        </w:tc>
        <w:tc>
          <w:tcPr>
            <w:tcW w:w="1400" w:type="dxa"/>
            <w:vAlign w:val="bottom"/>
          </w:tcPr>
          <w:p>
            <w:pPr>
              <w:jc w:val="right"/>
              <w:ind w:right="211"/>
              <w:spacing w:after="0"/>
              <w:rPr>
                <w:sz w:val="20"/>
                <w:szCs w:val="20"/>
                <w:color w:val="auto"/>
              </w:rPr>
            </w:pPr>
            <w:r>
              <w:rPr>
                <w:rFonts w:ascii="Arial" w:cs="Arial" w:eastAsia="Arial" w:hAnsi="Arial"/>
                <w:sz w:val="18"/>
                <w:szCs w:val="18"/>
                <w:color w:val="auto"/>
              </w:rPr>
              <w:t>(52)</w:t>
            </w:r>
          </w:p>
        </w:tc>
        <w:tc>
          <w:tcPr>
            <w:tcW w:w="960" w:type="dxa"/>
            <w:vAlign w:val="bottom"/>
          </w:tcPr>
          <w:p>
            <w:pPr>
              <w:jc w:val="right"/>
              <w:spacing w:after="0"/>
              <w:rPr>
                <w:sz w:val="20"/>
                <w:szCs w:val="20"/>
                <w:color w:val="auto"/>
              </w:rPr>
            </w:pPr>
            <w:r>
              <w:rPr>
                <w:rFonts w:ascii="Arial" w:cs="Arial" w:eastAsia="Arial" w:hAnsi="Arial"/>
                <w:sz w:val="18"/>
                <w:szCs w:val="18"/>
                <w:color w:val="auto"/>
              </w:rPr>
              <w:t>5,700</w:t>
            </w: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100.6</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1,269</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Other retail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46</w:t>
            </w:r>
          </w:p>
        </w:tc>
        <w:tc>
          <w:tcPr>
            <w:tcW w:w="1400" w:type="dxa"/>
            <w:vAlign w:val="bottom"/>
          </w:tcPr>
          <w:p>
            <w:pPr>
              <w:jc w:val="right"/>
              <w:ind w:right="211"/>
              <w:spacing w:after="0"/>
              <w:rPr>
                <w:sz w:val="20"/>
                <w:szCs w:val="20"/>
                <w:color w:val="auto"/>
              </w:rPr>
            </w:pPr>
            <w:r>
              <w:rPr>
                <w:rFonts w:ascii="Arial" w:cs="Arial" w:eastAsia="Arial" w:hAnsi="Arial"/>
                <w:sz w:val="18"/>
                <w:szCs w:val="18"/>
                <w:color w:val="auto"/>
              </w:rPr>
              <w:t>(7)</w:t>
            </w: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39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1,320.1</w:t>
            </w: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22.3</w:t>
            </w:r>
          </w:p>
        </w:tc>
        <w:tc>
          <w:tcPr>
            <w:tcW w:w="3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1,297.8</w:t>
            </w:r>
          </w:p>
        </w:tc>
        <w:tc>
          <w:tcPr>
            <w:tcW w:w="2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11,337</w:t>
            </w:r>
          </w:p>
        </w:tc>
        <w:tc>
          <w:tcPr>
            <w:tcW w:w="1400" w:type="dxa"/>
            <w:vAlign w:val="bottom"/>
            <w:tcBorders>
              <w:top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(213)</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11,550</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80.7</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86.6</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4,036</w:t>
            </w:r>
          </w:p>
        </w:tc>
        <w:tc>
          <w:tcPr>
            <w:tcW w:w="1400" w:type="dxa"/>
            <w:vAlign w:val="bottom"/>
          </w:tcPr>
          <w:p>
            <w:pPr>
              <w:jc w:val="right"/>
              <w:ind w:right="211"/>
              <w:spacing w:after="0"/>
              <w:rPr>
                <w:sz w:val="20"/>
                <w:szCs w:val="20"/>
                <w:color w:val="auto"/>
              </w:rPr>
            </w:pPr>
            <w:r>
              <w:rPr>
                <w:rFonts w:ascii="Arial" w:cs="Arial" w:eastAsia="Arial" w:hAnsi="Arial"/>
                <w:sz w:val="18"/>
                <w:szCs w:val="18"/>
                <w:color w:val="auto"/>
              </w:rPr>
              <w:t>(838)</w:t>
            </w:r>
          </w:p>
        </w:tc>
        <w:tc>
          <w:tcPr>
            <w:tcW w:w="960" w:type="dxa"/>
            <w:vAlign w:val="bottom"/>
          </w:tcPr>
          <w:p>
            <w:pPr>
              <w:jc w:val="right"/>
              <w:spacing w:after="0"/>
              <w:rPr>
                <w:sz w:val="20"/>
                <w:szCs w:val="20"/>
                <w:color w:val="auto"/>
              </w:rPr>
            </w:pPr>
            <w:r>
              <w:rPr>
                <w:rFonts w:ascii="Arial" w:cs="Arial" w:eastAsia="Arial" w:hAnsi="Arial"/>
                <w:sz w:val="18"/>
                <w:szCs w:val="18"/>
                <w:color w:val="auto"/>
              </w:rPr>
              <w:t>4,874</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88.3</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(77.3)</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N/A</w:t>
            </w:r>
          </w:p>
        </w:tc>
        <w:tc>
          <w:tcPr>
            <w:tcW w:w="1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1,499.9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(64.5)</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1,564.4</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15,373</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(1,051)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16,424</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(417.8)</w:t>
            </w:r>
          </w:p>
        </w:tc>
        <w:tc>
          <w:tcPr>
            <w:tcW w:w="2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69.4</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(487.2)</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and maintenance </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(311.9)</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(59.7)</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(252.2)</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(100.4)</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Gross margin (GAAP)</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522.9</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(47.9)</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570.8</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3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and maintenance </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146.9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311.9</w:t>
            </w:r>
          </w:p>
        </w:tc>
        <w:tc>
          <w:tcPr>
            <w:tcW w:w="2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59.7</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252.2</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100.4</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Utility gross margin (non-GAAP)</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1,082.1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rPr>
              <w:t>4.9</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1,077.2</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707199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71995" cy="17145"/>
                    </a:xfrm>
                    <a:prstGeom prst="rect">
                      <a:avLst/>
                    </a:prstGeom>
                    <a:noFill/>
                  </pic:spPr>
                </pic:pic>
              </a:graphicData>
            </a:graphic>
          </wp:anchor>
        </w:drawing>
      </w:r>
    </w:p>
    <w:p>
      <w:pPr>
        <w:spacing w:after="0" w:line="6" w:lineRule="exact"/>
        <w:rPr>
          <w:sz w:val="20"/>
          <w:szCs w:val="20"/>
          <w:color w:val="auto"/>
        </w:rPr>
      </w:pPr>
    </w:p>
    <w:p>
      <w:pPr>
        <w:ind w:left="161" w:right="120" w:hanging="161"/>
        <w:spacing w:after="0" w:line="257" w:lineRule="auto"/>
        <w:tabs>
          <w:tab w:leader="none" w:pos="142" w:val="left"/>
        </w:tabs>
        <w:numPr>
          <w:ilvl w:val="0"/>
          <w:numId w:val="36"/>
        </w:numPr>
        <w:rPr>
          <w:rFonts w:ascii="Arial" w:cs="Arial" w:eastAsia="Arial" w:hAnsi="Arial"/>
          <w:sz w:val="17"/>
          <w:szCs w:val="17"/>
          <w:color w:val="auto"/>
          <w:vertAlign w:val="superscript"/>
        </w:rPr>
      </w:pPr>
      <w:r>
        <w:rPr>
          <w:rFonts w:ascii="Arial" w:cs="Arial" w:eastAsia="Arial" w:hAnsi="Arial"/>
          <w:sz w:val="13"/>
          <w:szCs w:val="13"/>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$66.7 million and $86.6 million year to date September 30, 2023 and 2022, respectively.</w:t>
      </w:r>
    </w:p>
    <w:p>
      <w:pPr>
        <w:spacing w:after="0" w:line="341" w:lineRule="exact"/>
        <w:rPr>
          <w:sz w:val="20"/>
          <w:szCs w:val="20"/>
          <w:color w:val="auto"/>
        </w:rPr>
      </w:pPr>
    </w:p>
    <w:p>
      <w:pPr>
        <w:jc w:val="both"/>
        <w:ind w:left="1" w:right="220"/>
        <w:spacing w:after="0" w:line="264" w:lineRule="auto"/>
        <w:rPr>
          <w:sz w:val="20"/>
          <w:szCs w:val="20"/>
          <w:color w:val="auto"/>
        </w:rPr>
      </w:pPr>
      <w:r>
        <w:rPr>
          <w:rFonts w:ascii="Arial" w:cs="Arial" w:eastAsia="Arial" w:hAnsi="Arial"/>
          <w:sz w:val="20"/>
          <w:szCs w:val="20"/>
          <w:color w:val="auto"/>
        </w:rPr>
        <w:t>Evergy Metro's gross margin (GAAP) decreased $47.9 million year to date September 30, 2023, compared to the same period in 2022 and Evergy Metro's utility gross margin (non-GAAP) increased $4.9 million year to date September 30, 2023, compared to the same period in 2022, both measures were driven by:</w:t>
      </w:r>
    </w:p>
    <w:p>
      <w:pPr>
        <w:spacing w:after="0" w:line="65" w:lineRule="exact"/>
        <w:rPr>
          <w:sz w:val="20"/>
          <w:szCs w:val="20"/>
          <w:color w:val="auto"/>
        </w:rPr>
      </w:pPr>
    </w:p>
    <w:p>
      <w:pPr>
        <w:ind w:left="641" w:hanging="308"/>
        <w:spacing w:after="0"/>
        <w:tabs>
          <w:tab w:leader="none" w:pos="641"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$17.8 million increase from new Evergy Metro retail rates effective in January 2023; partially offset by</w:t>
      </w:r>
    </w:p>
    <w:p>
      <w:pPr>
        <w:spacing w:after="0" w:line="121" w:lineRule="exact"/>
        <w:rPr>
          <w:rFonts w:ascii="Arial" w:cs="Arial" w:eastAsia="Arial" w:hAnsi="Arial"/>
          <w:sz w:val="20"/>
          <w:szCs w:val="20"/>
          <w:color w:val="auto"/>
        </w:rPr>
      </w:pPr>
    </w:p>
    <w:p>
      <w:pPr>
        <w:ind w:left="661" w:right="200" w:hanging="328"/>
        <w:spacing w:after="0" w:line="378"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$12.9 million decrease primarily due to lower retail sales driven by unfavorable weather (cooling degree days decreased by 10% and heating degree days decreased by 13%), partially offset by higher weather-normalized residential and commercial demand.</w:t>
      </w:r>
    </w:p>
    <w:p>
      <w:pPr>
        <w:spacing w:after="0" w:line="1" w:lineRule="exact"/>
        <w:rPr>
          <w:sz w:val="20"/>
          <w:szCs w:val="20"/>
          <w:color w:val="auto"/>
        </w:rPr>
      </w:pPr>
    </w:p>
    <w:p>
      <w:pPr>
        <w:ind w:left="1"/>
        <w:spacing w:after="0"/>
        <w:rPr>
          <w:sz w:val="20"/>
          <w:szCs w:val="20"/>
          <w:color w:val="auto"/>
        </w:rPr>
      </w:pPr>
      <w:r>
        <w:rPr>
          <w:rFonts w:ascii="Arial" w:cs="Arial" w:eastAsia="Arial" w:hAnsi="Arial"/>
          <w:sz w:val="20"/>
          <w:szCs w:val="20"/>
          <w:color w:val="auto"/>
        </w:rPr>
        <w:t>Additionally, the decrease in Evergy Metro's gross margin (GAAP) was also driven by:</w:t>
      </w:r>
    </w:p>
    <w:p>
      <w:pPr>
        <w:spacing w:after="0" w:line="121" w:lineRule="exact"/>
        <w:rPr>
          <w:sz w:val="20"/>
          <w:szCs w:val="20"/>
          <w:color w:val="auto"/>
        </w:rPr>
      </w:pPr>
    </w:p>
    <w:p>
      <w:pPr>
        <w:ind w:left="641" w:hanging="308"/>
        <w:spacing w:after="0"/>
        <w:tabs>
          <w:tab w:leader="none" w:pos="641"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$59.7 million increase in depreciation and amortization expense as described further below; partially offset by</w:t>
      </w:r>
    </w:p>
    <w:p>
      <w:pPr>
        <w:spacing w:after="0" w:line="107" w:lineRule="exact"/>
        <w:rPr>
          <w:rFonts w:ascii="Arial" w:cs="Arial" w:eastAsia="Arial" w:hAnsi="Arial"/>
          <w:sz w:val="20"/>
          <w:szCs w:val="20"/>
          <w:color w:val="auto"/>
        </w:rPr>
      </w:pPr>
    </w:p>
    <w:p>
      <w:pPr>
        <w:ind w:left="661" w:hanging="328"/>
        <w:spacing w:after="0" w:line="277" w:lineRule="auto"/>
        <w:tabs>
          <w:tab w:leader="none" w:pos="649" w:val="left"/>
        </w:tabs>
        <w:numPr>
          <w:ilvl w:val="0"/>
          <w:numId w:val="38"/>
        </w:numPr>
        <w:rPr>
          <w:rFonts w:ascii="Arial" w:cs="Arial" w:eastAsia="Arial" w:hAnsi="Arial"/>
          <w:sz w:val="19"/>
          <w:szCs w:val="19"/>
          <w:color w:val="auto"/>
        </w:rPr>
      </w:pPr>
      <w:r>
        <w:rPr>
          <w:rFonts w:ascii="Arial" w:cs="Arial" w:eastAsia="Arial" w:hAnsi="Arial"/>
          <w:sz w:val="19"/>
          <w:szCs w:val="19"/>
          <w:color w:val="auto"/>
        </w:rPr>
        <w:t>a $7.3 million decrease in operating and maintenance expenses which are determined to be directly attributable to revenue producing activities primarily driven by a $5.4 million decrease in plant operating and maintenance expense at Wolf Creek and a $2.0 million decrease in operating and maintenance expense at fossil-fuel generating units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1"/>
          </w:cols>
          <w:pgMar w:left="319" w:top="122" w:right="419" w:bottom="1440" w:gutter="0" w:footer="0" w:header="0"/>
        </w:sectPr>
      </w:pPr>
    </w:p>
    <w:bookmarkStart w:id="73" w:name="page74"/>
    <w:bookmarkEnd w:id="7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Operating and Maintenance</w:t>
      </w:r>
    </w:p>
    <w:p>
      <w:pPr>
        <w:spacing w:after="0" w:line="26"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Evergy Metro's operating and maintenance expense decreased $27.2 million year to date September 30, 2023, compared to the same period in 2022, primarily driven by:</w:t>
      </w:r>
    </w:p>
    <w:p>
      <w:pPr>
        <w:spacing w:after="0" w:line="88" w:lineRule="exact"/>
        <w:rPr>
          <w:sz w:val="20"/>
          <w:szCs w:val="20"/>
          <w:color w:val="auto"/>
        </w:rPr>
      </w:pPr>
    </w:p>
    <w:p>
      <w:pPr>
        <w:ind w:left="660" w:right="560" w:hanging="328"/>
        <w:spacing w:after="0" w:line="260" w:lineRule="auto"/>
        <w:tabs>
          <w:tab w:leader="none" w:pos="648"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 $11.4 million decrease in various administrative and general operating and maintenance expenses primarily driven by lower regulatory amortizations as a result of Evergy Metro's 2022 rate case;</w:t>
      </w:r>
    </w:p>
    <w:p>
      <w:pPr>
        <w:spacing w:after="0" w:line="82" w:lineRule="exact"/>
        <w:rPr>
          <w:rFonts w:ascii="Arial" w:cs="Arial" w:eastAsia="Arial" w:hAnsi="Arial"/>
          <w:sz w:val="20"/>
          <w:szCs w:val="20"/>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 $8.9 million decrease in administrative labor and employee benefits expenses primarily due to lower employee headcount in 2023;</w:t>
      </w:r>
    </w:p>
    <w:p>
      <w:pPr>
        <w:spacing w:after="0" w:line="167" w:lineRule="exact"/>
        <w:rPr>
          <w:rFonts w:ascii="Arial" w:cs="Arial" w:eastAsia="Arial" w:hAnsi="Arial"/>
          <w:sz w:val="16"/>
          <w:szCs w:val="16"/>
          <w:color w:val="auto"/>
        </w:rPr>
      </w:pPr>
    </w:p>
    <w:p>
      <w:pPr>
        <w:ind w:left="660" w:right="920" w:hanging="328"/>
        <w:spacing w:after="0" w:line="378" w:lineRule="auto"/>
        <w:tabs>
          <w:tab w:leader="none" w:pos="648"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$5.4 million decrease in plant operating and maintenance expense at Wolf Creek primarily due to lower refueling outage amortizations in 2023 and lower labor costs driven by an increase in labor capitalization and lower employee headcount;</w:t>
      </w:r>
    </w:p>
    <w:p>
      <w:pPr>
        <w:ind w:left="660" w:right="200" w:hanging="328"/>
        <w:spacing w:after="0" w:line="260" w:lineRule="auto"/>
        <w:tabs>
          <w:tab w:leader="none" w:pos="648" w:val="left"/>
        </w:tabs>
        <w:numPr>
          <w:ilvl w:val="0"/>
          <w:numId w:val="39"/>
        </w:numPr>
        <w:rPr>
          <w:rFonts w:ascii="Arial" w:cs="Arial" w:eastAsia="Arial" w:hAnsi="Arial"/>
          <w:sz w:val="20"/>
          <w:szCs w:val="20"/>
          <w:color w:val="auto"/>
        </w:rPr>
      </w:pPr>
      <w:r>
        <w:rPr>
          <w:rFonts w:ascii="Arial" w:cs="Arial" w:eastAsia="Arial" w:hAnsi="Arial"/>
          <w:sz w:val="20"/>
          <w:szCs w:val="20"/>
          <w:color w:val="auto"/>
        </w:rPr>
        <w:t>a $3.5 million decrease in transmission and distribution labor expense primarily due to an increase in labor capitalization and lower employee headcount; and</w:t>
      </w:r>
    </w:p>
    <w:p>
      <w:pPr>
        <w:spacing w:after="0" w:line="82" w:lineRule="exact"/>
        <w:rPr>
          <w:rFonts w:ascii="Arial" w:cs="Arial" w:eastAsia="Arial" w:hAnsi="Arial"/>
          <w:sz w:val="20"/>
          <w:szCs w:val="20"/>
          <w:color w:val="auto"/>
        </w:rPr>
      </w:pPr>
    </w:p>
    <w:p>
      <w:pPr>
        <w:jc w:val="both"/>
        <w:ind w:left="660" w:right="780" w:hanging="328"/>
        <w:spacing w:after="0" w:line="257" w:lineRule="auto"/>
        <w:tabs>
          <w:tab w:leader="none" w:pos="648" w:val="left"/>
        </w:tabs>
        <w:numPr>
          <w:ilvl w:val="0"/>
          <w:numId w:val="39"/>
        </w:numPr>
        <w:rPr>
          <w:rFonts w:ascii="Arial" w:cs="Arial" w:eastAsia="Arial" w:hAnsi="Arial"/>
          <w:sz w:val="20"/>
          <w:szCs w:val="20"/>
          <w:color w:val="auto"/>
        </w:rPr>
      </w:pPr>
      <w:r>
        <w:rPr>
          <w:rFonts w:ascii="Arial" w:cs="Arial" w:eastAsia="Arial" w:hAnsi="Arial"/>
          <w:sz w:val="20"/>
          <w:szCs w:val="20"/>
          <w:color w:val="auto"/>
        </w:rPr>
        <w:t>a $2.0 million decrease in plant and operating maintenance expense at fossil-fuel generating units primarily driven by major maintenance outages at Iatan Station Unit 1 and La Cygne Unit 2 in 2022; partially offset by a major maintenance outage at Hawthorn Station in 2023; partially offset by</w:t>
      </w:r>
    </w:p>
    <w:p>
      <w:pPr>
        <w:spacing w:after="0" w:line="84" w:lineRule="exact"/>
        <w:rPr>
          <w:rFonts w:ascii="Arial" w:cs="Arial" w:eastAsia="Arial" w:hAnsi="Arial"/>
          <w:sz w:val="20"/>
          <w:szCs w:val="20"/>
          <w:color w:val="auto"/>
        </w:rPr>
      </w:pPr>
    </w:p>
    <w:p>
      <w:pPr>
        <w:ind w:left="640" w:hanging="308"/>
        <w:spacing w:after="0"/>
        <w:tabs>
          <w:tab w:leader="none" w:pos="6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$5.8 million of costs incurred from storms that occurred in July 2023; and</w:t>
      </w:r>
    </w:p>
    <w:p>
      <w:pPr>
        <w:spacing w:after="0" w:line="107" w:lineRule="exact"/>
        <w:rPr>
          <w:rFonts w:ascii="Arial" w:cs="Arial" w:eastAsia="Arial" w:hAnsi="Arial"/>
          <w:sz w:val="20"/>
          <w:szCs w:val="20"/>
          <w:color w:val="auto"/>
        </w:rPr>
      </w:pPr>
    </w:p>
    <w:p>
      <w:pPr>
        <w:ind w:left="660" w:right="200" w:hanging="328"/>
        <w:spacing w:after="0" w:line="274" w:lineRule="auto"/>
        <w:tabs>
          <w:tab w:leader="none" w:pos="648" w:val="left"/>
        </w:tabs>
        <w:numPr>
          <w:ilvl w:val="0"/>
          <w:numId w:val="39"/>
        </w:numPr>
        <w:rPr>
          <w:rFonts w:ascii="Arial" w:cs="Arial" w:eastAsia="Arial" w:hAnsi="Arial"/>
          <w:sz w:val="20"/>
          <w:szCs w:val="20"/>
          <w:color w:val="auto"/>
        </w:rPr>
      </w:pPr>
      <w:r>
        <w:rPr>
          <w:rFonts w:ascii="Arial" w:cs="Arial" w:eastAsia="Arial" w:hAnsi="Arial"/>
          <w:sz w:val="20"/>
          <w:szCs w:val="20"/>
          <w:color w:val="auto"/>
        </w:rPr>
        <w:t>a $1.8 million increase to operating and maintenance expense due to a lower annual refund of nuclear insurance premiums received in 2023 related to Evergy Metro's ownership interest in Wolf Creek.</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Depreciation Expense</w:t>
      </w:r>
    </w:p>
    <w:p>
      <w:pPr>
        <w:spacing w:after="0" w:line="22"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Evergy Metro's depreciation and amortization expense increased $59.7 million year to date September 30, 2023, compared to the same period in 2022, primarily driven by:</w:t>
      </w:r>
    </w:p>
    <w:p>
      <w:pPr>
        <w:spacing w:after="0" w:line="70" w:lineRule="exact"/>
        <w:rPr>
          <w:sz w:val="20"/>
          <w:szCs w:val="20"/>
          <w:color w:val="auto"/>
        </w:rPr>
      </w:pPr>
    </w:p>
    <w:p>
      <w:pPr>
        <w:ind w:left="660" w:right="100" w:hanging="328"/>
        <w:spacing w:after="0" w:line="274" w:lineRule="auto"/>
        <w:tabs>
          <w:tab w:leader="none" w:pos="648"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$36.2 million increase primarily due to a change in depreciation rates and the rebasing of PISA depreciation deferrals as a result of Evergy Metro's 2022 rate case effective in January 2023; and</w:t>
      </w:r>
    </w:p>
    <w:p>
      <w:pPr>
        <w:spacing w:after="0" w:line="55" w:lineRule="exact"/>
        <w:rPr>
          <w:rFonts w:ascii="Arial" w:cs="Arial" w:eastAsia="Arial" w:hAnsi="Arial"/>
          <w:sz w:val="20"/>
          <w:szCs w:val="20"/>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$23.5 million increase primarily due to capital additions.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Interest Expense</w:t>
      </w:r>
    </w:p>
    <w:p>
      <w:pPr>
        <w:spacing w:after="0" w:line="26" w:lineRule="exact"/>
        <w:rPr>
          <w:sz w:val="20"/>
          <w:szCs w:val="20"/>
          <w:color w:val="auto"/>
        </w:rPr>
      </w:pPr>
    </w:p>
    <w:p>
      <w:pPr>
        <w:ind w:right="300"/>
        <w:spacing w:after="0" w:line="253" w:lineRule="auto"/>
        <w:rPr>
          <w:sz w:val="20"/>
          <w:szCs w:val="20"/>
          <w:color w:val="auto"/>
        </w:rPr>
      </w:pPr>
      <w:r>
        <w:rPr>
          <w:rFonts w:ascii="Arial" w:cs="Arial" w:eastAsia="Arial" w:hAnsi="Arial"/>
          <w:sz w:val="20"/>
          <w:szCs w:val="20"/>
          <w:color w:val="auto"/>
        </w:rPr>
        <w:t>Evergy Metro's interest expense increased $19.1 million year to date September 30, 2023, compared to the same period in 2022, primarily driven by:</w:t>
      </w:r>
    </w:p>
    <w:p>
      <w:pPr>
        <w:spacing w:after="0" w:line="88" w:lineRule="exact"/>
        <w:rPr>
          <w:sz w:val="20"/>
          <w:szCs w:val="20"/>
          <w:color w:val="auto"/>
        </w:rPr>
      </w:pPr>
    </w:p>
    <w:p>
      <w:pPr>
        <w:ind w:left="660" w:right="60" w:hanging="328"/>
        <w:spacing w:after="0" w:line="260" w:lineRule="auto"/>
        <w:tabs>
          <w:tab w:leader="none" w:pos="648" w:val="left"/>
        </w:tabs>
        <w:numPr>
          <w:ilvl w:val="0"/>
          <w:numId w:val="41"/>
        </w:numPr>
        <w:rPr>
          <w:rFonts w:ascii="Arial" w:cs="Arial" w:eastAsia="Arial" w:hAnsi="Arial"/>
          <w:sz w:val="20"/>
          <w:szCs w:val="20"/>
          <w:color w:val="auto"/>
        </w:rPr>
      </w:pPr>
      <w:r>
        <w:rPr>
          <w:rFonts w:ascii="Arial" w:cs="Arial" w:eastAsia="Arial" w:hAnsi="Arial"/>
          <w:sz w:val="20"/>
          <w:szCs w:val="20"/>
          <w:color w:val="auto"/>
        </w:rPr>
        <w:t>a $13.7 million increase in interest expense on short-term borrowings primarily due to higher short-term debt balances and weighted-average interest rates in 2023; and</w:t>
      </w:r>
    </w:p>
    <w:p>
      <w:pPr>
        <w:spacing w:after="0" w:line="82" w:lineRule="exact"/>
        <w:rPr>
          <w:rFonts w:ascii="Arial" w:cs="Arial" w:eastAsia="Arial" w:hAnsi="Arial"/>
          <w:sz w:val="20"/>
          <w:szCs w:val="20"/>
          <w:color w:val="auto"/>
        </w:rPr>
      </w:pPr>
    </w:p>
    <w:p>
      <w:pPr>
        <w:ind w:left="640" w:hanging="308"/>
        <w:spacing w:after="0"/>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 $7.2 million increase due to the issuance of Evergy Metro's $300.0 million of 4.95% Mortgage Bonds in April 2023.</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Income Tax Expense</w:t>
      </w:r>
    </w:p>
    <w:p>
      <w:pPr>
        <w:spacing w:after="0" w:line="22" w:lineRule="exact"/>
        <w:rPr>
          <w:sz w:val="20"/>
          <w:szCs w:val="20"/>
          <w:color w:val="auto"/>
        </w:rPr>
      </w:pPr>
    </w:p>
    <w:p>
      <w:pPr>
        <w:ind w:right="780"/>
        <w:spacing w:after="0" w:line="258" w:lineRule="auto"/>
        <w:rPr>
          <w:sz w:val="20"/>
          <w:szCs w:val="20"/>
          <w:color w:val="auto"/>
        </w:rPr>
      </w:pPr>
      <w:r>
        <w:rPr>
          <w:rFonts w:ascii="Arial" w:cs="Arial" w:eastAsia="Arial" w:hAnsi="Arial"/>
          <w:sz w:val="20"/>
          <w:szCs w:val="20"/>
          <w:color w:val="auto"/>
        </w:rPr>
        <w:t>Evergy Metro's income tax expense decreased $12.9 million year to date September 30, 2023, compared to the same period in 2022, primarily driven by lower pre-tax income in 2023.</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ind w:right="320"/>
        <w:spacing w:after="0" w:line="257" w:lineRule="auto"/>
        <w:rPr>
          <w:sz w:val="20"/>
          <w:szCs w:val="20"/>
          <w:color w:val="auto"/>
        </w:rPr>
      </w:pPr>
      <w:r>
        <w:rPr>
          <w:rFonts w:ascii="Arial" w:cs="Arial" w:eastAsia="Arial" w:hAnsi="Arial"/>
          <w:sz w:val="20"/>
          <w:szCs w:val="20"/>
          <w:color w:val="auto"/>
        </w:rPr>
        <w:t>In the ordinary course of business, Evergy faces risks that are either non-financial or non-quantifiable. Such risks principally include business, legal, operational and credit risks and are discussed elsewhere in this report as well as in the Evergy Companies' combined 2022 Form 10-K and therefore are not represented here.</w:t>
      </w:r>
    </w:p>
    <w:p>
      <w:pPr>
        <w:spacing w:after="0" w:line="193"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color w:val="auto"/>
        </w:rPr>
        <w:t>Evergy's interim period disclosures about market risk included in quarterly reports on Form 10-Q address material changes, if any, from the most recently filed annual report on Form 10-K. Therefore, these interim period disclosures should be read in conjunction with Part II, Item 7A, Quantitative and Qualitative Disclosures About Market Risk included in the Evergy Companies' combined 2022 Form 10-K. Evergy's exposure to market risk has not changed materially since December 31, 2022.</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6"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There has been no change in Evergy's internal control over financial reporting (as defined in Rules 13a-15(f) and 15d-15(f) of the Exchange Act) that occurred during the quarterly period ended September 30, 2023, that has materially affected, or is reasonably likely to materially affect, its internal control over financial reporting.</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Evergy Kansas Central carried out an evaluation of its disclosure controls and procedures (as defined in Rules 13a-15(e) and 15d-15(e) under the Exchange Act). This evaluation was conducted under the supervision, and with 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There has been no change in Evergy Kansas Central's internal control over financial reporting (as defined in Rules 13a-15(f) and 15d-15(f) of the Exchange Act) that occurred during the quarterly period ended September 30, 2023, that has materially affected, or is reasonably likely to materially affect, its internal control over financial reporting.</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6" w:lineRule="exact"/>
        <w:rPr>
          <w:sz w:val="20"/>
          <w:szCs w:val="20"/>
          <w:color w:val="auto"/>
        </w:rPr>
      </w:pPr>
    </w:p>
    <w:p>
      <w:pPr>
        <w:ind w:right="100"/>
        <w:spacing w:after="0" w:line="266" w:lineRule="auto"/>
        <w:rPr>
          <w:sz w:val="20"/>
          <w:szCs w:val="20"/>
          <w:color w:val="auto"/>
        </w:rPr>
      </w:pPr>
      <w:r>
        <w:rPr>
          <w:rFonts w:ascii="Arial" w:cs="Arial" w:eastAsia="Arial" w:hAnsi="Arial"/>
          <w:sz w:val="19"/>
          <w:szCs w:val="19"/>
          <w:color w:val="auto"/>
        </w:rPr>
        <w:t>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 financial officer of Evergy Metro have concluded as of the end of the period covered by this report that the disclosure controls and procedures of Evergy Metro were effective at a reasonable assurance level.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6" w:lineRule="exact"/>
        <w:rPr>
          <w:sz w:val="20"/>
          <w:szCs w:val="20"/>
          <w:color w:val="auto"/>
        </w:rPr>
      </w:pPr>
    </w:p>
    <w:p>
      <w:pPr>
        <w:ind w:right="280"/>
        <w:spacing w:after="0" w:line="239" w:lineRule="auto"/>
        <w:rPr>
          <w:sz w:val="20"/>
          <w:szCs w:val="20"/>
          <w:color w:val="auto"/>
        </w:rPr>
      </w:pPr>
      <w:r>
        <w:rPr>
          <w:rFonts w:ascii="Arial" w:cs="Arial" w:eastAsia="Arial" w:hAnsi="Arial"/>
          <w:sz w:val="20"/>
          <w:szCs w:val="20"/>
          <w:color w:val="auto"/>
        </w:rPr>
        <w:t>There has been no change in Evergy Metro's internal control over financial reporting (as defined in Rules 13a-15(f) and 15d-15(f) of the Exchange Act) that occurred during the quarterly period ended September 30, 2023, that has materially affected, or is reasonably likely to materially affect, its internal control over financial reporting.</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Proceedings</w:t>
      </w:r>
    </w:p>
    <w:p>
      <w:pPr>
        <w:spacing w:after="0" w:line="26" w:lineRule="exact"/>
        <w:rPr>
          <w:sz w:val="20"/>
          <w:szCs w:val="20"/>
          <w:color w:val="auto"/>
        </w:rPr>
      </w:pPr>
    </w:p>
    <w:p>
      <w:pPr>
        <w:jc w:val="both"/>
        <w:ind w:right="160"/>
        <w:spacing w:after="0" w:line="253" w:lineRule="auto"/>
        <w:rPr>
          <w:sz w:val="20"/>
          <w:szCs w:val="20"/>
          <w:color w:val="auto"/>
        </w:rPr>
      </w:pPr>
      <w:r>
        <w:rPr>
          <w:rFonts w:ascii="Arial" w:cs="Arial" w:eastAsia="Arial" w:hAnsi="Arial"/>
          <w:sz w:val="20"/>
          <w:szCs w:val="20"/>
          <w:color w:val="auto"/>
        </w:rPr>
        <w:t>The Evergy Companies are parties to various lawsuits and regulatory proceedings in the ordinary course of their respective businesses. For information regarding material lawsuits and proceedings, see Notes 4 and 10 to the consolidated financial statements. Such information is incorporated herein by reference.</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35"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Actual results in future periods for the Evergy Companies could differ materially from historical results and the forward-looking statements contained in this report. The business of the Evergy Companies is influenced by many factors that are difficult to predict, involve uncertainties that may materially affect actual results and are often beyond their control. Additional risks and uncertainties not presently known or that management currently believes to be immaterial may also adversely affect the Evergy Companies. Factors that might cause or contribute to such differences include, but are not limited to, those discussed in Part I, Item 1A, Risk Factors included in the 2022 Form 10-K for each of Evergy, Evergy Kansas Central and Evergy Metro, as well as Quarterly Reports on Form 10-Q and from time to time in Current Reports on Form 8-K filed by Evergy, Evergy Kansas Central and Evergy Metro. There have been no material changes with regards to those risk factors since the filing of the 2022 Form 10-K for each of Evergy, Evergy Kansas Central and Evergy Metro. This information, as well as the other information included in this report and in the other documents filed with the SEC, should be carefully considered before making an investment in the securities of the Evergy Companies. Risk factors of Evergy Kansas Central and Evergy Metro are also risk factors of Evergy.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w:t>
      </w:r>
    </w:p>
    <w:p>
      <w:pPr>
        <w:spacing w:after="0" w:line="22" w:lineRule="exact"/>
        <w:rPr>
          <w:sz w:val="20"/>
          <w:szCs w:val="20"/>
          <w:color w:val="auto"/>
        </w:rPr>
      </w:pPr>
    </w:p>
    <w:p>
      <w:pPr>
        <w:ind w:right="160"/>
        <w:spacing w:after="0" w:line="258" w:lineRule="auto"/>
        <w:rPr>
          <w:sz w:val="20"/>
          <w:szCs w:val="20"/>
          <w:color w:val="auto"/>
        </w:rPr>
      </w:pPr>
      <w:r>
        <w:rPr>
          <w:rFonts w:ascii="Arial" w:cs="Arial" w:eastAsia="Arial" w:hAnsi="Arial"/>
          <w:sz w:val="20"/>
          <w:szCs w:val="20"/>
          <w:color w:val="auto"/>
        </w:rPr>
        <w:t>The following table provides information regarding purchases by Evergy of its equity securities that are registered pursuant to Section 12 of the Exchange Act during the three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98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jc w:val="center"/>
              <w:ind w:left="330"/>
              <w:spacing w:after="0" w:line="169" w:lineRule="exact"/>
              <w:rPr>
                <w:sz w:val="20"/>
                <w:szCs w:val="20"/>
                <w:color w:val="auto"/>
              </w:rPr>
            </w:pPr>
            <w:r>
              <w:rPr>
                <w:rFonts w:ascii="Arial" w:cs="Arial" w:eastAsia="Arial" w:hAnsi="Arial"/>
                <w:sz w:val="18"/>
                <w:szCs w:val="18"/>
                <w:b w:val="1"/>
                <w:bCs w:val="1"/>
                <w:color w:val="auto"/>
                <w:w w:val="92"/>
              </w:rPr>
              <w:t>Total Number of</w:t>
            </w:r>
          </w:p>
        </w:tc>
        <w:tc>
          <w:tcPr>
            <w:tcW w:w="36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6"/>
              </w:rPr>
              <w:t>Maximum</w:t>
            </w:r>
          </w:p>
        </w:tc>
      </w:tr>
      <w:tr>
        <w:trPr>
          <w:trHeight w:val="176"/>
        </w:trPr>
        <w:tc>
          <w:tcPr>
            <w:tcW w:w="19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940" w:type="dxa"/>
            <w:vAlign w:val="bottom"/>
          </w:tcPr>
          <w:p>
            <w:pPr>
              <w:jc w:val="center"/>
              <w:ind w:left="330"/>
              <w:spacing w:after="0" w:line="176" w:lineRule="exact"/>
              <w:rPr>
                <w:sz w:val="20"/>
                <w:szCs w:val="20"/>
                <w:color w:val="auto"/>
              </w:rPr>
            </w:pPr>
            <w:r>
              <w:rPr>
                <w:rFonts w:ascii="Arial" w:cs="Arial" w:eastAsia="Arial" w:hAnsi="Arial"/>
                <w:sz w:val="18"/>
                <w:szCs w:val="18"/>
                <w:b w:val="1"/>
                <w:bCs w:val="1"/>
                <w:color w:val="auto"/>
                <w:w w:val="90"/>
              </w:rPr>
              <w:t>Shares (or Units)</w:t>
            </w:r>
          </w:p>
        </w:tc>
        <w:tc>
          <w:tcPr>
            <w:tcW w:w="36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Number of</w:t>
            </w:r>
          </w:p>
        </w:tc>
      </w:tr>
      <w:tr>
        <w:trPr>
          <w:trHeight w:val="175"/>
        </w:trPr>
        <w:tc>
          <w:tcPr>
            <w:tcW w:w="19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940" w:type="dxa"/>
            <w:vAlign w:val="bottom"/>
          </w:tcPr>
          <w:p>
            <w:pPr>
              <w:jc w:val="center"/>
              <w:ind w:left="330"/>
              <w:spacing w:after="0" w:line="176" w:lineRule="exact"/>
              <w:rPr>
                <w:sz w:val="20"/>
                <w:szCs w:val="20"/>
                <w:color w:val="auto"/>
              </w:rPr>
            </w:pPr>
            <w:r>
              <w:rPr>
                <w:rFonts w:ascii="Arial" w:cs="Arial" w:eastAsia="Arial" w:hAnsi="Arial"/>
                <w:sz w:val="18"/>
                <w:szCs w:val="18"/>
                <w:b w:val="1"/>
                <w:bCs w:val="1"/>
                <w:color w:val="auto"/>
                <w:w w:val="85"/>
              </w:rPr>
              <w:t>Purchased as</w:t>
            </w:r>
          </w:p>
        </w:tc>
        <w:tc>
          <w:tcPr>
            <w:tcW w:w="36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Shares (or Units)</w:t>
            </w:r>
          </w:p>
        </w:tc>
      </w:tr>
      <w:tr>
        <w:trPr>
          <w:trHeight w:val="189"/>
        </w:trPr>
        <w:tc>
          <w:tcPr>
            <w:tcW w:w="1980" w:type="dxa"/>
            <w:vAlign w:val="bottom"/>
          </w:tcPr>
          <w:p>
            <w:pPr>
              <w:spacing w:after="0"/>
              <w:rPr>
                <w:sz w:val="16"/>
                <w:szCs w:val="16"/>
                <w:color w:val="auto"/>
              </w:rPr>
            </w:pPr>
          </w:p>
        </w:tc>
        <w:tc>
          <w:tcPr>
            <w:tcW w:w="2080" w:type="dxa"/>
            <w:vAlign w:val="bottom"/>
          </w:tcPr>
          <w:p>
            <w:pPr>
              <w:jc w:val="center"/>
              <w:ind w:left="550"/>
              <w:spacing w:after="0" w:line="189" w:lineRule="exact"/>
              <w:rPr>
                <w:sz w:val="20"/>
                <w:szCs w:val="20"/>
                <w:color w:val="auto"/>
              </w:rPr>
            </w:pPr>
            <w:r>
              <w:rPr>
                <w:rFonts w:ascii="Arial" w:cs="Arial" w:eastAsia="Arial" w:hAnsi="Arial"/>
                <w:sz w:val="18"/>
                <w:szCs w:val="18"/>
                <w:b w:val="1"/>
                <w:bCs w:val="1"/>
                <w:color w:val="auto"/>
                <w:w w:val="92"/>
              </w:rPr>
              <w:t>Total Number of</w:t>
            </w:r>
          </w:p>
        </w:tc>
        <w:tc>
          <w:tcPr>
            <w:tcW w:w="640" w:type="dxa"/>
            <w:vAlign w:val="bottom"/>
          </w:tcPr>
          <w:p>
            <w:pPr>
              <w:spacing w:after="0"/>
              <w:rPr>
                <w:sz w:val="16"/>
                <w:szCs w:val="16"/>
                <w:color w:val="auto"/>
              </w:rPr>
            </w:pPr>
          </w:p>
        </w:tc>
        <w:tc>
          <w:tcPr>
            <w:tcW w:w="2000" w:type="dxa"/>
            <w:vAlign w:val="bottom"/>
            <w:gridSpan w:val="2"/>
          </w:tcPr>
          <w:p>
            <w:pPr>
              <w:jc w:val="right"/>
              <w:ind w:right="490"/>
              <w:spacing w:after="0" w:line="189" w:lineRule="exact"/>
              <w:rPr>
                <w:sz w:val="20"/>
                <w:szCs w:val="20"/>
                <w:color w:val="auto"/>
              </w:rPr>
            </w:pPr>
            <w:r>
              <w:rPr>
                <w:rFonts w:ascii="Arial" w:cs="Arial" w:eastAsia="Arial" w:hAnsi="Arial"/>
                <w:sz w:val="18"/>
                <w:szCs w:val="18"/>
                <w:b w:val="1"/>
                <w:bCs w:val="1"/>
                <w:color w:val="auto"/>
              </w:rPr>
              <w:t>Average Price</w:t>
            </w:r>
          </w:p>
        </w:tc>
        <w:tc>
          <w:tcPr>
            <w:tcW w:w="1940" w:type="dxa"/>
            <w:vAlign w:val="bottom"/>
          </w:tcPr>
          <w:p>
            <w:pPr>
              <w:jc w:val="center"/>
              <w:ind w:left="330"/>
              <w:spacing w:after="0" w:line="189" w:lineRule="exact"/>
              <w:rPr>
                <w:sz w:val="20"/>
                <w:szCs w:val="20"/>
                <w:color w:val="auto"/>
              </w:rPr>
            </w:pPr>
            <w:r>
              <w:rPr>
                <w:rFonts w:ascii="Arial" w:cs="Arial" w:eastAsia="Arial" w:hAnsi="Arial"/>
                <w:sz w:val="18"/>
                <w:szCs w:val="18"/>
                <w:b w:val="1"/>
                <w:bCs w:val="1"/>
                <w:color w:val="auto"/>
                <w:w w:val="91"/>
              </w:rPr>
              <w:t>Part of Publicly</w:t>
            </w:r>
          </w:p>
        </w:tc>
        <w:tc>
          <w:tcPr>
            <w:tcW w:w="360" w:type="dxa"/>
            <w:vAlign w:val="bottom"/>
          </w:tcPr>
          <w:p>
            <w:pPr>
              <w:spacing w:after="0"/>
              <w:rPr>
                <w:sz w:val="16"/>
                <w:szCs w:val="16"/>
                <w:color w:val="auto"/>
              </w:rPr>
            </w:pPr>
          </w:p>
        </w:tc>
        <w:tc>
          <w:tcPr>
            <w:tcW w:w="2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2"/>
              </w:rPr>
              <w:t>that May Yet Be</w:t>
            </w:r>
          </w:p>
        </w:tc>
      </w:tr>
      <w:tr>
        <w:trPr>
          <w:trHeight w:val="176"/>
        </w:trPr>
        <w:tc>
          <w:tcPr>
            <w:tcW w:w="1980" w:type="dxa"/>
            <w:vAlign w:val="bottom"/>
          </w:tcPr>
          <w:p>
            <w:pPr>
              <w:spacing w:after="0"/>
              <w:rPr>
                <w:sz w:val="15"/>
                <w:szCs w:val="15"/>
                <w:color w:val="auto"/>
              </w:rPr>
            </w:pPr>
          </w:p>
        </w:tc>
        <w:tc>
          <w:tcPr>
            <w:tcW w:w="2080" w:type="dxa"/>
            <w:vAlign w:val="bottom"/>
          </w:tcPr>
          <w:p>
            <w:pPr>
              <w:jc w:val="center"/>
              <w:ind w:left="550"/>
              <w:spacing w:after="0" w:line="176" w:lineRule="exact"/>
              <w:rPr>
                <w:sz w:val="20"/>
                <w:szCs w:val="20"/>
                <w:color w:val="auto"/>
              </w:rPr>
            </w:pPr>
            <w:r>
              <w:rPr>
                <w:rFonts w:ascii="Arial" w:cs="Arial" w:eastAsia="Arial" w:hAnsi="Arial"/>
                <w:sz w:val="18"/>
                <w:szCs w:val="18"/>
                <w:b w:val="1"/>
                <w:bCs w:val="1"/>
                <w:color w:val="auto"/>
                <w:w w:val="90"/>
              </w:rPr>
              <w:t>Shares (or Units)</w:t>
            </w:r>
          </w:p>
        </w:tc>
        <w:tc>
          <w:tcPr>
            <w:tcW w:w="640" w:type="dxa"/>
            <w:vAlign w:val="bottom"/>
          </w:tcPr>
          <w:p>
            <w:pPr>
              <w:spacing w:after="0"/>
              <w:rPr>
                <w:sz w:val="15"/>
                <w:szCs w:val="15"/>
                <w:color w:val="auto"/>
              </w:rPr>
            </w:pPr>
          </w:p>
        </w:tc>
        <w:tc>
          <w:tcPr>
            <w:tcW w:w="2000" w:type="dxa"/>
            <w:vAlign w:val="bottom"/>
            <w:gridSpan w:val="2"/>
          </w:tcPr>
          <w:p>
            <w:pPr>
              <w:ind w:left="340"/>
              <w:spacing w:after="0" w:line="176" w:lineRule="exact"/>
              <w:rPr>
                <w:sz w:val="20"/>
                <w:szCs w:val="20"/>
                <w:color w:val="auto"/>
              </w:rPr>
            </w:pPr>
            <w:r>
              <w:rPr>
                <w:rFonts w:ascii="Arial" w:cs="Arial" w:eastAsia="Arial" w:hAnsi="Arial"/>
                <w:sz w:val="18"/>
                <w:szCs w:val="18"/>
                <w:b w:val="1"/>
                <w:bCs w:val="1"/>
                <w:color w:val="auto"/>
              </w:rPr>
              <w:t>Paid per Share</w:t>
            </w:r>
          </w:p>
        </w:tc>
        <w:tc>
          <w:tcPr>
            <w:tcW w:w="1940" w:type="dxa"/>
            <w:vAlign w:val="bottom"/>
          </w:tcPr>
          <w:p>
            <w:pPr>
              <w:jc w:val="center"/>
              <w:ind w:left="330"/>
              <w:spacing w:after="0" w:line="176" w:lineRule="exact"/>
              <w:rPr>
                <w:sz w:val="20"/>
                <w:szCs w:val="20"/>
                <w:color w:val="auto"/>
              </w:rPr>
            </w:pPr>
            <w:r>
              <w:rPr>
                <w:rFonts w:ascii="Arial" w:cs="Arial" w:eastAsia="Arial" w:hAnsi="Arial"/>
                <w:sz w:val="18"/>
                <w:szCs w:val="18"/>
                <w:b w:val="1"/>
                <w:bCs w:val="1"/>
                <w:color w:val="auto"/>
                <w:w w:val="89"/>
              </w:rPr>
              <w:t>Announced Plans</w:t>
            </w:r>
          </w:p>
        </w:tc>
        <w:tc>
          <w:tcPr>
            <w:tcW w:w="36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Purchased Under the Plans</w:t>
            </w:r>
          </w:p>
        </w:tc>
      </w:tr>
      <w:tr>
        <w:trPr>
          <w:trHeight w:val="243"/>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Month</w:t>
            </w:r>
          </w:p>
        </w:tc>
        <w:tc>
          <w:tcPr>
            <w:tcW w:w="2080" w:type="dxa"/>
            <w:vAlign w:val="bottom"/>
            <w:tcBorders>
              <w:bottom w:val="single" w:sz="8" w:color="auto"/>
            </w:tcBorders>
          </w:tcPr>
          <w:p>
            <w:pPr>
              <w:jc w:val="center"/>
              <w:ind w:left="570"/>
              <w:spacing w:after="0" w:line="243" w:lineRule="exact"/>
              <w:rPr>
                <w:sz w:val="20"/>
                <w:szCs w:val="20"/>
                <w:color w:val="auto"/>
              </w:rPr>
            </w:pPr>
            <w:r>
              <w:rPr>
                <w:rFonts w:ascii="Arial" w:cs="Arial" w:eastAsia="Arial" w:hAnsi="Arial"/>
                <w:sz w:val="18"/>
                <w:szCs w:val="18"/>
                <w:b w:val="1"/>
                <w:bCs w:val="1"/>
                <w:color w:val="auto"/>
                <w:w w:val="84"/>
              </w:rPr>
              <w:t>Purchased</w:t>
            </w:r>
            <w:r>
              <w:rPr>
                <w:rFonts w:ascii="Arial" w:cs="Arial" w:eastAsia="Arial" w:hAnsi="Arial"/>
                <w:sz w:val="23"/>
                <w:szCs w:val="23"/>
                <w:b w:val="1"/>
                <w:bCs w:val="1"/>
                <w:color w:val="auto"/>
                <w:w w:val="84"/>
                <w:vertAlign w:val="superscript"/>
              </w:rPr>
              <w:t>(a)</w:t>
            </w:r>
          </w:p>
        </w:tc>
        <w:tc>
          <w:tcPr>
            <w:tcW w:w="6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(or Unit)</w:t>
            </w:r>
          </w:p>
        </w:tc>
        <w:tc>
          <w:tcPr>
            <w:tcW w:w="19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89"/>
              </w:rPr>
              <w:t>or Programs</w:t>
            </w:r>
          </w:p>
        </w:tc>
        <w:tc>
          <w:tcPr>
            <w:tcW w:w="3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r>
      <w:tr>
        <w:trPr>
          <w:trHeight w:val="223"/>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1 - 31</w:t>
            </w:r>
          </w:p>
        </w:tc>
        <w:tc>
          <w:tcPr>
            <w:tcW w:w="20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193</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58.42</w:t>
            </w:r>
          </w:p>
        </w:tc>
        <w:tc>
          <w:tcPr>
            <w:tcW w:w="194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w:t>
            </w: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color w:val="auto"/>
              </w:rPr>
              <w:t>August 1 - 31</w:t>
            </w:r>
          </w:p>
        </w:tc>
        <w:tc>
          <w:tcPr>
            <w:tcW w:w="2080" w:type="dxa"/>
            <w:vAlign w:val="bottom"/>
          </w:tcPr>
          <w:p>
            <w:pPr>
              <w:spacing w:after="0"/>
              <w:rPr>
                <w:sz w:val="19"/>
                <w:szCs w:val="19"/>
                <w:color w:val="auto"/>
              </w:rPr>
            </w:pP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110</w:t>
            </w:r>
          </w:p>
        </w:tc>
        <w:tc>
          <w:tcPr>
            <w:tcW w:w="500" w:type="dxa"/>
            <w:vAlign w:val="bottom"/>
          </w:tcPr>
          <w:p>
            <w:pPr>
              <w:spacing w:after="0"/>
              <w:rPr>
                <w:sz w:val="19"/>
                <w:szCs w:val="19"/>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60.15</w:t>
            </w:r>
          </w:p>
        </w:tc>
        <w:tc>
          <w:tcPr>
            <w:tcW w:w="194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240" w:type="dxa"/>
            <w:vAlign w:val="bottom"/>
          </w:tcPr>
          <w:p>
            <w:pPr>
              <w:ind w:left="1980"/>
              <w:spacing w:after="0"/>
              <w:rPr>
                <w:sz w:val="20"/>
                <w:szCs w:val="20"/>
                <w:color w:val="auto"/>
              </w:rPr>
            </w:pPr>
            <w:r>
              <w:rPr>
                <w:rFonts w:ascii="Arial" w:cs="Arial" w:eastAsia="Arial" w:hAnsi="Arial"/>
                <w:sz w:val="18"/>
                <w:szCs w:val="18"/>
                <w:color w:val="auto"/>
              </w:rPr>
              <w:t>—</w:t>
            </w:r>
          </w:p>
        </w:tc>
      </w:tr>
      <w:tr>
        <w:trPr>
          <w:trHeight w:val="229"/>
        </w:trPr>
        <w:tc>
          <w:tcPr>
            <w:tcW w:w="1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1 - 30</w:t>
            </w:r>
          </w:p>
        </w:tc>
        <w:tc>
          <w:tcPr>
            <w:tcW w:w="2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583</w:t>
            </w:r>
          </w:p>
        </w:tc>
        <w:tc>
          <w:tcPr>
            <w:tcW w:w="5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53.62</w:t>
            </w:r>
          </w:p>
        </w:tc>
        <w:tc>
          <w:tcPr>
            <w:tcW w:w="19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shd w:val="clear" w:color="auto" w:fill="CCEEFF"/>
          </w:tcPr>
          <w:p>
            <w:pPr>
              <w:ind w:left="1980"/>
              <w:spacing w:after="0"/>
              <w:rPr>
                <w:sz w:val="20"/>
                <w:szCs w:val="20"/>
                <w:color w:val="auto"/>
              </w:rPr>
            </w:pPr>
            <w:r>
              <w:rPr>
                <w:rFonts w:ascii="Arial" w:cs="Arial" w:eastAsia="Arial" w:hAnsi="Arial"/>
                <w:sz w:val="18"/>
                <w:szCs w:val="18"/>
                <w:color w:val="auto"/>
              </w:rPr>
              <w:t>—</w:t>
            </w:r>
          </w:p>
        </w:tc>
      </w:tr>
      <w:tr>
        <w:trPr>
          <w:trHeight w:val="230"/>
        </w:trPr>
        <w:tc>
          <w:tcPr>
            <w:tcW w:w="1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w:t>
            </w:r>
          </w:p>
        </w:tc>
        <w:tc>
          <w:tcPr>
            <w:tcW w:w="20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886</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55.47</w:t>
            </w:r>
          </w:p>
        </w:tc>
        <w:tc>
          <w:tcPr>
            <w:tcW w:w="19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w:t>
            </w:r>
          </w:p>
        </w:tc>
      </w:tr>
    </w:tbl>
    <w:p>
      <w:pPr>
        <w:spacing w:after="0" w:line="71" w:lineRule="exact"/>
        <w:rPr>
          <w:sz w:val="20"/>
          <w:szCs w:val="20"/>
          <w:color w:val="auto"/>
        </w:rPr>
      </w:pPr>
    </w:p>
    <w:p>
      <w:pPr>
        <w:ind w:left="160" w:hanging="152"/>
        <w:spacing w:after="0"/>
        <w:tabs>
          <w:tab w:leader="none" w:pos="16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Represents shares Evergy purchased for withholding taxes related to the vesting of RSUs.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Available Information</w:t>
      </w:r>
    </w:p>
    <w:p>
      <w:pPr>
        <w:spacing w:after="0" w:line="16" w:lineRule="exact"/>
        <w:rPr>
          <w:sz w:val="20"/>
          <w:szCs w:val="20"/>
          <w:color w:val="auto"/>
        </w:rPr>
      </w:pPr>
    </w:p>
    <w:p>
      <w:pPr>
        <w:ind w:right="180"/>
        <w:spacing w:after="0" w:line="281"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76" w:lineRule="exact"/>
        <w:rPr>
          <w:sz w:val="20"/>
          <w:szCs w:val="20"/>
          <w:color w:val="auto"/>
        </w:rPr>
      </w:pPr>
    </w:p>
    <w:p>
      <w:pPr>
        <w:ind w:right="880"/>
        <w:spacing w:after="0" w:line="274" w:lineRule="auto"/>
        <w:rPr>
          <w:sz w:val="20"/>
          <w:szCs w:val="20"/>
          <w:color w:val="auto"/>
        </w:rPr>
      </w:pPr>
      <w:r>
        <w:rPr>
          <w:rFonts w:ascii="Arial" w:cs="Arial" w:eastAsia="Arial" w:hAnsi="Arial"/>
          <w:sz w:val="20"/>
          <w:szCs w:val="20"/>
          <w:color w:val="auto"/>
        </w:rPr>
        <w:t>Investors should note that the Evergy Companies announce material financial information in SEC filings, press releases and public conference calls. In accordance with SEC guidelines, the Evergy Companies also use the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Securities Trading Plans of Directors and Executive Officers</w:t>
      </w:r>
    </w:p>
    <w:p>
      <w:pPr>
        <w:spacing w:after="0" w:line="16" w:lineRule="exact"/>
        <w:rPr>
          <w:sz w:val="20"/>
          <w:szCs w:val="20"/>
          <w:color w:val="auto"/>
        </w:rPr>
      </w:pPr>
    </w:p>
    <w:p>
      <w:pPr>
        <w:ind w:right="120"/>
        <w:spacing w:after="0" w:line="258" w:lineRule="auto"/>
        <w:rPr>
          <w:sz w:val="20"/>
          <w:szCs w:val="20"/>
          <w:color w:val="auto"/>
        </w:rPr>
      </w:pPr>
      <w:r>
        <w:rPr>
          <w:rFonts w:ascii="Arial" w:cs="Arial" w:eastAsia="Arial" w:hAnsi="Arial"/>
          <w:sz w:val="20"/>
          <w:szCs w:val="20"/>
          <w:color w:val="auto"/>
        </w:rPr>
        <w:t>For the three months ended September 30, 2023, no director or officer has adopted, terminated or modified a Rule 10b5-1 plan or non-Rule 10b5-1 trading arrangement required to be disclosed under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8"/>
              </w:rPr>
              <w:t>Table of Contents</w:t>
            </w:r>
          </w:p>
        </w:tc>
        <w:tc>
          <w:tcPr>
            <w:tcW w:w="4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4"/>
        </w:trPr>
        <w:tc>
          <w:tcPr>
            <w:tcW w:w="1820" w:type="dxa"/>
            <w:vAlign w:val="bottom"/>
            <w:gridSpan w:val="5"/>
          </w:tcPr>
          <w:p>
            <w:pPr>
              <w:spacing w:after="0"/>
              <w:rPr>
                <w:sz w:val="20"/>
                <w:szCs w:val="20"/>
                <w:color w:val="auto"/>
              </w:rPr>
            </w:pPr>
            <w:r>
              <w:rPr>
                <w:rFonts w:ascii="Arial" w:cs="Arial" w:eastAsia="Arial" w:hAnsi="Arial"/>
                <w:sz w:val="20"/>
                <w:szCs w:val="20"/>
                <w:b w:val="1"/>
                <w:bCs w:val="1"/>
                <w:color w:val="auto"/>
              </w:rPr>
              <w:t>ITEM 6. EXHIBITS</w:t>
            </w: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60" w:type="dxa"/>
            <w:vAlign w:val="bottom"/>
          </w:tcPr>
          <w:p>
            <w:pPr>
              <w:spacing w:after="0"/>
              <w:rPr>
                <w:sz w:val="24"/>
                <w:szCs w:val="2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20"/>
                <w:szCs w:val="20"/>
                <w:color w:val="auto"/>
                <w:w w:val="96"/>
              </w:rPr>
              <w:t>Exhibit</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5"/>
            <w:vMerge w:val="restart"/>
          </w:tcPr>
          <w:p>
            <w:pPr>
              <w:ind w:left="100"/>
              <w:spacing w:after="0"/>
              <w:rPr>
                <w:sz w:val="20"/>
                <w:szCs w:val="20"/>
                <w:color w:val="auto"/>
              </w:rPr>
            </w:pPr>
            <w:r>
              <w:rPr>
                <w:rFonts w:ascii="Arial" w:cs="Arial" w:eastAsia="Arial" w:hAnsi="Arial"/>
                <w:sz w:val="20"/>
                <w:szCs w:val="20"/>
                <w:color w:val="auto"/>
              </w:rPr>
              <w:t>Description of Document</w:t>
            </w:r>
          </w:p>
        </w:tc>
        <w:tc>
          <w:tcPr>
            <w:tcW w:w="2120" w:type="dxa"/>
            <w:vAlign w:val="bottom"/>
            <w:gridSpan w:val="3"/>
            <w:vMerge w:val="restart"/>
          </w:tcPr>
          <w:p>
            <w:pPr>
              <w:ind w:left="1080"/>
              <w:spacing w:after="0"/>
              <w:rPr>
                <w:sz w:val="20"/>
                <w:szCs w:val="20"/>
                <w:color w:val="auto"/>
              </w:rPr>
            </w:pPr>
            <w:r>
              <w:rPr>
                <w:rFonts w:ascii="Arial" w:cs="Arial" w:eastAsia="Arial" w:hAnsi="Arial"/>
                <w:sz w:val="20"/>
                <w:szCs w:val="20"/>
                <w:color w:val="auto"/>
              </w:rPr>
              <w:t>Registrant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860" w:type="dxa"/>
            <w:vAlign w:val="bottom"/>
            <w:gridSpan w:val="2"/>
          </w:tcPr>
          <w:p>
            <w:pPr>
              <w:jc w:val="center"/>
              <w:ind w:right="220"/>
              <w:spacing w:after="0" w:line="203" w:lineRule="exact"/>
              <w:rPr>
                <w:sz w:val="20"/>
                <w:szCs w:val="20"/>
                <w:color w:val="auto"/>
              </w:rPr>
            </w:pPr>
            <w:r>
              <w:rPr>
                <w:rFonts w:ascii="Arial" w:cs="Arial" w:eastAsia="Arial" w:hAnsi="Arial"/>
                <w:sz w:val="20"/>
                <w:szCs w:val="20"/>
                <w:color w:val="auto"/>
                <w:w w:val="89"/>
              </w:rPr>
              <w:t>Number</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5"/>
            <w:vMerge w:val="continue"/>
          </w:tcPr>
          <w:p>
            <w:pPr>
              <w:spacing w:after="0"/>
              <w:rPr>
                <w:sz w:val="17"/>
                <w:szCs w:val="17"/>
                <w:color w:val="auto"/>
              </w:rPr>
            </w:pPr>
          </w:p>
        </w:tc>
        <w:tc>
          <w:tcPr>
            <w:tcW w:w="21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91"/>
              </w:rPr>
              <w:t>Rule 13a-14(a)/15d-14(a) Certification of David A. Campbell.</w:t>
            </w:r>
          </w:p>
        </w:tc>
        <w:tc>
          <w:tcPr>
            <w:tcW w:w="1780" w:type="dxa"/>
            <w:vAlign w:val="bottom"/>
            <w:gridSpan w:val="2"/>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0000FF"/>
              </w:rPr>
              <w:t>Rule 13a-14(a)/15d-14(a) Certification of Kirkland B. Andrews.</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20"/>
                <w:szCs w:val="20"/>
                <w:color w:val="0000FF"/>
                <w:w w:val="91"/>
              </w:rPr>
              <w:t>Rule 13a-14(a)/15d-14(a) Certification of David A. Campbell.</w:t>
            </w:r>
          </w:p>
        </w:tc>
        <w:tc>
          <w:tcPr>
            <w:tcW w:w="140" w:type="dxa"/>
            <w:vAlign w:val="bottom"/>
            <w:tcBorders>
              <w:top w:val="single" w:sz="8" w:color="0000FF"/>
            </w:tcBorders>
          </w:tcPr>
          <w:p>
            <w:pPr>
              <w:spacing w:after="0"/>
              <w:rPr>
                <w:sz w:val="24"/>
                <w:szCs w:val="24"/>
                <w:color w:val="auto"/>
              </w:rPr>
            </w:pPr>
          </w:p>
        </w:tc>
        <w:tc>
          <w:tcPr>
            <w:tcW w:w="1640" w:type="dxa"/>
            <w:vAlign w:val="bottom"/>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0000FF"/>
              </w:rPr>
              <w:t>Rule 13a-14(a)/15d-14(a) Certification of Kirkland B. Andrews.</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20"/>
                <w:szCs w:val="20"/>
                <w:color w:val="0000FF"/>
                <w:w w:val="91"/>
              </w:rPr>
              <w:t>Rule 13a-14(a)/15d-14(a) Certification of David A. Campbell.</w:t>
            </w:r>
          </w:p>
        </w:tc>
        <w:tc>
          <w:tcPr>
            <w:tcW w:w="140" w:type="dxa"/>
            <w:vAlign w:val="bottom"/>
            <w:tcBorders>
              <w:top w:val="single" w:sz="8" w:color="0000FF"/>
            </w:tcBorders>
          </w:tcPr>
          <w:p>
            <w:pPr>
              <w:spacing w:after="0"/>
              <w:rPr>
                <w:sz w:val="24"/>
                <w:szCs w:val="24"/>
                <w:color w:val="auto"/>
              </w:rPr>
            </w:pPr>
          </w:p>
        </w:tc>
        <w:tc>
          <w:tcPr>
            <w:tcW w:w="1640" w:type="dxa"/>
            <w:vAlign w:val="bottom"/>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0000FF"/>
              </w:rPr>
              <w:t>Rule 13a-14(a)/15d-14(a) Certification of Kirkland B. Andrews.</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32.1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22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0"/>
                <w:szCs w:val="20"/>
                <w:color w:val="0000FF"/>
                <w:w w:val="91"/>
              </w:rPr>
              <w:t>Section 1350 Certifications.</w:t>
            </w:r>
          </w:p>
        </w:tc>
        <w:tc>
          <w:tcPr>
            <w:tcW w:w="2840" w:type="dxa"/>
            <w:vAlign w:val="bottom"/>
            <w:tcBorders>
              <w:top w:val="single" w:sz="8" w:color="0000FF"/>
            </w:tcBorders>
            <w:gridSpan w:val="4"/>
          </w:tcPr>
          <w:p>
            <w:pPr>
              <w:spacing w:after="0"/>
              <w:rPr>
                <w:sz w:val="24"/>
                <w:szCs w:val="24"/>
                <w:color w:val="auto"/>
              </w:rPr>
            </w:pPr>
          </w:p>
        </w:tc>
        <w:tc>
          <w:tcPr>
            <w:tcW w:w="1640" w:type="dxa"/>
            <w:vAlign w:val="bottom"/>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32.2</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224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91"/>
              </w:rPr>
              <w:t>Section 1350 Certifications.</w:t>
            </w:r>
          </w:p>
        </w:tc>
        <w:tc>
          <w:tcPr>
            <w:tcW w:w="4480" w:type="dxa"/>
            <w:vAlign w:val="bottom"/>
            <w:gridSpan w:val="5"/>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32.3</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222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w w:val="90"/>
              </w:rPr>
              <w:t>Section 1350 Certifications.</w:t>
            </w:r>
          </w:p>
        </w:tc>
        <w:tc>
          <w:tcPr>
            <w:tcW w:w="4500" w:type="dxa"/>
            <w:vAlign w:val="bottom"/>
            <w:gridSpan w:val="6"/>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376"/>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101.INS</w:t>
            </w: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20" w:type="dxa"/>
            <w:vAlign w:val="bottom"/>
            <w:gridSpan w:val="7"/>
          </w:tcPr>
          <w:p>
            <w:pPr>
              <w:spacing w:after="0"/>
              <w:rPr>
                <w:sz w:val="20"/>
                <w:szCs w:val="20"/>
                <w:color w:val="auto"/>
              </w:rPr>
            </w:pPr>
            <w:r>
              <w:rPr>
                <w:rFonts w:ascii="Arial" w:cs="Arial" w:eastAsia="Arial" w:hAnsi="Arial"/>
                <w:sz w:val="20"/>
                <w:szCs w:val="20"/>
                <w:color w:val="auto"/>
              </w:rPr>
              <w:t>XBRL Instance Document.</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93"/>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101.SCH</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auto"/>
              </w:rPr>
              <w:t>Inline XBRL Taxonomy Extension Schema Document.</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20" w:type="dxa"/>
            <w:vAlign w:val="bottom"/>
            <w:gridSpan w:val="3"/>
          </w:tcPr>
          <w:p>
            <w:pPr>
              <w:ind w:left="300"/>
              <w:spacing w:after="0" w:line="19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93"/>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101.CAL</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auto"/>
              </w:rPr>
              <w:t>Inline XBRL Taxonomy Extension Calculation Linkbase Document.</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20" w:type="dxa"/>
            <w:vAlign w:val="bottom"/>
            <w:gridSpan w:val="3"/>
          </w:tcPr>
          <w:p>
            <w:pPr>
              <w:ind w:left="300"/>
              <w:spacing w:after="0" w:line="19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93"/>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101.DEF</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auto"/>
              </w:rPr>
              <w:t>Inline XBRL Taxonomy Extension Definition Linkbase Document.</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20" w:type="dxa"/>
            <w:vAlign w:val="bottom"/>
            <w:gridSpan w:val="3"/>
          </w:tcPr>
          <w:p>
            <w:pPr>
              <w:ind w:left="300"/>
              <w:spacing w:after="0" w:line="19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93"/>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101.LAB</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auto"/>
              </w:rPr>
              <w:t>Inline XBRL Taxonomy Extension Labels Linkbase Document.</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20" w:type="dxa"/>
            <w:vAlign w:val="bottom"/>
            <w:gridSpan w:val="3"/>
          </w:tcPr>
          <w:p>
            <w:pPr>
              <w:ind w:left="300"/>
              <w:spacing w:after="0" w:line="19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93"/>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101.PRE</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auto"/>
              </w:rPr>
              <w:t>Inline XBRL Taxonomy Extension Presentation Linkbase Document.</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20" w:type="dxa"/>
            <w:vAlign w:val="bottom"/>
            <w:gridSpan w:val="3"/>
          </w:tcPr>
          <w:p>
            <w:pPr>
              <w:ind w:left="300"/>
              <w:spacing w:after="0" w:line="19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93"/>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auto"/>
                <w:w w:val="95"/>
              </w:rPr>
              <w:t>Cover Page Interactive Data File (embedded within the Inline XBRL document).</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20" w:type="dxa"/>
            <w:vAlign w:val="bottom"/>
            <w:gridSpan w:val="3"/>
          </w:tcPr>
          <w:p>
            <w:pPr>
              <w:ind w:left="300"/>
              <w:spacing w:after="0" w:line="215"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bl>
    <w:p>
      <w:pPr>
        <w:ind w:left="8840"/>
        <w:spacing w:after="0"/>
        <w:rPr>
          <w:sz w:val="20"/>
          <w:szCs w:val="20"/>
          <w:color w:val="auto"/>
        </w:rPr>
      </w:pPr>
      <w:r>
        <w:rPr>
          <w:rFonts w:ascii="Arial" w:cs="Arial" w:eastAsia="Arial" w:hAnsi="Arial"/>
          <w:sz w:val="20"/>
          <w:szCs w:val="20"/>
          <w:color w:val="auto"/>
        </w:rPr>
        <w:t>Evergy Metro</w:t>
      </w:r>
    </w:p>
    <w:p>
      <w:pPr>
        <w:spacing w:after="0" w:line="186" w:lineRule="exact"/>
        <w:rPr>
          <w:sz w:val="20"/>
          <w:szCs w:val="20"/>
          <w:color w:val="auto"/>
        </w:rPr>
      </w:pPr>
    </w:p>
    <w:p>
      <w:pPr>
        <w:ind w:right="60" w:firstLine="8"/>
        <w:spacing w:after="0" w:line="257" w:lineRule="auto"/>
        <w:tabs>
          <w:tab w:leader="none" w:pos="148" w:val="left"/>
        </w:tabs>
        <w:numPr>
          <w:ilvl w:val="0"/>
          <w:numId w:val="43"/>
        </w:numPr>
        <w:rPr>
          <w:rFonts w:ascii="Arial" w:cs="Arial" w:eastAsia="Arial" w:hAnsi="Arial"/>
          <w:sz w:val="20"/>
          <w:szCs w:val="20"/>
          <w:color w:val="auto"/>
        </w:rPr>
      </w:pPr>
      <w:r>
        <w:rPr>
          <w:rFonts w:ascii="Arial" w:cs="Arial" w:eastAsia="Arial" w:hAnsi="Arial"/>
          <w:sz w:val="20"/>
          <w:szCs w:val="20"/>
          <w:color w:val="auto"/>
        </w:rPr>
        <w:t>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spacing w:after="0" w:line="125" w:lineRule="exact"/>
        <w:rPr>
          <w:sz w:val="20"/>
          <w:szCs w:val="20"/>
          <w:color w:val="auto"/>
        </w:rPr>
      </w:pPr>
    </w:p>
    <w:p>
      <w:pPr>
        <w:jc w:val="both"/>
        <w:ind w:firstLine="8"/>
        <w:spacing w:after="0" w:line="257" w:lineRule="auto"/>
        <w:tabs>
          <w:tab w:leader="none" w:pos="247" w:val="left"/>
        </w:tabs>
        <w:numPr>
          <w:ilvl w:val="0"/>
          <w:numId w:val="44"/>
        </w:numPr>
        <w:rPr>
          <w:rFonts w:ascii="Arial" w:cs="Arial" w:eastAsia="Arial" w:hAnsi="Arial"/>
          <w:sz w:val="20"/>
          <w:szCs w:val="20"/>
          <w:color w:val="auto"/>
        </w:rPr>
      </w:pPr>
      <w:r>
        <w:rPr>
          <w:rFonts w:ascii="Arial" w:cs="Arial" w:eastAsia="Arial" w:hAnsi="Arial"/>
          <w:sz w:val="20"/>
          <w:szCs w:val="20"/>
          <w:color w:val="auto"/>
        </w:rPr>
        <w:t>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spacing w:after="0" w:line="111" w:lineRule="exact"/>
        <w:rPr>
          <w:rFonts w:ascii="Arial" w:cs="Arial" w:eastAsia="Arial" w:hAnsi="Arial"/>
          <w:sz w:val="20"/>
          <w:szCs w:val="20"/>
          <w:color w:val="auto"/>
        </w:rPr>
      </w:pPr>
    </w:p>
    <w:p>
      <w:pPr>
        <w:ind w:right="560" w:firstLine="8"/>
        <w:spacing w:after="0" w:line="274" w:lineRule="auto"/>
        <w:tabs>
          <w:tab w:leader="none" w:pos="346"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instance document does not appear in the interactive data file because its XBRL tags are embedded within the inline XBRL document.</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 Indicates management contract or compensatory plan or arrangement.</w:t>
      </w:r>
    </w:p>
    <w:p>
      <w:pPr>
        <w:sectPr>
          <w:pgSz w:w="11900" w:h="16838" w:orient="portrait"/>
          <w:cols w:equalWidth="0" w:num="1">
            <w:col w:w="11040"/>
          </w:cols>
          <w:pgMar w:left="320" w:top="9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9" w:right="5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Copies of any of the exhibits filed with the SEC in connection with this document may be obtained from Evergy, Evergy Kansas Central or Evergy Metro, as applicable, upon written request.</w:t>
      </w:r>
    </w:p>
    <w:p>
      <w:pPr>
        <w:spacing w:after="0" w:line="96" w:lineRule="exact"/>
        <w:rPr>
          <w:sz w:val="20"/>
          <w:szCs w:val="20"/>
          <w:color w:val="auto"/>
        </w:rPr>
      </w:pPr>
    </w:p>
    <w:p>
      <w:pPr>
        <w:ind w:right="400"/>
        <w:spacing w:after="0" w:line="316" w:lineRule="auto"/>
        <w:rPr>
          <w:sz w:val="20"/>
          <w:szCs w:val="20"/>
          <w:color w:val="auto"/>
        </w:rPr>
      </w:pPr>
      <w:r>
        <w:rPr>
          <w:rFonts w:ascii="Arial" w:cs="Arial" w:eastAsia="Arial" w:hAnsi="Arial"/>
          <w:sz w:val="18"/>
          <w:szCs w:val="18"/>
          <w:color w:val="auto"/>
        </w:rPr>
        <w:t>The registrants agree to furnish to the SEC upon request any instrument with respect to long-term debt as to which the total amount of securities authorized does not exceed 10% of total assets of such registrant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79" w:name="page80"/>
    <w:bookmarkEnd w:id="7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Evergy, Inc., Evergy Kansas Central, Inc. and Evergy Metro, Inc. have duly caused this report to be signed on their behalf by the undersigned, thereunto duly authorized.</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20"/>
          <w:szCs w:val="20"/>
          <w:b w:val="1"/>
          <w:bCs w:val="1"/>
          <w:color w:val="auto"/>
        </w:rPr>
        <w:t>EVERGY, INC.</w:t>
      </w:r>
    </w:p>
    <w:p>
      <w:pPr>
        <w:spacing w:after="0" w:line="289" w:lineRule="exact"/>
        <w:rPr>
          <w:sz w:val="20"/>
          <w:szCs w:val="20"/>
          <w:color w:val="auto"/>
        </w:rPr>
      </w:pPr>
    </w:p>
    <w:p>
      <w:pPr>
        <w:ind w:left="900" w:right="4740" w:hanging="4035"/>
        <w:spacing w:after="0" w:line="267" w:lineRule="auto"/>
        <w:tabs>
          <w:tab w:leader="none" w:pos="88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 xml:space="preserve">November 6, 2023 By: </w:t>
      </w:r>
      <w:r>
        <w:rPr>
          <w:rFonts w:ascii="Arial" w:cs="Arial" w:eastAsia="Arial" w:hAnsi="Arial"/>
          <w:sz w:val="20"/>
          <w:szCs w:val="20"/>
          <w:u w:val="single" w:color="auto"/>
          <w:color w:val="auto"/>
        </w:rPr>
        <w:t>/s/ Kirkland B. Andrews</w:t>
      </w:r>
      <w:r>
        <w:rPr>
          <w:rFonts w:ascii="Arial" w:cs="Arial" w:eastAsia="Arial" w:hAnsi="Arial"/>
          <w:sz w:val="20"/>
          <w:szCs w:val="20"/>
          <w:color w:val="auto"/>
        </w:rPr>
        <w:t xml:space="preserve"> (Kirkland B. Andrews)</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(Executive Vice President and Chief Financial Officer)</w:t>
      </w:r>
    </w:p>
    <w:p>
      <w:pPr>
        <w:spacing w:after="0" w:line="345"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EVERGY KANSAS CENTRAL, INC.</w:t>
      </w:r>
    </w:p>
    <w:p>
      <w:pPr>
        <w:spacing w:after="0" w:line="289" w:lineRule="exact"/>
        <w:rPr>
          <w:sz w:val="20"/>
          <w:szCs w:val="20"/>
          <w:color w:val="auto"/>
        </w:rPr>
      </w:pPr>
    </w:p>
    <w:p>
      <w:pPr>
        <w:ind w:left="920" w:right="4720" w:hanging="4062"/>
        <w:spacing w:after="0" w:line="267" w:lineRule="auto"/>
        <w:tabs>
          <w:tab w:leader="none" w:pos="90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 xml:space="preserve">November 6, 2023 By: </w:t>
      </w:r>
      <w:r>
        <w:rPr>
          <w:rFonts w:ascii="Arial" w:cs="Arial" w:eastAsia="Arial" w:hAnsi="Arial"/>
          <w:sz w:val="20"/>
          <w:szCs w:val="20"/>
          <w:u w:val="single" w:color="auto"/>
          <w:color w:val="auto"/>
        </w:rPr>
        <w:t>/s/ Kirkland B. Andrews</w:t>
      </w:r>
      <w:r>
        <w:rPr>
          <w:rFonts w:ascii="Arial" w:cs="Arial" w:eastAsia="Arial" w:hAnsi="Arial"/>
          <w:sz w:val="20"/>
          <w:szCs w:val="20"/>
          <w:color w:val="auto"/>
        </w:rPr>
        <w:t xml:space="preserve"> (Kirkland B. Andrews)</w:t>
      </w:r>
    </w:p>
    <w:p>
      <w:pPr>
        <w:spacing w:after="0" w:line="1"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(Executive Vice President and Chief Financial Officer)</w:t>
      </w:r>
    </w:p>
    <w:p>
      <w:pPr>
        <w:spacing w:after="0" w:line="385"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EVERGY METRO, INC.</w:t>
      </w:r>
    </w:p>
    <w:p>
      <w:pPr>
        <w:spacing w:after="0" w:line="289" w:lineRule="exact"/>
        <w:rPr>
          <w:sz w:val="20"/>
          <w:szCs w:val="20"/>
          <w:color w:val="auto"/>
        </w:rPr>
      </w:pPr>
    </w:p>
    <w:p>
      <w:pPr>
        <w:ind w:left="920" w:right="4720" w:hanging="4062"/>
        <w:spacing w:after="0" w:line="267" w:lineRule="auto"/>
        <w:tabs>
          <w:tab w:leader="none" w:pos="90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 xml:space="preserve">November 6, 2023 By: </w:t>
      </w:r>
      <w:r>
        <w:rPr>
          <w:rFonts w:ascii="Arial" w:cs="Arial" w:eastAsia="Arial" w:hAnsi="Arial"/>
          <w:sz w:val="20"/>
          <w:szCs w:val="20"/>
          <w:u w:val="single" w:color="auto"/>
          <w:color w:val="auto"/>
        </w:rPr>
        <w:t>/s/ Kirkland B. Andrews</w:t>
      </w:r>
      <w:r>
        <w:rPr>
          <w:rFonts w:ascii="Arial" w:cs="Arial" w:eastAsia="Arial" w:hAnsi="Arial"/>
          <w:sz w:val="20"/>
          <w:szCs w:val="20"/>
          <w:color w:val="auto"/>
        </w:rPr>
        <w:t xml:space="preserve"> (Kirkland B. Andrews)</w:t>
      </w:r>
    </w:p>
    <w:p>
      <w:pPr>
        <w:spacing w:after="0" w:line="1"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121" w:right="45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Inc.;</w:t>
      </w:r>
    </w:p>
    <w:p>
      <w:pPr>
        <w:spacing w:after="0" w:line="225" w:lineRule="exact"/>
        <w:rPr>
          <w:rFonts w:ascii="Arial" w:cs="Arial" w:eastAsia="Arial" w:hAnsi="Arial"/>
          <w:sz w:val="18"/>
          <w:szCs w:val="18"/>
          <w:color w:val="auto"/>
        </w:rPr>
      </w:pPr>
    </w:p>
    <w:p>
      <w:pPr>
        <w:ind w:left="660" w:right="140" w:hanging="652"/>
        <w:spacing w:after="0" w:line="263" w:lineRule="auto"/>
        <w:tabs>
          <w:tab w:leader="none" w:pos="327"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420" w:hanging="652"/>
        <w:spacing w:after="0" w:line="308" w:lineRule="auto"/>
        <w:tabs>
          <w:tab w:leader="none" w:pos="327"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32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60" w:hanging="644"/>
        <w:spacing w:after="0" w:line="263" w:lineRule="auto"/>
        <w:tabs>
          <w:tab w:leader="none" w:pos="1032"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042"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20" w:hanging="644"/>
        <w:spacing w:after="0" w:line="342" w:lineRule="auto"/>
        <w:tabs>
          <w:tab w:leader="none" w:pos="1032"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 w:hanging="644"/>
        <w:spacing w:after="0" w:line="263" w:lineRule="auto"/>
        <w:tabs>
          <w:tab w:leader="none" w:pos="1042"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60" w:hanging="652"/>
        <w:spacing w:after="0" w:line="308" w:lineRule="auto"/>
        <w:tabs>
          <w:tab w:leader="none" w:pos="327"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20" w:hanging="644"/>
        <w:spacing w:after="0" w:line="342" w:lineRule="auto"/>
        <w:tabs>
          <w:tab w:leader="none" w:pos="1032"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20" w:hanging="644"/>
        <w:spacing w:after="0" w:line="277" w:lineRule="auto"/>
        <w:tabs>
          <w:tab w:leader="none" w:pos="1042"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860" w:type="dxa"/>
            <w:vAlign w:val="bottom"/>
          </w:tcPr>
          <w:p>
            <w:pPr>
              <w:ind w:left="200"/>
              <w:spacing w:after="0"/>
              <w:rPr>
                <w:sz w:val="20"/>
                <w:szCs w:val="20"/>
                <w:color w:val="auto"/>
              </w:rPr>
            </w:pPr>
            <w:r>
              <w:rPr>
                <w:rFonts w:ascii="Arial" w:cs="Arial" w:eastAsia="Arial" w:hAnsi="Arial"/>
                <w:sz w:val="18"/>
                <w:szCs w:val="18"/>
                <w:color w:val="auto"/>
              </w:rPr>
              <w:t>November 6, 2023</w:t>
            </w: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112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2740" w:type="dxa"/>
            <w:vAlign w:val="bottom"/>
            <w:gridSpan w:val="2"/>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6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860" w:type="dxa"/>
            <w:vAlign w:val="bottom"/>
          </w:tcPr>
          <w:p>
            <w:pPr>
              <w:ind w:left="200"/>
              <w:spacing w:after="0"/>
              <w:rPr>
                <w:sz w:val="20"/>
                <w:szCs w:val="20"/>
                <w:color w:val="auto"/>
              </w:rPr>
            </w:pPr>
            <w:r>
              <w:rPr>
                <w:rFonts w:ascii="Arial" w:cs="Arial" w:eastAsia="Arial" w:hAnsi="Arial"/>
                <w:sz w:val="18"/>
                <w:szCs w:val="18"/>
                <w:color w:val="auto"/>
              </w:rPr>
              <w:t>November 6, 2023</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Kirkland B. Andrews</w:t>
            </w:r>
          </w:p>
        </w:tc>
        <w:tc>
          <w:tcPr>
            <w:tcW w:w="34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188"/>
        </w:trPr>
        <w:tc>
          <w:tcPr>
            <w:tcW w:w="60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100" w:type="dxa"/>
            <w:vAlign w:val="bottom"/>
            <w:gridSpan w:val="2"/>
          </w:tcPr>
          <w:p>
            <w:pPr>
              <w:spacing w:after="0" w:line="189" w:lineRule="exact"/>
              <w:rPr>
                <w:sz w:val="20"/>
                <w:szCs w:val="20"/>
                <w:color w:val="auto"/>
              </w:rPr>
            </w:pPr>
            <w:r>
              <w:rPr>
                <w:rFonts w:ascii="Arial" w:cs="Arial" w:eastAsia="Arial" w:hAnsi="Arial"/>
                <w:sz w:val="18"/>
                <w:szCs w:val="18"/>
                <w:color w:val="auto"/>
                <w:w w:val="88"/>
              </w:rPr>
              <w:t>Executive Vice President and</w:t>
            </w:r>
          </w:p>
        </w:tc>
      </w:tr>
      <w:tr>
        <w:trPr>
          <w:trHeight w:val="230"/>
        </w:trPr>
        <w:tc>
          <w:tcPr>
            <w:tcW w:w="6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Metro,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ind w:left="140"/>
              <w:spacing w:after="0"/>
              <w:rPr>
                <w:sz w:val="20"/>
                <w:szCs w:val="20"/>
                <w:color w:val="auto"/>
              </w:rPr>
            </w:pPr>
            <w:r>
              <w:rPr>
                <w:rFonts w:ascii="Arial" w:cs="Arial" w:eastAsia="Arial" w:hAnsi="Arial"/>
                <w:sz w:val="18"/>
                <w:szCs w:val="18"/>
                <w:color w:val="auto"/>
              </w:rPr>
              <w:t>November 6, 2023</w:t>
            </w:r>
          </w:p>
        </w:tc>
        <w:tc>
          <w:tcPr>
            <w:tcW w:w="2740" w:type="dxa"/>
            <w:vAlign w:val="bottom"/>
            <w:gridSpan w:val="2"/>
          </w:tcPr>
          <w:p>
            <w:pPr>
              <w:spacing w:after="0"/>
              <w:rPr>
                <w:sz w:val="20"/>
                <w:szCs w:val="20"/>
                <w:color w:val="auto"/>
              </w:rPr>
            </w:pPr>
            <w:r>
              <w:rPr>
                <w:rFonts w:ascii="Arial" w:cs="Arial" w:eastAsia="Arial" w:hAnsi="Arial"/>
                <w:sz w:val="18"/>
                <w:szCs w:val="18"/>
                <w:color w:val="auto"/>
              </w:rPr>
              <w:t>/s/ David A. Campbell</w:t>
            </w: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David A. Campbell</w:t>
            </w:r>
          </w:p>
        </w:tc>
        <w:tc>
          <w:tcPr>
            <w:tcW w:w="1120" w:type="dxa"/>
            <w:vAlign w:val="bottom"/>
          </w:tcPr>
          <w:p>
            <w:pPr>
              <w:spacing w:after="0"/>
              <w:rPr>
                <w:sz w:val="17"/>
                <w:szCs w:val="17"/>
                <w:color w:val="auto"/>
              </w:rPr>
            </w:pP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Metro,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900" w:type="dxa"/>
            <w:vAlign w:val="bottom"/>
          </w:tcPr>
          <w:p>
            <w:pPr>
              <w:ind w:left="220"/>
              <w:spacing w:after="0"/>
              <w:rPr>
                <w:sz w:val="20"/>
                <w:szCs w:val="20"/>
                <w:color w:val="auto"/>
              </w:rPr>
            </w:pPr>
            <w:r>
              <w:rPr>
                <w:rFonts w:ascii="Arial" w:cs="Arial" w:eastAsia="Arial" w:hAnsi="Arial"/>
                <w:sz w:val="18"/>
                <w:szCs w:val="18"/>
                <w:color w:val="auto"/>
              </w:rPr>
              <w:t>November 6, 2023</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Kirkland B. Andrews</w:t>
            </w:r>
          </w:p>
        </w:tc>
        <w:tc>
          <w:tcPr>
            <w:tcW w:w="34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188"/>
        </w:trPr>
        <w:tc>
          <w:tcPr>
            <w:tcW w:w="6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100" w:type="dxa"/>
            <w:vAlign w:val="bottom"/>
            <w:gridSpan w:val="2"/>
          </w:tcPr>
          <w:p>
            <w:pPr>
              <w:spacing w:after="0" w:line="189" w:lineRule="exact"/>
              <w:rPr>
                <w:sz w:val="20"/>
                <w:szCs w:val="20"/>
                <w:color w:val="auto"/>
              </w:rPr>
            </w:pPr>
            <w:r>
              <w:rPr>
                <w:rFonts w:ascii="Arial" w:cs="Arial" w:eastAsia="Arial" w:hAnsi="Arial"/>
                <w:sz w:val="18"/>
                <w:szCs w:val="18"/>
                <w:color w:val="auto"/>
                <w:w w:val="88"/>
              </w:rPr>
              <w:t>Executive Vice President and</w:t>
            </w:r>
          </w:p>
        </w:tc>
      </w:tr>
      <w:tr>
        <w:trPr>
          <w:trHeight w:val="230"/>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31.5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Kansas Central,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ind w:left="140"/>
              <w:spacing w:after="0"/>
              <w:rPr>
                <w:sz w:val="20"/>
                <w:szCs w:val="20"/>
                <w:color w:val="auto"/>
              </w:rPr>
            </w:pPr>
            <w:r>
              <w:rPr>
                <w:rFonts w:ascii="Arial" w:cs="Arial" w:eastAsia="Arial" w:hAnsi="Arial"/>
                <w:sz w:val="18"/>
                <w:szCs w:val="18"/>
                <w:color w:val="auto"/>
              </w:rPr>
              <w:t>November 6, 2023</w:t>
            </w:r>
          </w:p>
        </w:tc>
        <w:tc>
          <w:tcPr>
            <w:tcW w:w="2740" w:type="dxa"/>
            <w:vAlign w:val="bottom"/>
            <w:gridSpan w:val="2"/>
          </w:tcPr>
          <w:p>
            <w:pPr>
              <w:spacing w:after="0"/>
              <w:rPr>
                <w:sz w:val="20"/>
                <w:szCs w:val="20"/>
                <w:color w:val="auto"/>
              </w:rPr>
            </w:pPr>
            <w:r>
              <w:rPr>
                <w:rFonts w:ascii="Arial" w:cs="Arial" w:eastAsia="Arial" w:hAnsi="Arial"/>
                <w:sz w:val="18"/>
                <w:szCs w:val="18"/>
                <w:color w:val="auto"/>
              </w:rPr>
              <w:t>/s/ David A. Campbell</w:t>
            </w: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David A. Campbell</w:t>
            </w:r>
          </w:p>
        </w:tc>
        <w:tc>
          <w:tcPr>
            <w:tcW w:w="1120" w:type="dxa"/>
            <w:vAlign w:val="bottom"/>
          </w:tcPr>
          <w:p>
            <w:pPr>
              <w:spacing w:after="0"/>
              <w:rPr>
                <w:sz w:val="17"/>
                <w:szCs w:val="17"/>
                <w:color w:val="auto"/>
              </w:rPr>
            </w:pP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31.6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Kansas Central,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2"/>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2"/>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2"/>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2"/>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571"/>
        <w:spacing w:after="0" w:line="342" w:lineRule="auto"/>
        <w:tabs>
          <w:tab w:leader="none" w:pos="6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2"/>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2"/>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900" w:type="dxa"/>
            <w:vAlign w:val="bottom"/>
          </w:tcPr>
          <w:p>
            <w:pPr>
              <w:ind w:left="220"/>
              <w:spacing w:after="0"/>
              <w:rPr>
                <w:sz w:val="20"/>
                <w:szCs w:val="20"/>
                <w:color w:val="auto"/>
              </w:rPr>
            </w:pPr>
            <w:r>
              <w:rPr>
                <w:rFonts w:ascii="Arial" w:cs="Arial" w:eastAsia="Arial" w:hAnsi="Arial"/>
                <w:sz w:val="18"/>
                <w:szCs w:val="18"/>
                <w:color w:val="auto"/>
              </w:rPr>
              <w:t>November 6, 2023</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Kirkland B. Andrews</w:t>
            </w:r>
          </w:p>
        </w:tc>
        <w:tc>
          <w:tcPr>
            <w:tcW w:w="34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188"/>
        </w:trPr>
        <w:tc>
          <w:tcPr>
            <w:tcW w:w="6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100" w:type="dxa"/>
            <w:vAlign w:val="bottom"/>
            <w:gridSpan w:val="2"/>
          </w:tcPr>
          <w:p>
            <w:pPr>
              <w:spacing w:after="0" w:line="189" w:lineRule="exact"/>
              <w:rPr>
                <w:sz w:val="20"/>
                <w:szCs w:val="20"/>
                <w:color w:val="auto"/>
              </w:rPr>
            </w:pPr>
            <w:r>
              <w:rPr>
                <w:rFonts w:ascii="Arial" w:cs="Arial" w:eastAsia="Arial" w:hAnsi="Arial"/>
                <w:sz w:val="18"/>
                <w:szCs w:val="18"/>
                <w:color w:val="auto"/>
                <w:w w:val="88"/>
              </w:rPr>
              <w:t>Executive Vice President and</w:t>
            </w:r>
          </w:p>
        </w:tc>
      </w:tr>
      <w:tr>
        <w:trPr>
          <w:trHeight w:val="230"/>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connection with the Quarterly Report on Form 10-Q of Evergy, Inc. (the "Company") for the quarterly period ended September 30, 2023,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820" w:hanging="488"/>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right="760" w:hanging="488"/>
        <w:spacing w:after="0" w:line="277" w:lineRule="auto"/>
        <w:tabs>
          <w:tab w:leader="none" w:pos="81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42"/>
        </w:trPr>
        <w:tc>
          <w:tcPr>
            <w:tcW w:w="146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November 6, 2023</w:t>
            </w:r>
          </w:p>
        </w:tc>
      </w:tr>
      <w:tr>
        <w:trPr>
          <w:trHeight w:val="418"/>
        </w:trPr>
        <w:tc>
          <w:tcPr>
            <w:tcW w:w="146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42"/>
        </w:trPr>
        <w:tc>
          <w:tcPr>
            <w:tcW w:w="146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November 6, 2023</w:t>
            </w:r>
          </w:p>
        </w:tc>
      </w:tr>
    </w:tbl>
    <w:p>
      <w:pPr>
        <w:sectPr>
          <w:pgSz w:w="11900" w:h="16838" w:orient="portrait"/>
          <w:cols w:equalWidth="0" w:num="1">
            <w:col w:w="11240"/>
          </w:cols>
          <w:pgMar w:left="320" w:top="895"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connection with the Quarterly Report on Form 10-Q of Evergy Metro, Inc. (the "Company") for the quarterly period ended September 30, 2023,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640" w:hanging="30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42"/>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November 6, 2023</w:t>
            </w:r>
          </w:p>
        </w:tc>
      </w:tr>
      <w:tr>
        <w:trPr>
          <w:trHeight w:val="418"/>
        </w:trPr>
        <w:tc>
          <w:tcPr>
            <w:tcW w:w="150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42"/>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November 6, 2023</w:t>
            </w:r>
          </w:p>
        </w:tc>
      </w:tr>
    </w:tbl>
    <w:p>
      <w:pPr>
        <w:sectPr>
          <w:pgSz w:w="11900" w:h="16838" w:orient="portrait"/>
          <w:cols w:equalWidth="0" w:num="1">
            <w:col w:w="11240"/>
          </w:cols>
          <w:pgMar w:left="320" w:top="895"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Exhibit 32.3</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connection with the Quarterly Report on Form 10-Q of Evergy Kansas Central, Inc. (the "Company") for the quarterly period ended September 30, 2023,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640" w:hanging="30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42"/>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November 6, 2023</w:t>
            </w:r>
          </w:p>
        </w:tc>
      </w:tr>
      <w:tr>
        <w:trPr>
          <w:trHeight w:val="418"/>
        </w:trPr>
        <w:tc>
          <w:tcPr>
            <w:tcW w:w="150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42"/>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November 6, 2023</w:t>
            </w:r>
          </w:p>
        </w:tc>
      </w:tr>
    </w:tbl>
    <w:p>
      <w:pPr>
        <w:spacing w:after="0" w:line="1" w:lineRule="exact"/>
        <w:rPr>
          <w:sz w:val="20"/>
          <w:szCs w:val="20"/>
          <w:color w:val="auto"/>
        </w:rPr>
      </w:pP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lowerLetter"/>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1."/>
      <w:numFmt w:val="decimal"/>
      <w:start w:val="4"/>
    </w:lvl>
    <w:lvl w:ilvl="1">
      <w:lvlJc w:val="left"/>
      <w:lvlText w:val="•"/>
      <w:numFmt w:val="bullet"/>
      <w:start w:val="1"/>
    </w:lvl>
  </w:abstractNum>
  <w:abstractNum w:abstractNumId="6">
    <w:nsid w:val="1E7FF521"/>
    <w:multiLevelType w:val="hybridMultilevel"/>
    <w:lvl w:ilvl="0">
      <w:lvlJc w:val="left"/>
      <w:lvlText w:val="(%1)"/>
      <w:numFmt w:val="lowerLetter"/>
      <w:start w:val="1"/>
    </w:lvl>
  </w:abstractNum>
  <w:abstractNum w:abstractNumId="7">
    <w:nsid w:val="7C3DBD3D"/>
    <w:multiLevelType w:val="hybridMultilevel"/>
    <w:lvl w:ilvl="0">
      <w:lvlJc w:val="left"/>
      <w:lvlText w:val="(%1)"/>
      <w:numFmt w:val="lowerLetter"/>
      <w:start w:val="1"/>
    </w:lvl>
  </w:abstractNum>
  <w:abstractNum w:abstractNumId="8">
    <w:nsid w:val="737B8DDC"/>
    <w:multiLevelType w:val="hybridMultilevel"/>
    <w:lvl w:ilvl="0">
      <w:lvlJc w:val="left"/>
      <w:lvlText w:val="(%1)"/>
      <w:numFmt w:val="lowerLetter"/>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1)"/>
      <w:numFmt w:val="lowerLetter"/>
      <w:start w:val="1"/>
    </w:lvl>
  </w:abstractNum>
  <w:abstractNum w:abstractNumId="11">
    <w:nsid w:val="4516DDE9"/>
    <w:multiLevelType w:val="hybridMultilevel"/>
    <w:lvl w:ilvl="0">
      <w:lvlJc w:val="left"/>
      <w:lvlText w:val="(%1)"/>
      <w:numFmt w:val="lowerLetter"/>
      <w:start w:val="1"/>
    </w:lvl>
  </w:abstractNum>
  <w:abstractNum w:abstractNumId="12">
    <w:nsid w:val="3006C83E"/>
    <w:multiLevelType w:val="hybridMultilevel"/>
    <w:lvl w:ilvl="0">
      <w:lvlJc w:val="left"/>
      <w:lvlText w:val="(%1)"/>
      <w:numFmt w:val="lowerLetter"/>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1)"/>
      <w:numFmt w:val="lowerLetter"/>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1)"/>
      <w:numFmt w:val="lowerLetter"/>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1)"/>
      <w:numFmt w:val="lowerLetter"/>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1."/>
      <w:numFmt w:val="decimal"/>
      <w:start w:val="1"/>
    </w:lvl>
    <w:lvl w:ilvl="1">
      <w:lvlJc w:val="left"/>
      <w:lvlText w:val="(%2)"/>
      <w:numFmt w:val="lowerLetter"/>
      <w:start w:val="1"/>
    </w:lvl>
  </w:abstractNum>
  <w:abstractNum w:abstractNumId="46">
    <w:nsid w:val="3DC240FB"/>
    <w:multiLevelType w:val="hybridMultilevel"/>
    <w:lvl w:ilvl="0">
      <w:lvlJc w:val="left"/>
      <w:lvlText w:val="%1."/>
      <w:numFmt w:val="decimal"/>
      <w:start w:val="1"/>
    </w:lvl>
    <w:lvl w:ilvl="1">
      <w:lvlJc w:val="left"/>
      <w:lvlText w:val="(%2)"/>
      <w:numFmt w:val="lowerLetter"/>
      <w:start w:val="1"/>
    </w:lvl>
  </w:abstractNum>
  <w:abstractNum w:abstractNumId="47">
    <w:nsid w:val="1BA026FA"/>
    <w:multiLevelType w:val="hybridMultilevel"/>
    <w:lvl w:ilvl="0">
      <w:lvlJc w:val="left"/>
      <w:lvlText w:val="%1."/>
      <w:numFmt w:val="decimal"/>
      <w:start w:val="1"/>
    </w:lvl>
    <w:lvl w:ilvl="1">
      <w:lvlJc w:val="left"/>
      <w:lvlText w:val="(%2)"/>
      <w:numFmt w:val="lowerLetter"/>
      <w:start w:val="1"/>
    </w:lvl>
  </w:abstractNum>
  <w:abstractNum w:abstractNumId="48">
    <w:nsid w:val="79A1DEAA"/>
    <w:multiLevelType w:val="hybridMultilevel"/>
    <w:lvl w:ilvl="0">
      <w:lvlJc w:val="left"/>
      <w:lvlText w:val="%1."/>
      <w:numFmt w:val="decimal"/>
      <w:start w:val="1"/>
    </w:lvl>
    <w:lvl w:ilvl="1">
      <w:lvlJc w:val="left"/>
      <w:lvlText w:val="(%2)"/>
      <w:numFmt w:val="lowerLetter"/>
      <w:start w:val="1"/>
    </w:lvl>
  </w:abstractNum>
  <w:abstractNum w:abstractNumId="49">
    <w:nsid w:val="75C6C33A"/>
    <w:multiLevelType w:val="hybridMultilevel"/>
    <w:lvl w:ilvl="0">
      <w:lvlJc w:val="left"/>
      <w:lvlText w:val="%1."/>
      <w:numFmt w:val="decimal"/>
      <w:start w:val="1"/>
    </w:lvl>
    <w:lvl w:ilvl="1">
      <w:lvlJc w:val="left"/>
      <w:lvlText w:val="(%2)"/>
      <w:numFmt w:val="lowerLetter"/>
      <w:start w:val="1"/>
    </w:lvl>
  </w:abstractNum>
  <w:abstractNum w:abstractNumId="50">
    <w:nsid w:val="12E685F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2023-11-07T05:30:32Z</dcterms:created>
  <dcterms:modified xsi:type="dcterms:W3CDTF">2023-11-07T05:30:32Z</dcterms:modified>
</cp:coreProperties>
</file>