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4862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862830"/>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gridSpan w:val="2"/>
            <w:vMerge w:val="restart"/>
          </w:tcPr>
          <w:p>
            <w:pPr>
              <w:spacing w:after="0"/>
              <w:rPr>
                <w:rFonts w:ascii="Times New Roman" w:cs="Times New Roman" w:eastAsia="Times New Roman" w:hAnsi="Times New Roman"/>
                <w:sz w:val="21"/>
                <w:szCs w:val="21"/>
                <w:color w:val="0000EE"/>
                <w:w w:val="99"/>
              </w:rPr>
            </w:pPr>
            <w:hyperlink r:id="rId13">
              <w:r>
                <w:rPr>
                  <w:rFonts w:ascii="Times New Roman" w:cs="Times New Roman" w:eastAsia="Times New Roman" w:hAnsi="Times New Roman"/>
                  <w:sz w:val="21"/>
                  <w:szCs w:val="21"/>
                  <w:color w:val="0000EE"/>
                  <w:w w:val="99"/>
                </w:rPr>
                <w:t>Keglevic Paul</w:t>
              </w:r>
            </w:hyperlink>
          </w:p>
        </w:tc>
        <w:tc>
          <w:tcPr>
            <w:tcW w:w="8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Evergy,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EVRG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80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0" w:type="dxa"/>
            <w:vAlign w:val="bottom"/>
            <w:tcBorders>
              <w:top w:val="single" w:sz="8" w:color="0000EE"/>
            </w:tcBorders>
          </w:tcPr>
          <w:p>
            <w:pPr>
              <w:spacing w:after="0"/>
              <w:rPr>
                <w:sz w:val="5"/>
                <w:szCs w:val="5"/>
                <w:color w:val="auto"/>
              </w:rPr>
            </w:pPr>
          </w:p>
        </w:tc>
        <w:tc>
          <w:tcPr>
            <w:tcW w:w="27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7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800" w:type="dxa"/>
            <w:vAlign w:val="bottom"/>
            <w:tcBorders>
              <w:top w:val="single" w:sz="8" w:color="EEEEEE"/>
            </w:tcBorders>
          </w:tcPr>
          <w:p>
            <w:pPr>
              <w:spacing w:after="0"/>
              <w:rPr>
                <w:sz w:val="2"/>
                <w:szCs w:val="2"/>
                <w:color w:val="auto"/>
              </w:rPr>
            </w:pPr>
          </w:p>
        </w:tc>
        <w:tc>
          <w:tcPr>
            <w:tcW w:w="162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800" w:type="dxa"/>
            <w:vAlign w:val="bottom"/>
            <w:vMerge w:val="restart"/>
          </w:tcPr>
          <w:p>
            <w:pPr>
              <w:ind w:left="20"/>
              <w:spacing w:after="0"/>
              <w:rPr>
                <w:sz w:val="20"/>
                <w:szCs w:val="20"/>
                <w:color w:val="auto"/>
              </w:rPr>
            </w:pPr>
            <w:r>
              <w:rPr>
                <w:rFonts w:ascii="Arial" w:cs="Arial" w:eastAsia="Arial" w:hAnsi="Arial"/>
                <w:sz w:val="13"/>
                <w:szCs w:val="13"/>
                <w:color w:val="auto"/>
              </w:rPr>
              <w:t>(First)</w:t>
            </w:r>
          </w:p>
        </w:tc>
        <w:tc>
          <w:tcPr>
            <w:tcW w:w="162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60" w:type="dxa"/>
            <w:vAlign w:val="bottom"/>
          </w:tcPr>
          <w:p>
            <w:pPr>
              <w:ind w:left="60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1620" w:type="dxa"/>
            <w:vAlign w:val="bottom"/>
            <w:vMerge w:val="continue"/>
          </w:tcPr>
          <w:p>
            <w:pPr>
              <w:spacing w:after="0"/>
              <w:rPr>
                <w:sz w:val="8"/>
                <w:szCs w:val="8"/>
                <w:color w:val="auto"/>
              </w:rPr>
            </w:pPr>
          </w:p>
        </w:tc>
        <w:tc>
          <w:tcPr>
            <w:tcW w:w="11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05/06/2026</w:t>
            </w:r>
          </w:p>
        </w:tc>
        <w:tc>
          <w:tcPr>
            <w:tcW w:w="27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EVERGY, INC.</w:t>
            </w:r>
          </w:p>
        </w:tc>
        <w:tc>
          <w:tcPr>
            <w:tcW w:w="1620" w:type="dxa"/>
            <w:vAlign w:val="bottom"/>
          </w:tcPr>
          <w:p>
            <w:pPr>
              <w:spacing w:after="0"/>
              <w:rPr>
                <w:sz w:val="10"/>
                <w:szCs w:val="10"/>
                <w:color w:val="auto"/>
              </w:rPr>
            </w:pPr>
          </w:p>
        </w:tc>
        <w:tc>
          <w:tcPr>
            <w:tcW w:w="1160" w:type="dxa"/>
            <w:vAlign w:val="bottom"/>
            <w:gridSpan w:val="3"/>
            <w:vMerge w:val="continue"/>
          </w:tcPr>
          <w:p>
            <w:pPr>
              <w:spacing w:after="0"/>
              <w:rPr>
                <w:sz w:val="10"/>
                <w:szCs w:val="10"/>
                <w:color w:val="auto"/>
              </w:rPr>
            </w:pPr>
          </w:p>
        </w:tc>
        <w:tc>
          <w:tcPr>
            <w:tcW w:w="27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0" w:type="dxa"/>
            <w:vAlign w:val="bottom"/>
            <w:gridSpan w:val="3"/>
            <w:vMerge w:val="continue"/>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1200 MAIN STREET</w:t>
            </w: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000" w:type="dxa"/>
            <w:vAlign w:val="bottom"/>
            <w:tcBorders>
              <w:bottom w:val="single" w:sz="8" w:color="2C2C2C"/>
            </w:tcBorders>
          </w:tcPr>
          <w:p>
            <w:pPr>
              <w:spacing w:after="0"/>
              <w:rPr>
                <w:sz w:val="12"/>
                <w:szCs w:val="12"/>
                <w:color w:val="auto"/>
              </w:rPr>
            </w:pPr>
          </w:p>
        </w:tc>
        <w:tc>
          <w:tcPr>
            <w:tcW w:w="27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000" w:type="dxa"/>
            <w:vAlign w:val="bottom"/>
            <w:gridSpan w:val="3"/>
            <w:vMerge w:val="continue"/>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KANSAS CITY  MO</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64105</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8"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Director</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08"/>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05/06/2026</w:t>
            </w:r>
          </w:p>
        </w:tc>
        <w:tc>
          <w:tcPr>
            <w:tcW w:w="110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1,961</w:t>
            </w:r>
          </w:p>
        </w:tc>
        <w:tc>
          <w:tcPr>
            <w:tcW w:w="260" w:type="dxa"/>
            <w:vAlign w:val="bottom"/>
          </w:tcPr>
          <w:p>
            <w:pPr>
              <w:spacing w:after="0"/>
              <w:rPr>
                <w:sz w:val="18"/>
                <w:szCs w:val="18"/>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tcPr>
          <w:p>
            <w:pPr>
              <w:jc w:val="right"/>
              <w:ind w:right="243"/>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1,961</w:t>
            </w: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240"/>
              <w:spacing w:after="0" w:line="208" w:lineRule="exact"/>
              <w:rPr>
                <w:sz w:val="20"/>
                <w:szCs w:val="20"/>
                <w:color w:val="auto"/>
              </w:rPr>
            </w:pPr>
            <w:r>
              <w:rPr>
                <w:rFonts w:ascii="Times New Roman" w:cs="Times New Roman" w:eastAsia="Times New Roman" w:hAnsi="Times New Roman"/>
                <w:sz w:val="13"/>
                <w:szCs w:val="13"/>
                <w:color w:val="0000FF"/>
              </w:rPr>
              <w:t>18,964</w:t>
            </w:r>
            <w:r>
              <w:rPr>
                <w:rFonts w:ascii="Times New Roman" w:cs="Times New Roman" w:eastAsia="Times New Roman" w:hAnsi="Times New Roman"/>
                <w:sz w:val="21"/>
                <w:szCs w:val="21"/>
                <w:color w:val="008000"/>
                <w:vertAlign w:val="superscript"/>
              </w:rPr>
              <w:t>(3)</w:t>
            </w:r>
          </w:p>
        </w:tc>
        <w:tc>
          <w:tcPr>
            <w:tcW w:w="7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8"/>
                <w:szCs w:val="18"/>
                <w:color w:val="auto"/>
              </w:rPr>
            </w:pPr>
          </w:p>
        </w:tc>
      </w:tr>
      <w:tr>
        <w:trPr>
          <w:trHeight w:val="92"/>
        </w:trPr>
        <w:tc>
          <w:tcPr>
            <w:tcW w:w="700" w:type="dxa"/>
            <w:vAlign w:val="bottom"/>
          </w:tcPr>
          <w:p>
            <w:pPr>
              <w:ind w:left="60"/>
              <w:spacing w:after="0" w:line="92" w:lineRule="exact"/>
              <w:rPr>
                <w:sz w:val="20"/>
                <w:szCs w:val="20"/>
                <w:color w:val="auto"/>
              </w:rPr>
            </w:pPr>
            <w:r>
              <w:rPr>
                <w:rFonts w:ascii="Times New Roman" w:cs="Times New Roman" w:eastAsia="Times New Roman" w:hAnsi="Times New Roman"/>
                <w:sz w:val="10"/>
                <w:szCs w:val="10"/>
                <w:color w:val="0000FF"/>
              </w:rPr>
              <w:t>Share</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ind w:left="160"/>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Units</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48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Director deferred share units represent the right to receive one share of Evergy, Inc. common stock, plus, if applicable, stock reflecting reinvested dividends. Units are converted to stock and distributed following termination of service on the Board pursuant to elections made by the reporting person.</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Director deferred share units received as a partial payment of retainer fees that have been deferred pursuant to elections made by the reporting person.</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625 deferred share units acquired through the reinvestment of dividend equivalents.</w:t>
      </w:r>
    </w:p>
    <w:p>
      <w:pPr>
        <w:spacing w:after="0" w:line="72"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Executed on behalf of Paul 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-8255</wp:posOffset>
            </wp:positionV>
            <wp:extent cx="13112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3"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Keglevic by Christie Dasek-</w:t>
      </w:r>
      <w:r>
        <w:rPr>
          <w:sz w:val="20"/>
          <w:szCs w:val="20"/>
          <w:color w:val="auto"/>
        </w:rPr>
        <w:tab/>
      </w:r>
      <w:r>
        <w:rPr>
          <w:rFonts w:ascii="Times New Roman" w:cs="Times New Roman" w:eastAsia="Times New Roman" w:hAnsi="Times New Roman"/>
          <w:sz w:val="16"/>
          <w:szCs w:val="16"/>
          <w:color w:val="0000FF"/>
        </w:rPr>
        <w:t>05/08/2026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18840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40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Kaine,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9772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spacing w:after="0" w:line="3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561514" TargetMode="External"/><Relationship Id="rId14" Type="http://schemas.openxmlformats.org/officeDocument/2006/relationships/hyperlink" Target="http://www.sec.gov/cgi-bin/browse-edgar?action=getcompany&amp;CIK=000171126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2026-05-08T13:14:57Z</dcterms:created>
  <dcterms:modified xsi:type="dcterms:W3CDTF">2026-05-08T13:14:57Z</dcterms:modified>
</cp:coreProperties>
</file>