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666750</wp:posOffset>
            </wp:positionH>
            <wp:positionV relativeFrom="page">
              <wp:posOffset>369570</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407670</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t>UNITED STATES</w:t>
      </w:r>
    </w:p>
    <w:p>
      <w:pPr>
        <w:spacing w:after="0" w:line="4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206375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226695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7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w:t>
      </w:r>
    </w:p>
    <w:p>
      <w:pPr>
        <w:spacing w:after="0" w:line="3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December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206375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ectPr>
          <w:pgSz w:w="11900" w:h="16840" w:orient="portrait"/>
          <w:cols w:equalWidth="0" w:num="1">
            <w:col w:w="9790"/>
          </w:cols>
          <w:pgMar w:left="1050" w:top="683" w:right="106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1070"/>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line="23" w:lineRule="exact"/>
        <w:rPr>
          <w:sz w:val="24"/>
          <w:szCs w:val="24"/>
          <w:color w:val="auto"/>
        </w:rPr>
      </w:pPr>
    </w:p>
    <w:p>
      <w:pPr>
        <w:ind w:left="1050"/>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7989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8955" cy="7620"/>
                    </a:xfrm>
                    <a:prstGeom prst="rect">
                      <a:avLst/>
                    </a:prstGeom>
                    <a:noFill/>
                  </pic:spPr>
                </pic:pic>
              </a:graphicData>
            </a:graphic>
          </wp:anchor>
        </w:drawing>
      </w:r>
    </w:p>
    <w:p>
      <w:pPr>
        <w:spacing w:after="0" w:line="257" w:lineRule="exact"/>
        <w:rPr>
          <w:sz w:val="24"/>
          <w:szCs w:val="24"/>
          <w:color w:val="auto"/>
        </w:rPr>
      </w:pPr>
    </w:p>
    <w:p>
      <w:pPr>
        <w:ind w:left="1070"/>
        <w:spacing w:after="0"/>
        <w:rPr>
          <w:sz w:val="20"/>
          <w:szCs w:val="20"/>
          <w:color w:val="auto"/>
        </w:rPr>
      </w:pPr>
      <w:r>
        <w:rPr>
          <w:rFonts w:ascii="Times New Roman" w:cs="Times New Roman" w:eastAsia="Times New Roman" w:hAnsi="Times New Roman"/>
          <w:sz w:val="16"/>
          <w:szCs w:val="16"/>
          <w:b w:val="1"/>
          <w:bCs w:val="1"/>
          <w:color w:val="auto"/>
        </w:rPr>
        <w:t>001-38515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5" w:lineRule="exact"/>
        <w:rPr>
          <w:sz w:val="24"/>
          <w:szCs w:val="24"/>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156"/>
        </w:trPr>
        <w:tc>
          <w:tcPr>
            <w:tcW w:w="4000" w:type="dxa"/>
            <w:vAlign w:val="bottom"/>
          </w:tcPr>
          <w:p>
            <w:pPr>
              <w:jc w:val="center"/>
              <w:ind w:right="634"/>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 State</w:t>
            </w:r>
          </w:p>
        </w:tc>
        <w:tc>
          <w:tcPr>
            <w:tcW w:w="1600" w:type="dxa"/>
            <w:vAlign w:val="bottom"/>
          </w:tcPr>
          <w:p>
            <w:pPr>
              <w:spacing w:after="0"/>
              <w:rPr>
                <w:sz w:val="13"/>
                <w:szCs w:val="13"/>
                <w:color w:val="auto"/>
              </w:rPr>
            </w:pPr>
          </w:p>
        </w:tc>
      </w:tr>
      <w:tr>
        <w:trPr>
          <w:trHeight w:val="156"/>
        </w:trPr>
        <w:tc>
          <w:tcPr>
            <w:tcW w:w="4000" w:type="dxa"/>
            <w:vAlign w:val="bottom"/>
          </w:tcPr>
          <w:p>
            <w:pPr>
              <w:jc w:val="center"/>
              <w:ind w:right="594"/>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600" w:type="dxa"/>
            <w:vAlign w:val="bottom"/>
          </w:tcPr>
          <w:p>
            <w:pPr>
              <w:jc w:val="center"/>
              <w:ind w:left="61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4000" w:type="dxa"/>
            <w:vAlign w:val="bottom"/>
          </w:tcPr>
          <w:p>
            <w:pPr>
              <w:jc w:val="center"/>
              <w:ind w:right="59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and</w:t>
            </w:r>
          </w:p>
        </w:tc>
        <w:tc>
          <w:tcPr>
            <w:tcW w:w="1600" w:type="dxa"/>
            <w:vAlign w:val="bottom"/>
          </w:tcPr>
          <w:p>
            <w:pPr>
              <w:jc w:val="center"/>
              <w:ind w:left="614"/>
              <w:spacing w:after="0"/>
              <w:rPr>
                <w:sz w:val="20"/>
                <w:szCs w:val="20"/>
                <w:color w:val="auto"/>
              </w:rPr>
            </w:pPr>
            <w:r>
              <w:rPr>
                <w:rFonts w:ascii="Times New Roman" w:cs="Times New Roman" w:eastAsia="Times New Roman" w:hAnsi="Times New Roman"/>
                <w:sz w:val="13"/>
                <w:szCs w:val="13"/>
                <w:b w:val="1"/>
                <w:bCs w:val="1"/>
                <w:color w:val="auto"/>
              </w:rPr>
              <w:t>Identification</w:t>
            </w:r>
          </w:p>
        </w:tc>
      </w:tr>
      <w:tr>
        <w:trPr>
          <w:trHeight w:val="174"/>
        </w:trPr>
        <w:tc>
          <w:tcPr>
            <w:tcW w:w="4000" w:type="dxa"/>
            <w:vAlign w:val="bottom"/>
          </w:tcPr>
          <w:p>
            <w:pPr>
              <w:jc w:val="center"/>
              <w:ind w:right="594"/>
              <w:spacing w:after="0"/>
              <w:rPr>
                <w:sz w:val="20"/>
                <w:szCs w:val="20"/>
                <w:color w:val="auto"/>
              </w:rPr>
            </w:pPr>
            <w:r>
              <w:rPr>
                <w:rFonts w:ascii="Times New Roman" w:cs="Times New Roman" w:eastAsia="Times New Roman" w:hAnsi="Times New Roman"/>
                <w:sz w:val="13"/>
                <w:szCs w:val="13"/>
                <w:b w:val="1"/>
                <w:bCs w:val="1"/>
                <w:color w:val="auto"/>
              </w:rPr>
              <w:t>Telephone Number</w:t>
            </w:r>
          </w:p>
        </w:tc>
        <w:tc>
          <w:tcPr>
            <w:tcW w:w="1600" w:type="dxa"/>
            <w:vAlign w:val="bottom"/>
          </w:tcPr>
          <w:p>
            <w:pPr>
              <w:jc w:val="center"/>
              <w:ind w:left="614"/>
              <w:spacing w:after="0"/>
              <w:rPr>
                <w:sz w:val="20"/>
                <w:szCs w:val="20"/>
                <w:color w:val="auto"/>
              </w:rPr>
            </w:pPr>
            <w:r>
              <w:rPr>
                <w:rFonts w:ascii="Times New Roman" w:cs="Times New Roman" w:eastAsia="Times New Roman" w:hAnsi="Times New Roman"/>
                <w:sz w:val="13"/>
                <w:szCs w:val="13"/>
                <w:b w:val="1"/>
                <w:bCs w:val="1"/>
                <w:color w:val="auto"/>
              </w:rPr>
              <w:t>No.</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49"/>
        </w:trPr>
        <w:tc>
          <w:tcPr>
            <w:tcW w:w="38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38"/>
                <w:szCs w:val="38"/>
                <w:b w:val="1"/>
                <w:bCs w:val="1"/>
                <w:color w:val="auto"/>
              </w:rPr>
              <w:t>Evergy, Inc.</w:t>
            </w:r>
          </w:p>
        </w:tc>
        <w:tc>
          <w:tcPr>
            <w:tcW w:w="100" w:type="dxa"/>
            <w:vAlign w:val="bottom"/>
          </w:tcPr>
          <w:p>
            <w:pPr>
              <w:spacing w:after="0"/>
              <w:rPr>
                <w:sz w:val="24"/>
                <w:szCs w:val="24"/>
                <w:color w:val="auto"/>
              </w:rPr>
            </w:pPr>
          </w:p>
        </w:tc>
        <w:tc>
          <w:tcPr>
            <w:tcW w:w="2920" w:type="dxa"/>
            <w:vAlign w:val="bottom"/>
            <w:tcBorders>
              <w:top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b w:val="1"/>
                <w:bCs w:val="1"/>
                <w:color w:val="auto"/>
              </w:rPr>
              <w:t>82-2733395</w:t>
            </w:r>
          </w:p>
        </w:tc>
      </w:tr>
    </w:tbl>
    <w:p>
      <w:pPr>
        <w:jc w:val="center"/>
        <w:ind w:right="2940"/>
        <w:spacing w:after="0"/>
        <w:rPr>
          <w:sz w:val="20"/>
          <w:szCs w:val="20"/>
          <w:color w:val="auto"/>
        </w:rPr>
      </w:pPr>
      <w:r>
        <w:rPr>
          <w:rFonts w:ascii="Times New Roman" w:cs="Times New Roman" w:eastAsia="Times New Roman" w:hAnsi="Times New Roman"/>
          <w:sz w:val="16"/>
          <w:szCs w:val="16"/>
          <w:b w:val="1"/>
          <w:bCs w:val="1"/>
          <w:color w:val="auto"/>
        </w:rPr>
        <w:t>(a Missouri corporation)</w:t>
      </w:r>
    </w:p>
    <w:p>
      <w:pPr>
        <w:spacing w:after="0" w:line="204" w:lineRule="exact"/>
        <w:rPr>
          <w:sz w:val="24"/>
          <w:szCs w:val="24"/>
          <w:color w:val="auto"/>
        </w:rPr>
      </w:pPr>
    </w:p>
    <w:p>
      <w:pPr>
        <w:jc w:val="center"/>
        <w:ind w:right="2940"/>
        <w:spacing w:after="0"/>
        <w:rPr>
          <w:sz w:val="20"/>
          <w:szCs w:val="20"/>
          <w:color w:val="auto"/>
        </w:rPr>
      </w:pPr>
      <w:r>
        <w:rPr>
          <w:rFonts w:ascii="Times New Roman" w:cs="Times New Roman" w:eastAsia="Times New Roman" w:hAnsi="Times New Roman"/>
          <w:sz w:val="16"/>
          <w:szCs w:val="16"/>
          <w:b w:val="1"/>
          <w:bCs w:val="1"/>
          <w:color w:val="auto"/>
        </w:rPr>
        <w:t>1200 Main Street</w:t>
      </w:r>
    </w:p>
    <w:p>
      <w:pPr>
        <w:spacing w:after="0" w:line="12" w:lineRule="exact"/>
        <w:rPr>
          <w:sz w:val="24"/>
          <w:szCs w:val="24"/>
          <w:color w:val="auto"/>
        </w:rPr>
      </w:pPr>
    </w:p>
    <w:p>
      <w:pPr>
        <w:jc w:val="center"/>
        <w:ind w:right="2940"/>
        <w:spacing w:after="0"/>
        <w:rPr>
          <w:sz w:val="20"/>
          <w:szCs w:val="20"/>
          <w:color w:val="auto"/>
        </w:rPr>
      </w:pPr>
      <w:r>
        <w:rPr>
          <w:rFonts w:ascii="Times New Roman" w:cs="Times New Roman" w:eastAsia="Times New Roman" w:hAnsi="Times New Roman"/>
          <w:sz w:val="16"/>
          <w:szCs w:val="16"/>
          <w:b w:val="1"/>
          <w:bCs w:val="1"/>
          <w:color w:val="auto"/>
        </w:rPr>
        <w:t>Kansas City, Missouri 64105</w:t>
      </w:r>
    </w:p>
    <w:p>
      <w:pPr>
        <w:jc w:val="center"/>
        <w:ind w:right="2940"/>
        <w:spacing w:after="0"/>
        <w:rPr>
          <w:sz w:val="20"/>
          <w:szCs w:val="20"/>
          <w:color w:val="auto"/>
        </w:rPr>
      </w:pPr>
      <w:r>
        <w:rPr>
          <w:rFonts w:ascii="Times New Roman" w:cs="Times New Roman" w:eastAsia="Times New Roman" w:hAnsi="Times New Roman"/>
          <w:sz w:val="16"/>
          <w:szCs w:val="16"/>
          <w:b w:val="1"/>
          <w:bCs w:val="1"/>
          <w:color w:val="auto"/>
        </w:rPr>
        <w:t>(816) 556-2200</w:t>
      </w:r>
    </w:p>
    <w:p>
      <w:pPr>
        <w:spacing w:after="0" w:line="168" w:lineRule="exact"/>
        <w:rPr>
          <w:sz w:val="24"/>
          <w:szCs w:val="24"/>
          <w:color w:val="auto"/>
        </w:rPr>
      </w:pPr>
    </w:p>
    <w:p>
      <w:pPr>
        <w:jc w:val="center"/>
        <w:ind w:right="294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2940"/>
        <w:spacing w:after="0"/>
        <w:rPr>
          <w:sz w:val="20"/>
          <w:szCs w:val="20"/>
          <w:color w:val="auto"/>
        </w:rPr>
      </w:pPr>
      <w:r>
        <w:rPr>
          <w:rFonts w:ascii="Times New Roman" w:cs="Times New Roman" w:eastAsia="Times New Roman" w:hAnsi="Times New Roman"/>
          <w:sz w:val="13"/>
          <w:szCs w:val="13"/>
          <w:b w:val="1"/>
          <w:bCs w:val="1"/>
          <w:color w:val="auto"/>
        </w:rPr>
        <w:t>(Former name or former address,</w:t>
      </w:r>
    </w:p>
    <w:p>
      <w:pPr>
        <w:spacing w:after="0" w:line="7" w:lineRule="exact"/>
        <w:rPr>
          <w:sz w:val="24"/>
          <w:szCs w:val="24"/>
          <w:color w:val="auto"/>
        </w:rPr>
      </w:pPr>
    </w:p>
    <w:p>
      <w:pPr>
        <w:jc w:val="center"/>
        <w:ind w:right="2940"/>
        <w:spacing w:after="0"/>
        <w:rPr>
          <w:sz w:val="20"/>
          <w:szCs w:val="20"/>
          <w:color w:val="auto"/>
        </w:rPr>
      </w:pPr>
      <w:r>
        <w:rPr>
          <w:rFonts w:ascii="Times New Roman" w:cs="Times New Roman" w:eastAsia="Times New Roman" w:hAnsi="Times New Roman"/>
          <w:sz w:val="13"/>
          <w:szCs w:val="13"/>
          <w:b w:val="1"/>
          <w:bCs w:val="1"/>
          <w:color w:val="auto"/>
        </w:rPr>
        <w:t>if changed since last report)</w:t>
      </w:r>
    </w:p>
    <w:p>
      <w:pPr>
        <w:spacing w:after="0" w:line="188" w:lineRule="exact"/>
        <w:rPr>
          <w:sz w:val="24"/>
          <w:szCs w:val="24"/>
          <w:color w:val="auto"/>
        </w:rPr>
      </w:pPr>
    </w:p>
    <w:p>
      <w:pPr>
        <w:sectPr>
          <w:pgSz w:w="11900" w:h="16840" w:orient="portrait"/>
          <w:cols w:equalWidth="0" w:num="2">
            <w:col w:w="2230" w:space="720"/>
            <w:col w:w="6840"/>
          </w:cols>
          <w:pgMar w:left="1050" w:top="683" w:right="1060" w:bottom="1440" w:gutter="0" w:footer="0" w:header="0"/>
          <w:type w:val="continuous"/>
        </w:sectPr>
      </w:pPr>
    </w:p>
    <w:p>
      <w:pPr>
        <w:ind w:left="830"/>
        <w:spacing w:after="0"/>
        <w:tabs>
          <w:tab w:leader="none" w:pos="2789" w:val="left"/>
          <w:tab w:leader="none" w:pos="8229" w:val="left"/>
        </w:tabs>
        <w:rPr>
          <w:sz w:val="20"/>
          <w:szCs w:val="20"/>
          <w:color w:val="auto"/>
        </w:rPr>
      </w:pPr>
      <w:r>
        <w:rPr>
          <w:rFonts w:ascii="Times New Roman" w:cs="Times New Roman" w:eastAsia="Times New Roman" w:hAnsi="Times New Roman"/>
          <w:sz w:val="31"/>
          <w:szCs w:val="31"/>
          <w:b w:val="1"/>
          <w:bCs w:val="1"/>
          <w:color w:val="auto"/>
          <w:vertAlign w:val="subscript"/>
        </w:rPr>
        <w:t>001-03523</w:t>
      </w:r>
      <w:r>
        <w:rPr>
          <w:sz w:val="20"/>
          <w:szCs w:val="20"/>
          <w:color w:val="auto"/>
        </w:rPr>
        <w:tab/>
      </w:r>
      <w:r>
        <w:rPr>
          <w:rFonts w:ascii="Times New Roman" w:cs="Times New Roman" w:eastAsia="Times New Roman" w:hAnsi="Times New Roman"/>
          <w:sz w:val="35"/>
          <w:szCs w:val="35"/>
          <w:b w:val="1"/>
          <w:bCs w:val="1"/>
          <w:color w:val="auto"/>
        </w:rPr>
        <w:t>Evergy Kansas Central, Inc.</w:t>
      </w:r>
      <w:r>
        <w:rPr>
          <w:sz w:val="20"/>
          <w:szCs w:val="20"/>
          <w:color w:val="auto"/>
        </w:rPr>
        <w:tab/>
      </w:r>
      <w:r>
        <w:rPr>
          <w:rFonts w:ascii="Times New Roman" w:cs="Times New Roman" w:eastAsia="Times New Roman" w:hAnsi="Times New Roman"/>
          <w:sz w:val="23"/>
          <w:szCs w:val="23"/>
          <w:b w:val="1"/>
          <w:bCs w:val="1"/>
          <w:color w:val="auto"/>
          <w:vertAlign w:val="subscript"/>
        </w:rPr>
        <w:t>48-0290150</w:t>
      </w:r>
    </w:p>
    <w:p>
      <w:pPr>
        <w:spacing w:after="0" w:line="4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 Kansas corporation)</w:t>
      </w:r>
    </w:p>
    <w:p>
      <w:pPr>
        <w:spacing w:after="0" w:line="16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818 South Kansas Avenue</w:t>
      </w:r>
    </w:p>
    <w:p>
      <w:pPr>
        <w:spacing w:after="0" w:line="1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Topeka, Kansas 66612</w:t>
      </w: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(785) 575-6300</w:t>
      </w:r>
    </w:p>
    <w:p>
      <w:pPr>
        <w:spacing w:after="0" w:line="16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(Former name or former address,</w:t>
      </w:r>
    </w:p>
    <w:p>
      <w:pPr>
        <w:spacing w:after="0" w:line="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208280</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10" w:right="20"/>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8"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156"/>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3"/>
                <w:szCs w:val="1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r>
      <w:tr>
        <w:trPr>
          <w:trHeight w:val="17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00" w:type="dxa"/>
            <w:vAlign w:val="bottom"/>
          </w:tcPr>
          <w:p>
            <w:pPr>
              <w:spacing w:after="0"/>
              <w:rPr>
                <w:sz w:val="15"/>
                <w:szCs w:val="15"/>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r>
      <w:tr>
        <w:trPr>
          <w:trHeight w:val="203"/>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Evergy, Inc. common stock</w:t>
            </w:r>
          </w:p>
        </w:tc>
        <w:tc>
          <w:tcPr>
            <w:tcW w:w="10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EVRG</w:t>
            </w:r>
          </w:p>
        </w:tc>
        <w:tc>
          <w:tcPr>
            <w:tcW w:w="10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156" w:lineRule="exact"/>
        <w:rPr>
          <w:sz w:val="24"/>
          <w:szCs w:val="24"/>
          <w:color w:val="auto"/>
        </w:rPr>
      </w:pPr>
    </w:p>
    <w:p>
      <w:pPr>
        <w:ind w:left="10" w:right="30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(§230.405 of this chapter) or Rule 12b-2 of the Exchange Act (§240.12b-2 of this chapter).</w:t>
      </w:r>
    </w:p>
    <w:p>
      <w:pPr>
        <w:spacing w:after="0" w:line="121" w:lineRule="exact"/>
        <w:rPr>
          <w:sz w:val="24"/>
          <w:szCs w:val="24"/>
          <w:color w:val="auto"/>
        </w:rPr>
      </w:pP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2" w:lineRule="exact"/>
        <w:rPr>
          <w:sz w:val="24"/>
          <w:szCs w:val="24"/>
          <w:color w:val="auto"/>
        </w:rPr>
      </w:pPr>
    </w:p>
    <w:p>
      <w:pPr>
        <w:ind w:left="10" w:right="2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137795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90"/>
          </w:cols>
          <w:pgMar w:left="1050" w:top="683" w:right="1060" w:bottom="1440" w:gutter="0" w:footer="0" w:header="0"/>
          <w:type w:val="continuous"/>
        </w:sectPr>
      </w:pPr>
    </w:p>
    <w:bookmarkStart w:id="1" w:name="page2"/>
    <w:bookmarkEnd w:id="1"/>
    <w:p>
      <w:pPr>
        <w:ind w:right="8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50800"/>
                    </a:xfrm>
                    <a:prstGeom prst="rect">
                      <a:avLst/>
                    </a:prstGeom>
                    <a:noFill/>
                  </pic:spPr>
                </pic:pic>
              </a:graphicData>
            </a:graphic>
          </wp:anchor>
        </w:drawing>
        <w:t>This combined Current Report on Form 8-K is being filed by the following registrants: Evergy, Inc. and Evergy Kansas Central, Inc. (“Evergy Kansas Central”). Information relating to any individual registrant is filed by such registrant solely on its own behalf. Each registrant makes no representation as to information relating exclusively to the other registrant.</w:t>
      </w:r>
    </w:p>
    <w:p>
      <w:pPr>
        <w:spacing w:after="0" w:line="30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9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On December 5, 2025, Evergy Kansas Central issued $300,000,000 aggregate principal amount of its First Mortgage Bonds, 5.25% Series due 2035 (the “Mortgage Bonds”), pursuant to an Underwriting Agreement, dated December 1, 2025, among Evergy Kansas Central, BNY Mellon Capital Markets, LLC, Regions Securities LLC, TD Securities (USA) LLC and Wells Fargo Securities, LLC, as representatives of the several underwriters named therein. The Mortgage Bonds constitute an additional issuance of Evergy Kansas Central’s First Mortgage Bonds, 5.25% Series due 2035 issued on March 13, 2025 in an aggregate principal amount of $300,000,000 (the “Existing Mortgage Bonds”), and will form a single series with the Existing Mortgage Bonds. The Mortgage Bonds were registered under the Securities Act of 1933, as amended (the “Securities Act”), pursuant to the shelf registration statement on Form S-3 (333-281614-02) of Evergy Kansas Central (the “Registration Statement”).</w:t>
      </w:r>
    </w:p>
    <w:p>
      <w:pPr>
        <w:spacing w:after="0" w:line="1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connection with the issuance and sale of the Mortgage Bonds, Evergy Kansas Central entered into several agreements and other instruments listed in Item 9.01 of this Current Report on Form 8-K and filed as exhibits hereto. These exhibits are incorporated by reference into the Registration Statement.</w:t>
      </w:r>
    </w:p>
    <w:p>
      <w:pPr>
        <w:spacing w:after="0" w:line="29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24"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13"/>
          <w:szCs w:val="13"/>
          <w:b w:val="1"/>
          <w:bCs w:val="1"/>
          <w:u w:val="single" w:color="auto"/>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20320</wp:posOffset>
            </wp:positionV>
            <wp:extent cx="54724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72430" cy="7620"/>
                    </a:xfrm>
                    <a:prstGeom prst="rect">
                      <a:avLst/>
                    </a:prstGeom>
                    <a:noFill/>
                  </pic:spPr>
                </pic:pic>
              </a:graphicData>
            </a:graphic>
          </wp:anchor>
        </w:drawing>
      </w:r>
    </w:p>
    <w:p>
      <w:pPr>
        <w:spacing w:after="0" w:line="95" w:lineRule="exact"/>
        <w:rPr>
          <w:sz w:val="20"/>
          <w:szCs w:val="20"/>
          <w:color w:val="auto"/>
        </w:rPr>
      </w:pPr>
    </w:p>
    <w:p>
      <w:pPr>
        <w:ind w:left="1160" w:right="220" w:hanging="1175"/>
        <w:spacing w:after="0" w:line="247" w:lineRule="auto"/>
        <w:tabs>
          <w:tab w:leader="none" w:pos="114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Exhibit 1.1</w:t>
      </w:r>
      <w:r>
        <w:rPr>
          <w:sz w:val="20"/>
          <w:szCs w:val="20"/>
          <w:color w:val="auto"/>
        </w:rPr>
        <w:tab/>
      </w:r>
      <w:hyperlink w:anchor="page1">
        <w:r>
          <w:rPr>
            <w:rFonts w:ascii="Times New Roman" w:cs="Times New Roman" w:eastAsia="Times New Roman" w:hAnsi="Times New Roman"/>
            <w:sz w:val="16"/>
            <w:szCs w:val="16"/>
            <w:u w:val="single" w:color="auto"/>
            <w:color w:val="0000EE"/>
          </w:rPr>
          <w:t>Underwriting Agreement, dated December 1, 2025, among Evergy Kansas Central, Inc., BNY Mellon Capital Markets, LLC, Regions</w:t>
        </w:r>
      </w:hyperlink>
      <w:r>
        <w:rPr>
          <w:rFonts w:ascii="Times New Roman" w:cs="Times New Roman" w:eastAsia="Times New Roman" w:hAnsi="Times New Roman"/>
          <w:sz w:val="16"/>
          <w:szCs w:val="16"/>
          <w:u w:val="single" w:color="auto"/>
          <w:color w:val="0000EE"/>
        </w:rPr>
        <w:t xml:space="preserve"> </w:t>
      </w:r>
      <w:hyperlink w:anchor="page1">
        <w:r>
          <w:rPr>
            <w:rFonts w:ascii="Times New Roman" w:cs="Times New Roman" w:eastAsia="Times New Roman" w:hAnsi="Times New Roman"/>
            <w:sz w:val="16"/>
            <w:szCs w:val="16"/>
            <w:u w:val="single" w:color="auto"/>
            <w:color w:val="0000EE"/>
          </w:rPr>
          <w:t>Securities LLC, TD Securities (USA) LLC and Wells Fargo Securities, LLC, as representatives of the several underwriters named</w:t>
        </w:r>
      </w:hyperlink>
      <w:r>
        <w:rPr>
          <w:rFonts w:ascii="Times New Roman" w:cs="Times New Roman" w:eastAsia="Times New Roman" w:hAnsi="Times New Roman"/>
          <w:sz w:val="16"/>
          <w:szCs w:val="16"/>
          <w:u w:val="single" w:color="auto"/>
          <w:color w:val="0000EE"/>
        </w:rPr>
        <w:t xml:space="preserve"> </w:t>
      </w:r>
      <w:hyperlink w:anchor="page1">
        <w:r>
          <w:rPr>
            <w:rFonts w:ascii="Times New Roman" w:cs="Times New Roman" w:eastAsia="Times New Roman" w:hAnsi="Times New Roman"/>
            <w:sz w:val="16"/>
            <w:szCs w:val="16"/>
            <w:u w:val="single" w:color="auto"/>
            <w:color w:val="0000EE"/>
          </w:rPr>
          <w:t>therein.</w:t>
        </w:r>
      </w:hyperlink>
    </w:p>
    <w:p>
      <w:pPr>
        <w:spacing w:after="0" w:line="68" w:lineRule="exact"/>
        <w:rPr>
          <w:rFonts w:ascii="Times New Roman" w:cs="Times New Roman" w:eastAsia="Times New Roman" w:hAnsi="Times New Roman"/>
          <w:sz w:val="16"/>
          <w:szCs w:val="16"/>
          <w:u w:val="single" w:color="auto"/>
          <w:color w:val="0000EE"/>
        </w:rPr>
      </w:pPr>
    </w:p>
    <w:p>
      <w:pPr>
        <w:jc w:val="both"/>
        <w:ind w:left="1160" w:right="400" w:hanging="1175"/>
        <w:spacing w:after="0" w:line="247" w:lineRule="auto"/>
        <w:tabs>
          <w:tab w:leader="none" w:pos="114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Exhibit 4.1</w:t>
      </w:r>
      <w:r>
        <w:rPr>
          <w:sz w:val="20"/>
          <w:szCs w:val="20"/>
          <w:color w:val="auto"/>
        </w:rPr>
        <w:tab/>
      </w:r>
      <w:hyperlink r:id="rId19">
        <w:r>
          <w:rPr>
            <w:rFonts w:ascii="Times New Roman" w:cs="Times New Roman" w:eastAsia="Times New Roman" w:hAnsi="Times New Roman"/>
            <w:sz w:val="16"/>
            <w:szCs w:val="16"/>
            <w:u w:val="single" w:color="auto"/>
            <w:color w:val="0000EE"/>
          </w:rPr>
          <w:t>Fifty-Third Supplemental Indenture, dated as of March 13, 2025, between Evergy Kansas Central, Inc. and The Bank of New York</w:t>
        </w:r>
      </w:hyperlink>
      <w:r>
        <w:rPr>
          <w:rFonts w:ascii="Times New Roman" w:cs="Times New Roman" w:eastAsia="Times New Roman" w:hAnsi="Times New Roman"/>
          <w:sz w:val="16"/>
          <w:szCs w:val="16"/>
          <w:u w:val="single" w:color="auto"/>
          <w:color w:val="0000EE"/>
        </w:rPr>
        <w:t xml:space="preserve"> </w:t>
      </w:r>
      <w:hyperlink r:id="rId19">
        <w:r>
          <w:rPr>
            <w:rFonts w:ascii="Times New Roman" w:cs="Times New Roman" w:eastAsia="Times New Roman" w:hAnsi="Times New Roman"/>
            <w:sz w:val="16"/>
            <w:szCs w:val="16"/>
            <w:u w:val="single" w:color="auto"/>
            <w:color w:val="0000EE"/>
          </w:rPr>
          <w:t>Mellon Trust Company, N.A., as trustee, and the form of global bond included therein (incorporated by reference to Exhibit 4.1 to</w:t>
        </w:r>
      </w:hyperlink>
      <w:r>
        <w:rPr>
          <w:rFonts w:ascii="Times New Roman" w:cs="Times New Roman" w:eastAsia="Times New Roman" w:hAnsi="Times New Roman"/>
          <w:sz w:val="16"/>
          <w:szCs w:val="16"/>
          <w:u w:val="single" w:color="auto"/>
          <w:color w:val="0000EE"/>
        </w:rPr>
        <w:t xml:space="preserve"> </w:t>
      </w:r>
      <w:hyperlink r:id="rId19">
        <w:r>
          <w:rPr>
            <w:rFonts w:ascii="Times New Roman" w:cs="Times New Roman" w:eastAsia="Times New Roman" w:hAnsi="Times New Roman"/>
            <w:sz w:val="16"/>
            <w:szCs w:val="16"/>
            <w:u w:val="single" w:color="auto"/>
            <w:color w:val="0000EE"/>
          </w:rPr>
          <w:t>Evergy Kansas Central’s Current Report on Form 8-K filed on March 13, 2025 File No. 1-03523).</w:t>
        </w:r>
      </w:hyperlink>
    </w:p>
    <w:p>
      <w:pPr>
        <w:spacing w:after="0" w:line="68" w:lineRule="exact"/>
        <w:rPr>
          <w:rFonts w:ascii="Times New Roman" w:cs="Times New Roman" w:eastAsia="Times New Roman" w:hAnsi="Times New Roman"/>
          <w:sz w:val="16"/>
          <w:szCs w:val="16"/>
          <w:u w:val="single" w:color="auto"/>
          <w:color w:val="0000EE"/>
        </w:rPr>
      </w:pPr>
    </w:p>
    <w:p>
      <w:pPr>
        <w:ind w:left="1160" w:right="120" w:hanging="1175"/>
        <w:spacing w:after="0" w:line="259" w:lineRule="auto"/>
        <w:tabs>
          <w:tab w:leader="none" w:pos="114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Exhibit 4.2</w:t>
      </w:r>
      <w:r>
        <w:rPr>
          <w:sz w:val="20"/>
          <w:szCs w:val="20"/>
          <w:color w:val="auto"/>
        </w:rPr>
        <w:tab/>
      </w:r>
      <w:hyperlink w:anchor="page1">
        <w:r>
          <w:rPr>
            <w:rFonts w:ascii="Times New Roman" w:cs="Times New Roman" w:eastAsia="Times New Roman" w:hAnsi="Times New Roman"/>
            <w:sz w:val="16"/>
            <w:szCs w:val="16"/>
            <w:u w:val="single" w:color="auto"/>
            <w:color w:val="0000EE"/>
          </w:rPr>
          <w:t>Fifty -Third Supplemental (Reopening) Indenture, dated as of December 5, 2025, between Evergy Kansas Central, Inc. and The Bank of</w:t>
        </w:r>
      </w:hyperlink>
      <w:r>
        <w:rPr>
          <w:rFonts w:ascii="Times New Roman" w:cs="Times New Roman" w:eastAsia="Times New Roman" w:hAnsi="Times New Roman"/>
          <w:sz w:val="16"/>
          <w:szCs w:val="16"/>
          <w:u w:val="single" w:color="auto"/>
          <w:color w:val="0000EE"/>
        </w:rPr>
        <w:t xml:space="preserve"> </w:t>
      </w:r>
      <w:hyperlink w:anchor="page1">
        <w:r>
          <w:rPr>
            <w:rFonts w:ascii="Times New Roman" w:cs="Times New Roman" w:eastAsia="Times New Roman" w:hAnsi="Times New Roman"/>
            <w:sz w:val="16"/>
            <w:szCs w:val="16"/>
            <w:u w:val="single" w:color="auto"/>
            <w:color w:val="0000EE"/>
          </w:rPr>
          <w:t>New York Mellon Trust Company, N.A., as trustee, and the form of global bond included therein.</w:t>
        </w:r>
      </w:hyperlink>
    </w:p>
    <w:p>
      <w:pPr>
        <w:spacing w:after="0" w:line="59" w:lineRule="exact"/>
        <w:rPr>
          <w:sz w:val="20"/>
          <w:szCs w:val="20"/>
          <w:color w:val="auto"/>
        </w:rPr>
      </w:pPr>
    </w:p>
    <w:p>
      <w:pPr>
        <w:spacing w:after="0"/>
        <w:tabs>
          <w:tab w:leader="none" w:pos="11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Exhibit 5.1</w:t>
      </w:r>
      <w:r>
        <w:rPr>
          <w:sz w:val="20"/>
          <w:szCs w:val="20"/>
          <w:color w:val="auto"/>
        </w:rPr>
        <w:tab/>
      </w:r>
      <w:hyperlink w:anchor="page1">
        <w:r>
          <w:rPr>
            <w:rFonts w:ascii="Times New Roman" w:cs="Times New Roman" w:eastAsia="Times New Roman" w:hAnsi="Times New Roman"/>
            <w:sz w:val="14"/>
            <w:szCs w:val="14"/>
            <w:u w:val="single" w:color="auto"/>
            <w:color w:val="0000EE"/>
          </w:rPr>
          <w:t>Opinion, dated December 5, 2025, of Heather A. Humphrey, regarding the validity of the Bonds.</w:t>
        </w:r>
      </w:hyperlink>
    </w:p>
    <w:p>
      <w:pPr>
        <w:spacing w:after="0" w:line="92" w:lineRule="exact"/>
        <w:rPr>
          <w:sz w:val="20"/>
          <w:szCs w:val="20"/>
          <w:color w:val="auto"/>
        </w:rPr>
      </w:pPr>
    </w:p>
    <w:p>
      <w:pPr>
        <w:spacing w:after="0"/>
        <w:tabs>
          <w:tab w:leader="none" w:pos="114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6"/>
          <w:szCs w:val="16"/>
          <w:color w:val="auto"/>
        </w:rPr>
        <w:t>Exhibit 23.1</w:t>
      </w:r>
      <w:r>
        <w:rPr>
          <w:sz w:val="20"/>
          <w:szCs w:val="20"/>
          <w:color w:val="auto"/>
        </w:rPr>
        <w:tab/>
      </w:r>
      <w:hyperlink w:anchor="page1">
        <w:r>
          <w:rPr>
            <w:rFonts w:ascii="Times New Roman" w:cs="Times New Roman" w:eastAsia="Times New Roman" w:hAnsi="Times New Roman"/>
            <w:sz w:val="14"/>
            <w:szCs w:val="14"/>
            <w:u w:val="single" w:color="auto"/>
            <w:color w:val="0000EE"/>
          </w:rPr>
          <w:t>Consent of Heather A. Humphrey (included in Exhibit 5.1).</w:t>
        </w:r>
      </w:hyperlink>
    </w:p>
    <w:p>
      <w:pPr>
        <w:spacing w:after="0" w:line="9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6"/>
          <w:szCs w:val="16"/>
          <w:color w:val="auto"/>
        </w:rPr>
        <w:t>Exhibit 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ectPr>
          <w:pgSz w:w="11900" w:h="16840" w:orient="portrait"/>
          <w:cols w:equalWidth="0" w:num="1">
            <w:col w:w="9760"/>
          </w:cols>
          <w:pgMar w:left="1060" w:top="713" w:right="1080"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748145" cy="50800"/>
                    </a:xfrm>
                    <a:prstGeom prst="rect">
                      <a:avLst/>
                    </a:prstGeom>
                    <a:noFill/>
                  </pic:spPr>
                </pic:pic>
              </a:graphicData>
            </a:graphic>
          </wp:anchor>
        </w:drawing>
        <w:t>SIGNATURES</w:t>
      </w:r>
    </w:p>
    <w:p>
      <w:pPr>
        <w:spacing w:after="0" w:line="19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registrants have duly caused this report to be signed on their behalf by the undersigned hereunto duly authorized.</w:t>
      </w:r>
    </w:p>
    <w:p>
      <w:pPr>
        <w:spacing w:after="0" w:line="18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Geoffrey T. Ley</w:t>
      </w:r>
    </w:p>
    <w:p>
      <w:pPr>
        <w:spacing w:after="0" w:line="1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Senior Vice President, Corporate Planning and Treasurer</w:t>
      </w:r>
    </w:p>
    <w:p>
      <w:pPr>
        <w:spacing w:after="0" w:line="19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Geoffrey T. Ley</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Senior Vice President, Corporate Planning and Treasurer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5, 2025</w:t>
      </w:r>
    </w:p>
    <w:p>
      <w:pPr>
        <w:sectPr>
          <w:pgSz w:w="11900" w:h="16840" w:orient="portrait"/>
          <w:cols w:equalWidth="0" w:num="1">
            <w:col w:w="9420"/>
          </w:cols>
          <w:pgMar w:left="1060" w:top="711" w:right="142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1.1</w:t>
      </w:r>
    </w:p>
    <w:p>
      <w:pPr>
        <w:spacing w:after="0" w:line="18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18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$300,000,000</w:t>
      </w:r>
    </w:p>
    <w:p>
      <w:pPr>
        <w:spacing w:after="0" w:line="1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First Mortgage Bonds, 5.25% Series due 2035</w:t>
      </w:r>
    </w:p>
    <w:p>
      <w:pPr>
        <w:spacing w:after="0" w:line="20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UNDERWRITING AGREEMENT</w:t>
      </w:r>
    </w:p>
    <w:p>
      <w:pPr>
        <w:spacing w:after="0" w:line="19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dated December 1, 2025</w:t>
      </w:r>
    </w:p>
    <w:p>
      <w:pPr>
        <w:spacing w:after="0" w:line="18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BNY Mellon Capital Markets, LLC</w:t>
      </w:r>
    </w:p>
    <w:p>
      <w:pPr>
        <w:spacing w:after="0" w:line="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Regions Securities LLC</w:t>
      </w:r>
    </w:p>
    <w:p>
      <w:pPr>
        <w:jc w:val="center"/>
        <w:ind w:right="400"/>
        <w:spacing w:after="0" w:line="234" w:lineRule="auto"/>
        <w:rPr>
          <w:sz w:val="20"/>
          <w:szCs w:val="20"/>
          <w:color w:val="auto"/>
        </w:rPr>
      </w:pPr>
      <w:r>
        <w:rPr>
          <w:rFonts w:ascii="Times New Roman" w:cs="Times New Roman" w:eastAsia="Times New Roman" w:hAnsi="Times New Roman"/>
          <w:sz w:val="16"/>
          <w:szCs w:val="16"/>
          <w:b w:val="1"/>
          <w:bCs w:val="1"/>
          <w:color w:val="auto"/>
        </w:rPr>
        <w:t>TD Securities (USA) LLC</w:t>
      </w:r>
    </w:p>
    <w:p>
      <w:pPr>
        <w:spacing w:after="0" w:line="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Wells Fargo Securities, LLC</w:t>
      </w:r>
    </w:p>
    <w:p>
      <w:pPr>
        <w:sectPr>
          <w:pgSz w:w="11900" w:h="16840" w:orient="portrait"/>
          <w:cols w:equalWidth="0" w:num="1">
            <w:col w:w="9400"/>
          </w:cols>
          <w:pgMar w:left="1440" w:top="555" w:right="106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Underwriting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BNY Mellon Capital Markets, LLC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Regions Securities LLC</w:t>
      </w:r>
    </w:p>
    <w:p>
      <w:pPr>
        <w:spacing w:after="0" w:line="234" w:lineRule="auto"/>
        <w:rPr>
          <w:sz w:val="20"/>
          <w:szCs w:val="20"/>
          <w:color w:val="auto"/>
        </w:rPr>
      </w:pPr>
      <w:r>
        <w:rPr>
          <w:rFonts w:ascii="Times New Roman" w:cs="Times New Roman" w:eastAsia="Times New Roman" w:hAnsi="Times New Roman"/>
          <w:sz w:val="16"/>
          <w:szCs w:val="16"/>
          <w:color w:val="auto"/>
        </w:rPr>
        <w:t>TD Securities (USA)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Wells Fargo Securities, LLC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Representatives of the several Underwriters named in Schedule A hereto</w:t>
      </w:r>
    </w:p>
    <w:p>
      <w:pPr>
        <w:sectPr>
          <w:pgSz w:w="11900" w:h="16840" w:orient="portrait"/>
          <w:cols w:equalWidth="0" w:num="1">
            <w:col w:w="9780"/>
          </w:cols>
          <w:pgMar w:left="1060" w:top="687" w:right="1060" w:bottom="1440" w:gutter="0" w:footer="0" w:header="0"/>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w:t>
      </w:r>
      <w:r>
        <w:rPr>
          <w:rFonts w:ascii="Arial" w:cs="Arial" w:eastAsia="Arial" w:hAnsi="Arial"/>
          <w:sz w:val="14"/>
          <w:szCs w:val="14"/>
          <w:color w:val="auto"/>
        </w:rPr>
        <w:t>  </w:t>
      </w:r>
      <w:r>
        <w:rPr>
          <w:rFonts w:ascii="Times New Roman" w:cs="Times New Roman" w:eastAsia="Times New Roman" w:hAnsi="Times New Roman"/>
          <w:sz w:val="14"/>
          <w:szCs w:val="14"/>
          <w:color w:val="auto"/>
        </w:rPr>
        <w:t>BNY Mellon Capital Markets, LLC</w:t>
      </w:r>
    </w:p>
    <w:p>
      <w:pPr>
        <w:spacing w:after="0" w:line="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240 Greenwich Street, 3W</w:t>
      </w:r>
    </w:p>
    <w:p>
      <w:pPr>
        <w:ind w:left="380"/>
        <w:spacing w:after="0"/>
        <w:rPr>
          <w:sz w:val="20"/>
          <w:szCs w:val="20"/>
          <w:color w:val="auto"/>
        </w:rPr>
      </w:pPr>
      <w:r>
        <w:rPr>
          <w:rFonts w:ascii="Times New Roman" w:cs="Times New Roman" w:eastAsia="Times New Roman" w:hAnsi="Times New Roman"/>
          <w:sz w:val="16"/>
          <w:szCs w:val="16"/>
          <w:color w:val="auto"/>
        </w:rPr>
        <w:t>New York, New York 10286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w:t>
      </w:r>
      <w:r>
        <w:rPr>
          <w:rFonts w:ascii="Arial" w:cs="Arial" w:eastAsia="Arial" w:hAnsi="Arial"/>
          <w:sz w:val="16"/>
          <w:szCs w:val="16"/>
          <w:color w:val="auto"/>
        </w:rPr>
        <w:t>  </w:t>
      </w:r>
      <w:r>
        <w:rPr>
          <w:rFonts w:ascii="Times New Roman" w:cs="Times New Roman" w:eastAsia="Times New Roman" w:hAnsi="Times New Roman"/>
          <w:sz w:val="16"/>
          <w:szCs w:val="16"/>
          <w:color w:val="auto"/>
        </w:rPr>
        <w:t>TD Securities (USA) LLC</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1 Vanderbilt Avenue, 11th Floor</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New York, New York 10017</w:t>
      </w:r>
    </w:p>
    <w:p>
      <w:pPr>
        <w:spacing w:after="0" w:line="86" w:lineRule="exact"/>
        <w:rPr>
          <w:sz w:val="20"/>
          <w:szCs w:val="20"/>
          <w:color w:val="auto"/>
        </w:rPr>
      </w:pPr>
    </w:p>
    <w:p>
      <w:pPr>
        <w:sectPr>
          <w:pgSz w:w="11900" w:h="16840" w:orient="portrait"/>
          <w:cols w:equalWidth="0" w:num="2">
            <w:col w:w="4380" w:space="720"/>
            <w:col w:w="4680"/>
          </w:cols>
          <w:pgMar w:left="1060" w:top="687" w:right="106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c/o</w:t>
      </w:r>
      <w:r>
        <w:rPr>
          <w:rFonts w:ascii="Arial" w:cs="Arial" w:eastAsia="Arial" w:hAnsi="Arial"/>
          <w:sz w:val="16"/>
          <w:szCs w:val="16"/>
          <w:color w:val="auto"/>
        </w:rPr>
        <w:t>  </w:t>
      </w:r>
      <w:r>
        <w:rPr>
          <w:rFonts w:ascii="Times New Roman" w:cs="Times New Roman" w:eastAsia="Times New Roman" w:hAnsi="Times New Roman"/>
          <w:sz w:val="16"/>
          <w:szCs w:val="16"/>
          <w:color w:val="auto"/>
        </w:rPr>
        <w:t>Regions Securities LLC</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1180 West Peachtree Street NW, Suite 1400</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Atlanta, Georgia 30309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c/o</w:t>
      </w:r>
      <w:r>
        <w:rPr>
          <w:rFonts w:ascii="Arial" w:cs="Arial" w:eastAsia="Arial" w:hAnsi="Arial"/>
          <w:sz w:val="16"/>
          <w:szCs w:val="16"/>
          <w:color w:val="auto"/>
        </w:rPr>
        <w:t>  </w:t>
      </w:r>
      <w:r>
        <w:rPr>
          <w:rFonts w:ascii="Times New Roman" w:cs="Times New Roman" w:eastAsia="Times New Roman" w:hAnsi="Times New Roman"/>
          <w:sz w:val="16"/>
          <w:szCs w:val="16"/>
          <w:color w:val="auto"/>
        </w:rPr>
        <w:t>Wells Fargo Securities, LLC</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550 South Tryon Street, 5th Floor</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Charlotte, North Carolina 28202</w:t>
      </w:r>
    </w:p>
    <w:p>
      <w:pPr>
        <w:spacing w:after="0" w:line="182" w:lineRule="exact"/>
        <w:rPr>
          <w:sz w:val="20"/>
          <w:szCs w:val="20"/>
          <w:color w:val="auto"/>
        </w:rPr>
      </w:pPr>
    </w:p>
    <w:p>
      <w:pPr>
        <w:sectPr>
          <w:pgSz w:w="11900" w:h="16840" w:orient="portrait"/>
          <w:cols w:equalWidth="0" w:num="2">
            <w:col w:w="4380" w:space="720"/>
            <w:col w:w="4680"/>
          </w:cols>
          <w:pgMar w:left="1060" w:top="687" w:right="106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Evergy Kansas Central, Inc., a Kansas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proposes to issue and sell to the several underwriters named in Schedule 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hereto (the “</w:t>
      </w:r>
      <w:r>
        <w:rPr>
          <w:rFonts w:ascii="Times New Roman" w:cs="Times New Roman" w:eastAsia="Times New Roman" w:hAnsi="Times New Roman"/>
          <w:sz w:val="16"/>
          <w:szCs w:val="16"/>
          <w:b w:val="1"/>
          <w:bCs w:val="1"/>
          <w:color w:val="auto"/>
        </w:rPr>
        <w:t>Underwriters</w:t>
      </w:r>
      <w:r>
        <w:rPr>
          <w:rFonts w:ascii="Times New Roman" w:cs="Times New Roman" w:eastAsia="Times New Roman" w:hAnsi="Times New Roman"/>
          <w:sz w:val="16"/>
          <w:szCs w:val="16"/>
          <w:color w:val="auto"/>
        </w:rPr>
        <w:t>”), acting severally and not jointly, the respective amounts set forth in Schedule A hereto of $300,000,000aggregate principal</w:t>
      </w:r>
    </w:p>
    <w:p>
      <w:pPr>
        <w:spacing w:after="0"/>
        <w:rPr>
          <w:sz w:val="20"/>
          <w:szCs w:val="20"/>
          <w:color w:val="auto"/>
        </w:rPr>
      </w:pPr>
      <w:r>
        <w:rPr>
          <w:rFonts w:ascii="Times New Roman" w:cs="Times New Roman" w:eastAsia="Times New Roman" w:hAnsi="Times New Roman"/>
          <w:sz w:val="14"/>
          <w:szCs w:val="14"/>
          <w:color w:val="auto"/>
        </w:rPr>
        <w:t>amount of the Company’s First Mortgage Bonds, 5.25% Series due 2035 (the “</w:t>
      </w:r>
      <w:r>
        <w:rPr>
          <w:rFonts w:ascii="Times New Roman" w:cs="Times New Roman" w:eastAsia="Times New Roman" w:hAnsi="Times New Roman"/>
          <w:sz w:val="14"/>
          <w:szCs w:val="14"/>
          <w:b w:val="1"/>
          <w:bCs w:val="1"/>
          <w:color w:val="auto"/>
        </w:rPr>
        <w:t>Bonds</w:t>
      </w:r>
      <w:r>
        <w:rPr>
          <w:rFonts w:ascii="Times New Roman" w:cs="Times New Roman" w:eastAsia="Times New Roman" w:hAnsi="Times New Roman"/>
          <w:sz w:val="14"/>
          <w:szCs w:val="14"/>
          <w:color w:val="auto"/>
        </w:rPr>
        <w:t>”). BNY Mellon Capital Markets, LLC, Regions Securities LLC, 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(USA) LLC and Wells Fargo Securities, LLC have agreed to act as representatives of the several Underwriters (in such capacity, the</w:t>
      </w: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in connection with the offering and sale of the Bonds. The Company previously issued, on March 13, 2025, $300,000,000 in aggregate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amount of its First Mortgage Bonds, 5.25% Series due 2035 (the “</w:t>
      </w:r>
      <w:r>
        <w:rPr>
          <w:rFonts w:ascii="Times New Roman" w:cs="Times New Roman" w:eastAsia="Times New Roman" w:hAnsi="Times New Roman"/>
          <w:sz w:val="14"/>
          <w:szCs w:val="14"/>
          <w:b w:val="1"/>
          <w:bCs w:val="1"/>
          <w:color w:val="auto"/>
        </w:rPr>
        <w:t>Existing Bonds</w:t>
      </w:r>
      <w:r>
        <w:rPr>
          <w:rFonts w:ascii="Times New Roman" w:cs="Times New Roman" w:eastAsia="Times New Roman" w:hAnsi="Times New Roman"/>
          <w:sz w:val="14"/>
          <w:szCs w:val="14"/>
          <w:color w:val="auto"/>
        </w:rPr>
        <w:t>”). The Bonds and the Existing Bonds will form a single series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designated “Bonds of the 5.25% Series due 2035” under the Mortgage Indenture (as such term is defined herein), and the Bonds will have the same interest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rate, maturity and other terms (except for the issue price, the issue date, the initial interest accrual date and the first interest payment date) as the Existing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Bonds.</w:t>
      </w:r>
    </w:p>
    <w:p>
      <w:pPr>
        <w:spacing w:after="0" w:line="170"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The Bonds will be issued pursuant to and secured by the Mortgage and Deed of Trust, dated as of July 1, 1939, between the Company (formerly The Kansas Power and Light Company) and The Bank of New York Mellon Trust Company, N.A., as successor to Harris Trust and Savings Bank, as trustee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as amended and supplemented by fifty-four indentures supplemental thereto, in addition to the Forty-Second Supplemental (Reopening) Indenture (such Mortgage and Deed of Trust, as heretofore amended and supplemented, the “</w:t>
      </w:r>
      <w:r>
        <w:rPr>
          <w:rFonts w:ascii="Times New Roman" w:cs="Times New Roman" w:eastAsia="Times New Roman" w:hAnsi="Times New Roman"/>
          <w:sz w:val="16"/>
          <w:szCs w:val="16"/>
          <w:b w:val="1"/>
          <w:bCs w:val="1"/>
          <w:color w:val="auto"/>
        </w:rPr>
        <w:t>Base Mortgage</w:t>
      </w:r>
      <w:r>
        <w:rPr>
          <w:rFonts w:ascii="Times New Roman" w:cs="Times New Roman" w:eastAsia="Times New Roman" w:hAnsi="Times New Roman"/>
          <w:sz w:val="16"/>
          <w:szCs w:val="16"/>
          <w:color w:val="auto"/>
        </w:rPr>
        <w:t>”), including by the Fifty-Third Supplemental Indenture, dated as of March 13, 2025, which created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780"/>
          </w:cols>
          <w:pgMar w:left="1060" w:top="687" w:right="1060" w:bottom="1440" w:gutter="0" w:footer="0" w:header="0"/>
          <w:type w:val="continuous"/>
        </w:sectPr>
      </w:pPr>
    </w:p>
    <w:bookmarkStart w:id="5" w:name="page6"/>
    <w:bookmarkEnd w:id="5"/>
    <w:p>
      <w:pPr>
        <w:ind w:right="2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series designated “Bonds of the 5.25% Series due 2035” thereunder, and the Fifty-Fourth Supplemental Indenture, dated as of November 25, 2025, which effected certain amendments to the Base Mortgage, and as to be further amended or supplemented by the additional Fifty-Third Supplemental (Reopening) Indenture, to be dated as of the Closing Date (as such term is defined herein), with respect to the Bonds (the “</w:t>
      </w:r>
      <w:r>
        <w:rPr>
          <w:rFonts w:ascii="Times New Roman" w:cs="Times New Roman" w:eastAsia="Times New Roman" w:hAnsi="Times New Roman"/>
          <w:sz w:val="16"/>
          <w:szCs w:val="16"/>
          <w:b w:val="1"/>
          <w:bCs w:val="1"/>
          <w:color w:val="auto"/>
        </w:rPr>
        <w:t>Supplemental Indenture</w:t>
      </w:r>
      <w:r>
        <w:rPr>
          <w:rFonts w:ascii="Times New Roman" w:cs="Times New Roman" w:eastAsia="Times New Roman" w:hAnsi="Times New Roman"/>
          <w:sz w:val="16"/>
          <w:szCs w:val="16"/>
          <w:color w:val="auto"/>
        </w:rPr>
        <w:t xml:space="preserve"> ” and, together with the Base Mortgage, the “</w:t>
      </w:r>
      <w:r>
        <w:rPr>
          <w:rFonts w:ascii="Times New Roman" w:cs="Times New Roman" w:eastAsia="Times New Roman" w:hAnsi="Times New Roman"/>
          <w:sz w:val="16"/>
          <w:szCs w:val="16"/>
          <w:b w:val="1"/>
          <w:bCs w:val="1"/>
          <w:color w:val="auto"/>
        </w:rPr>
        <w:t>Mortgage Indenture</w:t>
      </w:r>
      <w:r>
        <w:rPr>
          <w:rFonts w:ascii="Times New Roman" w:cs="Times New Roman" w:eastAsia="Times New Roman" w:hAnsi="Times New Roman"/>
          <w:sz w:val="16"/>
          <w:szCs w:val="16"/>
          <w:color w:val="auto"/>
        </w:rPr>
        <w:t>”). The Bonds will be issued in book-entry form in the name of Cede &amp; Co., as nominee of The Depository Trust Company (the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pursuant to the Company’s Blanket Letter of Representations, dated April 8, 2020, to the Depositary (the “</w:t>
      </w:r>
      <w:r>
        <w:rPr>
          <w:rFonts w:ascii="Times New Roman" w:cs="Times New Roman" w:eastAsia="Times New Roman" w:hAnsi="Times New Roman"/>
          <w:sz w:val="16"/>
          <w:szCs w:val="16"/>
          <w:b w:val="1"/>
          <w:bCs w:val="1"/>
          <w:color w:val="auto"/>
        </w:rPr>
        <w:t>DTC Agreement</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ind w:firstLine="384"/>
        <w:spacing w:after="0" w:line="273" w:lineRule="auto"/>
        <w:rPr>
          <w:sz w:val="20"/>
          <w:szCs w:val="20"/>
          <w:color w:val="auto"/>
        </w:rPr>
      </w:pPr>
      <w:r>
        <w:rPr>
          <w:rFonts w:ascii="Times New Roman" w:cs="Times New Roman" w:eastAsia="Times New Roman" w:hAnsi="Times New Roman"/>
          <w:sz w:val="14"/>
          <w:szCs w:val="14"/>
          <w:color w:val="auto"/>
        </w:rPr>
        <w:t>The Company has prepared and filed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a registration statement on Form S-3 (File No. 333-281614-02) to be used in connection with the public offering and sale of debt securities, including the Bonds, of the Company. Such registration statement,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including any required information deemed to be a part of the registration statement at the time of effectiveness pursuant to Rule 430B of the Securities Act (“</w:t>
      </w:r>
      <w:r>
        <w:rPr>
          <w:rFonts w:ascii="Times New Roman" w:cs="Times New Roman" w:eastAsia="Times New Roman" w:hAnsi="Times New Roman"/>
          <w:sz w:val="14"/>
          <w:szCs w:val="14"/>
          <w:b w:val="1"/>
          <w:bCs w:val="1"/>
          <w:color w:val="auto"/>
        </w:rPr>
        <w:t>Rule 430B</w:t>
      </w:r>
      <w:r>
        <w:rPr>
          <w:rFonts w:ascii="Times New Roman" w:cs="Times New Roman" w:eastAsia="Times New Roman" w:hAnsi="Times New Roman"/>
          <w:sz w:val="14"/>
          <w:szCs w:val="14"/>
          <w:color w:val="auto"/>
        </w:rPr>
        <w:t>”), is called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The term “</w:t>
      </w:r>
      <w:r>
        <w:rPr>
          <w:rFonts w:ascii="Times New Roman" w:cs="Times New Roman" w:eastAsia="Times New Roman" w:hAnsi="Times New Roman"/>
          <w:sz w:val="14"/>
          <w:szCs w:val="14"/>
          <w:b w:val="1"/>
          <w:bCs w:val="1"/>
          <w:color w:val="auto"/>
        </w:rPr>
        <w:t>Base Prospectus</w:t>
      </w:r>
      <w:r>
        <w:rPr>
          <w:rFonts w:ascii="Times New Roman" w:cs="Times New Roman" w:eastAsia="Times New Roman" w:hAnsi="Times New Roman"/>
          <w:sz w:val="14"/>
          <w:szCs w:val="14"/>
          <w:color w:val="auto"/>
        </w:rPr>
        <w:t>” shall mean the base prospectus dated September 1, 2021 relating to the Bonds. The term “</w:t>
      </w:r>
      <w:r>
        <w:rPr>
          <w:rFonts w:ascii="Times New Roman" w:cs="Times New Roman" w:eastAsia="Times New Roman" w:hAnsi="Times New Roman"/>
          <w:sz w:val="14"/>
          <w:szCs w:val="14"/>
          <w:b w:val="1"/>
          <w:bCs w:val="1"/>
          <w:color w:val="auto"/>
        </w:rPr>
        <w:t>Preliminary Prospectus</w:t>
      </w:r>
      <w:r>
        <w:rPr>
          <w:rFonts w:ascii="Times New Roman" w:cs="Times New Roman" w:eastAsia="Times New Roman" w:hAnsi="Times New Roman"/>
          <w:sz w:val="14"/>
          <w:szCs w:val="14"/>
          <w:color w:val="auto"/>
        </w:rPr>
        <w:t>” shall mean any preliminary prospectus supplement relating to the Bonds, together with the Base Prospectus, that is filed with the Commission pursuant to Rule 424(b) of the Securities Act (“</w:t>
      </w:r>
      <w:r>
        <w:rPr>
          <w:rFonts w:ascii="Times New Roman" w:cs="Times New Roman" w:eastAsia="Times New Roman" w:hAnsi="Times New Roman"/>
          <w:sz w:val="14"/>
          <w:szCs w:val="14"/>
          <w:b w:val="1"/>
          <w:bCs w:val="1"/>
          <w:color w:val="auto"/>
        </w:rPr>
        <w:t>Rule 424(b)</w:t>
      </w:r>
      <w:r>
        <w:rPr>
          <w:rFonts w:ascii="Times New Roman" w:cs="Times New Roman" w:eastAsia="Times New Roman" w:hAnsi="Times New Roman"/>
          <w:sz w:val="14"/>
          <w:szCs w:val="14"/>
          <w:color w:val="auto"/>
        </w:rPr>
        <w:t>”). The term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shall mean the final prospectus supplement relating to the Bonds, together with the Base Prospectus, that is first filed pursuant to Rule 424(b) after the date and time that this Agreement is executed (the “</w:t>
      </w:r>
      <w:r>
        <w:rPr>
          <w:rFonts w:ascii="Times New Roman" w:cs="Times New Roman" w:eastAsia="Times New Roman" w:hAnsi="Times New Roman"/>
          <w:sz w:val="14"/>
          <w:szCs w:val="14"/>
          <w:b w:val="1"/>
          <w:bCs w:val="1"/>
          <w:color w:val="auto"/>
        </w:rPr>
        <w:t>Execution Time</w:t>
      </w:r>
      <w:r>
        <w:rPr>
          <w:rFonts w:ascii="Times New Roman" w:cs="Times New Roman" w:eastAsia="Times New Roman" w:hAnsi="Times New Roman"/>
          <w:sz w:val="14"/>
          <w:szCs w:val="14"/>
          <w:color w:val="auto"/>
        </w:rPr>
        <w:t>”) and delivered by the parties hereto. Any reference herein to the Registration Statement, any Preliminary Prospectus or the Prospectus shall be deemed to refer to and include the documents that are or are deemed to be incorporated by reference therein pursuant to Item 12 of Form S-3 of the Securities Act prior to 2:15 p.m. (Eastern time) on December 1, 2025 (the “</w:t>
      </w:r>
      <w:r>
        <w:rPr>
          <w:rFonts w:ascii="Times New Roman" w:cs="Times New Roman" w:eastAsia="Times New Roman" w:hAnsi="Times New Roman"/>
          <w:sz w:val="14"/>
          <w:szCs w:val="14"/>
          <w:b w:val="1"/>
          <w:bCs w:val="1"/>
          <w:color w:val="auto"/>
        </w:rPr>
        <w:t>Initial Sale Time</w:t>
      </w:r>
      <w:r>
        <w:rPr>
          <w:rFonts w:ascii="Times New Roman" w:cs="Times New Roman" w:eastAsia="Times New Roman" w:hAnsi="Times New Roman"/>
          <w:sz w:val="14"/>
          <w:szCs w:val="14"/>
          <w:color w:val="auto"/>
        </w:rPr>
        <w:t>”). All references in this Agreement to the Registration Statement, any Preliminary Prospectus, the Prospectus, or any amendments or supplements to any of the foregoing, shall include any copy thereof filed with the Commission pursuant to its Electronic Data Gathering, Analysis and Retrieval System (“</w:t>
      </w:r>
      <w:r>
        <w:rPr>
          <w:rFonts w:ascii="Times New Roman" w:cs="Times New Roman" w:eastAsia="Times New Roman" w:hAnsi="Times New Roman"/>
          <w:sz w:val="14"/>
          <w:szCs w:val="14"/>
          <w:b w:val="1"/>
          <w:bCs w:val="1"/>
          <w:color w:val="auto"/>
        </w:rPr>
        <w:t>EDGAR</w:t>
      </w:r>
      <w:r>
        <w:rPr>
          <w:rFonts w:ascii="Times New Roman" w:cs="Times New Roman" w:eastAsia="Times New Roman" w:hAnsi="Times New Roman"/>
          <w:sz w:val="14"/>
          <w:szCs w:val="14"/>
          <w:color w:val="auto"/>
        </w:rPr>
        <w:t>”).</w:t>
      </w:r>
    </w:p>
    <w:p>
      <w:pPr>
        <w:spacing w:after="0" w:line="334" w:lineRule="exact"/>
        <w:rPr>
          <w:sz w:val="20"/>
          <w:szCs w:val="20"/>
          <w:color w:val="auto"/>
        </w:rPr>
      </w:pPr>
    </w:p>
    <w:p>
      <w:pPr>
        <w:ind w:right="60" w:firstLine="384"/>
        <w:spacing w:after="0" w:line="278" w:lineRule="auto"/>
        <w:rPr>
          <w:sz w:val="20"/>
          <w:szCs w:val="20"/>
          <w:color w:val="auto"/>
        </w:rPr>
      </w:pPr>
      <w:r>
        <w:rPr>
          <w:rFonts w:ascii="Times New Roman" w:cs="Times New Roman" w:eastAsia="Times New Roman" w:hAnsi="Times New Roman"/>
          <w:sz w:val="14"/>
          <w:szCs w:val="14"/>
          <w:color w:val="auto"/>
        </w:rPr>
        <w:t>All references in this Agreement to financial statements and schedules and other information that is “contained,” “included” or “stated” (or other references of like import) in the Registration Statement, the Prospectus or any Preliminary Prospectus shall be deemed to mean and include all such financial statements and schedules and other information that is or is deemed to be incorporated by reference in the Registration Statement, the Prospectus or any Preliminary Prospectus, as the case may be, prior to the Initial Sale Time; and all references in this Agreement to amendments or supplements to the Registration Statement, the Prospectus or any Preliminary Prospectus shall be deemed to include the filing of any document under the Securities Exchange Act of 1934, as amended, and the rules and regulations promulgated thereunder (collectively,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which is or is deemed to be incorporated by reference in the Registration Statement, the Prospectus or any Preliminary Prospectus, as the case may be, after the Initial Sale Time.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740"/>
          </w:cols>
          <w:pgMar w:left="1060" w:top="689" w:right="1100" w:bottom="1440" w:gutter="0" w:footer="0" w:header="0"/>
        </w:sectPr>
      </w:pPr>
    </w:p>
    <w:bookmarkStart w:id="6" w:name="page7"/>
    <w:bookmarkEnd w:id="6"/>
    <w:p>
      <w:pPr>
        <w:ind w:left="39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Company hereby confirms its agreements with the Underwriters as follows:</w:t>
      </w:r>
    </w:p>
    <w:p>
      <w:pPr>
        <w:spacing w:after="0" w:line="92"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1. </w:t>
      </w: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10" w:right="240" w:firstLine="384"/>
        <w:spacing w:after="0" w:line="259" w:lineRule="auto"/>
        <w:rPr>
          <w:sz w:val="20"/>
          <w:szCs w:val="20"/>
          <w:color w:val="auto"/>
        </w:rPr>
      </w:pPr>
      <w:r>
        <w:rPr>
          <w:rFonts w:ascii="Times New Roman" w:cs="Times New Roman" w:eastAsia="Times New Roman" w:hAnsi="Times New Roman"/>
          <w:sz w:val="16"/>
          <w:szCs w:val="16"/>
          <w:color w:val="auto"/>
        </w:rPr>
        <w:t>The Company hereby represents, warrants and covenants to each Underwriter as of the date hereof, as of the Initial Sale Time and as of the Closing Date (in each case, a “</w:t>
      </w:r>
      <w:r>
        <w:rPr>
          <w:rFonts w:ascii="Times New Roman" w:cs="Times New Roman" w:eastAsia="Times New Roman" w:hAnsi="Times New Roman"/>
          <w:sz w:val="16"/>
          <w:szCs w:val="16"/>
          <w:b w:val="1"/>
          <w:bCs w:val="1"/>
          <w:color w:val="auto"/>
        </w:rPr>
        <w:t>Representation Date</w:t>
      </w:r>
      <w:r>
        <w:rPr>
          <w:rFonts w:ascii="Times New Roman" w:cs="Times New Roman" w:eastAsia="Times New Roman" w:hAnsi="Times New Roman"/>
          <w:sz w:val="16"/>
          <w:szCs w:val="16"/>
          <w:color w:val="auto"/>
        </w:rPr>
        <w:t>”), as follows:</w:t>
      </w:r>
    </w:p>
    <w:p>
      <w:pPr>
        <w:spacing w:after="0" w:line="57" w:lineRule="exact"/>
        <w:rPr>
          <w:sz w:val="20"/>
          <w:szCs w:val="20"/>
          <w:color w:val="auto"/>
        </w:rPr>
      </w:pPr>
    </w:p>
    <w:p>
      <w:pPr>
        <w:ind w:left="10" w:right="20" w:firstLine="374"/>
        <w:spacing w:after="0" w:line="272" w:lineRule="auto"/>
        <w:tabs>
          <w:tab w:leader="none" w:pos="598"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Well-Known Seasoned Issuer</w:t>
      </w:r>
      <w:r>
        <w:rPr>
          <w:rFonts w:ascii="Times New Roman" w:cs="Times New Roman" w:eastAsia="Times New Roman" w:hAnsi="Times New Roman"/>
          <w:sz w:val="14"/>
          <w:szCs w:val="14"/>
          <w:color w:val="auto"/>
        </w:rPr>
        <w:t>. (i) At the time of filing the Registration Statement, (ii) at the time of the most recent amendment thereto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purposes of complying with Section 10(a)(3) of the Securities Act (whether such amendment was by post-effective amendment, incorporated report filed pursuant to Section 13 or 15(d) of the Exchange Act or form of prospectus), (iii) at the time the Company or any person acting on its behalf (within the meaning, for this clause only, of Rule 163(c) of the Securities Act) made any offer relating to the Bonds in reliance on the exemption of Rule 163 of the Securities Act, and (iv) as of the Execution Time (with such date being used as the determination date for purposes of this clause (iv)), the Company was and is a “well-known seasoned issuer” (as such term is defined in Rule 405 of the Securities Act (“</w:t>
      </w:r>
      <w:r>
        <w:rPr>
          <w:rFonts w:ascii="Times New Roman" w:cs="Times New Roman" w:eastAsia="Times New Roman" w:hAnsi="Times New Roman"/>
          <w:sz w:val="14"/>
          <w:szCs w:val="14"/>
          <w:b w:val="1"/>
          <w:bCs w:val="1"/>
          <w:color w:val="auto"/>
        </w:rPr>
        <w:t>Rule 405</w:t>
      </w:r>
      <w:r>
        <w:rPr>
          <w:rFonts w:ascii="Times New Roman" w:cs="Times New Roman" w:eastAsia="Times New Roman" w:hAnsi="Times New Roman"/>
          <w:sz w:val="14"/>
          <w:szCs w:val="14"/>
          <w:color w:val="auto"/>
        </w:rPr>
        <w:t>”)). The Registration Statement is an “automatic shelf registration statement” (as such term is defined in Rule 405), the Company has not received from the Commission any notice pursuant to Rule 401(g)</w:t>
      </w:r>
    </w:p>
    <w:p>
      <w:pPr>
        <w:spacing w:after="0" w:line="3" w:lineRule="exact"/>
        <w:rPr>
          <w:rFonts w:ascii="Times New Roman" w:cs="Times New Roman" w:eastAsia="Times New Roman" w:hAnsi="Times New Roman"/>
          <w:sz w:val="14"/>
          <w:szCs w:val="14"/>
          <w:color w:val="auto"/>
        </w:rPr>
      </w:pPr>
    </w:p>
    <w:p>
      <w:pPr>
        <w:ind w:left="10" w:right="80" w:hanging="10"/>
        <w:spacing w:after="0" w:line="238" w:lineRule="auto"/>
        <w:tabs>
          <w:tab w:leader="none" w:pos="2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Securities Act (“</w:t>
      </w:r>
      <w:r>
        <w:rPr>
          <w:rFonts w:ascii="Times New Roman" w:cs="Times New Roman" w:eastAsia="Times New Roman" w:hAnsi="Times New Roman"/>
          <w:sz w:val="16"/>
          <w:szCs w:val="16"/>
          <w:b w:val="1"/>
          <w:bCs w:val="1"/>
          <w:color w:val="auto"/>
        </w:rPr>
        <w:t>Rule 401(g)(2)</w:t>
      </w:r>
      <w:r>
        <w:rPr>
          <w:rFonts w:ascii="Times New Roman" w:cs="Times New Roman" w:eastAsia="Times New Roman" w:hAnsi="Times New Roman"/>
          <w:sz w:val="16"/>
          <w:szCs w:val="16"/>
          <w:color w:val="auto"/>
        </w:rPr>
        <w:t>”) objecting to use of the automatic shelf registration statement form and the Company has not otherwise ceased to be eligible to use the automatic shelf registration statement form.</w:t>
      </w:r>
    </w:p>
    <w:p>
      <w:pPr>
        <w:spacing w:after="0" w:line="167" w:lineRule="exact"/>
        <w:rPr>
          <w:rFonts w:ascii="Times New Roman" w:cs="Times New Roman" w:eastAsia="Times New Roman" w:hAnsi="Times New Roman"/>
          <w:sz w:val="16"/>
          <w:szCs w:val="16"/>
          <w:color w:val="auto"/>
        </w:rPr>
      </w:pPr>
    </w:p>
    <w:p>
      <w:pPr>
        <w:ind w:left="10" w:firstLine="374"/>
        <w:spacing w:after="0" w:line="274" w:lineRule="auto"/>
        <w:tabs>
          <w:tab w:leader="none" w:pos="61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Compliance with Registration Requirements. </w:t>
      </w:r>
      <w:r>
        <w:rPr>
          <w:rFonts w:ascii="Times New Roman" w:cs="Times New Roman" w:eastAsia="Times New Roman" w:hAnsi="Times New Roman"/>
          <w:sz w:val="14"/>
          <w:szCs w:val="14"/>
          <w:color w:val="auto"/>
        </w:rPr>
        <w:t>The Company meets the requirements for use of Form S-3 of the Securities Act and the Bonds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duly registered under the Securities Act pursuant to the Registration Statement. The Registration Statement has become effective under the Securities Act and no stop order suspending the effectiveness of the Registration Statement has been issued under the Securities Act and no proceedings for that purpose have been instituted or are pending or, to the knowledge of the Company, are contemplated or threatened by the Commission, and any request on the part of the Commission for additional information has been complied with. The Registration Statement was initially filed with the Commission on</w:t>
      </w:r>
    </w:p>
    <w:p>
      <w:pPr>
        <w:spacing w:after="0" w:line="1" w:lineRule="exact"/>
        <w:rPr>
          <w:rFonts w:ascii="Times New Roman" w:cs="Times New Roman" w:eastAsia="Times New Roman" w:hAnsi="Times New Roman"/>
          <w:sz w:val="14"/>
          <w:szCs w:val="14"/>
          <w:color w:val="auto"/>
        </w:rPr>
      </w:pPr>
    </w:p>
    <w:p>
      <w:pPr>
        <w:ind w:left="10" w:right="640"/>
        <w:spacing w:after="0" w:line="2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August 16, 2024. In addition, the Mortgage Indenture has been duly qualified under the Trust Indenture Act of 1939, as amended, and the rules and regulations promulgated thereunder (the “</w:t>
      </w:r>
      <w:r>
        <w:rPr>
          <w:rFonts w:ascii="Times New Roman" w:cs="Times New Roman" w:eastAsia="Times New Roman" w:hAnsi="Times New Roman"/>
          <w:sz w:val="16"/>
          <w:szCs w:val="16"/>
          <w:b w:val="1"/>
          <w:bCs w:val="1"/>
          <w:color w:val="auto"/>
        </w:rPr>
        <w:t>Trust Indenture Act</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10" w:right="60" w:firstLine="384"/>
        <w:spacing w:after="0" w:line="275" w:lineRule="auto"/>
        <w:rPr>
          <w:sz w:val="20"/>
          <w:szCs w:val="20"/>
          <w:color w:val="auto"/>
        </w:rPr>
      </w:pPr>
      <w:r>
        <w:rPr>
          <w:rFonts w:ascii="Times New Roman" w:cs="Times New Roman" w:eastAsia="Times New Roman" w:hAnsi="Times New Roman"/>
          <w:sz w:val="14"/>
          <w:szCs w:val="14"/>
          <w:color w:val="auto"/>
        </w:rPr>
        <w:t>At the respective times the Registration Statement and any post -effective amendments thereto became effective and at each Representation Date, the Registration Statement and any amendments thereto (i) complied and will comply in all material respects with the requirements of the Securities Act and the Trust Indenture Act, and (ii) did not and will not contain an untrue statement of a material fact or omit to state a material fact required to be stated therein or necessary to make the statements therein not misleading. Neither the Prospectus nor any amendments or supplements thereto, at the time the Prospectus or any such amendment or supplement was issued and at the Closing Date, included or will include an untrue statement of a material fact or omitted or will omit to state a material fact necessary in order to make the statements therein, in the light of the circumstances under which they were made, not misleading. Notwithstanding the foregoing, the representations and warranties in this Section 1(b) shall not apply to (A) that part of the Registration Statement that constitutes the Statement of Eligibility on Form T-1 of the Trustee under the Trust Indenture Act or (B) statements in or omissions from the Registration Statement or any post-effective amendment or the Prospectus or any amendments or supplements thereto made in reliance upon and in conformity with information furnished to the Company in writing by any Underwriter through the Representatives expressly for use therein, it being understood and agreed that the only such information furnished by any Underwriter consists of the information described as such in Section 7(b) hereof.</w:t>
      </w:r>
    </w:p>
    <w:p>
      <w:pPr>
        <w:spacing w:after="0" w:line="292"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830"/>
          </w:cols>
          <w:pgMar w:left="1050" w:top="689" w:right="1020" w:bottom="1440" w:gutter="0" w:footer="0" w:header="0"/>
        </w:sectPr>
      </w:pPr>
    </w:p>
    <w:bookmarkStart w:id="7" w:name="page8"/>
    <w:bookmarkEnd w:id="7"/>
    <w:p>
      <w:pPr>
        <w:jc w:val="both"/>
        <w:ind w:right="40" w:firstLine="384"/>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Each Preliminary Prospectus and the Prospectus, at the time each was filed with the Commission, complied in all material respects with the Securities Act, and each Preliminary Prospectus and the Prospectus delivered to the Underwriters for use in connection with the offering of the Bonds will, at the time of such delivery, be identical to any electronically transmitted copies thereof filed with the Commission pursuant to EDGAR, except to the extent permitted by the Commission’s Regulation S-T.</w:t>
      </w:r>
    </w:p>
    <w:p>
      <w:pPr>
        <w:spacing w:after="0" w:line="165" w:lineRule="exact"/>
        <w:rPr>
          <w:sz w:val="20"/>
          <w:szCs w:val="20"/>
          <w:color w:val="auto"/>
        </w:rPr>
      </w:pPr>
    </w:p>
    <w:p>
      <w:pPr>
        <w:ind w:firstLine="374"/>
        <w:spacing w:after="0" w:line="273" w:lineRule="auto"/>
        <w:tabs>
          <w:tab w:leader="none" w:pos="58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Disclosure Package. </w:t>
      </w: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color w:val="auto"/>
        </w:rPr>
        <w:t>Disclosure Package</w:t>
      </w:r>
      <w:r>
        <w:rPr>
          <w:rFonts w:ascii="Times New Roman" w:cs="Times New Roman" w:eastAsia="Times New Roman" w:hAnsi="Times New Roman"/>
          <w:sz w:val="14"/>
          <w:szCs w:val="14"/>
          <w:color w:val="auto"/>
        </w:rPr>
        <w:t>” shall mean (i) the Preliminary Prospectus dated December 1, 2025, (ii) each Issuer Free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Writing Prospectus (as such term is defined below) identified as an “Issuer General Use Free Writing Prospectus” in Annex I hereto (each, an “</w:t>
      </w:r>
      <w:r>
        <w:rPr>
          <w:rFonts w:ascii="Times New Roman" w:cs="Times New Roman" w:eastAsia="Times New Roman" w:hAnsi="Times New Roman"/>
          <w:sz w:val="14"/>
          <w:szCs w:val="14"/>
          <w:b w:val="1"/>
          <w:bCs w:val="1"/>
          <w:color w:val="auto"/>
        </w:rPr>
        <w:t>Issuer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General Use Free Writing Prospectus</w:t>
      </w:r>
      <w:r>
        <w:rPr>
          <w:rFonts w:ascii="Times New Roman" w:cs="Times New Roman" w:eastAsia="Times New Roman" w:hAnsi="Times New Roman"/>
          <w:sz w:val="14"/>
          <w:szCs w:val="14"/>
          <w:color w:val="auto"/>
        </w:rPr>
        <w:t>”) and (iii) any other free writing prospectus that the parties hereto shall hereafter expressly agree in writing to treat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part of the Disclosure Package. The term “</w:t>
      </w:r>
      <w:r>
        <w:rPr>
          <w:rFonts w:ascii="Times New Roman" w:cs="Times New Roman" w:eastAsia="Times New Roman" w:hAnsi="Times New Roman"/>
          <w:sz w:val="14"/>
          <w:szCs w:val="14"/>
          <w:b w:val="1"/>
          <w:bCs w:val="1"/>
          <w:color w:val="auto"/>
        </w:rPr>
        <w:t>Issuer Free Writing Prospectus</w:t>
      </w:r>
      <w:r>
        <w:rPr>
          <w:rFonts w:ascii="Times New Roman" w:cs="Times New Roman" w:eastAsia="Times New Roman" w:hAnsi="Times New Roman"/>
          <w:sz w:val="14"/>
          <w:szCs w:val="14"/>
          <w:color w:val="auto"/>
        </w:rPr>
        <w:t>” shall mean any “issuer free writing prospectus” (as such term is defined in Rule 433 of the Securities Act (“</w:t>
      </w:r>
      <w:r>
        <w:rPr>
          <w:rFonts w:ascii="Times New Roman" w:cs="Times New Roman" w:eastAsia="Times New Roman" w:hAnsi="Times New Roman"/>
          <w:sz w:val="14"/>
          <w:szCs w:val="14"/>
          <w:b w:val="1"/>
          <w:bCs w:val="1"/>
          <w:color w:val="auto"/>
        </w:rPr>
        <w:t>Rule 433</w:t>
      </w:r>
      <w:r>
        <w:rPr>
          <w:rFonts w:ascii="Times New Roman" w:cs="Times New Roman" w:eastAsia="Times New Roman" w:hAnsi="Times New Roman"/>
          <w:sz w:val="14"/>
          <w:szCs w:val="14"/>
          <w:color w:val="auto"/>
        </w:rPr>
        <w:t>”)) relating to the Bonds that (A) is required to be filed with the Commission by the Company or (B) is a “road show that is a written communication” within the meaning of Rule 433(d)(8)(i), whether or not required to be filed with the Commission, in each case in the form filed or required to be filed with the Commission or, if not required to be so filed, in the form retained in the Company’s records pursuant to Rule 433(g). The term “</w:t>
      </w:r>
      <w:r>
        <w:rPr>
          <w:rFonts w:ascii="Times New Roman" w:cs="Times New Roman" w:eastAsia="Times New Roman" w:hAnsi="Times New Roman"/>
          <w:sz w:val="14"/>
          <w:szCs w:val="14"/>
          <w:b w:val="1"/>
          <w:bCs w:val="1"/>
          <w:color w:val="auto"/>
        </w:rPr>
        <w:t>Issuer Limited Use Free Writing Prospectus</w:t>
      </w:r>
      <w:r>
        <w:rPr>
          <w:rFonts w:ascii="Times New Roman" w:cs="Times New Roman" w:eastAsia="Times New Roman" w:hAnsi="Times New Roman"/>
          <w:sz w:val="14"/>
          <w:szCs w:val="14"/>
          <w:color w:val="auto"/>
        </w:rPr>
        <w:t>” shall mean any Issuer Free Writing Prospectus that is not an Issuer General Use Free Writing Prospectus as identified in Annex I hereto. At the Initial Sale Time, neither (1) the Disclosure Package nor (2) any individual Issuer Limited Use Free Writing Prospectus, when considered with the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Disclosure Package or any Issuer Limited Use Free Writing Prospectus based upon and in conformity with information furnished to the Company in writing by any Underwriter through the Representatives specifically for use therein, it being understood and agreed that the only such information furnished by or on behalf of any Underwriter consists of the information described as such in Section 7(b) hereof.</w:t>
      </w:r>
    </w:p>
    <w:p>
      <w:pPr>
        <w:spacing w:after="0" w:line="332" w:lineRule="exact"/>
        <w:rPr>
          <w:rFonts w:ascii="Times New Roman" w:cs="Times New Roman" w:eastAsia="Times New Roman" w:hAnsi="Times New Roman"/>
          <w:sz w:val="14"/>
          <w:szCs w:val="14"/>
          <w:color w:val="auto"/>
        </w:rPr>
      </w:pPr>
    </w:p>
    <w:p>
      <w:pPr>
        <w:ind w:firstLine="374"/>
        <w:spacing w:after="0"/>
        <w:tabs>
          <w:tab w:leader="none" w:pos="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Incorporated Documents</w:t>
      </w:r>
      <w:r>
        <w:rPr>
          <w:rFonts w:ascii="Times New Roman" w:cs="Times New Roman" w:eastAsia="Times New Roman" w:hAnsi="Times New Roman"/>
          <w:sz w:val="16"/>
          <w:szCs w:val="16"/>
          <w:color w:val="auto"/>
        </w:rPr>
        <w:t>. The documents incorporated or deemed to be incorporated by reference in the Registration Statement, any Preliminary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Prospectus and the Prospectus (i) at the time they were or hereafter are filed with the Commission, complied or will comply in all material respects with the requirements of the Exchange Act and (ii) when read together with the other information in the Disclosure Package, at the Initial Sale Time, and when read together with the other information in the Prospectus, at the date of the Prospectus and at the Closing Date, did not or will not include an untrue statement of a material fact or omit to state a material fact necessary in order to make the statements therein, in the light of the circumstances under which they were made, not misleading.</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60"/>
          </w:cols>
          <w:pgMar w:left="1060" w:top="689" w:right="1080" w:bottom="1440" w:gutter="0" w:footer="0" w:header="0"/>
        </w:sectPr>
      </w:pPr>
    </w:p>
    <w:bookmarkStart w:id="8" w:name="page9"/>
    <w:bookmarkEnd w:id="8"/>
    <w:p>
      <w:pPr>
        <w:ind w:right="240" w:firstLine="374"/>
        <w:spacing w:after="0" w:line="241" w:lineRule="auto"/>
        <w:tabs>
          <w:tab w:leader="none" w:pos="58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Not an Ineligible Issuer</w:t>
      </w:r>
      <w:r>
        <w:rPr>
          <w:rFonts w:ascii="Times New Roman" w:cs="Times New Roman" w:eastAsia="Times New Roman" w:hAnsi="Times New Roman"/>
          <w:sz w:val="16"/>
          <w:szCs w:val="16"/>
          <w:color w:val="auto"/>
        </w:rPr>
        <w:t>. (i) At the earliest time after the filing of the Registration Statement that the Company or another offering participant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makes a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 (within the meaning of Rule 164(h)(2) of the Securities Act) of the Bonds and (ii) as of the Execution Time (with such date being used as the determination date for purposes of this clause (ii)), the Company was not or is not an “ineligible issuer” (as such term is defined in Rule 405), without taking account of any determination by the Commission pursuant to Rule 405 that it is not necessary that the Company be considered such an ineligible issuer.</w:t>
      </w:r>
    </w:p>
    <w:p>
      <w:pPr>
        <w:spacing w:after="0" w:line="168" w:lineRule="exact"/>
        <w:rPr>
          <w:rFonts w:ascii="Times New Roman" w:cs="Times New Roman" w:eastAsia="Times New Roman" w:hAnsi="Times New Roman"/>
          <w:sz w:val="16"/>
          <w:szCs w:val="16"/>
          <w:color w:val="auto"/>
        </w:rPr>
      </w:pPr>
    </w:p>
    <w:p>
      <w:pPr>
        <w:ind w:firstLine="374"/>
        <w:spacing w:after="0" w:line="276" w:lineRule="auto"/>
        <w:tabs>
          <w:tab w:leader="none" w:pos="57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Issuer Free Writing Prospectuses</w:t>
      </w:r>
      <w:r>
        <w:rPr>
          <w:rFonts w:ascii="Times New Roman" w:cs="Times New Roman" w:eastAsia="Times New Roman" w:hAnsi="Times New Roman"/>
          <w:sz w:val="14"/>
          <w:szCs w:val="14"/>
          <w:color w:val="auto"/>
        </w:rPr>
        <w:t>. Each Issuer Free Writing Prospectus, as of its issue date and at all subsequent times through the completion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public offering and sale of Bonds or until any earlier date that the Company notified or notifies the Representatives as described in the next sentence, did not, does not and will not include any information that conflicted, conflicts or will conflict with the information contained in the Registration Statement, any Preliminary Prospectus or the Prospectus.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the Company has promptly notified or will promptly notify the Representatives and has promptly amended or supplemented or will promptly amend or supplement, at its own expense, such Issuer Free Writing Prospectus to eliminate or correct such conflict. The foregoing two sentences do not apply to statements in or omissions from any Issuer Free Writing Prospectus based upon and in conformity with information furnished to the Company in writing by any Underwriter through the Representatives specifically for use therein, it being understood and agreed that the only such information furnished by any Underwriter consists of the information described as such in Section 7(b) hereof.</w:t>
      </w:r>
    </w:p>
    <w:p>
      <w:pPr>
        <w:spacing w:after="0" w:line="326" w:lineRule="exact"/>
        <w:rPr>
          <w:rFonts w:ascii="Times New Roman" w:cs="Times New Roman" w:eastAsia="Times New Roman" w:hAnsi="Times New Roman"/>
          <w:sz w:val="14"/>
          <w:szCs w:val="14"/>
          <w:color w:val="auto"/>
        </w:rPr>
      </w:pPr>
    </w:p>
    <w:p>
      <w:pPr>
        <w:ind w:right="300" w:firstLine="374"/>
        <w:spacing w:after="0" w:line="248" w:lineRule="auto"/>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Applicable Registration or Other Similar Rights. </w:t>
      </w:r>
      <w:r>
        <w:rPr>
          <w:rFonts w:ascii="Times New Roman" w:cs="Times New Roman" w:eastAsia="Times New Roman" w:hAnsi="Times New Roman"/>
          <w:sz w:val="16"/>
          <w:szCs w:val="16"/>
          <w:color w:val="auto"/>
        </w:rPr>
        <w:t>There are no persons with registration or other similar rights to have any equity or debt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registered for sale under the Registration Statement or included in the offering contemplated by this Agreement, except for such rights as have been duly waived.</w:t>
      </w:r>
    </w:p>
    <w:p>
      <w:pPr>
        <w:spacing w:after="0" w:line="161" w:lineRule="exact"/>
        <w:rPr>
          <w:rFonts w:ascii="Times New Roman" w:cs="Times New Roman" w:eastAsia="Times New Roman" w:hAnsi="Times New Roman"/>
          <w:sz w:val="16"/>
          <w:szCs w:val="16"/>
          <w:color w:val="auto"/>
        </w:rPr>
      </w:pPr>
    </w:p>
    <w:p>
      <w:pPr>
        <w:ind w:right="60" w:firstLine="374"/>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Due Incorporation and Qualification</w:t>
      </w:r>
      <w:r>
        <w:rPr>
          <w:rFonts w:ascii="Times New Roman" w:cs="Times New Roman" w:eastAsia="Times New Roman" w:hAnsi="Times New Roman"/>
          <w:sz w:val="16"/>
          <w:szCs w:val="16"/>
          <w:color w:val="auto"/>
        </w:rPr>
        <w:t>. The Company has been duly incorporated and is validly existing as a corporation in good standing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laws of the state of Kansas with corporate power and authority to own, lease and operate its properties and to conduct its business as described in the Disclosure Package and the Prospectus and to enter into and perform its obligations under this Agreement, the Mortgage Indenture and the Bonds; and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and be in good standing would not result in a Material Adverse Change (as such term is defined herein).</w:t>
      </w:r>
    </w:p>
    <w:p>
      <w:pPr>
        <w:spacing w:after="0" w:line="168" w:lineRule="exact"/>
        <w:rPr>
          <w:rFonts w:ascii="Times New Roman" w:cs="Times New Roman" w:eastAsia="Times New Roman" w:hAnsi="Times New Roman"/>
          <w:sz w:val="16"/>
          <w:szCs w:val="16"/>
          <w:color w:val="auto"/>
        </w:rPr>
      </w:pPr>
    </w:p>
    <w:p>
      <w:pPr>
        <w:ind w:right="80" w:firstLine="374"/>
        <w:spacing w:after="0" w:line="241" w:lineRule="auto"/>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Subsidiaries</w:t>
      </w:r>
      <w:r>
        <w:rPr>
          <w:rFonts w:ascii="Times New Roman" w:cs="Times New Roman" w:eastAsia="Times New Roman" w:hAnsi="Times New Roman"/>
          <w:sz w:val="16"/>
          <w:szCs w:val="16"/>
          <w:color w:val="auto"/>
        </w:rPr>
        <w:t>. Evergy Kansas South, Inc. (the “</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is a “significant subsidiary” (as such term is defined in Rule 1-02 of the Commission’s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Regulation S-X) of the Company. The Subsidiary has been duly incorporated and is validly existing as a corporation in good standing under the laws of its jurisdiction of incorporation, has corporate power and authority to own, lease and operate its properties and to conduct its business as described in the Disclosure Package and the Prospectus and is duly qualified as a foreign corporation to transact business and is in good standing in each jurisdiction in which such qualification is required, whether by reason</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800"/>
          </w:cols>
          <w:pgMar w:left="1060" w:top="687" w:right="1040" w:bottom="1440" w:gutter="0" w:footer="0" w:header="0"/>
        </w:sectPr>
      </w:pPr>
    </w:p>
    <w:bookmarkStart w:id="9" w:name="page10"/>
    <w:bookmarkEnd w:id="9"/>
    <w:p>
      <w:pPr>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of the ownership or leasing of property or the conduct of business, except where the failure so to qualify or to be in good standing would not result in a Material Adverse Change; except as otherwise disclosed in the Disclosure Package and the Prospectus, all of the issued and outstanding shares of capital stock of the Subsidiary have been duly authorized and validly issued, are fully paid and non-assessable and are owned directly by the Company free and clear of any security interest, mortgage, pledge, lien, encumbrance, claim or equity; and none of the outstanding shares of capital stock of the Subsidiary was issued in violation of preemptive or other similar rights of any securityholder of the Subsidiary. The Company has no other “significant subsidiaries” (as such term is defined in Rule 1-02 of the Commission’s Regulation S-X) other than the Subsidiary.</w:t>
      </w:r>
    </w:p>
    <w:p>
      <w:pPr>
        <w:spacing w:after="0" w:line="171" w:lineRule="exact"/>
        <w:rPr>
          <w:sz w:val="20"/>
          <w:szCs w:val="20"/>
          <w:color w:val="auto"/>
        </w:rPr>
      </w:pPr>
    </w:p>
    <w:p>
      <w:pPr>
        <w:ind w:right="20" w:firstLine="374"/>
        <w:spacing w:after="0" w:line="244" w:lineRule="auto"/>
        <w:tabs>
          <w:tab w:leader="none" w:pos="56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Capitalization</w:t>
      </w:r>
      <w:r>
        <w:rPr>
          <w:rFonts w:ascii="Times New Roman" w:cs="Times New Roman" w:eastAsia="Times New Roman" w:hAnsi="Times New Roman"/>
          <w:sz w:val="16"/>
          <w:szCs w:val="16"/>
          <w:color w:val="auto"/>
        </w:rPr>
        <w:t>. The authorized, issued and outstanding capital stock of the Company is as set forth in the Disclosure Package and the Prospectus.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shares of issued and outstanding capital stock of the Company have been duly authorized and validly issued and are fully paid and non-assessable; none of the outstanding shares of capital stock of the Company was issued in violation of preemptive or other similar rights of any securityholder of the Company.</w:t>
      </w:r>
    </w:p>
    <w:p>
      <w:pPr>
        <w:spacing w:after="0" w:line="164" w:lineRule="exact"/>
        <w:rPr>
          <w:rFonts w:ascii="Times New Roman" w:cs="Times New Roman" w:eastAsia="Times New Roman" w:hAnsi="Times New Roman"/>
          <w:sz w:val="16"/>
          <w:szCs w:val="16"/>
          <w:color w:val="auto"/>
        </w:rPr>
      </w:pPr>
    </w:p>
    <w:p>
      <w:pPr>
        <w:ind w:right="40" w:firstLine="374"/>
        <w:spacing w:after="0" w:line="248" w:lineRule="auto"/>
        <w:tabs>
          <w:tab w:leader="none" w:pos="6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Accountants</w:t>
      </w:r>
      <w:r>
        <w:rPr>
          <w:rFonts w:ascii="Times New Roman" w:cs="Times New Roman" w:eastAsia="Times New Roman" w:hAnsi="Times New Roman"/>
          <w:sz w:val="16"/>
          <w:szCs w:val="16"/>
          <w:color w:val="auto"/>
        </w:rPr>
        <w:t>. The accountants who issued their reports on the financial statements of the Company included or incorporated by reference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 Package and the Prospectus are an independent registered public accounting firm with respect to the Company, as required by the Securities Act, the Exchange Act and the Public Company Accounting Oversight Board (United States).</w:t>
      </w:r>
    </w:p>
    <w:p>
      <w:pPr>
        <w:spacing w:after="0" w:line="161" w:lineRule="exact"/>
        <w:rPr>
          <w:rFonts w:ascii="Times New Roman" w:cs="Times New Roman" w:eastAsia="Times New Roman" w:hAnsi="Times New Roman"/>
          <w:sz w:val="16"/>
          <w:szCs w:val="16"/>
          <w:color w:val="auto"/>
        </w:rPr>
      </w:pPr>
    </w:p>
    <w:p>
      <w:pPr>
        <w:ind w:right="140" w:firstLine="374"/>
        <w:spacing w:after="0" w:line="238" w:lineRule="auto"/>
        <w:tabs>
          <w:tab w:leader="none" w:pos="56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Financial Statements</w:t>
      </w:r>
      <w:r>
        <w:rPr>
          <w:rFonts w:ascii="Times New Roman" w:cs="Times New Roman" w:eastAsia="Times New Roman" w:hAnsi="Times New Roman"/>
          <w:sz w:val="16"/>
          <w:szCs w:val="16"/>
          <w:color w:val="auto"/>
        </w:rPr>
        <w:t>. The financial statements and any supporting schedules of the Company included or incorporated by reference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Registration Statement, the Disclosure Package and the Prospectus present fairly, in all material respects, the financial position of the Company as of the dates indicated and the results of its operations and cash flows for the periods specified; except as stated therein, such financial statements have been prepared in conformity with generally accepted accounting principles in the United States (“</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applied on a consistent basis; and any supporting schedules included in the Registration Statement present fairly, in all material respects, the information required to be stated therein. The selected financial data and the summary financial information included or incorporated by reference in the Disclosure Package and the Prospectus present fairly, in accordance with GAAP, the information shown therein and have been compiled on a basis consistent with that of the audited financial statements included or incorporated by reference in the Registration Statement, the Disclosure Package and the Prospectus.</w:t>
      </w:r>
    </w:p>
    <w:p>
      <w:pPr>
        <w:spacing w:after="0" w:line="172" w:lineRule="exact"/>
        <w:rPr>
          <w:rFonts w:ascii="Times New Roman" w:cs="Times New Roman" w:eastAsia="Times New Roman" w:hAnsi="Times New Roman"/>
          <w:sz w:val="16"/>
          <w:szCs w:val="16"/>
          <w:color w:val="auto"/>
        </w:rPr>
      </w:pPr>
    </w:p>
    <w:p>
      <w:pPr>
        <w:ind w:left="640" w:hanging="266"/>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Authorization of the Underwriting Agreement</w:t>
      </w:r>
      <w:r>
        <w:rPr>
          <w:rFonts w:ascii="Times New Roman" w:cs="Times New Roman" w:eastAsia="Times New Roman" w:hAnsi="Times New Roman"/>
          <w:sz w:val="16"/>
          <w:szCs w:val="16"/>
          <w:color w:val="auto"/>
        </w:rPr>
        <w:t>. This Agreement has been duly authorized, executed and delivered by the Company.</w:t>
      </w:r>
    </w:p>
    <w:p>
      <w:pPr>
        <w:spacing w:after="0" w:line="188" w:lineRule="exact"/>
        <w:rPr>
          <w:rFonts w:ascii="Times New Roman" w:cs="Times New Roman" w:eastAsia="Times New Roman" w:hAnsi="Times New Roman"/>
          <w:sz w:val="16"/>
          <w:szCs w:val="16"/>
          <w:color w:val="auto"/>
        </w:rPr>
      </w:pPr>
    </w:p>
    <w:p>
      <w:pPr>
        <w:ind w:right="40" w:firstLine="374"/>
        <w:spacing w:after="0" w:line="284" w:lineRule="auto"/>
        <w:tabs>
          <w:tab w:leader="none" w:pos="6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Authorization of the Mortgage Indenture</w:t>
      </w:r>
      <w:r>
        <w:rPr>
          <w:rFonts w:ascii="Times New Roman" w:cs="Times New Roman" w:eastAsia="Times New Roman" w:hAnsi="Times New Roman"/>
          <w:sz w:val="14"/>
          <w:szCs w:val="14"/>
          <w:color w:val="auto"/>
        </w:rPr>
        <w:t>. The Mortgage Indenture has been duly qualified under the Trust Indenture Act and has been duly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authorized; the Base Mortgage has been and, at the Closing Date, the Supplemental Indenture will be duly executed and delivered by the Company; and the Base Mortgage constitutes and, at the Closing Date, the Mortgage Indenture will constitute a valid and binding obligation of the Company, enforceable against the Company in accordance with its terms, except as the enforcement thereof may be limited by bankruptcy, insolvency, reorganization, moratorium or similar laws relating to or affecting enforcement of mortgagees’ or other creditors’ rights generally and except as enforcement thereof is subject 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780"/>
          </w:cols>
          <w:pgMar w:left="1060" w:top="689" w:right="1060" w:bottom="1440" w:gutter="0" w:footer="0" w:header="0"/>
        </w:sectPr>
      </w:pPr>
    </w:p>
    <w:bookmarkStart w:id="10" w:name="page11"/>
    <w:bookmarkEnd w:id="10"/>
    <w:p>
      <w:pPr>
        <w:ind w:right="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general principles of equity (regardless of whether enforcement is considered in a proceeding in equity or at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that certain remedial provisions of the Mortgage Indenture may not be enforceable, but such unenforceability will not render the Mortgage Indenture invalid as a whole or affect the judicial enforcement of (i) the obligation of the Company to repay the principal of the Bonds, together with the interest and any premium thereon, as provided in the Bonds, (ii) the acceleration of the obligation of the Company to repay such principal, together with such interest and premium, based upon a material default by the Company in the payment of such principal, interest or premium or (iii) the right of the Trustee to exercise its right to foreclose under the Mortgage Indenture.</w:t>
      </w:r>
    </w:p>
    <w:p>
      <w:pPr>
        <w:spacing w:after="0" w:line="168" w:lineRule="exact"/>
        <w:rPr>
          <w:sz w:val="20"/>
          <w:szCs w:val="20"/>
          <w:color w:val="auto"/>
        </w:rPr>
      </w:pPr>
    </w:p>
    <w:p>
      <w:pPr>
        <w:ind w:right="200" w:firstLine="374"/>
        <w:spacing w:after="0" w:line="262" w:lineRule="auto"/>
        <w:tabs>
          <w:tab w:leader="none" w:pos="6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Accurate Tax Disclosure</w:t>
      </w:r>
      <w:r>
        <w:rPr>
          <w:rFonts w:ascii="Times New Roman" w:cs="Times New Roman" w:eastAsia="Times New Roman" w:hAnsi="Times New Roman"/>
          <w:sz w:val="16"/>
          <w:szCs w:val="16"/>
          <w:color w:val="auto"/>
        </w:rPr>
        <w:t>. The factual statements set forth in the Disclosure Package and the Prospectus under the caption “Material U.S. Federal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Tax Considerations” are accurate in all material respects and fairly present the information provided.</w:t>
      </w:r>
    </w:p>
    <w:p>
      <w:pPr>
        <w:spacing w:after="0" w:line="150" w:lineRule="exact"/>
        <w:rPr>
          <w:rFonts w:ascii="Times New Roman" w:cs="Times New Roman" w:eastAsia="Times New Roman" w:hAnsi="Times New Roman"/>
          <w:sz w:val="16"/>
          <w:szCs w:val="16"/>
          <w:color w:val="auto"/>
        </w:rPr>
      </w:pPr>
    </w:p>
    <w:p>
      <w:pPr>
        <w:ind w:firstLine="374"/>
        <w:spacing w:after="0" w:line="239" w:lineRule="auto"/>
        <w:tabs>
          <w:tab w:leader="none" w:pos="6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Authorization of the Bonds. </w:t>
      </w:r>
      <w:r>
        <w:rPr>
          <w:rFonts w:ascii="Times New Roman" w:cs="Times New Roman" w:eastAsia="Times New Roman" w:hAnsi="Times New Roman"/>
          <w:sz w:val="16"/>
          <w:szCs w:val="16"/>
          <w:color w:val="auto"/>
        </w:rPr>
        <w:t>The Bonds to be purchased by the Underwriters from the Company are in the form contemplated by the Mortgage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Indenture, have been duly authorized for issuance and sale pursuant to this Agreement and the Mortgage Indenture and, at the Closing Date, will have been duly executed by the Company and, when authenticated in the manner provided for in the Mortgage Indenture and delivered against payment of the purchase price therefor, will be validly issued and delivered and will constitute valid and binding obligations of the Company, enforceable in accordance with their terms, except as the enforcement thereof may be limited by bankruptcy, insolvency, reorganization, moratorium or similar laws relating to or affecting enforcement of mortgagees’ or other creditors’ rights generally and except as enforcement thereof is subject to general principles of equity (regardless of whether enforcement is considered in a proceeding in equity or at law) and will be entitled to the benefits of the Mortgage Indenture.</w:t>
      </w:r>
    </w:p>
    <w:p>
      <w:pPr>
        <w:spacing w:after="0" w:line="169" w:lineRule="exact"/>
        <w:rPr>
          <w:rFonts w:ascii="Times New Roman" w:cs="Times New Roman" w:eastAsia="Times New Roman" w:hAnsi="Times New Roman"/>
          <w:sz w:val="16"/>
          <w:szCs w:val="16"/>
          <w:color w:val="auto"/>
        </w:rPr>
      </w:pPr>
    </w:p>
    <w:p>
      <w:pPr>
        <w:jc w:val="both"/>
        <w:ind w:right="100" w:firstLine="374"/>
        <w:spacing w:after="0" w:line="244" w:lineRule="auto"/>
        <w:tabs>
          <w:tab w:leader="none" w:pos="6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Recordation of the Mortgage Indenture</w:t>
      </w:r>
      <w:r>
        <w:rPr>
          <w:rFonts w:ascii="Times New Roman" w:cs="Times New Roman" w:eastAsia="Times New Roman" w:hAnsi="Times New Roman"/>
          <w:sz w:val="16"/>
          <w:szCs w:val="16"/>
          <w:color w:val="auto"/>
        </w:rPr>
        <w:t>. The Mortgage Indenture (not including the Supplemental Indenture) has been duly recorded and filed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 place in which such recording or filing is required to establish, protect and preserve the lien of the Mortgage Indenture on the Mortgaged Property (as such term is defined in the Mortgage Indenture), and all taxes and recording or filing fees required to be paid in connection with the execution, recording or filing of the Mortgage Indenture (not including the Supplemental Indenture) have been duly paid.</w:t>
      </w:r>
    </w:p>
    <w:p>
      <w:pPr>
        <w:spacing w:after="0" w:line="164" w:lineRule="exact"/>
        <w:rPr>
          <w:rFonts w:ascii="Times New Roman" w:cs="Times New Roman" w:eastAsia="Times New Roman" w:hAnsi="Times New Roman"/>
          <w:sz w:val="16"/>
          <w:szCs w:val="16"/>
          <w:color w:val="auto"/>
        </w:rPr>
      </w:pPr>
    </w:p>
    <w:p>
      <w:pPr>
        <w:ind w:right="100" w:firstLine="374"/>
        <w:spacing w:after="0" w:line="279" w:lineRule="auto"/>
        <w:tabs>
          <w:tab w:leader="none" w:pos="5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Title to Property</w:t>
      </w:r>
      <w:r>
        <w:rPr>
          <w:rFonts w:ascii="Times New Roman" w:cs="Times New Roman" w:eastAsia="Times New Roman" w:hAnsi="Times New Roman"/>
          <w:sz w:val="14"/>
          <w:szCs w:val="14"/>
          <w:color w:val="auto"/>
        </w:rPr>
        <w:t>. Except as to property acquired subsequent to the execution and delivery of the Supplemental Indenture, the Company has good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sufficient title to, or a satisfactory easement in, the Mortgaged Property (except such property as may have been disposed of or released from the lien thereof in accordance with the terms thereof), subject only to (i) the lien of the Mortgage Indenture, (ii) exceptions and reservations specifically set forth therein, (iii) Permitted Liens (as such term is defined in the Mortgage Indenture), (iv) leases and minor liens of judgments not prior to the lien of the Mortgage Indenture that do not interfere with the Company’s business, (v) defects, irregularities and deficiencies in titles of properties and rights-of-way that do not materially impair the use of such property and rights-of-way for the purposes for which they are held by the Company and (vi) matters specified in the Disclosure Package and the Prospectus under the caption “Description of First Mortgage Bonds—Priority and Security.”</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800"/>
          </w:cols>
          <w:pgMar w:left="1060" w:top="687" w:right="1040" w:bottom="1440" w:gutter="0" w:footer="0" w:header="0"/>
        </w:sectPr>
      </w:pPr>
    </w:p>
    <w:bookmarkStart w:id="11" w:name="page12"/>
    <w:bookmarkEnd w:id="11"/>
    <w:p>
      <w:pPr>
        <w:ind w:right="20" w:firstLine="374"/>
        <w:spacing w:after="0" w:line="241" w:lineRule="auto"/>
        <w:tabs>
          <w:tab w:leader="none" w:pos="58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Lien of the Mortgage Indenture</w:t>
      </w:r>
      <w:r>
        <w:rPr>
          <w:rFonts w:ascii="Times New Roman" w:cs="Times New Roman" w:eastAsia="Times New Roman" w:hAnsi="Times New Roman"/>
          <w:sz w:val="16"/>
          <w:szCs w:val="16"/>
          <w:color w:val="auto"/>
        </w:rPr>
        <w:t>. The Mortgage Indenture, subject only to the qualifications set forth in Section 1(r) hereof and to such other matters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do not materially affect the security for the Bonds, constitutes a valid, direct first mortgage lien upon the Mortgaged Property, and all property (to the extent such property constitutes Mortgaged Property) acquired by the Company after the execution and delivery of the Supplemental Indenture will, upon such acquisition, become subject to the lien of the Mortgage Indenture to the extent provided therein, subject, however, to Permitted Liens and such other exceptions as are permitted by the Mortgage Indenture.</w:t>
      </w:r>
    </w:p>
    <w:p>
      <w:pPr>
        <w:spacing w:after="0" w:line="168" w:lineRule="exact"/>
        <w:rPr>
          <w:rFonts w:ascii="Times New Roman" w:cs="Times New Roman" w:eastAsia="Times New Roman" w:hAnsi="Times New Roman"/>
          <w:sz w:val="16"/>
          <w:szCs w:val="16"/>
          <w:color w:val="auto"/>
        </w:rPr>
      </w:pPr>
    </w:p>
    <w:p>
      <w:pPr>
        <w:ind w:right="180" w:firstLine="374"/>
        <w:spacing w:after="0" w:line="262" w:lineRule="auto"/>
        <w:tabs>
          <w:tab w:leader="none" w:pos="56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Description of the Bonds and the Mortgage Indenture. </w:t>
      </w:r>
      <w:r>
        <w:rPr>
          <w:rFonts w:ascii="Times New Roman" w:cs="Times New Roman" w:eastAsia="Times New Roman" w:hAnsi="Times New Roman"/>
          <w:sz w:val="16"/>
          <w:szCs w:val="16"/>
          <w:color w:val="auto"/>
        </w:rPr>
        <w:t>The Bonds and the Mortgage Indenture conform in all material respects to the descriptions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thereof contained in the Disclosure Package and the Prospectus.</w:t>
      </w:r>
    </w:p>
    <w:p>
      <w:pPr>
        <w:spacing w:after="0" w:line="150" w:lineRule="exact"/>
        <w:rPr>
          <w:rFonts w:ascii="Times New Roman" w:cs="Times New Roman" w:eastAsia="Times New Roman" w:hAnsi="Times New Roman"/>
          <w:sz w:val="16"/>
          <w:szCs w:val="16"/>
          <w:color w:val="auto"/>
        </w:rPr>
      </w:pPr>
    </w:p>
    <w:p>
      <w:pPr>
        <w:ind w:firstLine="374"/>
        <w:spacing w:after="0"/>
        <w:tabs>
          <w:tab w:leader="none" w:pos="6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Material Changes or Material Transactions</w:t>
      </w:r>
      <w:r>
        <w:rPr>
          <w:rFonts w:ascii="Times New Roman" w:cs="Times New Roman" w:eastAsia="Times New Roman" w:hAnsi="Times New Roman"/>
          <w:sz w:val="16"/>
          <w:szCs w:val="16"/>
          <w:color w:val="auto"/>
        </w:rPr>
        <w:t>. Since the respective dates as of which information is given in the Registration Statement,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 Package and the Prospectus, except as may otherwise be stated therein or contemplated thereby, (i)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cs="Times New Roman" w:eastAsia="Times New Roman" w:hAnsi="Times New Roman"/>
          <w:sz w:val="16"/>
          <w:szCs w:val="16"/>
          <w:b w:val="1"/>
          <w:bCs w:val="1"/>
          <w:color w:val="auto"/>
        </w:rPr>
        <w:t>Material Adverse Change</w:t>
      </w:r>
      <w:r>
        <w:rPr>
          <w:rFonts w:ascii="Times New Roman" w:cs="Times New Roman" w:eastAsia="Times New Roman" w:hAnsi="Times New Roman"/>
          <w:sz w:val="16"/>
          <w:szCs w:val="16"/>
          <w:color w:val="auto"/>
        </w:rPr>
        <w:t>”), and (ii) there have been no transactions entered into by the Company and its subsidiaries considered as one enterprise (other than those in the ordinary course of business) that are material with respect to the Company and its subsidiaries considered as one enterprise.</w:t>
      </w:r>
    </w:p>
    <w:p>
      <w:pPr>
        <w:spacing w:after="0" w:line="168" w:lineRule="exact"/>
        <w:rPr>
          <w:rFonts w:ascii="Times New Roman" w:cs="Times New Roman" w:eastAsia="Times New Roman" w:hAnsi="Times New Roman"/>
          <w:sz w:val="16"/>
          <w:szCs w:val="16"/>
          <w:color w:val="auto"/>
        </w:rPr>
      </w:pPr>
    </w:p>
    <w:p>
      <w:pPr>
        <w:ind w:right="40" w:firstLine="374"/>
        <w:spacing w:after="0" w:line="237" w:lineRule="auto"/>
        <w:tabs>
          <w:tab w:leader="none" w:pos="6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Defaults</w:t>
      </w:r>
      <w:r>
        <w:rPr>
          <w:rFonts w:ascii="Times New Roman" w:cs="Times New Roman" w:eastAsia="Times New Roman" w:hAnsi="Times New Roman"/>
          <w:sz w:val="16"/>
          <w:szCs w:val="16"/>
          <w:color w:val="auto"/>
        </w:rPr>
        <w:t>. Neither the Company nor the Subsidiary is in violation of its articles of incorporation, charter or by-laws. Except as would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individually or in the aggregate, reasonably be expected to result in a Material Adverse Change, neither the Company nor the Subsidiary is in default in the performance or observance of any obligation, agreement, covenant or condition contained in any contract, indenture, mortgage, loan agreement, note, lease or other instrument to which the Company or the Subsidiary is a party or by which it or any of them may be bound, or to which any of the property or assets of the Company or the Subsidiary is subject (each, an “</w:t>
      </w:r>
      <w:r>
        <w:rPr>
          <w:rFonts w:ascii="Times New Roman" w:cs="Times New Roman" w:eastAsia="Times New Roman" w:hAnsi="Times New Roman"/>
          <w:sz w:val="16"/>
          <w:szCs w:val="16"/>
          <w:b w:val="1"/>
          <w:bCs w:val="1"/>
          <w:color w:val="auto"/>
        </w:rPr>
        <w:t>Agreement or Instrument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Agreements and Instruments</w:t>
      </w:r>
      <w:r>
        <w:rPr>
          <w:rFonts w:ascii="Times New Roman" w:cs="Times New Roman" w:eastAsia="Times New Roman" w:hAnsi="Times New Roman"/>
          <w:sz w:val="16"/>
          <w:szCs w:val="16"/>
          <w:color w:val="auto"/>
        </w:rPr>
        <w:t>”). The execution and delivery of this Agreement, the Mortgage Indenture and the Bonds and the consummation of the transactions contemplated herein and therein have been duly authorized by all necessary corporate action and do not and will not conflict with or constitute a breach of, or default under, or result in the creation or imposition of any lien, charge or encumbrance (except pursuant to the terms of the Mortgage Indenture) upon any property or assets of the Company or the Subsidiary pursuant to, any material Agreements and Instruments, nor will such action result in any violation of the provisions of the articles of incorporation, charter or by-laws, as they may be then amended or in effect, of the Company or the Subsidiary or any applicable law, administrative regulation or administrative or court order or decree.</w:t>
      </w:r>
    </w:p>
    <w:p>
      <w:pPr>
        <w:spacing w:after="0" w:line="174" w:lineRule="exact"/>
        <w:rPr>
          <w:rFonts w:ascii="Times New Roman" w:cs="Times New Roman" w:eastAsia="Times New Roman" w:hAnsi="Times New Roman"/>
          <w:sz w:val="16"/>
          <w:szCs w:val="16"/>
          <w:color w:val="auto"/>
        </w:rPr>
      </w:pPr>
    </w:p>
    <w:p>
      <w:pPr>
        <w:ind w:right="100" w:firstLine="374"/>
        <w:spacing w:after="0" w:line="248" w:lineRule="auto"/>
        <w:tabs>
          <w:tab w:leader="none" w:pos="63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Regulatory Approvals</w:t>
      </w:r>
      <w:r>
        <w:rPr>
          <w:rFonts w:ascii="Times New Roman" w:cs="Times New Roman" w:eastAsia="Times New Roman" w:hAnsi="Times New Roman"/>
          <w:sz w:val="16"/>
          <w:szCs w:val="16"/>
          <w:color w:val="auto"/>
        </w:rPr>
        <w:t>. The Company has obtained all necessary consents, orders or approvals in connection with the issuance and sale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Bonds, and no consent, approval, authorization, order or decree of any other court or governmental agency or body is required for the consummation by the Company of the transactions contemplated by this Agreement, except such as may be required under state securities or blue sky laws.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800"/>
          </w:cols>
          <w:pgMar w:left="1060" w:top="687" w:right="1040" w:bottom="1440" w:gutter="0" w:footer="0" w:header="0"/>
        </w:sectPr>
      </w:pPr>
    </w:p>
    <w:bookmarkStart w:id="12" w:name="page13"/>
    <w:bookmarkEnd w:id="12"/>
    <w:p>
      <w:pPr>
        <w:ind w:left="10" w:right="240" w:firstLine="374"/>
        <w:spacing w:after="0"/>
        <w:tabs>
          <w:tab w:leader="none" w:pos="61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Legal Proceedings; Contracts</w:t>
      </w:r>
      <w:r>
        <w:rPr>
          <w:rFonts w:ascii="Times New Roman" w:cs="Times New Roman" w:eastAsia="Times New Roman" w:hAnsi="Times New Roman"/>
          <w:sz w:val="16"/>
          <w:szCs w:val="16"/>
          <w:color w:val="auto"/>
        </w:rPr>
        <w:t>. Except as may be set forth, incorporated or deemed incorporated by reference in the Disclosure Package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Prospectus, there is no action, suit or proceeding before or by any court or governmental agency or body, domestic or foreign, now pending, or, to the knowledge of the Company, threatened against or affecting, the Company or its subsidiaries that would reasonably be expected to result in any Material Adverse Change, or might materially and adversely affect its properties or assets or would reasonably be expected to materially and adversely affect the consummation of the transactions contemplated by this Agreement; and there are no contracts or documents that are required to be filed as exhibits to the Registration Statement by the Securities Act that have not been so filed.</w:t>
      </w:r>
    </w:p>
    <w:p>
      <w:pPr>
        <w:spacing w:after="0" w:line="168" w:lineRule="exact"/>
        <w:rPr>
          <w:rFonts w:ascii="Times New Roman" w:cs="Times New Roman" w:eastAsia="Times New Roman" w:hAnsi="Times New Roman"/>
          <w:sz w:val="16"/>
          <w:szCs w:val="16"/>
          <w:color w:val="auto"/>
        </w:rPr>
      </w:pPr>
    </w:p>
    <w:p>
      <w:pPr>
        <w:ind w:left="10" w:right="180" w:firstLine="374"/>
        <w:spacing w:after="0" w:line="239" w:lineRule="auto"/>
        <w:tabs>
          <w:tab w:leader="none" w:pos="61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Franchises</w:t>
      </w:r>
      <w:r>
        <w:rPr>
          <w:rFonts w:ascii="Times New Roman" w:cs="Times New Roman" w:eastAsia="Times New Roman" w:hAnsi="Times New Roman"/>
          <w:sz w:val="16"/>
          <w:szCs w:val="16"/>
          <w:color w:val="auto"/>
        </w:rPr>
        <w:t>. The Company and the Subsidiary hold, to the extent required, valid and subsisting franchises, certificates of convenience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authority, licenses and permits authorizing them to carry on the regulated utility businesses in which they are engaged in the territories from which substantially all of the Company’s consolidated gross operating revenue is derived, except where the failure to hold such franchises, certificates of convenience and authority, licenses and permits would not result in a Material Adverse Change. Neither the Company nor the Subsidiary has received any notice of proceedings relating to the revocation or modification of any such franchise, certificate of convenience and authority, license or permit that, individually or in the aggregate, if the subject of an unfavorable decision ruling or finding, reasonably be expected to result in a Material Adverse Change, except as set forth in the Disclosure Package and the Prospectus.</w:t>
      </w:r>
    </w:p>
    <w:p>
      <w:pPr>
        <w:spacing w:after="0" w:line="169" w:lineRule="exact"/>
        <w:rPr>
          <w:rFonts w:ascii="Times New Roman" w:cs="Times New Roman" w:eastAsia="Times New Roman" w:hAnsi="Times New Roman"/>
          <w:sz w:val="16"/>
          <w:szCs w:val="16"/>
          <w:color w:val="auto"/>
        </w:rPr>
      </w:pPr>
    </w:p>
    <w:p>
      <w:pPr>
        <w:ind w:left="10" w:firstLine="374"/>
        <w:spacing w:after="0" w:line="272" w:lineRule="auto"/>
        <w:tabs>
          <w:tab w:leader="none" w:pos="598"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Environmental Laws</w:t>
      </w:r>
      <w:r>
        <w:rPr>
          <w:rFonts w:ascii="Times New Roman" w:cs="Times New Roman" w:eastAsia="Times New Roman" w:hAnsi="Times New Roman"/>
          <w:sz w:val="14"/>
          <w:szCs w:val="14"/>
          <w:color w:val="auto"/>
        </w:rPr>
        <w:t>. Except as described, incorporated or deemed incorporated by reference in the Disclosure Package and the Prospectus,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except as would not, individually or in the aggregate, reasonably be expected to result in a Material Adverse Change, (i) neither the Company nor the Subsidiary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4"/>
          <w:szCs w:val="14"/>
          <w:b w:val="1"/>
          <w:bCs w:val="1"/>
          <w:color w:val="auto"/>
        </w:rPr>
        <w:t>Hazardous Materials</w:t>
      </w:r>
      <w:r>
        <w:rPr>
          <w:rFonts w:ascii="Times New Roman" w:cs="Times New Roman" w:eastAsia="Times New Roman" w:hAnsi="Times New Roman"/>
          <w:sz w:val="14"/>
          <w:szCs w:val="14"/>
          <w:color w:val="auto"/>
        </w:rPr>
        <w:t>”) or to the manufacture, processing, distribution, use, treatment, storage, disposal, transport or handling of Hazardous Materials (collectively, “</w:t>
      </w:r>
      <w:r>
        <w:rPr>
          <w:rFonts w:ascii="Times New Roman" w:cs="Times New Roman" w:eastAsia="Times New Roman" w:hAnsi="Times New Roman"/>
          <w:sz w:val="14"/>
          <w:szCs w:val="14"/>
          <w:b w:val="1"/>
          <w:bCs w:val="1"/>
          <w:color w:val="auto"/>
        </w:rPr>
        <w:t>Environmental Laws</w:t>
      </w:r>
      <w:r>
        <w:rPr>
          <w:rFonts w:ascii="Times New Roman" w:cs="Times New Roman" w:eastAsia="Times New Roman" w:hAnsi="Times New Roman"/>
          <w:sz w:val="14"/>
          <w:szCs w:val="14"/>
          <w:color w:val="auto"/>
        </w:rPr>
        <w:t>”),</w:t>
      </w:r>
    </w:p>
    <w:p>
      <w:pPr>
        <w:ind w:left="10" w:right="20" w:hanging="10"/>
        <w:spacing w:after="0" w:line="235" w:lineRule="auto"/>
        <w:tabs>
          <w:tab w:leader="none" w:pos="23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Subsidiary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the Subsidiary and (iv) there are no events or circumstances that would reasonably be expected to form the basis of an order for clean-up or remediation, or an action, suit or proceeding by any private party or governmental body or agency, against or affecting the Company or the Subsidiary relating to Hazardous Materials or any Environmental Laws.</w:t>
      </w:r>
    </w:p>
    <w:p>
      <w:pPr>
        <w:spacing w:after="0" w:line="13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810"/>
          </w:cols>
          <w:pgMar w:left="1050" w:top="687" w:right="1040" w:bottom="1440" w:gutter="0" w:footer="0" w:header="0"/>
        </w:sectPr>
      </w:pPr>
    </w:p>
    <w:bookmarkStart w:id="13" w:name="page14"/>
    <w:bookmarkEnd w:id="13"/>
    <w:p>
      <w:pPr>
        <w:ind w:left="10" w:right="60" w:firstLine="374"/>
        <w:spacing w:after="0" w:line="248" w:lineRule="auto"/>
        <w:tabs>
          <w:tab w:leader="none" w:pos="67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Investment Company Act</w:t>
      </w:r>
      <w:r>
        <w:rPr>
          <w:rFonts w:ascii="Times New Roman" w:cs="Times New Roman" w:eastAsia="Times New Roman" w:hAnsi="Times New Roman"/>
          <w:sz w:val="16"/>
          <w:szCs w:val="16"/>
          <w:color w:val="auto"/>
        </w:rPr>
        <w:t>. The Company is not and, upon the issuance and sale of the Bonds as contemplated herein and the application of the net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proceeds thereof as described in the Disclosure Package and the Prospectus, will not be, required to register as an “investment company” under the Investment Company Act of 1940, as amended.</w:t>
      </w:r>
    </w:p>
    <w:p>
      <w:pPr>
        <w:spacing w:after="0" w:line="161" w:lineRule="exact"/>
        <w:rPr>
          <w:rFonts w:ascii="Times New Roman" w:cs="Times New Roman" w:eastAsia="Times New Roman" w:hAnsi="Times New Roman"/>
          <w:sz w:val="16"/>
          <w:szCs w:val="16"/>
          <w:color w:val="auto"/>
        </w:rPr>
      </w:pPr>
    </w:p>
    <w:p>
      <w:pPr>
        <w:ind w:left="10" w:right="60" w:firstLine="374"/>
        <w:spacing w:after="0" w:line="275" w:lineRule="auto"/>
        <w:tabs>
          <w:tab w:leader="none" w:pos="694"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ERISA</w:t>
      </w:r>
      <w:r>
        <w:rPr>
          <w:rFonts w:ascii="Times New Roman" w:cs="Times New Roman" w:eastAsia="Times New Roman" w:hAnsi="Times New Roman"/>
          <w:sz w:val="14"/>
          <w:szCs w:val="14"/>
          <w:color w:val="auto"/>
        </w:rPr>
        <w:t>. The Company and the Subsidiary are in compliance in all material respects with all presently applicable provisions of the Employee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Retirement Income Security Act of 1974, as amended, including the regulations and published interpretations thereunder (“</w:t>
      </w:r>
      <w:r>
        <w:rPr>
          <w:rFonts w:ascii="Times New Roman" w:cs="Times New Roman" w:eastAsia="Times New Roman" w:hAnsi="Times New Roman"/>
          <w:sz w:val="14"/>
          <w:szCs w:val="14"/>
          <w:b w:val="1"/>
          <w:bCs w:val="1"/>
          <w:color w:val="auto"/>
        </w:rPr>
        <w:t>ERISA</w:t>
      </w:r>
      <w:r>
        <w:rPr>
          <w:rFonts w:ascii="Times New Roman" w:cs="Times New Roman" w:eastAsia="Times New Roman" w:hAnsi="Times New Roman"/>
          <w:sz w:val="14"/>
          <w:szCs w:val="14"/>
          <w:color w:val="auto"/>
        </w:rPr>
        <w:t>”); no “reportable event” (as such term is defined in ERISA) has occurred with respect to any “pension plan” (as such term is defined in ERISA) for which the Company or the Subsidiary would have any material liability; the Company and the Subsidiary have not incurred and do not expect to incur any material liability under</w:t>
      </w:r>
    </w:p>
    <w:p>
      <w:pPr>
        <w:spacing w:after="0" w:line="2" w:lineRule="exact"/>
        <w:rPr>
          <w:rFonts w:ascii="Times New Roman" w:cs="Times New Roman" w:eastAsia="Times New Roman" w:hAnsi="Times New Roman"/>
          <w:sz w:val="14"/>
          <w:szCs w:val="14"/>
          <w:color w:val="auto"/>
        </w:rPr>
      </w:pPr>
    </w:p>
    <w:p>
      <w:pPr>
        <w:ind w:left="10" w:hanging="10"/>
        <w:spacing w:after="0" w:line="236" w:lineRule="auto"/>
        <w:tabs>
          <w:tab w:leader="none" w:pos="19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IV of ERISA with respect to the termination of, or withdrawal from, any “pension plan” or (ii) Section 412 or 4971 of the Internal Revenue Code of 1986, as amended, including the regulations and published interpretations thereunder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and each “pension plan” for which the Company or the Subsidiary would have any liability that is intended to be qualified under Section 401(a) of the Code is so qualified in all material respects and nothing has occurred, whether by action or by failure to act, which would cause the loss of such qualification.</w:t>
      </w:r>
    </w:p>
    <w:p>
      <w:pPr>
        <w:spacing w:after="0" w:line="168" w:lineRule="exact"/>
        <w:rPr>
          <w:rFonts w:ascii="Times New Roman" w:cs="Times New Roman" w:eastAsia="Times New Roman" w:hAnsi="Times New Roman"/>
          <w:sz w:val="16"/>
          <w:szCs w:val="16"/>
          <w:color w:val="auto"/>
        </w:rPr>
      </w:pPr>
    </w:p>
    <w:p>
      <w:pPr>
        <w:ind w:left="10" w:right="200" w:firstLine="374"/>
        <w:spacing w:after="0" w:line="262" w:lineRule="auto"/>
        <w:tabs>
          <w:tab w:leader="none" w:pos="67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Insurance</w:t>
      </w:r>
      <w:r>
        <w:rPr>
          <w:rFonts w:ascii="Times New Roman" w:cs="Times New Roman" w:eastAsia="Times New Roman" w:hAnsi="Times New Roman"/>
          <w:sz w:val="16"/>
          <w:szCs w:val="16"/>
          <w:color w:val="auto"/>
        </w:rPr>
        <w:t>. The Company and the Subsidiary carry, or are covered by, insurance in such amounts and covering such risks as is adequate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conduct of their respective businesses and the value of their respective properties.</w:t>
      </w:r>
    </w:p>
    <w:p>
      <w:pPr>
        <w:spacing w:after="0" w:line="150" w:lineRule="exact"/>
        <w:rPr>
          <w:rFonts w:ascii="Times New Roman" w:cs="Times New Roman" w:eastAsia="Times New Roman" w:hAnsi="Times New Roman"/>
          <w:sz w:val="16"/>
          <w:szCs w:val="16"/>
          <w:color w:val="auto"/>
        </w:rPr>
      </w:pPr>
    </w:p>
    <w:p>
      <w:pPr>
        <w:ind w:left="10" w:right="160" w:firstLine="374"/>
        <w:spacing w:after="0" w:line="241" w:lineRule="auto"/>
        <w:tabs>
          <w:tab w:leader="none" w:pos="694"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Taxes</w:t>
      </w:r>
      <w:r>
        <w:rPr>
          <w:rFonts w:ascii="Times New Roman" w:cs="Times New Roman" w:eastAsia="Times New Roman" w:hAnsi="Times New Roman"/>
          <w:sz w:val="16"/>
          <w:szCs w:val="16"/>
          <w:color w:val="auto"/>
        </w:rPr>
        <w:t>. The Company and the Subsidiary have filed all federal, state and local income and franchise tax returns required to be filed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 hereof and have paid all taxes due thereon, except such as are being contested in good faith by appropriate proceedings or for which an extension has been requested, and no tax deficiency has been determined adversely to the Company or the Subsidiary that has had, nor does the Company have any knowledge of any tax deficiency that, if determined adversely to the Company or the Subsidiary, would reasonably be expected to result in, a Material Adverse Change.</w:t>
      </w:r>
    </w:p>
    <w:p>
      <w:pPr>
        <w:spacing w:after="0" w:line="168" w:lineRule="exact"/>
        <w:rPr>
          <w:rFonts w:ascii="Times New Roman" w:cs="Times New Roman" w:eastAsia="Times New Roman" w:hAnsi="Times New Roman"/>
          <w:sz w:val="16"/>
          <w:szCs w:val="16"/>
          <w:color w:val="auto"/>
        </w:rPr>
      </w:pPr>
    </w:p>
    <w:p>
      <w:pPr>
        <w:ind w:left="10" w:firstLine="374"/>
        <w:spacing w:after="0" w:line="238" w:lineRule="auto"/>
        <w:tabs>
          <w:tab w:leader="none" w:pos="67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Internal Controls</w:t>
      </w:r>
      <w:r>
        <w:rPr>
          <w:rFonts w:ascii="Times New Roman" w:cs="Times New Roman" w:eastAsia="Times New Roman" w:hAnsi="Times New Roman"/>
          <w:sz w:val="16"/>
          <w:szCs w:val="16"/>
          <w:color w:val="auto"/>
        </w:rPr>
        <w:t>. Each of the Company and the Subsidiary (i) makes and keeps accurate books and records and (ii) maintains internal accounting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controls that provide reasonable assurance that (A) transactions are executed in accordance with management’s authorization, (B) transactions are recorded as necessary to permit preparation of its financial statements and to maintain accountability for its assets, (C) access to its assets is permitted only in accordance with management’s authorization and (D) the reported accountability for its assets is compared with existing assets at reasonable intervals. Except as described in the Disclosure Package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172" w:lineRule="exact"/>
        <w:rPr>
          <w:rFonts w:ascii="Times New Roman" w:cs="Times New Roman" w:eastAsia="Times New Roman" w:hAnsi="Times New Roman"/>
          <w:sz w:val="16"/>
          <w:szCs w:val="16"/>
          <w:color w:val="auto"/>
        </w:rPr>
      </w:pPr>
    </w:p>
    <w:p>
      <w:pPr>
        <w:ind w:left="10" w:firstLine="374"/>
        <w:spacing w:after="0" w:line="248" w:lineRule="auto"/>
        <w:tabs>
          <w:tab w:leader="none" w:pos="634"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Sarbanes-Oxley</w:t>
      </w:r>
      <w:r>
        <w:rPr>
          <w:rFonts w:ascii="Times New Roman" w:cs="Times New Roman" w:eastAsia="Times New Roman" w:hAnsi="Times New Roman"/>
          <w:sz w:val="16"/>
          <w:szCs w:val="16"/>
          <w:color w:val="auto"/>
        </w:rPr>
        <w:t>. The Company is in compliance, in all material respects, with all applicable provisions of the Sarbanes-Oxley Act of 2002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rules and regulations promulgated in connection therewith, including Section 402 related to loans, and the requirement that the Company and its consolidated subsidiaries maintain the following, among other, controls and procedures:</w:t>
      </w:r>
    </w:p>
    <w:p>
      <w:pPr>
        <w:spacing w:after="0" w:line="67" w:lineRule="exact"/>
        <w:rPr>
          <w:rFonts w:ascii="Times New Roman" w:cs="Times New Roman" w:eastAsia="Times New Roman" w:hAnsi="Times New Roman"/>
          <w:sz w:val="16"/>
          <w:szCs w:val="16"/>
          <w:color w:val="auto"/>
        </w:rPr>
      </w:pPr>
    </w:p>
    <w:p>
      <w:pPr>
        <w:ind w:left="950" w:hanging="182"/>
        <w:spacing w:after="0"/>
        <w:tabs>
          <w:tab w:leader="none" w:pos="950" w:val="left"/>
        </w:tabs>
        <w:numPr>
          <w:ilvl w:val="2"/>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system of “internal accounting controls” as contemplated in Section 13(b)(2)(B) of the Exchange Act;</w:t>
      </w:r>
    </w:p>
    <w:p>
      <w:pPr>
        <w:spacing w:after="0" w:line="15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770"/>
          </w:cols>
          <w:pgMar w:left="1050" w:top="687" w:right="1080" w:bottom="1440" w:gutter="0" w:footer="0" w:header="0"/>
        </w:sectPr>
      </w:pPr>
    </w:p>
    <w:bookmarkStart w:id="14" w:name="page15"/>
    <w:bookmarkEnd w:id="14"/>
    <w:p>
      <w:pPr>
        <w:ind w:left="980" w:hanging="222"/>
        <w:spacing w:after="0"/>
        <w:tabs>
          <w:tab w:leader="none" w:pos="98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“disclosure controls and procedures” (as such term is defined in Rule 13a-15(e) of the Exchange Act); and</w:t>
      </w:r>
    </w:p>
    <w:p>
      <w:pPr>
        <w:spacing w:after="0" w:line="92" w:lineRule="exact"/>
        <w:rPr>
          <w:rFonts w:ascii="Times New Roman" w:cs="Times New Roman" w:eastAsia="Times New Roman" w:hAnsi="Times New Roman"/>
          <w:sz w:val="16"/>
          <w:szCs w:val="16"/>
          <w:color w:val="auto"/>
        </w:rPr>
      </w:pPr>
    </w:p>
    <w:p>
      <w:pPr>
        <w:ind w:left="1040" w:hanging="282"/>
        <w:spacing w:after="0"/>
        <w:tabs>
          <w:tab w:leader="none" w:pos="104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control over financial reporting” (as such term is defined in Rule13a-15(f) of the Exchange Act).</w:t>
      </w:r>
    </w:p>
    <w:p>
      <w:pPr>
        <w:spacing w:after="0" w:line="186" w:lineRule="exact"/>
        <w:rPr>
          <w:rFonts w:ascii="Times New Roman" w:cs="Times New Roman" w:eastAsia="Times New Roman" w:hAnsi="Times New Roman"/>
          <w:sz w:val="16"/>
          <w:szCs w:val="16"/>
          <w:color w:val="auto"/>
        </w:rPr>
      </w:pPr>
    </w:p>
    <w:p>
      <w:pPr>
        <w:ind w:right="20" w:firstLine="374"/>
        <w:spacing w:after="0" w:line="248" w:lineRule="auto"/>
        <w:tabs>
          <w:tab w:leader="none" w:pos="68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Pending Proceedings and Examinations</w:t>
      </w:r>
      <w:r>
        <w:rPr>
          <w:rFonts w:ascii="Times New Roman" w:cs="Times New Roman" w:eastAsia="Times New Roman" w:hAnsi="Times New Roman"/>
          <w:sz w:val="16"/>
          <w:szCs w:val="16"/>
          <w:color w:val="auto"/>
        </w:rPr>
        <w:t>. The Company has not received notice from the Commission that the Registration Statement is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subject of a pending proceeding or examination under Section 8(d) or 8(e) of the Securities Act, and the Company is not the subject of a pending proceeding under Section 8A of the Securities Act in connection with the offering of the Bonds.</w:t>
      </w:r>
    </w:p>
    <w:p>
      <w:pPr>
        <w:spacing w:after="0" w:line="161" w:lineRule="exact"/>
        <w:rPr>
          <w:rFonts w:ascii="Times New Roman" w:cs="Times New Roman" w:eastAsia="Times New Roman" w:hAnsi="Times New Roman"/>
          <w:sz w:val="16"/>
          <w:szCs w:val="16"/>
          <w:color w:val="auto"/>
        </w:rPr>
      </w:pPr>
    </w:p>
    <w:p>
      <w:pPr>
        <w:ind w:left="680" w:hanging="306"/>
        <w:spacing w:after="0"/>
        <w:tabs>
          <w:tab w:leader="none" w:pos="6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Ratings</w:t>
      </w:r>
      <w:r>
        <w:rPr>
          <w:rFonts w:ascii="Times New Roman" w:cs="Times New Roman" w:eastAsia="Times New Roman" w:hAnsi="Times New Roman"/>
          <w:sz w:val="16"/>
          <w:szCs w:val="16"/>
          <w:color w:val="auto"/>
        </w:rPr>
        <w:t>. The Bonds will be rated as described in the Final Term Sheet (as such term is defined herein).</w:t>
      </w:r>
    </w:p>
    <w:p>
      <w:pPr>
        <w:spacing w:after="0" w:line="188" w:lineRule="exact"/>
        <w:rPr>
          <w:rFonts w:ascii="Times New Roman" w:cs="Times New Roman" w:eastAsia="Times New Roman" w:hAnsi="Times New Roman"/>
          <w:sz w:val="16"/>
          <w:szCs w:val="16"/>
          <w:color w:val="auto"/>
        </w:rPr>
      </w:pPr>
    </w:p>
    <w:p>
      <w:pPr>
        <w:ind w:right="240" w:firstLine="374"/>
        <w:spacing w:after="0"/>
        <w:tabs>
          <w:tab w:leader="none" w:pos="61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Foreign Corrupt Practices Act</w:t>
      </w:r>
      <w:r>
        <w:rPr>
          <w:rFonts w:ascii="Times New Roman" w:cs="Times New Roman" w:eastAsia="Times New Roman" w:hAnsi="Times New Roman"/>
          <w:sz w:val="16"/>
          <w:szCs w:val="16"/>
          <w:color w:val="auto"/>
        </w:rPr>
        <w:t>. None of the Company, the Subsidiary nor, to the knowledge of the Company, any director, officer, agent,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 affiliate or other person associated with or acting on behalf of the Company or the Subsidiary has (i) made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as amended, (iv) violated or is in violation of any provision of the Bribery Act 2010 of the United Kingdom or (v) made any bribe, rebate, payoff, influence payment, kickback or other unlawful payment.</w:t>
      </w:r>
    </w:p>
    <w:p>
      <w:pPr>
        <w:spacing w:after="0" w:line="168" w:lineRule="exact"/>
        <w:rPr>
          <w:rFonts w:ascii="Times New Roman" w:cs="Times New Roman" w:eastAsia="Times New Roman" w:hAnsi="Times New Roman"/>
          <w:sz w:val="16"/>
          <w:szCs w:val="16"/>
          <w:color w:val="auto"/>
        </w:rPr>
      </w:pPr>
    </w:p>
    <w:p>
      <w:pPr>
        <w:ind w:firstLine="374"/>
        <w:spacing w:after="0"/>
        <w:tabs>
          <w:tab w:leader="none" w:pos="61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Money Laundering Laws</w:t>
      </w:r>
      <w:r>
        <w:rPr>
          <w:rFonts w:ascii="Times New Roman" w:cs="Times New Roman" w:eastAsia="Times New Roman" w:hAnsi="Times New Roman"/>
          <w:sz w:val="16"/>
          <w:szCs w:val="16"/>
          <w:color w:val="auto"/>
        </w:rPr>
        <w:t>. The operations of the Company, the Subsidiary and, to the knowledge of the Company, its other subsidiaries are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been conducted at all times in compliance with the requirements of applicable anti-money laundering laws, including, without limitation,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Times New Roman" w:cs="Times New Roman" w:eastAsia="Times New Roman" w:hAnsi="Times New Roman"/>
          <w:sz w:val="16"/>
          <w:szCs w:val="16"/>
          <w:b w:val="1"/>
          <w:bCs w:val="1"/>
          <w:color w:val="auto"/>
        </w:rPr>
        <w:t>Money Laundering Laws</w:t>
      </w:r>
      <w:r>
        <w:rPr>
          <w:rFonts w:ascii="Times New Roman" w:cs="Times New Roman" w:eastAsia="Times New Roman" w:hAnsi="Times New Roman"/>
          <w:sz w:val="16"/>
          <w:szCs w:val="16"/>
          <w:color w:val="auto"/>
        </w:rPr>
        <w:t>”), and no action, suit or proceeding by or before any court or governmental agency, authority or body or any arbitrator involving the Company or the Subsidiary or, to the knowledge of the Company, any of its other subsidiaries with respect to the Money Laundering Laws is pending or threatened.</w:t>
      </w:r>
    </w:p>
    <w:p>
      <w:pPr>
        <w:spacing w:after="0" w:line="168" w:lineRule="exact"/>
        <w:rPr>
          <w:rFonts w:ascii="Times New Roman" w:cs="Times New Roman" w:eastAsia="Times New Roman" w:hAnsi="Times New Roman"/>
          <w:sz w:val="16"/>
          <w:szCs w:val="16"/>
          <w:color w:val="auto"/>
        </w:rPr>
      </w:pPr>
    </w:p>
    <w:p>
      <w:pPr>
        <w:ind w:right="20" w:firstLine="374"/>
        <w:spacing w:after="0" w:line="279" w:lineRule="auto"/>
        <w:tabs>
          <w:tab w:leader="none" w:pos="68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OFAC</w:t>
      </w:r>
      <w:r>
        <w:rPr>
          <w:rFonts w:ascii="Times New Roman" w:cs="Times New Roman" w:eastAsia="Times New Roman" w:hAnsi="Times New Roman"/>
          <w:sz w:val="14"/>
          <w:szCs w:val="14"/>
          <w:color w:val="auto"/>
        </w:rPr>
        <w:t>. None of the Company, the Subsidiary nor, to the knowledge of the Company, any director, officer, agent, employee or affiliate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or the Subsidiary is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4"/>
          <w:szCs w:val="14"/>
          <w:b w:val="1"/>
          <w:bCs w:val="1"/>
          <w:color w:val="auto"/>
        </w:rPr>
        <w:t>OFAC</w:t>
      </w:r>
      <w:r>
        <w:rPr>
          <w:rFonts w:ascii="Times New Roman" w:cs="Times New Roman" w:eastAsia="Times New Roman" w:hAnsi="Times New Roman"/>
          <w:sz w:val="14"/>
          <w:szCs w:val="14"/>
          <w:color w:val="auto"/>
        </w:rPr>
        <w:t>”), or other relevant sanctions authority (collectively, “</w:t>
      </w:r>
      <w:r>
        <w:rPr>
          <w:rFonts w:ascii="Times New Roman" w:cs="Times New Roman" w:eastAsia="Times New Roman" w:hAnsi="Times New Roman"/>
          <w:sz w:val="14"/>
          <w:szCs w:val="14"/>
          <w:b w:val="1"/>
          <w:bCs w:val="1"/>
          <w:color w:val="auto"/>
        </w:rPr>
        <w:t>Sanctions</w:t>
      </w:r>
      <w:r>
        <w:rPr>
          <w:rFonts w:ascii="Times New Roman" w:cs="Times New Roman" w:eastAsia="Times New Roman" w:hAnsi="Times New Roman"/>
          <w:sz w:val="14"/>
          <w:szCs w:val="14"/>
          <w:color w:val="auto"/>
        </w:rPr>
        <w:t>”), and the Company will not directly or indirectly use the proceeds of the offering of the Bonds hereunder, or lend, contribute or otherwise make available such proceeds to the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80"/>
          </w:cols>
          <w:pgMar w:left="1060" w:top="689" w:right="1060" w:bottom="1440" w:gutter="0" w:footer="0" w:header="0"/>
        </w:sectPr>
      </w:pPr>
    </w:p>
    <w:bookmarkStart w:id="15" w:name="page16"/>
    <w:bookmarkEnd w:id="15"/>
    <w:p>
      <w:pPr>
        <w:ind w:firstLine="374"/>
        <w:spacing w:after="0" w:line="248" w:lineRule="auto"/>
        <w:tabs>
          <w:tab w:leader="none" w:pos="61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eXtensible Business Reporting Language</w:t>
      </w:r>
      <w:r>
        <w:rPr>
          <w:rFonts w:ascii="Times New Roman" w:cs="Times New Roman" w:eastAsia="Times New Roman" w:hAnsi="Times New Roman"/>
          <w:sz w:val="16"/>
          <w:szCs w:val="16"/>
          <w:color w:val="auto"/>
        </w:rPr>
        <w:t>. The interactive data in eXtensible Business Reporting Language included or incorporated by reference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Registration Statement, the Disclosure Package and the Prospectus fairly presents the information called for in all material respects and has been prepared in accordance with the Commission’s rules and guidelines applicable thereto.</w:t>
      </w:r>
    </w:p>
    <w:p>
      <w:pPr>
        <w:spacing w:after="0" w:line="161" w:lineRule="exact"/>
        <w:rPr>
          <w:rFonts w:ascii="Times New Roman" w:cs="Times New Roman" w:eastAsia="Times New Roman" w:hAnsi="Times New Roman"/>
          <w:sz w:val="16"/>
          <w:szCs w:val="16"/>
          <w:color w:val="auto"/>
        </w:rPr>
      </w:pPr>
    </w:p>
    <w:p>
      <w:pPr>
        <w:ind w:right="20" w:firstLine="374"/>
        <w:spacing w:after="0" w:line="237" w:lineRule="auto"/>
        <w:tabs>
          <w:tab w:leader="none" w:pos="76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Cybersecurity</w:t>
      </w:r>
      <w:r>
        <w:rPr>
          <w:rFonts w:ascii="Times New Roman" w:cs="Times New Roman" w:eastAsia="Times New Roman" w:hAnsi="Times New Roman"/>
          <w:sz w:val="16"/>
          <w:szCs w:val="16"/>
          <w:color w:val="auto"/>
        </w:rPr>
        <w:t>. (i) (A) Except as disclosed in the Registration Statement, the Disclosure Package and the Prospectus, there has been no security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breach or other compromise of or relating to any of the Company’s or the Subsidiary’s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6"/>
          <w:szCs w:val="16"/>
          <w:b w:val="1"/>
          <w:bCs w:val="1"/>
          <w:color w:val="auto"/>
        </w:rPr>
        <w:t>IT Systems and Data</w:t>
      </w:r>
      <w:r>
        <w:rPr>
          <w:rFonts w:ascii="Times New Roman" w:cs="Times New Roman" w:eastAsia="Times New Roman" w:hAnsi="Times New Roman"/>
          <w:sz w:val="16"/>
          <w:szCs w:val="16"/>
          <w:color w:val="auto"/>
        </w:rPr>
        <w:t>”) and (B) the Company and the Subsidiary have not been notified of, and have no knowledge of any event or condition that would reasonably be expected to result in, any security breach or other compromise to their IT Systems and Data, except as would not, in the case of this clause (i), reasonably be expected to result in a Material Adverse Change; (ii) the Company and the Subsidiary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reasonably be expected to result in a Material Adverse Change; and (iii) the Company and the Subsidiary have implemented backup and disaster recovery technology reasonably consistent with industry standards and practices.</w:t>
      </w:r>
    </w:p>
    <w:p>
      <w:pPr>
        <w:spacing w:after="0" w:line="176" w:lineRule="exact"/>
        <w:rPr>
          <w:sz w:val="20"/>
          <w:szCs w:val="20"/>
          <w:color w:val="auto"/>
        </w:rPr>
      </w:pPr>
    </w:p>
    <w:p>
      <w:pPr>
        <w:jc w:val="both"/>
        <w:ind w:right="40" w:firstLine="384"/>
        <w:spacing w:after="0" w:line="247" w:lineRule="auto"/>
        <w:rPr>
          <w:sz w:val="20"/>
          <w:szCs w:val="20"/>
          <w:color w:val="auto"/>
        </w:rPr>
      </w:pPr>
      <w:r>
        <w:rPr>
          <w:rFonts w:ascii="Times New Roman" w:cs="Times New Roman" w:eastAsia="Times New Roman" w:hAnsi="Times New Roman"/>
          <w:sz w:val="16"/>
          <w:szCs w:val="16"/>
          <w:color w:val="auto"/>
        </w:rPr>
        <w:t>Any certificate signed by any director or officer of the Company and delivered to the Underwriters or to counsel for the Underwriters shall be deemed a representation and warranty by the Company to the Underwriters as to the matters covered thereby on the date of such certificate and, unless subsequently amended or supplemented, at each Representation Date subsequent thereto.</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2. </w:t>
      </w:r>
      <w:r>
        <w:rPr>
          <w:rFonts w:ascii="Times New Roman" w:cs="Times New Roman" w:eastAsia="Times New Roman" w:hAnsi="Times New Roman"/>
          <w:sz w:val="16"/>
          <w:szCs w:val="16"/>
          <w:u w:val="single" w:color="auto"/>
          <w:color w:val="auto"/>
        </w:rPr>
        <w:t>Purchase, Sale and Delivery of the Bonds</w:t>
      </w:r>
      <w:r>
        <w:rPr>
          <w:rFonts w:ascii="Times New Roman" w:cs="Times New Roman" w:eastAsia="Times New Roman" w:hAnsi="Times New Roman"/>
          <w:sz w:val="16"/>
          <w:szCs w:val="16"/>
          <w:i w:val="1"/>
          <w:iCs w:val="1"/>
          <w:color w:val="auto"/>
        </w:rPr>
        <w:t>.</w:t>
      </w:r>
    </w:p>
    <w:p>
      <w:pPr>
        <w:spacing w:after="0" w:line="188" w:lineRule="exact"/>
        <w:rPr>
          <w:sz w:val="20"/>
          <w:szCs w:val="20"/>
          <w:color w:val="auto"/>
        </w:rPr>
      </w:pPr>
    </w:p>
    <w:p>
      <w:pPr>
        <w:ind w:right="80" w:firstLine="374"/>
        <w:spacing w:after="0" w:line="239" w:lineRule="auto"/>
        <w:tabs>
          <w:tab w:leader="none" w:pos="58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The Bonds. </w:t>
      </w:r>
      <w:r>
        <w:rPr>
          <w:rFonts w:ascii="Times New Roman" w:cs="Times New Roman" w:eastAsia="Times New Roman" w:hAnsi="Times New Roman"/>
          <w:sz w:val="16"/>
          <w:szCs w:val="16"/>
          <w:color w:val="auto"/>
        </w:rPr>
        <w:t>The Company agrees to issue and sell to the several Underwriters, severally and not jointly, all of the Bonds upon the terms herein set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forth. On the basis of the representations, warranties and agreements herein contained, and upon the terms but subject to the conditions herein set forth, the Underwriters agree, severally and not jointly, to purchase from the Company the aggregate principal amount of Bonds set forth opposite their names on Schedule A hereto, plus any additional principal amount of Bonds that such Underwriter may become obligated to purchase pursuant to Section 9 hereof, at a purchase price of 101.175% of the principal amount of the Bonds, plus an amount equal to accrued and unpaid interest on the Bonds from, and including, September 15, 2025 (which is the date of the most recent interest payment date for the Existing Bonds) to, but excluding, the Closing Date (which, if the Closing Date is December 5, 2025, will be in the amount of $3,500,000), payable on the Closing Date.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780"/>
          </w:cols>
          <w:pgMar w:left="1060" w:top="687" w:right="1060" w:bottom="1440" w:gutter="0" w:footer="0" w:header="0"/>
        </w:sectPr>
      </w:pPr>
    </w:p>
    <w:bookmarkStart w:id="16" w:name="page17"/>
    <w:bookmarkEnd w:id="16"/>
    <w:p>
      <w:pPr>
        <w:ind w:left="10" w:right="20" w:firstLine="374"/>
        <w:spacing w:after="0" w:line="244" w:lineRule="auto"/>
        <w:tabs>
          <w:tab w:leader="none" w:pos="61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The Closing Date. </w:t>
      </w:r>
      <w:r>
        <w:rPr>
          <w:rFonts w:ascii="Times New Roman" w:cs="Times New Roman" w:eastAsia="Times New Roman" w:hAnsi="Times New Roman"/>
          <w:sz w:val="16"/>
          <w:szCs w:val="16"/>
          <w:color w:val="auto"/>
        </w:rPr>
        <w:t>Delivery of one or more certificates for the Bonds in global form to be purchased by the Underwriters and payment therefor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be made at the offices of Bracewell LLP, 31 West 52nd Street, New York, New York (or such other place as may be agreed to by the Company and the Representatives) at 10:00 a.m., New York City time, on December 5, 2025, or such other time and date as the Underwriters and the Company shall mutually agree (the time and date of such closing are called the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jc w:val="both"/>
        <w:ind w:left="10" w:right="500" w:firstLine="374"/>
        <w:spacing w:after="0" w:line="248" w:lineRule="auto"/>
        <w:tabs>
          <w:tab w:leader="none" w:pos="59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Public Offering of the Bonds. </w:t>
      </w:r>
      <w:r>
        <w:rPr>
          <w:rFonts w:ascii="Times New Roman" w:cs="Times New Roman" w:eastAsia="Times New Roman" w:hAnsi="Times New Roman"/>
          <w:sz w:val="16"/>
          <w:szCs w:val="16"/>
          <w:color w:val="auto"/>
        </w:rPr>
        <w:t>The Representatives hereby advise the Company that the Underwriters intend to offer for sale to the public,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described in the Disclosure Package and the Prospectus, their respective portions of the Bonds as soon after this Agreement has been executed as the Representatives, in their sole judgment, have determined is advisable and practicable.</w:t>
      </w:r>
    </w:p>
    <w:p>
      <w:pPr>
        <w:spacing w:after="0" w:line="161" w:lineRule="exact"/>
        <w:rPr>
          <w:rFonts w:ascii="Times New Roman" w:cs="Times New Roman" w:eastAsia="Times New Roman" w:hAnsi="Times New Roman"/>
          <w:sz w:val="16"/>
          <w:szCs w:val="16"/>
          <w:color w:val="auto"/>
        </w:rPr>
      </w:pPr>
    </w:p>
    <w:p>
      <w:pPr>
        <w:ind w:left="10" w:firstLine="374"/>
        <w:spacing w:after="0"/>
        <w:tabs>
          <w:tab w:leader="none" w:pos="61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Payment for the Bonds. </w:t>
      </w:r>
      <w:r>
        <w:rPr>
          <w:rFonts w:ascii="Times New Roman" w:cs="Times New Roman" w:eastAsia="Times New Roman" w:hAnsi="Times New Roman"/>
          <w:sz w:val="16"/>
          <w:szCs w:val="16"/>
          <w:color w:val="auto"/>
        </w:rPr>
        <w:t>Payment for the Bonds shall be made at the Closing Date by wire transfer of immediately available funds to the order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It is understood that the Representatives have been authorized, for their own accounts and for the accounts of the several Underwriters, to accept delivery of and receipt for, and make payment of the purchase price for, the Bonds that the Underwriters have agreed to purchase. The Representatives may (but shall not be obligated to) make payment for any Bonds to be purchased by any Underwriter whose funds shall not have been received by the Representatives by the Closing Date for the account of such Underwriter, but any such payment shall not relieve such Underwriter from any of its obligations under this Agreement.</w:t>
      </w:r>
    </w:p>
    <w:p>
      <w:pPr>
        <w:spacing w:after="0" w:line="168" w:lineRule="exact"/>
        <w:rPr>
          <w:rFonts w:ascii="Times New Roman" w:cs="Times New Roman" w:eastAsia="Times New Roman" w:hAnsi="Times New Roman"/>
          <w:sz w:val="16"/>
          <w:szCs w:val="16"/>
          <w:color w:val="auto"/>
        </w:rPr>
      </w:pPr>
    </w:p>
    <w:p>
      <w:pPr>
        <w:ind w:left="10" w:right="60" w:firstLine="374"/>
        <w:spacing w:after="0" w:line="241" w:lineRule="auto"/>
        <w:tabs>
          <w:tab w:leader="none" w:pos="59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Delivery of the Bonds. </w:t>
      </w:r>
      <w:r>
        <w:rPr>
          <w:rFonts w:ascii="Times New Roman" w:cs="Times New Roman" w:eastAsia="Times New Roman" w:hAnsi="Times New Roman"/>
          <w:sz w:val="16"/>
          <w:szCs w:val="16"/>
          <w:color w:val="auto"/>
        </w:rPr>
        <w:t>The Company shall deliver, or cause to be delivered, to the Representatives for the accounts of the several Underwriters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the facilities of the Depositary one or more certificates for the Bonds at the Closing Date, against the irrevocable release of a wire transfer of immediately available funds for the amount of the purchase price therefor. The certificate for the Bonds shall be a definitive global certificate in book-entry form for clearance through the Depositary. Time shall be of the essence, and delivery at the time and place specified in this Agreement is a further condition to the obligations of the Underwriters.</w:t>
      </w:r>
    </w:p>
    <w:p>
      <w:pPr>
        <w:spacing w:after="0" w:line="16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3. </w:t>
      </w:r>
      <w:r>
        <w:rPr>
          <w:rFonts w:ascii="Times New Roman" w:cs="Times New Roman" w:eastAsia="Times New Roman" w:hAnsi="Times New Roman"/>
          <w:sz w:val="16"/>
          <w:szCs w:val="16"/>
          <w:u w:val="single" w:color="auto"/>
          <w:color w:val="auto"/>
        </w:rPr>
        <w:t>Covenants of the Company</w:t>
      </w:r>
      <w:r>
        <w:rPr>
          <w:rFonts w:ascii="Times New Roman" w:cs="Times New Roman" w:eastAsia="Times New Roman" w:hAnsi="Times New Roman"/>
          <w:sz w:val="16"/>
          <w:szCs w:val="16"/>
          <w:i w:val="1"/>
          <w:iCs w:val="1"/>
          <w:color w:val="auto"/>
        </w:rPr>
        <w:t>.</w:t>
      </w:r>
    </w:p>
    <w:p>
      <w:pPr>
        <w:spacing w:after="0" w:line="19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The Company covenants and agrees with each Underwriter as follows:</w:t>
      </w:r>
    </w:p>
    <w:p>
      <w:pPr>
        <w:spacing w:after="0" w:line="90" w:lineRule="exact"/>
        <w:rPr>
          <w:sz w:val="20"/>
          <w:szCs w:val="20"/>
          <w:color w:val="auto"/>
        </w:rPr>
      </w:pPr>
    </w:p>
    <w:p>
      <w:pPr>
        <w:ind w:left="590" w:hanging="206"/>
        <w:spacing w:after="0"/>
        <w:tabs>
          <w:tab w:leader="none" w:pos="59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Compliance with Securities Regulations and Commission Requests. </w:t>
      </w:r>
      <w:r>
        <w:rPr>
          <w:rFonts w:ascii="Times New Roman" w:cs="Times New Roman" w:eastAsia="Times New Roman" w:hAnsi="Times New Roman"/>
          <w:sz w:val="16"/>
          <w:szCs w:val="16"/>
          <w:color w:val="auto"/>
        </w:rPr>
        <w:t>The Company, subject to Section 3(b) hereof, will comply with the</w:t>
      </w:r>
    </w:p>
    <w:p>
      <w:pPr>
        <w:spacing w:after="0" w:line="16" w:lineRule="exact"/>
        <w:rPr>
          <w:rFonts w:ascii="Times New Roman" w:cs="Times New Roman" w:eastAsia="Times New Roman" w:hAnsi="Times New Roman"/>
          <w:sz w:val="16"/>
          <w:szCs w:val="16"/>
          <w:color w:val="auto"/>
        </w:rPr>
      </w:pPr>
    </w:p>
    <w:p>
      <w:pPr>
        <w:ind w:left="10" w:right="120"/>
        <w:spacing w:after="0" w:line="26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requirements of Rule 430B, and will promptly notify the Representatives, and confirm the notice in writing, of (i) the effectiveness during the Prospectus Delivery Period (as such term is defined herein) of any post-effective amendment to the Registration Statement or the filing of any supplement or amendment to any Preliminary Prospectus or the Prospectus, (ii) the receipt of any comments from the Commission during the Prospectus Delivery Period,</w:t>
      </w:r>
    </w:p>
    <w:p>
      <w:pPr>
        <w:ind w:left="10" w:right="20" w:hanging="10"/>
        <w:spacing w:after="0" w:line="238" w:lineRule="auto"/>
        <w:tabs>
          <w:tab w:leader="none" w:pos="28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by the Commission for any amendment to the Registration Statement or any amendment or supplement to any Preliminary Prospectus or the Prospectus or for additional information and (iv) the issuance by the Commission of any stop order</w:t>
      </w:r>
    </w:p>
    <w:p>
      <w:pPr>
        <w:spacing w:after="0" w:line="1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810"/>
          </w:cols>
          <w:pgMar w:left="1050" w:top="687" w:right="1040" w:bottom="1440" w:gutter="0" w:footer="0" w:header="0"/>
        </w:sectPr>
      </w:pPr>
    </w:p>
    <w:bookmarkStart w:id="17" w:name="page18"/>
    <w:bookmarkEnd w:id="17"/>
    <w:p>
      <w:pPr>
        <w:ind w:right="2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suspending the effectiveness of the Registration Statement or of any order preventing or suspending the use of any Preliminary Prospectus or the Prospectus, or of the suspension of the qualification of the Bonds for offering or sale in any jurisdiction, or of the initiation or threatening of any proceedings for any of such purposes. The Company will promptly effect the filings necessary pursuant to Rule 424(b) and will take such steps as it deems necessary to ascertain promptly whether any Preliminary Prospectus and the Prospectus transmitted for filing under Rule 424(b) was received for filing by the Commission and, in the event that it was not, it will promptly file such document. The Company will use every reasonable effort to prevent the issuance of any stop order and, if any stop order is issued, to obtain the lifting thereof at the earliest possible moment.</w:t>
      </w:r>
    </w:p>
    <w:p>
      <w:pPr>
        <w:spacing w:after="0" w:line="171" w:lineRule="exact"/>
        <w:rPr>
          <w:sz w:val="20"/>
          <w:szCs w:val="20"/>
          <w:color w:val="auto"/>
        </w:rPr>
      </w:pPr>
    </w:p>
    <w:p>
      <w:pPr>
        <w:ind w:firstLine="374"/>
        <w:spacing w:after="0" w:line="277" w:lineRule="auto"/>
        <w:tabs>
          <w:tab w:leader="none" w:pos="6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Representatives’ Review of Proposed Amendments and Supplements. </w:t>
      </w:r>
      <w:r>
        <w:rPr>
          <w:rFonts w:ascii="Times New Roman" w:cs="Times New Roman" w:eastAsia="Times New Roman" w:hAnsi="Times New Roman"/>
          <w:sz w:val="14"/>
          <w:szCs w:val="14"/>
          <w:color w:val="auto"/>
        </w:rPr>
        <w:t>During the period beginning on the date of this Agreement and ending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later of the Closing Date or such date, as in the opinion of counsel for the Underwriters, a prospectus relating to the Bonds is no longer required by law to be delivered in connection with sales of the Bonds by an Underwriter or dealer, including in circumstances where such requirement may be satisfied pursuant to Rule 172 of the Securities Act (the “</w:t>
      </w:r>
      <w:r>
        <w:rPr>
          <w:rFonts w:ascii="Times New Roman" w:cs="Times New Roman" w:eastAsia="Times New Roman" w:hAnsi="Times New Roman"/>
          <w:sz w:val="14"/>
          <w:szCs w:val="14"/>
          <w:b w:val="1"/>
          <w:bCs w:val="1"/>
          <w:color w:val="auto"/>
        </w:rPr>
        <w:t>Prospectus Delivery Period</w:t>
      </w:r>
      <w:r>
        <w:rPr>
          <w:rFonts w:ascii="Times New Roman" w:cs="Times New Roman" w:eastAsia="Times New Roman" w:hAnsi="Times New Roman"/>
          <w:sz w:val="14"/>
          <w:szCs w:val="14"/>
          <w:color w:val="auto"/>
        </w:rPr>
        <w:t>”), prior to amending or supplementing the Registration Statement, the Disclosure Package or the Prospectus (including any amendment or supplement through incorporation by reference of any report filed under the Exchange Act), the Company shall furnish, within a reasonable time prior to filing such amendment or supplement, to the Representatives for review a copy of each such proposed amendment or supplement, and the Company shall not file or use any such proposed amendment or supplement (except for any amendment or supplement filed under the Exchange Act after the Closing Date) to which the Representatives or counsel for the Underwriters shall reasonably object.</w:t>
      </w:r>
    </w:p>
    <w:p>
      <w:pPr>
        <w:spacing w:after="0" w:line="146" w:lineRule="exact"/>
        <w:rPr>
          <w:rFonts w:ascii="Times New Roman" w:cs="Times New Roman" w:eastAsia="Times New Roman" w:hAnsi="Times New Roman"/>
          <w:sz w:val="14"/>
          <w:szCs w:val="14"/>
          <w:color w:val="auto"/>
        </w:rPr>
      </w:pPr>
    </w:p>
    <w:p>
      <w:pPr>
        <w:ind w:firstLine="374"/>
        <w:spacing w:after="0" w:line="239" w:lineRule="auto"/>
        <w:tabs>
          <w:tab w:leader="none" w:pos="58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Delivery of Registration Statements. </w:t>
      </w:r>
      <w:r>
        <w:rPr>
          <w:rFonts w:ascii="Times New Roman" w:cs="Times New Roman" w:eastAsia="Times New Roman" w:hAnsi="Times New Roman"/>
          <w:sz w:val="16"/>
          <w:szCs w:val="16"/>
          <w:color w:val="auto"/>
        </w:rPr>
        <w:t>If requested, the Company will furnish or deliver to the Representatives and counsel for the Underwriters,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without charge, copies of the Registration Statement as originally filed and of each amendment thereto (including exhibits filed therewith or incorporated by reference therein and documents incorporated or deemed to be incorporated by reference therein) and copies of all consents and certificates of experts, and will also deliver to the Representatives, without charge, a conformed copy of the Registration Statement as originally filed and of each amendment thereto (without exhibits) for each of the Underwriters. The Registration Statement and each amendment thereto furnished to the Underwriters will be identical to any electronically transmitted copies thereof filed with the Commission pursuant to EDGAR, except to the extent permitted by the Commission’s Regulation S-T.</w:t>
      </w:r>
    </w:p>
    <w:p>
      <w:pPr>
        <w:spacing w:after="0" w:line="169" w:lineRule="exact"/>
        <w:rPr>
          <w:rFonts w:ascii="Times New Roman" w:cs="Times New Roman" w:eastAsia="Times New Roman" w:hAnsi="Times New Roman"/>
          <w:sz w:val="16"/>
          <w:szCs w:val="16"/>
          <w:color w:val="auto"/>
        </w:rPr>
      </w:pPr>
    </w:p>
    <w:p>
      <w:pPr>
        <w:ind w:firstLine="374"/>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Delivery of Prospectuses. </w:t>
      </w:r>
      <w:r>
        <w:rPr>
          <w:rFonts w:ascii="Times New Roman" w:cs="Times New Roman" w:eastAsia="Times New Roman" w:hAnsi="Times New Roman"/>
          <w:sz w:val="16"/>
          <w:szCs w:val="16"/>
          <w:color w:val="auto"/>
        </w:rPr>
        <w:t>The Company will deliver to each Underwriter, without charge, as many copies of each Preliminary Prospectus as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Underwriter may reasonably request, and the Company hereby consents to the use of such copies for purposes permitted by the Securities Act. The Company will furnish to each Underwriter, without charge, during the Prospectus Delivery Period, such number of copies of the Prospectus as such Underwriter may reasonably request. Each Preliminary Prospectus and the Prospectus and any amendments or supplements thereto furnished to the Underwriters will be identical to any electronically transmitted copies thereof filed with the Commission pursuant to EDGAR, except to the extent permitted by the Commission’s Regulation S-T.</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800"/>
          </w:cols>
          <w:pgMar w:left="1060" w:top="689" w:right="1040" w:bottom="1440" w:gutter="0" w:footer="0" w:header="0"/>
        </w:sectPr>
      </w:pPr>
    </w:p>
    <w:bookmarkStart w:id="18" w:name="page19"/>
    <w:bookmarkEnd w:id="18"/>
    <w:p>
      <w:pPr>
        <w:ind w:right="20" w:firstLine="374"/>
        <w:spacing w:after="0" w:line="274" w:lineRule="auto"/>
        <w:tabs>
          <w:tab w:leader="none" w:pos="58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Continued Compliance with Securities Laws</w:t>
      </w:r>
      <w:r>
        <w:rPr>
          <w:rFonts w:ascii="Times New Roman" w:cs="Times New Roman" w:eastAsia="Times New Roman" w:hAnsi="Times New Roman"/>
          <w:sz w:val="14"/>
          <w:szCs w:val="14"/>
          <w:color w:val="auto"/>
        </w:rPr>
        <w:t>. The Company will comply with the Securities Act and the Exchange Act so as to permit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completion of the distribution of the Bonds as contemplated in this Agreement and the Prospectus. If, at any time during the Prospectus Delivery Period, any event shall occur or condition shall exist as a result of which it is necessary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Disclosure Package or the Prospectus in order that the Disclosure Package or the Prospectus, as the case may be, will not include an untrue statement of a material fact or omit to state a material fact necessary in order to make the statements therein, in the light of the circumstances existing at the Initial Sale Time or at the time it is delivered or conveyed to a purchaser, not misleading, or if it shall be necessary at any such time to amend the Registration Statement or amend or supplement the Disclosure Package or the Prospectus in order to comply with the requirements of the Securities Act, the Company will (i) notify the Representatives of any such event, development or condition, (ii) promptly prepare and file with the Commission, subject to Section 3(b) hereof, such amendment or supplement (including by filing under the Exchange Act any document incorporated by reference in the Disclosure Package or the Prospectus) as may be necessary to correct such statement or omission or to make the Registration Statement, the Disclosure Package or the Prospectus comply with such requirements and (iii) the Company will furnish to the Underwriters, without charge, such number of copies of such amendment or supplement to the Disclosure Package or the Prospectus as the Underwriters may reasonably request.</w:t>
      </w:r>
    </w:p>
    <w:p>
      <w:pPr>
        <w:spacing w:after="0" w:line="327" w:lineRule="exact"/>
        <w:rPr>
          <w:rFonts w:ascii="Times New Roman" w:cs="Times New Roman" w:eastAsia="Times New Roman" w:hAnsi="Times New Roman"/>
          <w:sz w:val="14"/>
          <w:szCs w:val="14"/>
          <w:color w:val="auto"/>
        </w:rPr>
      </w:pPr>
    </w:p>
    <w:p>
      <w:pPr>
        <w:jc w:val="both"/>
        <w:ind w:right="100" w:firstLine="374"/>
        <w:spacing w:after="0" w:line="278" w:lineRule="auto"/>
        <w:tabs>
          <w:tab w:leader="none" w:pos="57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Blue Sky Compliance. </w:t>
      </w:r>
      <w:r>
        <w:rPr>
          <w:rFonts w:ascii="Times New Roman" w:cs="Times New Roman" w:eastAsia="Times New Roman" w:hAnsi="Times New Roman"/>
          <w:sz w:val="14"/>
          <w:szCs w:val="14"/>
          <w:color w:val="auto"/>
        </w:rPr>
        <w:t>The Company shall cooperate with the Representatives and counsel for the Underwriters to qualify or register the Bonds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 under (or obtain 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Bonds.</w:t>
      </w:r>
    </w:p>
    <w:p>
      <w:pPr>
        <w:spacing w:after="0" w:line="27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be required to qualify to transact business or to take any action that would subject it to general service of process in any such jurisdiction where it is not presently qualified or where it would be subject to taxation as a foreign business. The Company will advise the Representatives promptly of the suspension of the qualification or registration of (or any such exemption relating to) the Bonds for offering, sale or trading in any jurisdiction or any initiation or threat of any proceeding for any such purpose, and in the event of the issuance of any order suspending such qualification, registration or exemption, the Company shall use every reasonable effort to obtain the withdrawal thereof at the earliest possible moment.</w:t>
      </w:r>
    </w:p>
    <w:p>
      <w:pPr>
        <w:spacing w:after="0" w:line="143" w:lineRule="exact"/>
        <w:rPr>
          <w:rFonts w:ascii="Times New Roman" w:cs="Times New Roman" w:eastAsia="Times New Roman" w:hAnsi="Times New Roman"/>
          <w:sz w:val="14"/>
          <w:szCs w:val="14"/>
          <w:color w:val="auto"/>
        </w:rPr>
      </w:pPr>
    </w:p>
    <w:p>
      <w:pPr>
        <w:ind w:right="140" w:firstLine="374"/>
        <w:spacing w:after="0" w:line="262" w:lineRule="auto"/>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Use of Proceeds. </w:t>
      </w:r>
      <w:r>
        <w:rPr>
          <w:rFonts w:ascii="Times New Roman" w:cs="Times New Roman" w:eastAsia="Times New Roman" w:hAnsi="Times New Roman"/>
          <w:sz w:val="16"/>
          <w:szCs w:val="16"/>
          <w:color w:val="auto"/>
        </w:rPr>
        <w:t>The Company shall apply the net proceeds from the sale of the Bonds sold by it in the manner described under the caption “Use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Proceeds” in each of the Disclosure Package and the Prospectus.</w:t>
      </w:r>
    </w:p>
    <w:p>
      <w:pPr>
        <w:spacing w:after="0" w:line="150" w:lineRule="exact"/>
        <w:rPr>
          <w:rFonts w:ascii="Times New Roman" w:cs="Times New Roman" w:eastAsia="Times New Roman" w:hAnsi="Times New Roman"/>
          <w:sz w:val="16"/>
          <w:szCs w:val="16"/>
          <w:color w:val="auto"/>
        </w:rPr>
      </w:pPr>
    </w:p>
    <w:p>
      <w:pPr>
        <w:ind w:firstLine="374"/>
        <w:spacing w:after="0" w:line="262" w:lineRule="auto"/>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Depositary. </w:t>
      </w:r>
      <w:r>
        <w:rPr>
          <w:rFonts w:ascii="Times New Roman" w:cs="Times New Roman" w:eastAsia="Times New Roman" w:hAnsi="Times New Roman"/>
          <w:sz w:val="16"/>
          <w:szCs w:val="16"/>
          <w:color w:val="auto"/>
        </w:rPr>
        <w:t>The Company will cooperate with the Underwriters and use every reasonable effort to permit the Bonds to be eligible for clearance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settlement through the facilities of the Depositary.</w:t>
      </w:r>
    </w:p>
    <w:p>
      <w:pPr>
        <w:spacing w:after="0" w:line="150" w:lineRule="exact"/>
        <w:rPr>
          <w:rFonts w:ascii="Times New Roman" w:cs="Times New Roman" w:eastAsia="Times New Roman" w:hAnsi="Times New Roman"/>
          <w:sz w:val="16"/>
          <w:szCs w:val="16"/>
          <w:color w:val="auto"/>
        </w:rPr>
      </w:pPr>
    </w:p>
    <w:p>
      <w:pPr>
        <w:ind w:right="360" w:firstLine="374"/>
        <w:spacing w:after="0" w:line="262" w:lineRule="auto"/>
        <w:tabs>
          <w:tab w:leader="none" w:pos="56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Periodic Reporting Obligations. </w:t>
      </w:r>
      <w:r>
        <w:rPr>
          <w:rFonts w:ascii="Times New Roman" w:cs="Times New Roman" w:eastAsia="Times New Roman" w:hAnsi="Times New Roman"/>
          <w:sz w:val="16"/>
          <w:szCs w:val="16"/>
          <w:color w:val="auto"/>
        </w:rPr>
        <w:t>During the Prospectus Delivery Period and subject to Section 3(b) hereof, the Company shall file, on a timely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basis, with the Commission all reports and documents required to be filed under the Exchange Act.</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800"/>
          </w:cols>
          <w:pgMar w:left="1060" w:top="687" w:right="1040" w:bottom="1440" w:gutter="0" w:footer="0" w:header="0"/>
        </w:sectPr>
      </w:pPr>
    </w:p>
    <w:bookmarkStart w:id="19" w:name="page20"/>
    <w:bookmarkEnd w:id="19"/>
    <w:p>
      <w:pPr>
        <w:ind w:left="10" w:right="180" w:firstLine="374"/>
        <w:spacing w:after="0" w:line="278" w:lineRule="auto"/>
        <w:tabs>
          <w:tab w:leader="none" w:pos="574"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Agreement Not to Offer or Sell Additional Securities. </w:t>
      </w:r>
      <w:r>
        <w:rPr>
          <w:rFonts w:ascii="Times New Roman" w:cs="Times New Roman" w:eastAsia="Times New Roman" w:hAnsi="Times New Roman"/>
          <w:sz w:val="14"/>
          <w:szCs w:val="14"/>
          <w:color w:val="auto"/>
        </w:rPr>
        <w:t>During the period commencing on the date hereof and ending on the Closing Date,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will not, without the prior written consent of the Representatives (which consent may be withheld at the sole discretion of the Representatives), directly or indirectly, sell, offer, contract or grant any option to sell, transfer or establish an open “put equivalent position” within the meaning of Rule</w:t>
      </w:r>
    </w:p>
    <w:p>
      <w:pPr>
        <w:ind w:left="10" w:right="100"/>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16a-1(h) of the Exchange Act, or otherwise dispose of or transfer, or announce the offering of, or file any registration statement under the Securities Act in respect of, any debt securities of the Company similar to the Bonds or securities exchangeable for or convertible into debt securities similar to the Bonds, other than as contemplated by this Agreement with respect to the Bonds.</w:t>
      </w:r>
    </w:p>
    <w:p>
      <w:pPr>
        <w:spacing w:after="0" w:line="167" w:lineRule="exact"/>
        <w:rPr>
          <w:rFonts w:ascii="Times New Roman" w:cs="Times New Roman" w:eastAsia="Times New Roman" w:hAnsi="Times New Roman"/>
          <w:sz w:val="14"/>
          <w:szCs w:val="14"/>
          <w:color w:val="auto"/>
        </w:rPr>
      </w:pPr>
    </w:p>
    <w:p>
      <w:pPr>
        <w:ind w:left="10" w:right="160" w:firstLine="374"/>
        <w:spacing w:after="0" w:line="248" w:lineRule="auto"/>
        <w:tabs>
          <w:tab w:leader="none" w:pos="61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Final Term Sheet</w:t>
      </w:r>
      <w:r>
        <w:rPr>
          <w:rFonts w:ascii="Times New Roman" w:cs="Times New Roman" w:eastAsia="Times New Roman" w:hAnsi="Times New Roman"/>
          <w:sz w:val="16"/>
          <w:szCs w:val="16"/>
          <w:color w:val="auto"/>
        </w:rPr>
        <w:t>. The Company will prepare a final term sheet containing only a description of the Bonds, in substantially the form previously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agreed to by the Company and the Representatives, and will file such term sheet pursuant to Rule 433(d) within the time required by Rule 433 (the “</w:t>
      </w:r>
      <w:r>
        <w:rPr>
          <w:rFonts w:ascii="Times New Roman" w:cs="Times New Roman" w:eastAsia="Times New Roman" w:hAnsi="Times New Roman"/>
          <w:sz w:val="16"/>
          <w:szCs w:val="16"/>
          <w:b w:val="1"/>
          <w:bCs w:val="1"/>
          <w:color w:val="auto"/>
        </w:rPr>
        <w:t>Final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Term Sheet</w:t>
      </w:r>
      <w:r>
        <w:rPr>
          <w:rFonts w:ascii="Times New Roman" w:cs="Times New Roman" w:eastAsia="Times New Roman" w:hAnsi="Times New Roman"/>
          <w:sz w:val="16"/>
          <w:szCs w:val="16"/>
          <w:color w:val="auto"/>
        </w:rPr>
        <w:t>”). The Final Term Sheet is an Issuer Free Writing Prospectus for purposes of this Agreement.</w:t>
      </w:r>
    </w:p>
    <w:p>
      <w:pPr>
        <w:spacing w:after="0" w:line="161" w:lineRule="exact"/>
        <w:rPr>
          <w:rFonts w:ascii="Times New Roman" w:cs="Times New Roman" w:eastAsia="Times New Roman" w:hAnsi="Times New Roman"/>
          <w:sz w:val="16"/>
          <w:szCs w:val="16"/>
          <w:color w:val="auto"/>
        </w:rPr>
      </w:pPr>
    </w:p>
    <w:p>
      <w:pPr>
        <w:ind w:left="10" w:firstLine="374"/>
        <w:spacing w:after="0" w:line="272" w:lineRule="auto"/>
        <w:tabs>
          <w:tab w:leader="none" w:pos="574"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Permitted Free Writing Prospectuses</w:t>
      </w:r>
      <w:r>
        <w:rPr>
          <w:rFonts w:ascii="Times New Roman" w:cs="Times New Roman" w:eastAsia="Times New Roman" w:hAnsi="Times New Roman"/>
          <w:sz w:val="14"/>
          <w:szCs w:val="14"/>
          <w:color w:val="auto"/>
        </w:rPr>
        <w:t>. The Company represents that it has not made, and agrees that, unless it obtains the prior written consent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Representatives, and each Underwriter, severally and not jointly, represents that it has not made, and agrees with the Company that, unless it obtains the prior written consent of the Company, it will not make, any offer relating to the Bonds that would constitute an “issuer free writing prospectus” or that would otherwise constitute a “free writing prospectus” (as such terms are defined in Rule 405) required to be filed by the Company with the Commission or retained by the Company under Rule 433; provided that the prior written consent of the Representatives shall be deemed to have been given in respect of the Issuer General Use Free Writing Prospectuses and the Issuer Limited Use Free Writing Prospectuses identified in Annex I hereto. Any such free writing prospectus consented to by the Representatives is hereinafter referred to as a “</w:t>
      </w:r>
      <w:r>
        <w:rPr>
          <w:rFonts w:ascii="Times New Roman" w:cs="Times New Roman" w:eastAsia="Times New Roman" w:hAnsi="Times New Roman"/>
          <w:sz w:val="14"/>
          <w:szCs w:val="14"/>
          <w:b w:val="1"/>
          <w:bCs w:val="1"/>
          <w:color w:val="auto"/>
        </w:rPr>
        <w:t>Permitted Free Writing Prospectus</w:t>
      </w:r>
      <w:r>
        <w:rPr>
          <w:rFonts w:ascii="Times New Roman" w:cs="Times New Roman" w:eastAsia="Times New Roman" w:hAnsi="Times New Roman"/>
          <w:sz w:val="14"/>
          <w:szCs w:val="14"/>
          <w:color w:val="auto"/>
        </w:rPr>
        <w:t>.” The Company agrees that it has</w:t>
      </w:r>
    </w:p>
    <w:p>
      <w:pPr>
        <w:spacing w:after="0" w:line="3" w:lineRule="exact"/>
        <w:rPr>
          <w:rFonts w:ascii="Times New Roman" w:cs="Times New Roman" w:eastAsia="Times New Roman" w:hAnsi="Times New Roman"/>
          <w:sz w:val="14"/>
          <w:szCs w:val="14"/>
          <w:color w:val="auto"/>
        </w:rPr>
      </w:pPr>
    </w:p>
    <w:p>
      <w:pPr>
        <w:ind w:left="10" w:right="520" w:hanging="10"/>
        <w:spacing w:after="0" w:line="237" w:lineRule="auto"/>
        <w:tabs>
          <w:tab w:leader="none" w:pos="19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treated and will treat, as the case may be, each Permitted Free Writing Prospectus as an Issuer Free Writing Prospectus and (ii) complied and will comply, as the case may be, with the requirements of Rules 164 and 433 of the Securities Act applicable to any Permitted Free Writing Prospectus, including in respect of timely filing with the Commission, legending and record keeping.</w:t>
      </w:r>
    </w:p>
    <w:p>
      <w:pPr>
        <w:spacing w:after="0" w:line="167" w:lineRule="exact"/>
        <w:rPr>
          <w:rFonts w:ascii="Times New Roman" w:cs="Times New Roman" w:eastAsia="Times New Roman" w:hAnsi="Times New Roman"/>
          <w:sz w:val="16"/>
          <w:szCs w:val="16"/>
          <w:color w:val="auto"/>
        </w:rPr>
      </w:pPr>
    </w:p>
    <w:p>
      <w:pPr>
        <w:ind w:left="10" w:firstLine="374"/>
        <w:spacing w:after="0" w:line="238" w:lineRule="auto"/>
        <w:tabs>
          <w:tab w:leader="none" w:pos="658"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 of Inability to Use Automatic Shelf Registration Statement Form .</w:t>
      </w:r>
      <w:r>
        <w:rPr>
          <w:rFonts w:ascii="Times New Roman" w:cs="Times New Roman" w:eastAsia="Times New Roman" w:hAnsi="Times New Roman"/>
          <w:sz w:val="16"/>
          <w:szCs w:val="16"/>
          <w:color w:val="auto"/>
        </w:rPr>
        <w:t>If at any time during the Prospectus Delivery Period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receives from the Commission a notice pursuant to Rule 401(g)(2) or otherwise ceases to be eligible to use the automatic shelf registration statement form, the Company will (i) promptly notify the Representatives, (ii) promptly file a new registration statement or post-effective amendment on the proper form relating to the Bonds, in a form satisfactory to the Representatives, (iii) use its best efforts to cause such registration statement or post-effective amendment to be declared effective and (iv) promptly notify the Representatives of such effectiveness. The Company will take all other action necessary or appropriate to permit the public offering and sale of the Bonds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w:t>
      </w:r>
    </w:p>
    <w:p>
      <w:pPr>
        <w:spacing w:after="0" w:line="13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770"/>
          </w:cols>
          <w:pgMar w:left="1050" w:top="687" w:right="1080" w:bottom="1440" w:gutter="0" w:footer="0" w:header="0"/>
        </w:sectPr>
      </w:pPr>
    </w:p>
    <w:bookmarkStart w:id="20" w:name="page21"/>
    <w:bookmarkEnd w:id="20"/>
    <w:p>
      <w:pPr>
        <w:ind w:right="20" w:firstLine="374"/>
        <w:spacing w:after="0" w:line="277" w:lineRule="auto"/>
        <w:tabs>
          <w:tab w:leader="none" w:pos="6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Registration Statement Renewal Deadline. </w:t>
      </w:r>
      <w:r>
        <w:rPr>
          <w:rFonts w:ascii="Times New Roman" w:cs="Times New Roman" w:eastAsia="Times New Roman" w:hAnsi="Times New Roman"/>
          <w:sz w:val="14"/>
          <w:szCs w:val="14"/>
          <w:color w:val="auto"/>
        </w:rPr>
        <w:t>If immediately prior to the third anniversary (the “</w:t>
      </w:r>
      <w:r>
        <w:rPr>
          <w:rFonts w:ascii="Times New Roman" w:cs="Times New Roman" w:eastAsia="Times New Roman" w:hAnsi="Times New Roman"/>
          <w:sz w:val="14"/>
          <w:szCs w:val="14"/>
          <w:b w:val="1"/>
          <w:bCs w:val="1"/>
          <w:color w:val="auto"/>
        </w:rPr>
        <w:t>Renewal Deadline</w:t>
      </w:r>
      <w:r>
        <w:rPr>
          <w:rFonts w:ascii="Times New Roman" w:cs="Times New Roman" w:eastAsia="Times New Roman" w:hAnsi="Times New Roman"/>
          <w:sz w:val="14"/>
          <w:szCs w:val="14"/>
          <w:color w:val="auto"/>
        </w:rPr>
        <w:t>”) of the initial effective date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Registration Statement, any of the Bonds remain unsold by the Underwriters, the Company will prior to the Renewal Deadline file, if it has not already done so and is eligible to do so, a new automatic shelf registration statement relating to the Bonds, in a form satisfactory to the Representatives. If the Company is no longer eligible to file an automatic shelf registration statement, the Company will prior to the Renewal Deadline, if it has not already done so, file a new shelf registration statement relating to the Bonds, in a form satisfactory to the Representatives, and will use its best efforts to cause such registration statement to be declared effective within 60 days after the Renewal Deadline. The Company will take all other action necessary or appropriate to permit the public offering and sale of the Bonds to continue as contemplated in the expired registration statement relating to the Bonds. References herein to the Registration Statement shall include such new automatic shelf registration statement or such new shelf registration statement, as the case may be.</w:t>
      </w:r>
    </w:p>
    <w:p>
      <w:pPr>
        <w:spacing w:after="0" w:line="146" w:lineRule="exact"/>
        <w:rPr>
          <w:rFonts w:ascii="Times New Roman" w:cs="Times New Roman" w:eastAsia="Times New Roman" w:hAnsi="Times New Roman"/>
          <w:sz w:val="14"/>
          <w:szCs w:val="14"/>
          <w:color w:val="auto"/>
        </w:rPr>
      </w:pPr>
    </w:p>
    <w:p>
      <w:pPr>
        <w:ind w:right="160" w:firstLine="374"/>
        <w:spacing w:after="0" w:line="262" w:lineRule="auto"/>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Filing Fees</w:t>
      </w:r>
      <w:r>
        <w:rPr>
          <w:rFonts w:ascii="Times New Roman" w:cs="Times New Roman" w:eastAsia="Times New Roman" w:hAnsi="Times New Roman"/>
          <w:sz w:val="16"/>
          <w:szCs w:val="16"/>
          <w:color w:val="auto"/>
        </w:rPr>
        <w:t>. The Company agrees to pay the required Commission filing fees relating to the Bonds within the time required by Rule 456(b)(1)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Securities Act without regard to the proviso therein and otherwise in accordance with Rules 456(b) and 457(r) of the Securities Act.</w:t>
      </w:r>
    </w:p>
    <w:p>
      <w:pPr>
        <w:spacing w:after="0" w:line="150" w:lineRule="exact"/>
        <w:rPr>
          <w:rFonts w:ascii="Times New Roman" w:cs="Times New Roman" w:eastAsia="Times New Roman" w:hAnsi="Times New Roman"/>
          <w:sz w:val="16"/>
          <w:szCs w:val="16"/>
          <w:color w:val="auto"/>
        </w:rPr>
      </w:pPr>
    </w:p>
    <w:p>
      <w:pPr>
        <w:ind w:right="280" w:firstLine="374"/>
        <w:spacing w:after="0" w:line="248" w:lineRule="auto"/>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Manipulation of Price. </w:t>
      </w:r>
      <w:r>
        <w:rPr>
          <w:rFonts w:ascii="Times New Roman" w:cs="Times New Roman" w:eastAsia="Times New Roman" w:hAnsi="Times New Roman"/>
          <w:sz w:val="16"/>
          <w:szCs w:val="16"/>
          <w:color w:val="auto"/>
        </w:rPr>
        <w:t>The Company will not take, directly or indirectly, any action designed to cause or result in, or that has constituted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might reasonably be expected to constitute, under the Exchange Act or otherwise, the stabilization or manipulation of the price of any securities of the Company to facilitate the sale or resale of the Bonds.</w:t>
      </w:r>
    </w:p>
    <w:p>
      <w:pPr>
        <w:spacing w:after="0" w:line="161" w:lineRule="exact"/>
        <w:rPr>
          <w:rFonts w:ascii="Times New Roman" w:cs="Times New Roman" w:eastAsia="Times New Roman" w:hAnsi="Times New Roman"/>
          <w:sz w:val="16"/>
          <w:szCs w:val="16"/>
          <w:color w:val="auto"/>
        </w:rPr>
      </w:pPr>
    </w:p>
    <w:p>
      <w:pPr>
        <w:ind w:firstLine="374"/>
        <w:spacing w:after="0" w:line="248" w:lineRule="auto"/>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Earning Statement</w:t>
      </w:r>
      <w:r>
        <w:rPr>
          <w:rFonts w:ascii="Times New Roman" w:cs="Times New Roman" w:eastAsia="Times New Roman" w:hAnsi="Times New Roman"/>
          <w:sz w:val="16"/>
          <w:szCs w:val="16"/>
          <w:color w:val="auto"/>
        </w:rPr>
        <w:t>. The Company will make generally available to the Company’s security holders and to the Representatives as soon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practicable an earning statement covering a period of at least twelve months beginning with the first fiscal quarter of the Company occurring after the date of this Agreement that will satisfy the provisions of Section 11(a) of the Securities Act.</w:t>
      </w:r>
    </w:p>
    <w:p>
      <w:pPr>
        <w:spacing w:after="0" w:line="16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53" w:lineRule="exact"/>
        <w:rPr>
          <w:sz w:val="20"/>
          <w:szCs w:val="20"/>
          <w:color w:val="auto"/>
        </w:rPr>
      </w:pPr>
    </w:p>
    <w:p>
      <w:pPr>
        <w:ind w:right="60" w:firstLine="384"/>
        <w:spacing w:after="0" w:line="238" w:lineRule="auto"/>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4. </w:t>
      </w:r>
      <w:r>
        <w:rPr>
          <w:rFonts w:ascii="Times New Roman" w:cs="Times New Roman" w:eastAsia="Times New Roman" w:hAnsi="Times New Roman"/>
          <w:sz w:val="16"/>
          <w:szCs w:val="16"/>
          <w:u w:val="single" w:color="auto"/>
          <w:color w:val="auto"/>
        </w:rPr>
        <w:t>Payment of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Bonds (including all printing and engraving costs), (ii) all necessary issue, transfer and other stamp taxes in connection with the issuance and sale of the Bonds to the Underwriters, (iii) all fees and expenses of the Company’s counsel, independent public or certified public accountants and other advisors to the Company, (iv) all costs and expenses incurred in connection with the preparation, printing, filing, shipping and distribution of the Registration Statement (including financial statements, exhibits, schedules, consents and certificates of experts), each Issuer Free Writing Prospectus, each Preliminary Prospectus and the Prospectus, and all amendments and supplements thereto, and this Agreement, the Mortgage Indenture, the DTC Agreement and the Bonds, (v) all filing fees, reasonable attorneys’ fees and expenses incurred by the Company or the Underwriters in connection with qualifying or registering (or obtaining</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800"/>
          </w:cols>
          <w:pgMar w:left="1060" w:top="687" w:right="1040" w:bottom="1440" w:gutter="0" w:footer="0" w:header="0"/>
        </w:sectPr>
      </w:pPr>
    </w:p>
    <w:bookmarkStart w:id="21" w:name="page22"/>
    <w:bookmarkEnd w:id="21"/>
    <w:p>
      <w:pPr>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exemptions from the qualification or registration of) all or any part of the Bonds for offer and sale under the state securities or blue sky laws, and, if requested by the Representatives, preparing a “Blue Sky Survey” or memorandum, and any supplements thereto, advising the Underwriters of such qualifications, registrations and exemptions, (vi) the filing fees incident to, and the reasonable fees and disbursements of counsel to the Underwriters in connection with, the review, if any, by the Financial Industry Regulatory Authority, Inc. (“</w:t>
      </w:r>
      <w:r>
        <w:rPr>
          <w:rFonts w:ascii="Times New Roman" w:cs="Times New Roman" w:eastAsia="Times New Roman" w:hAnsi="Times New Roman"/>
          <w:sz w:val="16"/>
          <w:szCs w:val="16"/>
          <w:b w:val="1"/>
          <w:bCs w:val="1"/>
          <w:color w:val="auto"/>
        </w:rPr>
        <w:t>FINRA</w:t>
      </w:r>
      <w:r>
        <w:rPr>
          <w:rFonts w:ascii="Times New Roman" w:cs="Times New Roman" w:eastAsia="Times New Roman" w:hAnsi="Times New Roman"/>
          <w:sz w:val="16"/>
          <w:szCs w:val="16"/>
          <w:color w:val="auto"/>
        </w:rPr>
        <w:t>”) of the terms of the sale of the Bonds, (vii) the fees and expenses of the Trustee, including the reasonable fees and disbursements of counsel for the Trustee in connection with the Mortgage Indenture and the Bonds, (viii) any fees payable in connection with the rating of the Bonds with the ratings agencies, (ix) all fees and expenses (including reasonable fees and expenses of counsel) of the Company in connection with approval of the Bonds by the Depositary for “book-entry” transfer, (x) all other applicable fees, costs and expenses referred to in Item 14 of Part II of the Registration Statement, (xi) all reasonable out-of-pocket expenses incurred by the Representatives with respect to any road show, including expenses relating to slide production, internet road show taping and travel, and (xii) all other fees, costs and expenses incurred in connection with the performance of its obligations hereunder for which provision is not otherwise made in this Section 4. Except as provided in this Section 4, Section 6, Section 7 and Section 8 hereof, the Underwriters shall pay their own expenses, including the fees and disbursements of their counsel.</w:t>
      </w:r>
    </w:p>
    <w:p>
      <w:pPr>
        <w:spacing w:after="0" w:line="172" w:lineRule="exact"/>
        <w:rPr>
          <w:sz w:val="20"/>
          <w:szCs w:val="20"/>
          <w:color w:val="auto"/>
        </w:rPr>
      </w:pPr>
    </w:p>
    <w:p>
      <w:pPr>
        <w:ind w:right="20" w:firstLine="384"/>
        <w:spacing w:after="0" w:line="243" w:lineRule="auto"/>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5. </w:t>
      </w:r>
      <w:r>
        <w:rPr>
          <w:rFonts w:ascii="Times New Roman" w:cs="Times New Roman" w:eastAsia="Times New Roman" w:hAnsi="Times New Roman"/>
          <w:sz w:val="16"/>
          <w:szCs w:val="16"/>
          <w:u w:val="single" w:color="auto"/>
          <w:color w:val="auto"/>
        </w:rPr>
        <w:t>Conditions of the Obligations of the Underwriters</w:t>
      </w:r>
      <w:r>
        <w:rPr>
          <w:rFonts w:ascii="Times New Roman" w:cs="Times New Roman" w:eastAsia="Times New Roman" w:hAnsi="Times New Roman"/>
          <w:sz w:val="16"/>
          <w:szCs w:val="16"/>
          <w:color w:val="auto"/>
        </w:rPr>
        <w:t>. The obligations of the several Underwriters to purchase and pay for the Bonds as provided herein on the Closing Date shall be subject to the accuracy of the representations and warranties on the part of the Company set forth in Section 1 hereof as of each Representation Date as though then made and to the timely performance by the Company of its covenants and other obligations hereunder, and to each of the following additional conditions:</w:t>
      </w:r>
    </w:p>
    <w:p>
      <w:pPr>
        <w:spacing w:after="0" w:line="69" w:lineRule="exact"/>
        <w:rPr>
          <w:sz w:val="20"/>
          <w:szCs w:val="20"/>
          <w:color w:val="auto"/>
        </w:rPr>
      </w:pPr>
    </w:p>
    <w:p>
      <w:pPr>
        <w:ind w:firstLine="374"/>
        <w:spacing w:after="0" w:line="241" w:lineRule="auto"/>
        <w:tabs>
          <w:tab w:leader="none" w:pos="58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Effectiveness of Registration Statement</w:t>
      </w:r>
      <w:r>
        <w:rPr>
          <w:rFonts w:ascii="Times New Roman" w:cs="Times New Roman" w:eastAsia="Times New Roman" w:hAnsi="Times New Roman"/>
          <w:sz w:val="16"/>
          <w:szCs w:val="16"/>
          <w:color w:val="auto"/>
        </w:rPr>
        <w:t>. The Registration Statement shall remain effective under the Securities Act and no stop order suspending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effectiveness of the Registration Statement shall have been issued under the Securities Act and no proceedings for that purpose shall have been instituted or be pending or threatened by the Commission, any request on the part of the Commission for additional information shall have been complied with to the reasonable satisfaction of counsel to the Underwriters and the Company shall not have received from the Commission any notice pursuant to Rule 401(g)(2) objecting to use of the automatic shelf registration statement form.</w:t>
      </w:r>
    </w:p>
    <w:p>
      <w:pPr>
        <w:spacing w:after="0" w:line="16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Filings under Rule 424(b) and Rule 433. </w:t>
      </w:r>
      <w:r>
        <w:rPr>
          <w:rFonts w:ascii="Times New Roman" w:cs="Times New Roman" w:eastAsia="Times New Roman" w:hAnsi="Times New Roman"/>
          <w:sz w:val="16"/>
          <w:szCs w:val="16"/>
          <w:color w:val="auto"/>
        </w:rPr>
        <w:t>For the period from the Execution Time to the Closing Date:</w:t>
      </w:r>
    </w:p>
    <w:p>
      <w:pPr>
        <w:spacing w:after="0" w:line="94" w:lineRule="exact"/>
        <w:rPr>
          <w:rFonts w:ascii="Times New Roman" w:cs="Times New Roman" w:eastAsia="Times New Roman" w:hAnsi="Times New Roman"/>
          <w:sz w:val="16"/>
          <w:szCs w:val="16"/>
          <w:color w:val="auto"/>
        </w:rPr>
      </w:pPr>
    </w:p>
    <w:p>
      <w:pPr>
        <w:jc w:val="both"/>
        <w:ind w:left="380" w:right="100" w:firstLine="378"/>
        <w:spacing w:after="0" w:line="243" w:lineRule="auto"/>
        <w:tabs>
          <w:tab w:leader="none" w:pos="95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filed any Preliminary Prospectus not previously filed and the Prospectus with the Commission (including the information required by Rule 430B) in the manner and within the time period required by Rule 424(b) (or the Company shall have filed a post-effective amendment to the Registration Statement containing the information required by Rule 430B, and such post-effective amendment shall have become effective); and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760"/>
          </w:cols>
          <w:pgMar w:left="1060" w:top="689" w:right="1080" w:bottom="1440" w:gutter="0" w:footer="0" w:header="0"/>
        </w:sectPr>
      </w:pPr>
    </w:p>
    <w:bookmarkStart w:id="22" w:name="page23"/>
    <w:bookmarkEnd w:id="22"/>
    <w:p>
      <w:pPr>
        <w:ind w:left="380" w:right="340" w:firstLine="378"/>
        <w:spacing w:after="0" w:line="259" w:lineRule="auto"/>
        <w:tabs>
          <w:tab w:leader="none" w:pos="994"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Final Term Sheet and any other material required to be filed by the Company pursuant to Rule 433(d) shall have been filed with the Commission within the applicable time periods prescribed for such filings under Rule 433.</w:t>
      </w:r>
    </w:p>
    <w:p>
      <w:pPr>
        <w:spacing w:after="0" w:line="153" w:lineRule="exact"/>
        <w:rPr>
          <w:rFonts w:ascii="Times New Roman" w:cs="Times New Roman" w:eastAsia="Times New Roman" w:hAnsi="Times New Roman"/>
          <w:sz w:val="16"/>
          <w:szCs w:val="16"/>
          <w:color w:val="auto"/>
        </w:rPr>
      </w:pPr>
    </w:p>
    <w:p>
      <w:pPr>
        <w:ind w:right="120" w:firstLine="374"/>
        <w:spacing w:after="0" w:line="244" w:lineRule="auto"/>
        <w:tabs>
          <w:tab w:leader="none" w:pos="58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Accountants’ Comfort Letter. </w:t>
      </w:r>
      <w:r>
        <w:rPr>
          <w:rFonts w:ascii="Times New Roman" w:cs="Times New Roman" w:eastAsia="Times New Roman" w:hAnsi="Times New Roman"/>
          <w:sz w:val="16"/>
          <w:szCs w:val="16"/>
          <w:color w:val="auto"/>
        </w:rPr>
        <w:t>On the date hereof, the Representatives shall have received from Deloitte &amp; Touche LLP, independent public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certified public accountants for the Company, a letter dated the date hereof addressed to the Underwriters, in form and substance satisfactory to the Representatives with respect to the audited and any unaudited consolidated financial statements and certain financial information of the Company included or incorporated by reference in the Registration Statement, any Preliminary Prospectus and the Prospectus.</w:t>
      </w:r>
    </w:p>
    <w:p>
      <w:pPr>
        <w:spacing w:after="0" w:line="164" w:lineRule="exact"/>
        <w:rPr>
          <w:rFonts w:ascii="Times New Roman" w:cs="Times New Roman" w:eastAsia="Times New Roman" w:hAnsi="Times New Roman"/>
          <w:sz w:val="16"/>
          <w:szCs w:val="16"/>
          <w:color w:val="auto"/>
        </w:rPr>
      </w:pPr>
    </w:p>
    <w:p>
      <w:pPr>
        <w:ind w:right="20" w:firstLine="374"/>
        <w:spacing w:after="0" w:line="244" w:lineRule="auto"/>
        <w:tabs>
          <w:tab w:leader="none" w:pos="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Bring-down Comfort Letter</w:t>
      </w:r>
      <w:r>
        <w:rPr>
          <w:rFonts w:ascii="Times New Roman" w:cs="Times New Roman" w:eastAsia="Times New Roman" w:hAnsi="Times New Roman"/>
          <w:sz w:val="16"/>
          <w:szCs w:val="16"/>
          <w:color w:val="auto"/>
        </w:rPr>
        <w:t>. On the Closing Date, the Representatives shall have received from Deloitte &amp; Touche LLP, independent public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certified public accountants for the Company, a letter dated such date, in form and substance satisfactory to the Representatives, to the effect that they reaffirm the statements made in the letter furnished by them pursuant to Section 5(c) hereof, except that the specified date referred to therein for the carrying out of procedures shall be no more than two business days prior to the Closing Date and in any case no earlier than the date hereof.</w:t>
      </w:r>
    </w:p>
    <w:p>
      <w:pPr>
        <w:spacing w:after="0" w:line="164"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 Material Adverse Change or Ratings Agency Change. </w:t>
      </w:r>
      <w:r>
        <w:rPr>
          <w:rFonts w:ascii="Times New Roman" w:cs="Times New Roman" w:eastAsia="Times New Roman" w:hAnsi="Times New Roman"/>
          <w:sz w:val="16"/>
          <w:szCs w:val="16"/>
          <w:color w:val="auto"/>
        </w:rPr>
        <w:t>For the period from the Execution Time to the Closing Date:</w:t>
      </w:r>
    </w:p>
    <w:p>
      <w:pPr>
        <w:spacing w:after="0" w:line="94" w:lineRule="exact"/>
        <w:rPr>
          <w:rFonts w:ascii="Times New Roman" w:cs="Times New Roman" w:eastAsia="Times New Roman" w:hAnsi="Times New Roman"/>
          <w:sz w:val="16"/>
          <w:szCs w:val="16"/>
          <w:color w:val="auto"/>
        </w:rPr>
      </w:pPr>
    </w:p>
    <w:p>
      <w:pPr>
        <w:ind w:left="380" w:firstLine="378"/>
        <w:spacing w:after="0" w:line="259" w:lineRule="auto"/>
        <w:tabs>
          <w:tab w:leader="none" w:pos="95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judgment of the Representatives, there shall not have occurred any Material Adverse Change, except as reflected in or contemplated by the Disclosure Package; and</w:t>
      </w:r>
    </w:p>
    <w:p>
      <w:pPr>
        <w:spacing w:after="0" w:line="59" w:lineRule="exact"/>
        <w:rPr>
          <w:sz w:val="20"/>
          <w:szCs w:val="20"/>
          <w:color w:val="auto"/>
        </w:rPr>
      </w:pPr>
    </w:p>
    <w:p>
      <w:pPr>
        <w:ind w:left="380" w:right="180" w:firstLine="378"/>
        <w:spacing w:after="0" w:line="247" w:lineRule="auto"/>
        <w:tabs>
          <w:tab w:leader="none" w:pos="994"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in Section 3(a)(62) of the Exchange Act).</w:t>
      </w:r>
    </w:p>
    <w:p>
      <w:pPr>
        <w:spacing w:after="0" w:line="162" w:lineRule="exact"/>
        <w:rPr>
          <w:rFonts w:ascii="Times New Roman" w:cs="Times New Roman" w:eastAsia="Times New Roman" w:hAnsi="Times New Roman"/>
          <w:sz w:val="16"/>
          <w:szCs w:val="16"/>
          <w:color w:val="auto"/>
        </w:rPr>
      </w:pPr>
    </w:p>
    <w:p>
      <w:pPr>
        <w:ind w:right="140" w:firstLine="374"/>
        <w:spacing w:after="0" w:line="301" w:lineRule="auto"/>
        <w:tabs>
          <w:tab w:leader="none" w:pos="57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Opinion of Counsel for the Company. </w:t>
      </w:r>
      <w:r>
        <w:rPr>
          <w:rFonts w:ascii="Times New Roman" w:cs="Times New Roman" w:eastAsia="Times New Roman" w:hAnsi="Times New Roman"/>
          <w:sz w:val="14"/>
          <w:szCs w:val="14"/>
          <w:color w:val="auto"/>
        </w:rPr>
        <w:t>On the Closing Date, the Representatives shall have received the favorable opinions of (i) Hunton Andrews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Kurth LLP, counsel for the Company, dated the Closing Date, the form of which is attached as Exhibit A-1, and (ii) Heather A. Humphrey, Senior Vice President, General Counsel and Corporate Secretary of the Company, dated the Closing Date, the form of which is attached as Exhibit A-2.</w:t>
      </w:r>
    </w:p>
    <w:p>
      <w:pPr>
        <w:spacing w:after="0" w:line="126" w:lineRule="exact"/>
        <w:rPr>
          <w:rFonts w:ascii="Times New Roman" w:cs="Times New Roman" w:eastAsia="Times New Roman" w:hAnsi="Times New Roman"/>
          <w:sz w:val="14"/>
          <w:szCs w:val="14"/>
          <w:color w:val="auto"/>
        </w:rPr>
      </w:pPr>
    </w:p>
    <w:p>
      <w:pPr>
        <w:ind w:right="200" w:firstLine="374"/>
        <w:spacing w:after="0" w:line="262" w:lineRule="auto"/>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Opinion of Counsel for the Underwriters. </w:t>
      </w:r>
      <w:r>
        <w:rPr>
          <w:rFonts w:ascii="Times New Roman" w:cs="Times New Roman" w:eastAsia="Times New Roman" w:hAnsi="Times New Roman"/>
          <w:sz w:val="16"/>
          <w:szCs w:val="16"/>
          <w:color w:val="auto"/>
        </w:rPr>
        <w:t>On the Closing Date, the Representatives shall have received the favorable opinion of Bracewell LLP,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counsel for the Underwriters, dated the Closing Date, with respect to such matters as may be reasonably requested by the Underwriters.</w:t>
      </w:r>
    </w:p>
    <w:p>
      <w:pPr>
        <w:spacing w:after="0" w:line="150" w:lineRule="exact"/>
        <w:rPr>
          <w:rFonts w:ascii="Times New Roman" w:cs="Times New Roman" w:eastAsia="Times New Roman" w:hAnsi="Times New Roman"/>
          <w:sz w:val="16"/>
          <w:szCs w:val="16"/>
          <w:color w:val="auto"/>
        </w:rPr>
      </w:pPr>
    </w:p>
    <w:p>
      <w:pPr>
        <w:ind w:right="200" w:firstLine="374"/>
        <w:spacing w:after="0" w:line="248" w:lineRule="auto"/>
        <w:tabs>
          <w:tab w:leader="none" w:pos="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Officers’ Certificate. </w:t>
      </w:r>
      <w:r>
        <w:rPr>
          <w:rFonts w:ascii="Times New Roman" w:cs="Times New Roman" w:eastAsia="Times New Roman" w:hAnsi="Times New Roman"/>
          <w:sz w:val="16"/>
          <w:szCs w:val="16"/>
          <w:color w:val="auto"/>
        </w:rPr>
        <w:t>On the Closing Date, the Representatives shall have received a written certificate executed by the Chief Executive Officer,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President or a Vice President of the Company and the Chief Financial Officer, Chief Accounting Officer or Treasurer or Assistant Treasurer of the Company, dated the Closing Date, to the effect that, to the best of their knowledge after reasonable investigation:</w:t>
      </w:r>
    </w:p>
    <w:p>
      <w:pPr>
        <w:spacing w:after="0" w:line="67" w:lineRule="exact"/>
        <w:rPr>
          <w:rFonts w:ascii="Times New Roman" w:cs="Times New Roman" w:eastAsia="Times New Roman" w:hAnsi="Times New Roman"/>
          <w:sz w:val="16"/>
          <w:szCs w:val="16"/>
          <w:color w:val="auto"/>
        </w:rPr>
      </w:pPr>
    </w:p>
    <w:p>
      <w:pPr>
        <w:ind w:left="380" w:right="260" w:firstLine="378"/>
        <w:spacing w:after="0" w:line="259" w:lineRule="auto"/>
        <w:tabs>
          <w:tab w:leader="none" w:pos="95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received no stop order suspending the effectiveness of the Registration Statement, and no proceedings for such purpose have been instituted or threatened by the Commission;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780"/>
          </w:cols>
          <w:pgMar w:left="1060" w:top="689" w:right="1060" w:bottom="1440" w:gutter="0" w:footer="0" w:header="0"/>
        </w:sectPr>
      </w:pPr>
    </w:p>
    <w:bookmarkStart w:id="23" w:name="page24"/>
    <w:bookmarkEnd w:id="23"/>
    <w:p>
      <w:pPr>
        <w:ind w:left="380" w:right="680" w:firstLine="378"/>
        <w:spacing w:after="0" w:line="259" w:lineRule="auto"/>
        <w:tabs>
          <w:tab w:leader="none" w:pos="994"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Company has not received from the Commission any notice pursuant to Rule 401(g)(2) objecting to use of the automatic shelf registration statement form;</w:t>
      </w:r>
    </w:p>
    <w:p>
      <w:pPr>
        <w:spacing w:after="0" w:line="59" w:lineRule="exact"/>
        <w:rPr>
          <w:rFonts w:ascii="Times New Roman" w:cs="Times New Roman" w:eastAsia="Times New Roman" w:hAnsi="Times New Roman"/>
          <w:sz w:val="16"/>
          <w:szCs w:val="16"/>
          <w:color w:val="auto"/>
        </w:rPr>
      </w:pPr>
    </w:p>
    <w:p>
      <w:pPr>
        <w:ind w:left="380" w:right="20" w:firstLine="378"/>
        <w:spacing w:after="0" w:line="243" w:lineRule="auto"/>
        <w:tabs>
          <w:tab w:leader="none" w:pos="103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from the Execution Time to the Closing Date, there has not occurred any downgrading, and the Company has not received any notice of any intended or potential downgrading or of any review for a possible change that does not indicate the direction of the possible change, in the rating accorded any securities of the Company by any “nationally recognized statistical rating organization” (as such term is defined in Section 3(a)(62) of the Exchange Act);</w:t>
      </w:r>
    </w:p>
    <w:p>
      <w:pPr>
        <w:spacing w:after="0" w:line="71" w:lineRule="exact"/>
        <w:rPr>
          <w:rFonts w:ascii="Times New Roman" w:cs="Times New Roman" w:eastAsia="Times New Roman" w:hAnsi="Times New Roman"/>
          <w:sz w:val="16"/>
          <w:szCs w:val="16"/>
          <w:color w:val="auto"/>
        </w:rPr>
      </w:pPr>
    </w:p>
    <w:p>
      <w:pPr>
        <w:ind w:left="1020" w:hanging="262"/>
        <w:spacing w:after="0"/>
        <w:tabs>
          <w:tab w:leader="none" w:pos="102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from the Execution Time to the Closing Date, there has not occurred any Material Adverse Change;</w:t>
      </w:r>
    </w:p>
    <w:p>
      <w:pPr>
        <w:spacing w:after="0" w:line="92" w:lineRule="exact"/>
        <w:rPr>
          <w:rFonts w:ascii="Times New Roman" w:cs="Times New Roman" w:eastAsia="Times New Roman" w:hAnsi="Times New Roman"/>
          <w:sz w:val="16"/>
          <w:szCs w:val="16"/>
          <w:color w:val="auto"/>
        </w:rPr>
      </w:pPr>
    </w:p>
    <w:p>
      <w:pPr>
        <w:ind w:left="380" w:right="20" w:firstLine="378"/>
        <w:spacing w:after="0" w:line="259" w:lineRule="auto"/>
        <w:tabs>
          <w:tab w:leader="none" w:pos="985"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the Company set forth in Section 1 hereof are true and correct with the same force and effect as though expressly made on and as of the Closing Date; and</w:t>
      </w:r>
    </w:p>
    <w:p>
      <w:pPr>
        <w:spacing w:after="0" w:line="59" w:lineRule="exact"/>
        <w:rPr>
          <w:rFonts w:ascii="Times New Roman" w:cs="Times New Roman" w:eastAsia="Times New Roman" w:hAnsi="Times New Roman"/>
          <w:sz w:val="16"/>
          <w:szCs w:val="16"/>
          <w:color w:val="auto"/>
        </w:rPr>
      </w:pPr>
    </w:p>
    <w:p>
      <w:pPr>
        <w:ind w:left="380" w:right="520" w:firstLine="378"/>
        <w:spacing w:after="0" w:line="259" w:lineRule="auto"/>
        <w:tabs>
          <w:tab w:leader="none" w:pos="1028"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complied with all the agreements hereunder and satisfied all the conditions on its part to be performed or satisfied hereunder at or prior to the Closing Date.</w:t>
      </w:r>
    </w:p>
    <w:p>
      <w:pPr>
        <w:spacing w:after="0" w:line="153" w:lineRule="exact"/>
        <w:rPr>
          <w:rFonts w:ascii="Times New Roman" w:cs="Times New Roman" w:eastAsia="Times New Roman" w:hAnsi="Times New Roman"/>
          <w:sz w:val="16"/>
          <w:szCs w:val="16"/>
          <w:color w:val="auto"/>
        </w:rPr>
      </w:pPr>
    </w:p>
    <w:p>
      <w:pPr>
        <w:ind w:right="340" w:firstLine="374"/>
        <w:spacing w:after="0" w:line="334" w:lineRule="auto"/>
        <w:tabs>
          <w:tab w:leader="none" w:pos="56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Recordation of the Supplemental Indenture</w:t>
      </w:r>
      <w:r>
        <w:rPr>
          <w:rFonts w:ascii="Times New Roman" w:cs="Times New Roman" w:eastAsia="Times New Roman" w:hAnsi="Times New Roman"/>
          <w:sz w:val="14"/>
          <w:szCs w:val="14"/>
          <w:color w:val="auto"/>
        </w:rPr>
        <w:t>. The Company shall have caused the Supplemental Indenture to be duly recorded and filed in each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place in which such recording or filing is required to establish, protect and preserve the lien of the Mortgage Indenture on the Mortgaged Property.</w:t>
      </w:r>
    </w:p>
    <w:p>
      <w:pPr>
        <w:spacing w:after="0" w:line="104" w:lineRule="exact"/>
        <w:rPr>
          <w:rFonts w:ascii="Times New Roman" w:cs="Times New Roman" w:eastAsia="Times New Roman" w:hAnsi="Times New Roman"/>
          <w:sz w:val="14"/>
          <w:szCs w:val="14"/>
          <w:color w:val="auto"/>
        </w:rPr>
      </w:pPr>
    </w:p>
    <w:p>
      <w:pPr>
        <w:ind w:right="80" w:firstLine="374"/>
        <w:spacing w:after="0" w:line="244" w:lineRule="auto"/>
        <w:tabs>
          <w:tab w:leader="none" w:pos="56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Additional Documents. </w:t>
      </w:r>
      <w:r>
        <w:rPr>
          <w:rFonts w:ascii="Times New Roman" w:cs="Times New Roman" w:eastAsia="Times New Roman" w:hAnsi="Times New Roman"/>
          <w:sz w:val="16"/>
          <w:szCs w:val="16"/>
          <w:color w:val="auto"/>
        </w:rPr>
        <w:t>On or before the Closing Date, the Representatives and counsel for the Underwriters shall have received such information,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documents and opinions as they may reasonably require for the purposes of enabling such counsel to pass upon the issuance and sale of the Bonds as contemplated herein, or in order to evidence the accuracy of any of the representations and warranties, or the satisfaction of any of the conditions or agreements, herein contained.</w:t>
      </w:r>
    </w:p>
    <w:p>
      <w:pPr>
        <w:spacing w:after="0" w:line="166" w:lineRule="exact"/>
        <w:rPr>
          <w:sz w:val="20"/>
          <w:szCs w:val="20"/>
          <w:color w:val="auto"/>
        </w:rPr>
      </w:pPr>
    </w:p>
    <w:p>
      <w:pPr>
        <w:ind w:firstLine="384"/>
        <w:spacing w:after="0" w:line="299" w:lineRule="auto"/>
        <w:rPr>
          <w:sz w:val="20"/>
          <w:szCs w:val="20"/>
          <w:color w:val="auto"/>
        </w:rPr>
      </w:pPr>
      <w:r>
        <w:rPr>
          <w:rFonts w:ascii="Times New Roman" w:cs="Times New Roman" w:eastAsia="Times New Roman" w:hAnsi="Times New Roman"/>
          <w:sz w:val="14"/>
          <w:szCs w:val="14"/>
          <w:color w:val="auto"/>
        </w:rPr>
        <w:t>If any condition specified in this Section 5 is not satisfied when and as required to be satisfied, this Agreement may be terminated by the Representatives by notice to the Company at any time on or prior to the Closing Date, which termination shall be without liability on the part of any party to any other party, except that Section 4, Section 6, Section 7, Section 8 and Section 16 hereof shall at all times be effective and shall survive such termination.</w:t>
      </w:r>
    </w:p>
    <w:p>
      <w:pPr>
        <w:spacing w:after="0" w:line="129"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6. </w:t>
      </w:r>
      <w:r>
        <w:rPr>
          <w:rFonts w:ascii="Times New Roman" w:cs="Times New Roman" w:eastAsia="Times New Roman" w:hAnsi="Times New Roman"/>
          <w:sz w:val="16"/>
          <w:szCs w:val="16"/>
          <w:u w:val="single" w:color="auto"/>
          <w:color w:val="auto"/>
        </w:rPr>
        <w:t>Reimbursement of Underwriters’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If this Agreement is terminated by the Representatives pursuant to Section 5, Section 10(i) or Section 10(iv) hereof, the Company agrees to reimburse the Representatives and the other Underwriters, severally, upon demand for all out-of-pocket expenses that shall have been reasonably incurred by the Representatives and the Underwriters in connection with the proposed purchase and the offering and sale of the Bonds, including, without limitation, fees and disbursements of counsel, printing expenses, travel expenses, postage, facsimile and telephone charges.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9760"/>
          </w:cols>
          <w:pgMar w:left="1060" w:top="689" w:right="1080"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7.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i w:val="1"/>
          <w:iCs w:val="1"/>
          <w:color w:val="auto"/>
        </w:rPr>
        <w:t>.</w:t>
      </w:r>
    </w:p>
    <w:p>
      <w:pPr>
        <w:spacing w:after="0" w:line="188" w:lineRule="exact"/>
        <w:rPr>
          <w:sz w:val="20"/>
          <w:szCs w:val="20"/>
          <w:color w:val="auto"/>
        </w:rPr>
      </w:pPr>
    </w:p>
    <w:p>
      <w:pPr>
        <w:ind w:firstLine="374"/>
        <w:spacing w:after="0" w:line="272" w:lineRule="auto"/>
        <w:tabs>
          <w:tab w:leader="none" w:pos="58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Indemnification of the Underwriters</w:t>
      </w:r>
      <w:r>
        <w:rPr>
          <w:rFonts w:ascii="Times New Roman" w:cs="Times New Roman" w:eastAsia="Times New Roman" w:hAnsi="Times New Roman"/>
          <w:sz w:val="14"/>
          <w:szCs w:val="14"/>
          <w:color w:val="auto"/>
        </w:rPr>
        <w:t>. The Company agrees to indemnify and hold harmless each Underwriter, its directors, officers, employees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agents, and each person, if any, who controls any Underwriter within the meaning of the Securities Act and the Exchange Act against any loss, claim, damage, liability or expense, as incurred, to which such Underwriter, director, officer, employee, agent or controlling person may become subject, insofar as such loss, claim, damage, liability or expense (or actions in respect thereof as contemplated below) arises out of or is based upon (i) any untrue statement or alleged untrue statement of a material fact contained in the Registration Statement, or any amendment or supplement thereto, including any information deemed to be a part thereof pursuant to Rule 430B, or the omission or alleged omission therefrom of a material fact required to be stated therein or necessary to make the statements therein not misleading or (ii) any untrue statement or alleged untrue statement of a material fact included in any Preliminary Prospectus, any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and to reimburse each Underwriter, its officers, directors, employees, agents and controlling persons for any and all expenses (including the reasonable fees and disbursements of counsel chosen by the Representatives) as such expenses are reasonably incurred by such Underwriter, officer, director,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the foregoing indemnity agreement shall not apply to any loss, claim, damage, liability or expense to the extent, but only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extent, arising out of or based upon any untrue statement or alleged untrue statement or omission or alleged omission made in reliance upon and in conformity with information furnished in writing to the Company by any Underwriter through the Representatives expressly for use in the Registration Statement, any Preliminary Prospectus, any Issuer Free Writing Prospectus or the Prospectus (or any amendment or supplement thereto), it being understood and agreed that the only such information consists of the information described in Section 7(b) hereof. The indemnity agreement set forth in this Section 7(a) shall be in addition to any liabilities that the Company may otherwise have.</w:t>
      </w:r>
    </w:p>
    <w:p>
      <w:pPr>
        <w:spacing w:after="0" w:line="200" w:lineRule="exact"/>
        <w:rPr>
          <w:rFonts w:ascii="Times New Roman" w:cs="Times New Roman" w:eastAsia="Times New Roman" w:hAnsi="Times New Roman"/>
          <w:sz w:val="14"/>
          <w:szCs w:val="14"/>
          <w:color w:val="auto"/>
        </w:rPr>
      </w:pPr>
    </w:p>
    <w:p>
      <w:pPr>
        <w:spacing w:after="0" w:line="313" w:lineRule="exact"/>
        <w:rPr>
          <w:rFonts w:ascii="Times New Roman" w:cs="Times New Roman" w:eastAsia="Times New Roman" w:hAnsi="Times New Roman"/>
          <w:sz w:val="14"/>
          <w:szCs w:val="14"/>
          <w:color w:val="auto"/>
        </w:rPr>
      </w:pPr>
    </w:p>
    <w:p>
      <w:pPr>
        <w:ind w:right="40" w:firstLine="374"/>
        <w:spacing w:after="0" w:line="238" w:lineRule="auto"/>
        <w:tabs>
          <w:tab w:leader="none" w:pos="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Indemnification of the Company, its Directors and Officers</w:t>
      </w:r>
      <w:r>
        <w:rPr>
          <w:rFonts w:ascii="Times New Roman" w:cs="Times New Roman" w:eastAsia="Times New Roman" w:hAnsi="Times New Roman"/>
          <w:sz w:val="16"/>
          <w:szCs w:val="16"/>
          <w:color w:val="auto"/>
        </w:rPr>
        <w:t>. Each Underwriter agrees, severally and not jointly, to indemnify and hold harmless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its directors,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insofar as such loss, claim, damage, liability or expense (or actions in respect thereof as contemplated below) arises out of or is based upon (i) any untrue statement or alleged untrue statement of a material fact contained in the Registration Statement, or any amendment or supplement thereto, or the omission or alleged omission therefrom of a material fact required to be stated therein or necessary to make the statements therein not misleading or (ii) any untrue statement or alleged untrue statement of a material fact contained in any Preliminary Prospectus, any Issuer Free Writing Prospectus or the Prospectus (or any amendment or supplement thereto),</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9800"/>
          </w:cols>
          <w:pgMar w:left="1060" w:top="687" w:right="1040" w:bottom="1440" w:gutter="0" w:footer="0" w:header="0"/>
        </w:sectPr>
      </w:pPr>
    </w:p>
    <w:bookmarkStart w:id="25" w:name="page26"/>
    <w:bookmarkEnd w:id="25"/>
    <w:p>
      <w:pPr>
        <w:ind w:left="10" w:right="20"/>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or the omission or alleged omission therefrom of a material fact necessary in order to make the statements therein, in the light of the circumstances under which they were made, not misleading, in each case to the extent, and only to the extent, that such untrue statement or alleged untrue statement or omission or alleged omission was made in the Registration Statement, such Preliminary Prospectus, such Issuer Free Writing Prospectus or the Prospectus (or any amendment or supplement thereto), in reliance upon and in conformity with information furnished in writing to the Company by any Underwriter through the Representatives expressly for use therein; and to reimburse the Company, such director, officer or controlling person for any and all expenses (including the reasonable fees and disbursements of counsel chosen by the Company) as such expenses are reasonably incurred by the Company, such director, officer or controlling person in connection with investigating, defending, settling, compromising or paying any such loss, claim, damage, liability, expense or action. The Company hereby acknowledges that the only information that the Underwriters have furnished to the Company in writing expressly for use in the Registration Statement, any Preliminary Prospectus, any Issuer Free Writing Prospectus or the Prospectus (or any amendment or supplement thereto) are the statements set forth in the sixth paragraph, the third sentence of the eighth paragraph and the ninth paragraph, each under the caption “Underwriting (Conflicts of Interest)” in the Prospectus. The indemnity agreement set forth in this Section 7(b) shall be in addition to any liabilities that each Underwriter may otherwise have.</w:t>
      </w:r>
    </w:p>
    <w:p>
      <w:pPr>
        <w:spacing w:after="0" w:line="170" w:lineRule="exact"/>
        <w:rPr>
          <w:sz w:val="20"/>
          <w:szCs w:val="20"/>
          <w:color w:val="auto"/>
        </w:rPr>
      </w:pPr>
    </w:p>
    <w:p>
      <w:pPr>
        <w:ind w:left="10" w:firstLine="374"/>
        <w:spacing w:after="0" w:line="274" w:lineRule="auto"/>
        <w:tabs>
          <w:tab w:leader="none" w:pos="598"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Notifications and Other Indemnification Procedures</w:t>
      </w:r>
      <w:r>
        <w:rPr>
          <w:rFonts w:ascii="Times New Roman" w:cs="Times New Roman" w:eastAsia="Times New Roman" w:hAnsi="Times New Roman"/>
          <w:sz w:val="14"/>
          <w:szCs w:val="14"/>
          <w:color w:val="auto"/>
        </w:rPr>
        <w:t>. Promptly after receipt by an indemnified party under this Section 7 of notice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commencement of any action, such indemnified party will, if a claim in respect thereof is to be made against an indemnifying party under this Section 7, notify the indemnifying party in writing of the commencement thereof; but the failure to so notify the indemnifying party (i) will not relieve it from liability under Section 7(a) or 7(b) hereof unless and to the extent it did not otherwise learn of such action and such failure results in the forfeiture by the indemnifying party of substantial rights and defenses and (ii) will not, in any event, relieve the indemnifying party from any liability other than the indemnification obligation provided in Section 7(a) or 7(b) hereof.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satisfactory to such indemnified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such indemnified party shall have the right to employ its own counsel in any such action and to participate in the defense thereof, but the fees and expenses of such counsel shall be at the expense of such indemnified party, unless (i) the employment of such counsel has been specifically authorized by the indemnifying party,</w:t>
      </w:r>
    </w:p>
    <w:p>
      <w:pPr>
        <w:spacing w:after="0" w:line="162" w:lineRule="exact"/>
        <w:rPr>
          <w:rFonts w:ascii="Times New Roman" w:cs="Times New Roman" w:eastAsia="Times New Roman" w:hAnsi="Times New Roman"/>
          <w:sz w:val="14"/>
          <w:szCs w:val="14"/>
          <w:color w:val="auto"/>
        </w:rPr>
      </w:pPr>
    </w:p>
    <w:p>
      <w:pPr>
        <w:ind w:left="10" w:right="40" w:hanging="10"/>
        <w:spacing w:after="0" w:line="235" w:lineRule="auto"/>
        <w:tabs>
          <w:tab w:leader="none" w:pos="23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indemnifying party has failed promptly to assume the defense and employ counsel reasonably satisfactory to the indemnified party or (iii) the named parties to any such action (including any impleaded parties) include both such indemnified party and the indemnifying party or any affiliate of the indemnifying party, and such indemnified party shall have reasonably concluded that either (x) there may be one or more legal defenses available to it that are different from or additional to those available to the indemnifying party or such affiliate of the indemnifying party or (y) a conflict may exist between such indemnified party and the indemnifying party or such affiliate of the indemnifying party (it being understood, however, that the indemnifying party shall not, in connection with any one such action or separate but substantially similar or related actions in the</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9790"/>
          </w:cols>
          <w:pgMar w:left="1050" w:top="689" w:right="1060" w:bottom="1440" w:gutter="0" w:footer="0" w:header="0"/>
        </w:sectPr>
      </w:pPr>
    </w:p>
    <w:bookmarkStart w:id="26" w:name="page27"/>
    <w:bookmarkEnd w:id="26"/>
    <w:p>
      <w:pPr>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same jurisdiction arising out of the same general allegations or circumstances, be liable for the fees and expenses of more than one separate firm of attorneys (in addition to a single firm of local counsel) for all such indemnified parties, which firm shall be designated in writing by (i) the Representatives, in the case of indemnification pursuant to Section 7(a) hereof or (ii) the Company, in the case of indemnification pursuant to Section 7(b) hereof, and that all such reasonable fees and expenses shall be reimbursed as they are incurred).</w:t>
      </w:r>
    </w:p>
    <w:p>
      <w:pPr>
        <w:spacing w:after="0" w:line="165" w:lineRule="exact"/>
        <w:rPr>
          <w:sz w:val="20"/>
          <w:szCs w:val="20"/>
          <w:color w:val="auto"/>
        </w:rPr>
      </w:pPr>
    </w:p>
    <w:p>
      <w:pPr>
        <w:ind w:right="20" w:firstLine="374"/>
        <w:spacing w:after="0" w:line="237" w:lineRule="auto"/>
        <w:tabs>
          <w:tab w:leader="none" w:pos="6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Settlements</w:t>
      </w:r>
      <w:r>
        <w:rPr>
          <w:rFonts w:ascii="Times New Roman" w:cs="Times New Roman" w:eastAsia="Times New Roman" w:hAnsi="Times New Roman"/>
          <w:sz w:val="16"/>
          <w:szCs w:val="16"/>
          <w:color w:val="auto"/>
        </w:rPr>
        <w:t>. The indemnifying party under this Section 7 shall not be liable for any settlement of any proceeding effected without its written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consent, but if settled with such consent or if there is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7(c)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173" w:lineRule="exact"/>
        <w:rPr>
          <w:sz w:val="20"/>
          <w:szCs w:val="20"/>
          <w:color w:val="auto"/>
        </w:rPr>
      </w:pPr>
    </w:p>
    <w:p>
      <w:pPr>
        <w:ind w:right="40" w:firstLine="384"/>
        <w:spacing w:after="0" w:line="274" w:lineRule="auto"/>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4"/>
          <w:szCs w:val="14"/>
          <w:color w:val="auto"/>
        </w:rPr>
        <w:t xml:space="preserve"> 8. </w:t>
      </w: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If the indemnification provided for in Section 7 hereof is for any reason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Bonds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that resulted in such losses, claims, damages, liabilities or expenses, as well as any other relevant equitable considerations. The relative benefits received by the Company, on the one hand, and the Underwriters, on the other hand, in connection with the offering of the Bonds pursuant to this Agreement shall be deemed to be in the same respective proportions as the total net proceeds from the offering of the Bonds pursuant to this Agreement (before deducting expenses) received by the Company, and the total underwriting discount received by the Underwriters, in each case as set forth on the front cover page of the Prospectus bear to the aggregate initial public offering price of the Bonds as set forth on such cover. The relative fault of the Company, on the one hand, and the Underwriters, on the other hand,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9780"/>
          </w:cols>
          <w:pgMar w:left="1060" w:top="689" w:right="1060" w:bottom="1440" w:gutter="0" w:footer="0" w:header="0"/>
        </w:sectPr>
      </w:pPr>
    </w:p>
    <w:bookmarkStart w:id="27" w:name="page28"/>
    <w:bookmarkEnd w:id="27"/>
    <w:p>
      <w:pPr>
        <w:ind w:right="28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64" w:lineRule="exact"/>
        <w:rPr>
          <w:sz w:val="20"/>
          <w:szCs w:val="20"/>
          <w:color w:val="auto"/>
        </w:rPr>
      </w:pPr>
    </w:p>
    <w:p>
      <w:pPr>
        <w:ind w:right="100" w:firstLine="384"/>
        <w:spacing w:after="0" w:line="241" w:lineRule="auto"/>
        <w:rPr>
          <w:sz w:val="20"/>
          <w:szCs w:val="20"/>
          <w:color w:val="auto"/>
        </w:rPr>
      </w:pPr>
      <w:r>
        <w:rPr>
          <w:rFonts w:ascii="Times New Roman" w:cs="Times New Roman" w:eastAsia="Times New Roman" w:hAnsi="Times New Roman"/>
          <w:sz w:val="16"/>
          <w:szCs w:val="16"/>
          <w:color w:val="auto"/>
        </w:rPr>
        <w:t xml:space="preserve">The amount paid or payable by a party as a result of the losses, claims, damages, liabilities and expenses referred to above shall be deemed to include, subject to the limitations set forth in Section 7(c) hereof, any legal or other fees or expenses reasonably incurred by such party in connection with investigating or defending any action or claim. The provisions set forth in Section 7(c) hereof with respect to notice of commencement of any action shall apply if a claim for contribution is to be made under this Section 8;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that no additional notice shall be required with respect to any action for which notice has been given under Section 7(c) hereof for purposes of indemnification.</w:t>
      </w:r>
    </w:p>
    <w:p>
      <w:pPr>
        <w:spacing w:after="0" w:line="169" w:lineRule="exact"/>
        <w:rPr>
          <w:sz w:val="20"/>
          <w:szCs w:val="20"/>
          <w:color w:val="auto"/>
        </w:rPr>
      </w:pPr>
    </w:p>
    <w:p>
      <w:pPr>
        <w:ind w:right="100" w:firstLine="384"/>
        <w:spacing w:after="0" w:line="247" w:lineRule="auto"/>
        <w:rPr>
          <w:sz w:val="20"/>
          <w:szCs w:val="20"/>
          <w:color w:val="auto"/>
        </w:rPr>
      </w:pPr>
      <w:r>
        <w:rPr>
          <w:rFonts w:ascii="Times New Roman" w:cs="Times New Roman" w:eastAsia="Times New Roman" w:hAnsi="Times New Roman"/>
          <w:sz w:val="16"/>
          <w:szCs w:val="16"/>
          <w:color w:val="auto"/>
        </w:rPr>
        <w:t>The Company and the Underwriters agree that it would not be just and equitable if contribution pursuant to this Section 8 were determined by pro rata allocation (even if the Underwriters were treated as one entity for such purpose) or by any other method of allocation that does not take account of the equitable considerations referred to in this Section 8.</w:t>
      </w:r>
    </w:p>
    <w:p>
      <w:pPr>
        <w:spacing w:after="0" w:line="164" w:lineRule="exact"/>
        <w:rPr>
          <w:sz w:val="20"/>
          <w:szCs w:val="20"/>
          <w:color w:val="auto"/>
        </w:rPr>
      </w:pPr>
    </w:p>
    <w:p>
      <w:pPr>
        <w:ind w:right="60" w:firstLine="384"/>
        <w:spacing w:after="0" w:line="238" w:lineRule="auto"/>
        <w:rPr>
          <w:sz w:val="20"/>
          <w:szCs w:val="20"/>
          <w:color w:val="auto"/>
        </w:rPr>
      </w:pPr>
      <w:r>
        <w:rPr>
          <w:rFonts w:ascii="Times New Roman" w:cs="Times New Roman" w:eastAsia="Times New Roman" w:hAnsi="Times New Roman"/>
          <w:sz w:val="16"/>
          <w:szCs w:val="16"/>
          <w:color w:val="auto"/>
        </w:rPr>
        <w:t>Notwithstanding the provisions of this Section 8, no Underwriter shall be required to contribute any amount in excess of the underwriting discount received by such Underwriter in connection with the Bonds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8 are several, and not joint, in proportion to their respective underwriting commitments as set forth opposite their names in Schedule A hereto. For purposes of this Section 8, each director, officer, employee and agent of an Underwriter and each person, if any, who controls an Underwriter within the meaning of the Securities Act and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68" w:lineRule="exact"/>
        <w:rPr>
          <w:sz w:val="20"/>
          <w:szCs w:val="20"/>
          <w:color w:val="auto"/>
        </w:rPr>
      </w:pPr>
    </w:p>
    <w:p>
      <w:pPr>
        <w:ind w:firstLine="384"/>
        <w:spacing w:after="0" w:line="290" w:lineRule="auto"/>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4"/>
          <w:szCs w:val="14"/>
          <w:color w:val="auto"/>
        </w:rPr>
        <w:t xml:space="preserve"> 9. </w:t>
      </w:r>
      <w:r>
        <w:rPr>
          <w:rFonts w:ascii="Times New Roman" w:cs="Times New Roman" w:eastAsia="Times New Roman" w:hAnsi="Times New Roman"/>
          <w:sz w:val="14"/>
          <w:szCs w:val="14"/>
          <w:u w:val="single" w:color="auto"/>
          <w:color w:val="auto"/>
        </w:rPr>
        <w:t>Default of One or More of the Several Underwriters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If, on the Closing Date, any one or more of the several Underwriters shall fail or refuse to purchase Bonds that it or they have agreed to purchase hereunder on such date (the “</w:t>
      </w:r>
      <w:r>
        <w:rPr>
          <w:rFonts w:ascii="Times New Roman" w:cs="Times New Roman" w:eastAsia="Times New Roman" w:hAnsi="Times New Roman"/>
          <w:sz w:val="14"/>
          <w:szCs w:val="14"/>
          <w:b w:val="1"/>
          <w:bCs w:val="1"/>
          <w:color w:val="auto"/>
        </w:rPr>
        <w:t>Defaulted Securities</w:t>
      </w:r>
      <w:r>
        <w:rPr>
          <w:rFonts w:ascii="Times New Roman" w:cs="Times New Roman" w:eastAsia="Times New Roman" w:hAnsi="Times New Roman"/>
          <w:sz w:val="14"/>
          <w:szCs w:val="14"/>
          <w:color w:val="auto"/>
        </w:rPr>
        <w:t>”), then the Representatives shall have the right, within 36 hours thereafter, to make arrangements for one or more of the non -defaulting Underwriters, or any other underwriters, to purchase all, but not less than all, of the aggregate principal amount of the Defaulted Securities in such amounts as may be agreed upon and upon the terms herein set forth.</w:t>
      </w:r>
    </w:p>
    <w:p>
      <w:pPr>
        <w:spacing w:after="0" w:line="136"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If, however, the Underwriters shall not have completed such arrangements within such 36-hour period, and if the aggregate principal amount of the Defaulted Securities does not exceed 10% of the aggregate principal amount of Bonds to be purchased on such date, the non-defaulting Underwriters shall be obligated, severally, in the proportion to the aggregate principal amount of the Bonds set forth opposite their respective names on Schedule A hereto bears to the aggregate principal amount of such Bonds set forth opposite the names of all such non-defaulting Underwriters, or in such other proportions as may be specified by the Representatives with the consent of the non-defaulting Underwriters, to purchase such Bonds that such defaulting Underwriter or Underwriters agreed but failed or refused to purchase on such date.</w:t>
      </w:r>
    </w:p>
    <w:p>
      <w:pPr>
        <w:spacing w:after="0" w:line="1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840"/>
          </w:cols>
          <w:pgMar w:left="1060" w:top="689" w:right="1000" w:bottom="1440" w:gutter="0" w:footer="0" w:header="0"/>
        </w:sectPr>
      </w:pPr>
    </w:p>
    <w:bookmarkStart w:id="28" w:name="page29"/>
    <w:bookmarkEnd w:id="28"/>
    <w:p>
      <w:pPr>
        <w:ind w:left="10" w:firstLine="384"/>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If, on the Closing Date, any one or more of the Underwriters shall fail or refuse to purchase such Bonds and the aggregate principal amount of such Bonds with respect to which such default occurs exceeds 10% of the aggregate principal amount of Bonds to be purchased on such date, and arrangements satisfactory to the Representatives and the Company for the purchase of such Bonds are not made within 48 hours after such default, this Agreement shall terminate without liability of any party to any other party except that the provisions of Section 4, Section 7, Section 8 and Section 16 hereof shall at all times be effective and shall survive such termination.</w:t>
      </w:r>
    </w:p>
    <w:p>
      <w:pPr>
        <w:spacing w:after="0" w:line="169" w:lineRule="exact"/>
        <w:rPr>
          <w:sz w:val="20"/>
          <w:szCs w:val="20"/>
          <w:color w:val="auto"/>
        </w:rPr>
      </w:pPr>
    </w:p>
    <w:p>
      <w:pPr>
        <w:ind w:left="10" w:right="200" w:firstLine="384"/>
        <w:spacing w:after="0" w:line="247" w:lineRule="auto"/>
        <w:rPr>
          <w:sz w:val="20"/>
          <w:szCs w:val="20"/>
          <w:color w:val="auto"/>
        </w:rPr>
      </w:pPr>
      <w:r>
        <w:rPr>
          <w:rFonts w:ascii="Times New Roman" w:cs="Times New Roman" w:eastAsia="Times New Roman" w:hAnsi="Times New Roman"/>
          <w:sz w:val="16"/>
          <w:szCs w:val="16"/>
          <w:color w:val="auto"/>
        </w:rPr>
        <w:t>In any such case, either the Representatives or the Company shall have the right to postpone the Closing Date, but in no event for longer than seven days in order that the required changes, if any, to the Registration Statement, each Issuer Free Writing Prospectus, each Preliminary Prospectus or the Prospectus or any other documents or arrangements may be effected.</w:t>
      </w:r>
    </w:p>
    <w:p>
      <w:pPr>
        <w:spacing w:after="0" w:line="162" w:lineRule="exact"/>
        <w:rPr>
          <w:sz w:val="20"/>
          <w:szCs w:val="20"/>
          <w:color w:val="auto"/>
        </w:rPr>
      </w:pPr>
    </w:p>
    <w:p>
      <w:pPr>
        <w:ind w:left="10" w:right="300" w:firstLine="384"/>
        <w:spacing w:after="0" w:line="248" w:lineRule="auto"/>
        <w:rPr>
          <w:sz w:val="20"/>
          <w:szCs w:val="20"/>
          <w:color w:val="auto"/>
        </w:rPr>
      </w:pPr>
      <w:r>
        <w:rPr>
          <w:rFonts w:ascii="Times New Roman" w:cs="Times New Roman" w:eastAsia="Times New Roman" w:hAnsi="Times New Roman"/>
          <w:sz w:val="16"/>
          <w:szCs w:val="16"/>
          <w:color w:val="auto"/>
        </w:rPr>
        <w:t>As used in this Agreement, the term “</w:t>
      </w:r>
      <w:r>
        <w:rPr>
          <w:rFonts w:ascii="Times New Roman" w:cs="Times New Roman" w:eastAsia="Times New Roman" w:hAnsi="Times New Roman"/>
          <w:sz w:val="16"/>
          <w:szCs w:val="16"/>
          <w:b w:val="1"/>
          <w:bCs w:val="1"/>
          <w:color w:val="auto"/>
        </w:rPr>
        <w:t>Underwriter</w:t>
      </w:r>
      <w:r>
        <w:rPr>
          <w:rFonts w:ascii="Times New Roman" w:cs="Times New Roman" w:eastAsia="Times New Roman" w:hAnsi="Times New Roman"/>
          <w:sz w:val="16"/>
          <w:szCs w:val="16"/>
          <w:color w:val="auto"/>
        </w:rPr>
        <w:t>” shall be deemed to include any person substituted for a defaulting Underwriter under this Section 9. Any action taken under this Section 9 shall not relieve any defaulting Underwriter from liability in respect of any default of such Underwriter under this Agreement.</w:t>
      </w:r>
    </w:p>
    <w:p>
      <w:pPr>
        <w:spacing w:after="0" w:line="162" w:lineRule="exact"/>
        <w:rPr>
          <w:sz w:val="20"/>
          <w:szCs w:val="20"/>
          <w:color w:val="auto"/>
        </w:rPr>
      </w:pPr>
    </w:p>
    <w:p>
      <w:pPr>
        <w:ind w:left="10" w:right="60" w:firstLine="384"/>
        <w:spacing w:after="0" w:line="276" w:lineRule="auto"/>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4"/>
          <w:szCs w:val="14"/>
          <w:color w:val="auto"/>
        </w:rPr>
        <w:t xml:space="preserve"> 10. </w:t>
      </w:r>
      <w:r>
        <w:rPr>
          <w:rFonts w:ascii="Times New Roman" w:cs="Times New Roman" w:eastAsia="Times New Roman" w:hAnsi="Times New Roman"/>
          <w:sz w:val="14"/>
          <w:szCs w:val="14"/>
          <w:u w:val="single" w:color="auto"/>
          <w:color w:val="auto"/>
        </w:rPr>
        <w:t>Termination of this Agreement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Prior to the Closing Date, this Agreement may be terminated by the Representatives by notice given to the Company if at any time: (i) trading or quotation in any of the Company’s securities shall have been suspended or materially limited by the New York Stock Exchange or the Commission, or trading in securities generally on the NASDAQ Global Market or the New York Stock Exchange shall have been suspended or materially limited, or minimum or maximum prices shall have been generally established on either of such stock exchanges by the Commission or FINRA; (ii) a general banking moratorium shall have been declared by any federal or New York authorities; (iii) there shall have occurred any outbreak or escalation of national or international hostilities or any crisis or calamity, or any material adverse change in the United States or international financial markets, or any change or development involving a prospective substantial change in United States’ or international political, financial or economic conditions, as in the judgment of the Representatives makes it impracticable or inadvisable to proceed with the offering, sale or delivery of the Bonds in the manner and on the terms described in the Disclosure Package or the Prospectus or to enforce contracts for the sale of securities;</w:t>
      </w:r>
    </w:p>
    <w:p>
      <w:pPr>
        <w:spacing w:after="0" w:line="159" w:lineRule="exact"/>
        <w:rPr>
          <w:sz w:val="20"/>
          <w:szCs w:val="20"/>
          <w:color w:val="auto"/>
        </w:rPr>
      </w:pPr>
    </w:p>
    <w:p>
      <w:pPr>
        <w:ind w:left="10" w:right="60" w:hanging="10"/>
        <w:spacing w:after="0" w:line="236" w:lineRule="auto"/>
        <w:tabs>
          <w:tab w:leader="none" w:pos="27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judgment of the Representatives, there shall have occurred any Material Adverse Change; or (v) there shall have occurred a material disruption in commercial banking or securities settlement or clearance services in the United States. Any termination pursuant to this Section 10 shall be without liability on the part of (A) the Company to any Underwriter, except that the Company shall be obligated to reimburse the expenses of the Representatives and the Underwriters pursuant to Section 4 and Section 6 hereof, (B) any Underwriter to the Company or (C) any party hereto to any other party except that the provisions of Section 7, Section 8 and Section 16 hereof shall at all times be effective and shall survive such termination.</w:t>
      </w:r>
    </w:p>
    <w:p>
      <w:pPr>
        <w:spacing w:after="0" w:line="1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9790"/>
          </w:cols>
          <w:pgMar w:left="1050" w:top="689" w:right="1060" w:bottom="1440" w:gutter="0" w:footer="0" w:header="0"/>
        </w:sectPr>
      </w:pPr>
    </w:p>
    <w:bookmarkStart w:id="29" w:name="page30"/>
    <w:bookmarkEnd w:id="29"/>
    <w:p>
      <w:pPr>
        <w:ind w:left="10" w:firstLine="384"/>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4"/>
          <w:szCs w:val="14"/>
          <w:color w:val="auto"/>
        </w:rPr>
        <w:t xml:space="preserve"> 11. </w:t>
      </w:r>
      <w:r>
        <w:rPr>
          <w:rFonts w:ascii="Times New Roman" w:cs="Times New Roman" w:eastAsia="Times New Roman" w:hAnsi="Times New Roman"/>
          <w:sz w:val="14"/>
          <w:szCs w:val="14"/>
          <w:u w:val="single" w:color="auto"/>
          <w:color w:val="auto"/>
        </w:rPr>
        <w:t>No Fiduciary Duty; No Advisory or Fiduciary Responsibility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 acknowledges and agrees that: (i) the purchase and sale of the Bonds pursuant to this Agreement, including the determination of the public offering price of the Bonds and any related discounts and commissions, is an arm’s-length commercial transaction between the Company, on the one hand, and the several Underwriters, on the other hand; (ii) in connection with the offering contemplated hereby and the process leading to such transaction each Underwriter is and has been acting solely as a principal and is not the financial advisor, agent or fiduciary of the Company or its affiliates, stockholders, creditors or employees or any other party; (iii) no Underwriter has assumed or will assume an advisory, agency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(iv) the several Underwriters and their respective affiliates may be engaged in a broad range of transactions that involve interests that differ from those of the Company; and (v)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330" w:lineRule="exact"/>
        <w:rPr>
          <w:sz w:val="20"/>
          <w:szCs w:val="20"/>
          <w:color w:val="auto"/>
        </w:rPr>
      </w:pPr>
    </w:p>
    <w:p>
      <w:pPr>
        <w:ind w:left="10" w:right="720" w:firstLine="384"/>
        <w:spacing w:after="0" w:line="259" w:lineRule="auto"/>
        <w:rPr>
          <w:sz w:val="20"/>
          <w:szCs w:val="20"/>
          <w:color w:val="auto"/>
        </w:rPr>
      </w:pPr>
      <w:r>
        <w:rPr>
          <w:rFonts w:ascii="Times New Roman" w:cs="Times New Roman" w:eastAsia="Times New Roman" w:hAnsi="Times New Roman"/>
          <w:sz w:val="16"/>
          <w:szCs w:val="16"/>
          <w:color w:val="auto"/>
        </w:rPr>
        <w:t>The Company hereby waives and releases, to the fullest extent permitted by law, any claims that the Company may have against the several Underwriters with respect to any breach or alleged breach of agency or fiduciary duty.</w:t>
      </w:r>
    </w:p>
    <w:p>
      <w:pPr>
        <w:spacing w:after="0" w:line="153" w:lineRule="exact"/>
        <w:rPr>
          <w:sz w:val="20"/>
          <w:szCs w:val="20"/>
          <w:color w:val="auto"/>
        </w:rPr>
      </w:pPr>
    </w:p>
    <w:p>
      <w:pPr>
        <w:ind w:left="10" w:right="180" w:firstLine="384"/>
        <w:spacing w:after="0" w:line="275" w:lineRule="auto"/>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4"/>
          <w:szCs w:val="14"/>
          <w:color w:val="auto"/>
        </w:rPr>
        <w:t xml:space="preserve"> 12. </w:t>
      </w:r>
      <w:r>
        <w:rPr>
          <w:rFonts w:ascii="Times New Roman" w:cs="Times New Roman" w:eastAsia="Times New Roman" w:hAnsi="Times New Roman"/>
          <w:sz w:val="14"/>
          <w:szCs w:val="14"/>
          <w:u w:val="single" w:color="auto"/>
          <w:color w:val="auto"/>
        </w:rPr>
        <w:t>Representations and Indemnities to Survive Delivery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respective indemnities, agreements, representations, warranties and other statements of the Company, of its officers and of the several Underwriters set forth in or made pursuant to this Agreement (i) will remain operative and in full force and effect, regardless of (A) any investigation, or statement as to the results thereof, made by or on behalf of any Underwriter or the Company or any of the officers, directors, employees, agents or controlling persons referred to in Section 7(a) or Section 7(b) hereof, as the case may be or</w:t>
      </w:r>
    </w:p>
    <w:p>
      <w:pPr>
        <w:spacing w:after="0" w:line="2" w:lineRule="exact"/>
        <w:rPr>
          <w:sz w:val="20"/>
          <w:szCs w:val="20"/>
          <w:color w:val="auto"/>
        </w:rPr>
      </w:pPr>
    </w:p>
    <w:p>
      <w:pPr>
        <w:ind w:left="10" w:right="20" w:hanging="10"/>
        <w:spacing w:after="0" w:line="238" w:lineRule="auto"/>
        <w:tabs>
          <w:tab w:leader="none" w:pos="257"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acceptance of the Bonds and payment for them hereunder and (ii) will survive delivery of and payment for the Bonds sold hereunder and any termination of this Agreement.</w:t>
      </w:r>
    </w:p>
    <w:p>
      <w:pPr>
        <w:spacing w:after="0" w:line="16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13.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All communications hereunder shall be in writing and shall be delivered by mail, hand or electronic means as follows:</w:t>
      </w:r>
    </w:p>
    <w:p>
      <w:pPr>
        <w:spacing w:after="0" w:line="9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If to the Representatives:</w:t>
      </w:r>
    </w:p>
    <w:p>
      <w:pPr>
        <w:spacing w:after="0" w:line="92"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BNY Mellon Capital Markets, LLC</w:t>
      </w:r>
    </w:p>
    <w:p>
      <w:pPr>
        <w:spacing w:after="0" w:line="10"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240 Greenwich Street, 3W</w:t>
      </w:r>
    </w:p>
    <w:p>
      <w:pPr>
        <w:ind w:left="870"/>
        <w:spacing w:after="0" w:line="234" w:lineRule="auto"/>
        <w:rPr>
          <w:sz w:val="20"/>
          <w:szCs w:val="20"/>
          <w:color w:val="auto"/>
        </w:rPr>
      </w:pPr>
      <w:r>
        <w:rPr>
          <w:rFonts w:ascii="Times New Roman" w:cs="Times New Roman" w:eastAsia="Times New Roman" w:hAnsi="Times New Roman"/>
          <w:sz w:val="16"/>
          <w:szCs w:val="16"/>
          <w:color w:val="auto"/>
        </w:rPr>
        <w:t>New York, New York 10286</w:t>
      </w:r>
    </w:p>
    <w:p>
      <w:pPr>
        <w:spacing w:after="0" w:line="1"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Attention: Debt Capital Markets</w:t>
      </w:r>
    </w:p>
    <w:p>
      <w:pPr>
        <w:spacing w:after="0" w:line="134"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9830"/>
          </w:cols>
          <w:pgMar w:left="1050" w:top="687" w:right="1020" w:bottom="1440" w:gutter="0" w:footer="0" w:header="0"/>
        </w:sectPr>
      </w:pPr>
    </w:p>
    <w:bookmarkStart w:id="30" w:name="page31"/>
    <w:bookmarkEnd w:id="30"/>
    <w:p>
      <w:pPr>
        <w:ind w:left="4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Regions Securities LLC</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1180 West Peachtree St. NW, Suite 1400</w:t>
      </w:r>
    </w:p>
    <w:p>
      <w:pPr>
        <w:ind w:left="480"/>
        <w:spacing w:after="0" w:line="234" w:lineRule="auto"/>
        <w:rPr>
          <w:sz w:val="20"/>
          <w:szCs w:val="20"/>
          <w:color w:val="auto"/>
        </w:rPr>
      </w:pPr>
      <w:r>
        <w:rPr>
          <w:rFonts w:ascii="Times New Roman" w:cs="Times New Roman" w:eastAsia="Times New Roman" w:hAnsi="Times New Roman"/>
          <w:sz w:val="16"/>
          <w:szCs w:val="16"/>
          <w:color w:val="auto"/>
        </w:rPr>
        <w:t>Atlanta, Georgia 30309</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Attention: Jill Maggiore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TD Securities (USA) LLC</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 Vanderbilt Avenue, 11th Floor</w:t>
      </w:r>
    </w:p>
    <w:p>
      <w:pPr>
        <w:ind w:left="480"/>
        <w:spacing w:after="0" w:line="234" w:lineRule="auto"/>
        <w:rPr>
          <w:sz w:val="20"/>
          <w:szCs w:val="20"/>
          <w:color w:val="auto"/>
        </w:rPr>
      </w:pPr>
      <w:r>
        <w:rPr>
          <w:rFonts w:ascii="Times New Roman" w:cs="Times New Roman" w:eastAsia="Times New Roman" w:hAnsi="Times New Roman"/>
          <w:sz w:val="16"/>
          <w:szCs w:val="16"/>
          <w:color w:val="auto"/>
        </w:rPr>
        <w:t>New York, New York 10017</w:t>
      </w:r>
    </w:p>
    <w:p>
      <w:pPr>
        <w:ind w:left="480"/>
        <w:spacing w:after="0" w:line="235" w:lineRule="auto"/>
        <w:rPr>
          <w:sz w:val="20"/>
          <w:szCs w:val="20"/>
          <w:color w:val="auto"/>
        </w:rPr>
      </w:pPr>
      <w:r>
        <w:rPr>
          <w:rFonts w:ascii="Times New Roman" w:cs="Times New Roman" w:eastAsia="Times New Roman" w:hAnsi="Times New Roman"/>
          <w:sz w:val="16"/>
          <w:szCs w:val="16"/>
          <w:color w:val="auto"/>
        </w:rPr>
        <w:t>Attention: DCM - Transaction Advisory</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Email: ustransactionadvisorygroup@tdsecurities.com</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and</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Wells Fargo Securities, LLC</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550 South Tryon Street, 5th Floor</w:t>
      </w:r>
    </w:p>
    <w:p>
      <w:pPr>
        <w:ind w:left="480"/>
        <w:spacing w:after="0" w:line="234" w:lineRule="auto"/>
        <w:rPr>
          <w:sz w:val="20"/>
          <w:szCs w:val="20"/>
          <w:color w:val="auto"/>
        </w:rPr>
      </w:pPr>
      <w:r>
        <w:rPr>
          <w:rFonts w:ascii="Times New Roman" w:cs="Times New Roman" w:eastAsia="Times New Roman" w:hAnsi="Times New Roman"/>
          <w:sz w:val="16"/>
          <w:szCs w:val="16"/>
          <w:color w:val="auto"/>
        </w:rPr>
        <w:t>Charlotte, North Carolina 28202</w:t>
      </w:r>
    </w:p>
    <w:p>
      <w:pPr>
        <w:ind w:left="480"/>
        <w:spacing w:after="0" w:line="235" w:lineRule="auto"/>
        <w:rPr>
          <w:sz w:val="20"/>
          <w:szCs w:val="20"/>
          <w:color w:val="auto"/>
        </w:rPr>
      </w:pPr>
      <w:r>
        <w:rPr>
          <w:rFonts w:ascii="Times New Roman" w:cs="Times New Roman" w:eastAsia="Times New Roman" w:hAnsi="Times New Roman"/>
          <w:sz w:val="16"/>
          <w:szCs w:val="16"/>
          <w:color w:val="auto"/>
        </w:rPr>
        <w:t>Attention: Transaction Management</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Email: tmgcapitalmarkets@wellsfargo.com</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with a copy to:</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Bracewell LLP</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31 West 52nd Street</w:t>
      </w:r>
    </w:p>
    <w:p>
      <w:pPr>
        <w:ind w:left="480"/>
        <w:spacing w:after="0" w:line="234" w:lineRule="auto"/>
        <w:rPr>
          <w:sz w:val="20"/>
          <w:szCs w:val="20"/>
          <w:color w:val="auto"/>
        </w:rPr>
      </w:pPr>
      <w:r>
        <w:rPr>
          <w:rFonts w:ascii="Times New Roman" w:cs="Times New Roman" w:eastAsia="Times New Roman" w:hAnsi="Times New Roman"/>
          <w:sz w:val="16"/>
          <w:szCs w:val="16"/>
          <w:color w:val="auto"/>
        </w:rPr>
        <w:t>New York, New York 10020-1100</w:t>
      </w:r>
    </w:p>
    <w:p>
      <w:pPr>
        <w:ind w:left="480"/>
        <w:spacing w:after="0" w:line="235" w:lineRule="auto"/>
        <w:rPr>
          <w:sz w:val="20"/>
          <w:szCs w:val="20"/>
          <w:color w:val="auto"/>
        </w:rPr>
      </w:pPr>
      <w:r>
        <w:rPr>
          <w:rFonts w:ascii="Times New Roman" w:cs="Times New Roman" w:eastAsia="Times New Roman" w:hAnsi="Times New Roman"/>
          <w:sz w:val="16"/>
          <w:szCs w:val="16"/>
          <w:color w:val="auto"/>
        </w:rPr>
        <w:t>Facsimile: (800) 404-3970</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Attention: Todd W. Eckland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818 South Kansas Avenue</w:t>
      </w:r>
    </w:p>
    <w:p>
      <w:pPr>
        <w:ind w:left="480"/>
        <w:spacing w:after="0" w:line="234" w:lineRule="auto"/>
        <w:rPr>
          <w:sz w:val="20"/>
          <w:szCs w:val="20"/>
          <w:color w:val="auto"/>
        </w:rPr>
      </w:pPr>
      <w:r>
        <w:rPr>
          <w:rFonts w:ascii="Times New Roman" w:cs="Times New Roman" w:eastAsia="Times New Roman" w:hAnsi="Times New Roman"/>
          <w:sz w:val="16"/>
          <w:szCs w:val="16"/>
          <w:color w:val="auto"/>
        </w:rPr>
        <w:t>Topeka, Kansas 66612</w:t>
      </w:r>
    </w:p>
    <w:p>
      <w:pPr>
        <w:ind w:left="480"/>
        <w:spacing w:after="0" w:line="235" w:lineRule="auto"/>
        <w:rPr>
          <w:sz w:val="20"/>
          <w:szCs w:val="20"/>
          <w:color w:val="auto"/>
        </w:rPr>
      </w:pPr>
      <w:r>
        <w:rPr>
          <w:rFonts w:ascii="Times New Roman" w:cs="Times New Roman" w:eastAsia="Times New Roman" w:hAnsi="Times New Roman"/>
          <w:sz w:val="16"/>
          <w:szCs w:val="16"/>
          <w:color w:val="auto"/>
        </w:rPr>
        <w:t>Facsimile: (816) 556-2924</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Attention: Heather A. Humphrey</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with a copy to:</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Hunton Andrews Kurth LLP</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200 Park Avenue</w:t>
      </w:r>
    </w:p>
    <w:p>
      <w:pPr>
        <w:ind w:left="480"/>
        <w:spacing w:after="0" w:line="234" w:lineRule="auto"/>
        <w:rPr>
          <w:sz w:val="20"/>
          <w:szCs w:val="20"/>
          <w:color w:val="auto"/>
        </w:rPr>
      </w:pPr>
      <w:r>
        <w:rPr>
          <w:rFonts w:ascii="Times New Roman" w:cs="Times New Roman" w:eastAsia="Times New Roman" w:hAnsi="Times New Roman"/>
          <w:sz w:val="16"/>
          <w:szCs w:val="16"/>
          <w:color w:val="auto"/>
        </w:rPr>
        <w:t>New York, New York 10166</w:t>
      </w:r>
    </w:p>
    <w:p>
      <w:pPr>
        <w:ind w:left="480"/>
        <w:spacing w:after="0" w:line="235" w:lineRule="auto"/>
        <w:rPr>
          <w:sz w:val="20"/>
          <w:szCs w:val="20"/>
          <w:color w:val="auto"/>
        </w:rPr>
      </w:pPr>
      <w:r>
        <w:rPr>
          <w:rFonts w:ascii="Times New Roman" w:cs="Times New Roman" w:eastAsia="Times New Roman" w:hAnsi="Times New Roman"/>
          <w:sz w:val="16"/>
          <w:szCs w:val="16"/>
          <w:color w:val="auto"/>
        </w:rPr>
        <w:t>Facsimile: (212) 309-1024</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Attention: Peter K. O’Brien</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9020"/>
          </w:cols>
          <w:pgMar w:left="1440" w:top="689" w:right="1440" w:bottom="1440" w:gutter="0" w:footer="0" w:header="0"/>
        </w:sectPr>
      </w:pPr>
    </w:p>
    <w:bookmarkStart w:id="31" w:name="page32"/>
    <w:bookmarkEnd w:id="31"/>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Any party hereto may change the address for receipt of communications by giving written notice to the others.</w:t>
      </w:r>
    </w:p>
    <w:p>
      <w:pPr>
        <w:spacing w:after="0" w:line="186" w:lineRule="exact"/>
        <w:rPr>
          <w:sz w:val="20"/>
          <w:szCs w:val="20"/>
          <w:color w:val="auto"/>
        </w:rPr>
      </w:pPr>
    </w:p>
    <w:p>
      <w:pPr>
        <w:ind w:right="80" w:firstLine="384"/>
        <w:spacing w:after="0" w:line="244" w:lineRule="auto"/>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14. </w:t>
      </w: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will inure to the benefit of and be binding upon the parties hereto, including any substitute Underwriters pursuant to Section 9 hereof, and to the benefit of the directors, officers, employees, agents and controlling persons referred to in Section 7 and Section 8 hereof, and in each case their respective successors and assigns, and no other person will have any right or obligation hereunder. The term “</w:t>
      </w:r>
      <w:r>
        <w:rPr>
          <w:rFonts w:ascii="Times New Roman" w:cs="Times New Roman" w:eastAsia="Times New Roman" w:hAnsi="Times New Roman"/>
          <w:sz w:val="16"/>
          <w:szCs w:val="16"/>
          <w:b w:val="1"/>
          <w:bCs w:val="1"/>
          <w:color w:val="auto"/>
        </w:rPr>
        <w:t>successors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assigns</w:t>
      </w:r>
      <w:r>
        <w:rPr>
          <w:rFonts w:ascii="Times New Roman" w:cs="Times New Roman" w:eastAsia="Times New Roman" w:hAnsi="Times New Roman"/>
          <w:sz w:val="16"/>
          <w:szCs w:val="16"/>
          <w:color w:val="auto"/>
        </w:rPr>
        <w:t>” shall not include any purchaser of the Bonds as such from any of the Underwriters merely by reason of such purchase.</w:t>
      </w:r>
    </w:p>
    <w:p>
      <w:pPr>
        <w:spacing w:after="0" w:line="164" w:lineRule="exact"/>
        <w:rPr>
          <w:sz w:val="20"/>
          <w:szCs w:val="20"/>
          <w:color w:val="auto"/>
        </w:rPr>
      </w:pPr>
    </w:p>
    <w:p>
      <w:pPr>
        <w:ind w:right="80" w:firstLine="384"/>
        <w:spacing w:after="0" w:line="244" w:lineRule="auto"/>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15. </w:t>
      </w:r>
      <w:r>
        <w:rPr>
          <w:rFonts w:ascii="Times New Roman" w:cs="Times New Roman" w:eastAsia="Times New Roman" w:hAnsi="Times New Roman"/>
          <w:sz w:val="16"/>
          <w:szCs w:val="16"/>
          <w:u w:val="single" w:color="auto"/>
          <w:color w:val="auto"/>
        </w:rPr>
        <w:t>Partial Unenforceability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64" w:lineRule="exact"/>
        <w:rPr>
          <w:sz w:val="20"/>
          <w:szCs w:val="20"/>
          <w:color w:val="auto"/>
        </w:rPr>
      </w:pPr>
    </w:p>
    <w:p>
      <w:pPr>
        <w:ind w:right="480" w:firstLine="384"/>
        <w:spacing w:after="0" w:line="248" w:lineRule="auto"/>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16. </w:t>
      </w:r>
      <w:r>
        <w:rPr>
          <w:rFonts w:ascii="Times New Roman" w:cs="Times New Roman" w:eastAsia="Times New Roman" w:hAnsi="Times New Roman"/>
          <w:sz w:val="16"/>
          <w:szCs w:val="16"/>
          <w:u w:val="single" w:color="auto"/>
          <w:color w:val="auto"/>
        </w:rPr>
        <w:t>Governing Law Provisions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SHALL BE GOVERNED BY, AND CONSTRUED AND INTERPRETED IN ACCORDANCE WITH, THE INTERNAL LAWS OF THE STATE OF NEW YORK APPLICABLE TO AGREEMENTS MADE AND TO BE PERFORMED IN THAT STATE.</w:t>
      </w:r>
    </w:p>
    <w:p>
      <w:pPr>
        <w:spacing w:after="0" w:line="162"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ECTION</w:t>
      </w:r>
      <w:r>
        <w:rPr>
          <w:rFonts w:ascii="Times New Roman" w:cs="Times New Roman" w:eastAsia="Times New Roman" w:hAnsi="Times New Roman"/>
          <w:sz w:val="16"/>
          <w:szCs w:val="16"/>
          <w:color w:val="auto"/>
        </w:rPr>
        <w:t xml:space="preserve"> 17. </w:t>
      </w:r>
      <w:r>
        <w:rPr>
          <w:rFonts w:ascii="Times New Roman" w:cs="Times New Roman" w:eastAsia="Times New Roman" w:hAnsi="Times New Roman"/>
          <w:sz w:val="16"/>
          <w:szCs w:val="16"/>
          <w:u w:val="single" w:color="auto"/>
          <w:color w:val="auto"/>
        </w:rPr>
        <w:t>General Provisions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2" w:lineRule="exact"/>
        <w:rPr>
          <w:sz w:val="20"/>
          <w:szCs w:val="20"/>
          <w:color w:val="auto"/>
        </w:rPr>
      </w:pPr>
    </w:p>
    <w:p>
      <w:pPr>
        <w:ind w:right="300" w:firstLine="384"/>
        <w:spacing w:after="0" w:line="239" w:lineRule="auto"/>
        <w:rPr>
          <w:sz w:val="20"/>
          <w:szCs w:val="20"/>
          <w:color w:val="auto"/>
        </w:rPr>
      </w:pPr>
      <w:r>
        <w:rPr>
          <w:rFonts w:ascii="Times New Roman" w:cs="Times New Roman" w:eastAsia="Times New Roman" w:hAnsi="Times New Roman"/>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7 hereof and the contribution provisions of Section 8 hereof, and is fully informed regarding such provisions. Each of the parties hereto further acknowledges that the provisions of Section 7 and Section 8 hereof fairly allocate the risks in light of the ability of the parties to investigate the Company, its affairs and its business in order to assure that adequate disclosure has been made in the Registration Statement, the Disclosure Package and the Prospectus (and any amendments and supplements thereto), as required by the Securities Act and the Exchange Act.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9780"/>
          </w:cols>
          <w:pgMar w:left="1060" w:top="689" w:right="1060" w:bottom="1440" w:gutter="0" w:footer="0" w:header="0"/>
        </w:sectPr>
      </w:pPr>
    </w:p>
    <w:bookmarkStart w:id="32" w:name="page33"/>
    <w:bookmarkEnd w:id="32"/>
    <w:p>
      <w:pPr>
        <w:ind w:left="10" w:firstLine="384"/>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4"/>
          <w:szCs w:val="14"/>
          <w:color w:val="auto"/>
        </w:rPr>
        <w:t xml:space="preserve"> 18. </w:t>
      </w:r>
      <w:r>
        <w:rPr>
          <w:rFonts w:ascii="Times New Roman" w:cs="Times New Roman" w:eastAsia="Times New Roman" w:hAnsi="Times New Roman"/>
          <w:sz w:val="14"/>
          <w:szCs w:val="14"/>
          <w:u w:val="single" w:color="auto"/>
          <w:color w:val="auto"/>
        </w:rPr>
        <w:t>Recognition of U.S. Special Resolution Regimes</w:t>
      </w:r>
      <w:r>
        <w:rPr>
          <w:rFonts w:ascii="Times New Roman" w:cs="Times New Roman" w:eastAsia="Times New Roman" w:hAnsi="Times New Roman"/>
          <w:sz w:val="14"/>
          <w:szCs w:val="14"/>
          <w:color w:val="auto"/>
        </w:rPr>
        <w:t>. In the event that (a)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and (b)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Section 18,</w:t>
      </w:r>
    </w:p>
    <w:p>
      <w:pPr>
        <w:spacing w:after="0" w:line="1" w:lineRule="exact"/>
        <w:rPr>
          <w:sz w:val="20"/>
          <w:szCs w:val="20"/>
          <w:color w:val="auto"/>
        </w:rPr>
      </w:pPr>
    </w:p>
    <w:p>
      <w:pPr>
        <w:ind w:left="10" w:hanging="10"/>
        <w:spacing w:after="0" w:line="275" w:lineRule="auto"/>
        <w:tabs>
          <w:tab w:leader="none" w:pos="19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“BHC Act Affiliate” has the meaning assigned to the term “affiliate” in, and shall be interpreted in accordance with, 12 U.S.C. § 1841(k), (ii) “Covered Entity” means (A) a “covered entity” (as such term is defined in, and interpreted in accordance with, 12 C.F.R. § 252.82(b)), (B) a “covered bank” (as such term is defined in, and interpreted in accordance with, 12 C.F.R. § 47.3(b)) or (C) a “covered FSI” (as such term is defined in, and interpreted in accordance with, 12 C.F.R. § 382.2(b)), (iii) “Default Right” has the meaning assigned to that term in, and shall be interpreted in accordance with, 12 C.F.R. §§ 252.81, 47.2 or 382.1, as applicable, and (iv) “U.S. Special Resolution Regime” means each of (A) the Federal Deposit Insurance Act and the regulations thereunder and (B) Title II of the Dodd-Frank Wall Street Reform and Consumer Protection Act and the regulations thereunder.</w:t>
      </w:r>
    </w:p>
    <w:p>
      <w:pPr>
        <w:spacing w:after="0" w:line="11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9770"/>
          </w:cols>
          <w:pgMar w:left="1050" w:top="689" w:right="1080" w:bottom="1440" w:gutter="0" w:footer="0" w:header="0"/>
        </w:sectPr>
      </w:pPr>
    </w:p>
    <w:bookmarkStart w:id="33" w:name="page34"/>
    <w:bookmarkEnd w:id="33"/>
    <w:p>
      <w:pPr>
        <w:ind w:right="140"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9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W. Bryan Buckler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5715</wp:posOffset>
            </wp:positionV>
            <wp:extent cx="23094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Name: W. Bryan Buckler</w:t>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Title: Executive Vice President and Chief Financial</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Officer</w:t>
      </w:r>
    </w:p>
    <w:p>
      <w:pPr>
        <w:spacing w:after="0" w:line="13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Underwriting Agreement</w:t>
      </w:r>
      <w:r>
        <w:rPr>
          <w:rFonts w:ascii="Times New Roman" w:cs="Times New Roman" w:eastAsia="Times New Roman" w:hAnsi="Times New Roman"/>
          <w:sz w:val="16"/>
          <w:szCs w:val="16"/>
          <w:color w:val="auto"/>
        </w:rPr>
        <w:t>]</w:t>
      </w:r>
    </w:p>
    <w:p>
      <w:pPr>
        <w:sectPr>
          <w:pgSz w:w="11900" w:h="16840" w:orient="portrait"/>
          <w:cols w:equalWidth="0" w:num="1">
            <w:col w:w="9420"/>
          </w:cols>
          <w:pgMar w:left="1060" w:top="689" w:right="1420" w:bottom="1440" w:gutter="0" w:footer="0" w:header="0"/>
        </w:sectPr>
      </w:pPr>
    </w:p>
    <w:bookmarkStart w:id="34" w:name="page35"/>
    <w:bookmarkEnd w:id="34"/>
    <w:p>
      <w:pPr>
        <w:ind w:left="3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foregoing Underwriting Agreement is hereby confirmed and accepted by the Representatives as of the date first above written.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BNY MELLON CAPITAL MARKETS, LLC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REGIONS SECURITIES LLC</w:t>
      </w:r>
    </w:p>
    <w:p>
      <w:pPr>
        <w:spacing w:after="0" w:line="234" w:lineRule="auto"/>
        <w:rPr>
          <w:sz w:val="20"/>
          <w:szCs w:val="20"/>
          <w:color w:val="auto"/>
        </w:rPr>
      </w:pPr>
      <w:r>
        <w:rPr>
          <w:rFonts w:ascii="Times New Roman" w:cs="Times New Roman" w:eastAsia="Times New Roman" w:hAnsi="Times New Roman"/>
          <w:sz w:val="16"/>
          <w:szCs w:val="16"/>
          <w:color w:val="auto"/>
        </w:rPr>
        <w:t>TD SECURITIES (USA)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WELLS FARGO SECURITIES, LLC</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Acting as Representatives of the several Underwriters named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Schedule A hereto.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BNY MELLON CAPITAL MARKETS,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/s/ Dan Klinger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5715</wp:posOffset>
            </wp:positionV>
            <wp:extent cx="23094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Name: Dan Klinger</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REGIONS SECURITIES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/s/ Nicole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5715</wp:posOffset>
            </wp:positionV>
            <wp:extent cx="23094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Name: Nicole Black</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TD SECURITIES (USA)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/s/ Brian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5715</wp:posOffset>
            </wp:positionV>
            <wp:extent cx="230949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Name: Brian Bednarski</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 Director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WELLS FARGO SECURITIES,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5715</wp:posOffset>
            </wp:positionV>
            <wp:extent cx="230949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Name: Carolyn Hurley</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13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Underwriting Agreement</w:t>
      </w:r>
      <w:r>
        <w:rPr>
          <w:rFonts w:ascii="Times New Roman" w:cs="Times New Roman" w:eastAsia="Times New Roman" w:hAnsi="Times New Roman"/>
          <w:sz w:val="16"/>
          <w:szCs w:val="16"/>
          <w:color w:val="auto"/>
        </w:rPr>
        <w:t>]</w:t>
      </w:r>
    </w:p>
    <w:p>
      <w:pPr>
        <w:sectPr>
          <w:pgSz w:w="11900" w:h="16840" w:orient="portrait"/>
          <w:cols w:equalWidth="0" w:num="1">
            <w:col w:w="9400"/>
          </w:cols>
          <w:pgMar w:left="1060" w:top="689"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5"/>
        </w:trPr>
        <w:tc>
          <w:tcPr>
            <w:tcW w:w="7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00" w:type="dxa"/>
            <w:vAlign w:val="bottom"/>
            <w:gridSpan w:val="3"/>
          </w:tcPr>
          <w:p>
            <w:pPr>
              <w:jc w:val="right"/>
              <w:ind w:right="3504"/>
              <w:spacing w:after="0"/>
              <w:rPr>
                <w:sz w:val="20"/>
                <w:szCs w:val="20"/>
                <w:color w:val="auto"/>
              </w:rPr>
            </w:pPr>
            <w:r>
              <w:rPr>
                <w:rFonts w:ascii="Times New Roman" w:cs="Times New Roman" w:eastAsia="Times New Roman" w:hAnsi="Times New Roman"/>
                <w:sz w:val="16"/>
                <w:szCs w:val="16"/>
                <w:b w:val="1"/>
                <w:bCs w:val="1"/>
                <w:color w:val="auto"/>
              </w:rPr>
              <w:t>SCHEDULE A</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0" w:type="dxa"/>
            <w:vAlign w:val="bottom"/>
          </w:tcPr>
          <w:p>
            <w:pPr>
              <w:spacing w:after="0"/>
              <w:rPr>
                <w:sz w:val="1"/>
                <w:szCs w:val="1"/>
                <w:color w:val="auto"/>
              </w:rPr>
            </w:pPr>
          </w:p>
        </w:tc>
      </w:tr>
      <w:tr>
        <w:trPr>
          <w:trHeight w:val="156"/>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5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Bonds to be</w:t>
            </w:r>
          </w:p>
        </w:tc>
        <w:tc>
          <w:tcPr>
            <w:tcW w:w="0" w:type="dxa"/>
            <w:vAlign w:val="bottom"/>
          </w:tcPr>
          <w:p>
            <w:pPr>
              <w:spacing w:after="0"/>
              <w:rPr>
                <w:sz w:val="1"/>
                <w:szCs w:val="1"/>
                <w:color w:val="auto"/>
              </w:rPr>
            </w:pPr>
          </w:p>
        </w:tc>
      </w:tr>
      <w:tr>
        <w:trPr>
          <w:trHeight w:val="178"/>
        </w:trPr>
        <w:tc>
          <w:tcPr>
            <w:tcW w:w="3360" w:type="dxa"/>
            <w:vAlign w:val="bottom"/>
            <w:gridSpan w:val="2"/>
            <w:vMerge w:val="continue"/>
          </w:tcPr>
          <w:p>
            <w:pPr>
              <w:spacing w:after="0"/>
              <w:rPr>
                <w:sz w:val="15"/>
                <w:szCs w:val="15"/>
                <w:color w:val="auto"/>
              </w:rPr>
            </w:pPr>
          </w:p>
        </w:tc>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0" w:type="dxa"/>
            <w:vAlign w:val="bottom"/>
          </w:tcPr>
          <w:p>
            <w:pPr>
              <w:spacing w:after="0"/>
              <w:rPr>
                <w:sz w:val="1"/>
                <w:szCs w:val="1"/>
                <w:color w:val="auto"/>
              </w:rPr>
            </w:pPr>
          </w:p>
        </w:tc>
      </w:tr>
      <w:tr>
        <w:trPr>
          <w:trHeight w:val="164"/>
        </w:trPr>
        <w:tc>
          <w:tcPr>
            <w:tcW w:w="76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w w:val="88"/>
              </w:rPr>
              <w:t>BNY Mellon</w:t>
            </w:r>
          </w:p>
        </w:tc>
        <w:tc>
          <w:tcPr>
            <w:tcW w:w="2600" w:type="dxa"/>
            <w:vAlign w:val="bottom"/>
            <w:tcBorders>
              <w:top w:val="single" w:sz="8" w:color="CCEEFF"/>
            </w:tcBorders>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Capital Markets, LLC</w:t>
            </w:r>
          </w:p>
        </w:tc>
        <w:tc>
          <w:tcPr>
            <w:tcW w:w="55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72,000,000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Regions Securities LLC</w:t>
            </w:r>
          </w:p>
        </w:tc>
        <w:tc>
          <w:tcPr>
            <w:tcW w:w="56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TD Securities (USA) LLC</w:t>
            </w:r>
          </w:p>
        </w:tc>
        <w:tc>
          <w:tcPr>
            <w:tcW w:w="560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72,000,000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Wells Fargo Securities, LLC</w:t>
            </w:r>
          </w:p>
        </w:tc>
        <w:tc>
          <w:tcPr>
            <w:tcW w:w="56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Academy Securities, Inc.</w:t>
            </w:r>
          </w:p>
        </w:tc>
        <w:tc>
          <w:tcPr>
            <w:tcW w:w="560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6,000,000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Samuel A. Ramirez &amp; Company, Inc.</w:t>
            </w:r>
          </w:p>
        </w:tc>
        <w:tc>
          <w:tcPr>
            <w:tcW w:w="5520" w:type="dxa"/>
            <w:vAlign w:val="bottom"/>
          </w:tcPr>
          <w:p>
            <w:pPr>
              <w:spacing w:after="0"/>
              <w:rPr>
                <w:sz w:val="16"/>
                <w:szCs w:val="16"/>
                <w:color w:val="auto"/>
              </w:rPr>
            </w:pPr>
          </w:p>
        </w:tc>
        <w:tc>
          <w:tcPr>
            <w:tcW w:w="8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6,000,000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5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300,000,000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600" w:type="dxa"/>
            <w:vAlign w:val="bottom"/>
            <w:gridSpan w:val="3"/>
          </w:tcPr>
          <w:p>
            <w:pPr>
              <w:jc w:val="right"/>
              <w:ind w:right="3904"/>
              <w:spacing w:after="0"/>
              <w:rPr>
                <w:sz w:val="20"/>
                <w:szCs w:val="20"/>
                <w:color w:val="auto"/>
              </w:rPr>
            </w:pPr>
            <w:r>
              <w:rPr>
                <w:rFonts w:ascii="Times New Roman" w:cs="Times New Roman" w:eastAsia="Times New Roman" w:hAnsi="Times New Roman"/>
                <w:sz w:val="16"/>
                <w:szCs w:val="16"/>
                <w:color w:val="auto"/>
              </w:rPr>
              <w:t>A-1</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40" w:orient="portrait"/>
          <w:cols w:equalWidth="0" w:num="1">
            <w:col w:w="9780"/>
          </w:cols>
          <w:pgMar w:left="1060" w:top="687" w:right="106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36" w:name="page37"/>
    <w:bookmarkEnd w:id="36"/>
    <w:p>
      <w:pPr>
        <w:jc w:val="center"/>
        <w:ind w:right="-5"/>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ANNEX I</w:t>
      </w:r>
    </w:p>
    <w:p>
      <w:pPr>
        <w:spacing w:after="0" w:line="9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LIST OF ISSUER GENERAL USE FREE WRITING PROSPECTUSES</w:t>
      </w:r>
    </w:p>
    <w:p>
      <w:pPr>
        <w:spacing w:after="0" w:line="247" w:lineRule="exact"/>
        <w:rPr>
          <w:sz w:val="20"/>
          <w:szCs w:val="20"/>
          <w:color w:val="auto"/>
        </w:rPr>
      </w:pPr>
    </w:p>
    <w:p>
      <w:pPr>
        <w:ind w:left="486" w:hanging="486"/>
        <w:spacing w:after="0"/>
        <w:tabs>
          <w:tab w:leader="none" w:pos="48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Final Term Sheet dated December 1, 2025</w:t>
      </w:r>
    </w:p>
    <w:p>
      <w:pPr>
        <w:spacing w:after="0" w:line="18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4"/>
          <w:szCs w:val="14"/>
          <w:color w:val="auto"/>
        </w:rPr>
        <w:t>LIST OF ISSUER LIMITED USE FREE WRITING PROSPECTUSES</w:t>
      </w:r>
    </w:p>
    <w:p>
      <w:pPr>
        <w:spacing w:after="0" w:line="11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None</w:t>
      </w:r>
    </w:p>
    <w:p>
      <w:pPr>
        <w:spacing w:after="0" w:line="15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I-1</w:t>
      </w:r>
    </w:p>
    <w:p>
      <w:pPr>
        <w:sectPr>
          <w:pgSz w:w="11900" w:h="16840" w:orient="portrait"/>
          <w:cols w:equalWidth="0" w:num="1">
            <w:col w:w="9026"/>
          </w:cols>
          <w:pgMar w:left="1434" w:top="687" w:right="1440"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EXHIBIT A-1</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of Opinion of Company’s Counsel</w:t>
      </w:r>
    </w:p>
    <w:p>
      <w:pPr>
        <w:spacing w:after="0" w:line="190" w:lineRule="exact"/>
        <w:rPr>
          <w:sz w:val="20"/>
          <w:szCs w:val="20"/>
          <w:color w:val="auto"/>
        </w:rPr>
      </w:pPr>
    </w:p>
    <w:p>
      <w:pPr>
        <w:ind w:right="80" w:firstLine="374"/>
        <w:spacing w:after="0" w:line="243" w:lineRule="auto"/>
        <w:tabs>
          <w:tab w:leader="none" w:pos="59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Statement has become effective under the Securities Act; each of the Preliminary Prospectus and the Prospectus has been filed pursuant to Rule 424(b) in accordance with Rule 424(b); the Final Term Sheet has been filed pursuant to Rule 433 in accordance with Rule 433; and, to our knowledge, no stop order suspending the effectiveness of the Registration Statement is in effect nor are any proceedings for such purpose pending before or threatened by the Commission.</w:t>
      </w:r>
    </w:p>
    <w:p>
      <w:pPr>
        <w:spacing w:after="0" w:line="167" w:lineRule="exact"/>
        <w:rPr>
          <w:rFonts w:ascii="Times New Roman" w:cs="Times New Roman" w:eastAsia="Times New Roman" w:hAnsi="Times New Roman"/>
          <w:sz w:val="16"/>
          <w:szCs w:val="16"/>
          <w:color w:val="auto"/>
        </w:rPr>
      </w:pPr>
    </w:p>
    <w:p>
      <w:pPr>
        <w:ind w:right="40" w:firstLine="374"/>
        <w:spacing w:after="0" w:line="238" w:lineRule="auto"/>
        <w:tabs>
          <w:tab w:leader="none" w:pos="60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Registration Statement (other than the financial statements, financial data, statistical data and supporting schedules included therein or omitted therefrom and other than the documents incorporated by reference therein, as to none of which we express any opinion pursuant to this paragraph (b)), as of the date of the Underwriting Agreement, (ii) the Preliminary Prospectus (other than the financial statements, financial data, statistical data and supporting schedules included therein or omitted therefrom and other than the documents incorporated by reference therein, as to none of which we express any opinion pursuant to this paragraph (b)), at the Initial Sale Time, and (iii) the Prospectus (other than the financial statements, financial data, statistical data and supporting schedules included therein or omitted therefrom and other than the documents incorporated by reference therein, as to none of which we express any opinion pursuant to this paragraph (b)), as of the date of the Prospectus Supplement and as of the date hereof, appear on their face to have complied as to form in all material respects with the requirements of the Trust Indenture Act of 1939, as amended (the “Trust Indenture Act”), the Securities Act and the rules and regulations of the Commission promulgated thereunder.</w:t>
      </w:r>
    </w:p>
    <w:p>
      <w:pPr>
        <w:spacing w:after="0" w:line="170" w:lineRule="exact"/>
        <w:rPr>
          <w:rFonts w:ascii="Times New Roman" w:cs="Times New Roman" w:eastAsia="Times New Roman" w:hAnsi="Times New Roman"/>
          <w:sz w:val="16"/>
          <w:szCs w:val="16"/>
          <w:color w:val="auto"/>
        </w:rPr>
      </w:pPr>
    </w:p>
    <w:p>
      <w:pPr>
        <w:ind w:right="180" w:firstLine="374"/>
        <w:spacing w:after="0" w:line="243" w:lineRule="auto"/>
        <w:tabs>
          <w:tab w:leader="none" w:pos="59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document incorporated by reference in the Preliminary Prospectus and the Prospectus (other than the financial statements, financial data, statistical data and supporting schedules included therein or omitted therefrom, as to which we express no opinion), at the respective time such document was filed with the Commission, appeared on its face to have complied as to form in all material respects with the applicable requirements of the Exchange Act and the rules and regulations of the Commission promulgated thereunder.</w:t>
      </w:r>
    </w:p>
    <w:p>
      <w:pPr>
        <w:spacing w:after="0" w:line="167"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Mortgage Indenture has been duly qualified under the Trust Indenture Act.</w:t>
      </w:r>
    </w:p>
    <w:p>
      <w:pPr>
        <w:spacing w:after="0" w:line="188" w:lineRule="exact"/>
        <w:rPr>
          <w:rFonts w:ascii="Times New Roman" w:cs="Times New Roman" w:eastAsia="Times New Roman" w:hAnsi="Times New Roman"/>
          <w:sz w:val="16"/>
          <w:szCs w:val="16"/>
          <w:color w:val="auto"/>
        </w:rPr>
      </w:pPr>
    </w:p>
    <w:p>
      <w:pPr>
        <w:ind w:firstLine="374"/>
        <w:spacing w:after="0" w:line="237" w:lineRule="auto"/>
        <w:tabs>
          <w:tab w:leader="none" w:pos="59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the Company of the Underwriting Agreement, the Mortgage Indenture and the Bonds and the consummation by the Company of the transactions contemplated thereby (including the issuance and sale of the Bonds and the use of the proceeds from the sale of the Bonds as described in the Disclosure Package (as such term is defined in Annex A hereto) and in the Prospectus under the caption “Use of Proceeds”) and compliance by the Company with its obligations under the Underwriting Agreement, the Mortgage Indenture and the Bonds do not and will not violate any provision of Applicable Laws. As used in this paragraph (e) and paragraph (f) below, the term “Applicable Laws” means the laws of the State of New York and the federal laws of the United States of America (including the Federal Power Act) that, in our experience and without independent investigation, are normally applicable to transactions of the type contemplated by the Underwriting Agreement and the Mortgage Indenture (provided that the term “Applicable Laws” shall not include federal or state securities or blue sky laws, including, without limitation, the Securities Act, the Exchange Act, the Trust Indenture Act and the Investment Company Act of 1940, as amended (the “Investment Company Act”), and the respective rules and regulations thereunder).</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A-1-1</w:t>
      </w:r>
    </w:p>
    <w:p>
      <w:pPr>
        <w:sectPr>
          <w:pgSz w:w="11900" w:h="16840" w:orient="portrait"/>
          <w:cols w:equalWidth="0" w:num="1">
            <w:col w:w="9800"/>
          </w:cols>
          <w:pgMar w:left="1060" w:top="687" w:right="1040" w:bottom="1440" w:gutter="0" w:footer="0" w:header="0"/>
        </w:sectPr>
      </w:pPr>
    </w:p>
    <w:bookmarkStart w:id="38" w:name="page39"/>
    <w:bookmarkEnd w:id="38"/>
    <w:p>
      <w:pPr>
        <w:ind w:firstLine="374"/>
        <w:spacing w:after="0" w:line="299" w:lineRule="auto"/>
        <w:tabs>
          <w:tab w:leader="none" w:pos="57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No consent, approval, qualification, authorization, certificate or order of, or registration or filing with, any court or other governmental commission or regulatory authority or agency is required under Applicable Laws for the execution and delivery by the Company of, or the performance of the Company’s obligations under, the Underwriting Agreement or the Mortgage Indenture, or for the issue and sale of the Bonds as contemplated therein.</w:t>
      </w:r>
    </w:p>
    <w:p>
      <w:pPr>
        <w:spacing w:after="0" w:line="130" w:lineRule="exact"/>
        <w:rPr>
          <w:rFonts w:ascii="Times New Roman" w:cs="Times New Roman" w:eastAsia="Times New Roman" w:hAnsi="Times New Roman"/>
          <w:sz w:val="14"/>
          <w:szCs w:val="14"/>
          <w:color w:val="auto"/>
        </w:rPr>
      </w:pPr>
    </w:p>
    <w:p>
      <w:pPr>
        <w:ind w:right="60" w:firstLine="374"/>
        <w:spacing w:after="0" w:line="247" w:lineRule="auto"/>
        <w:tabs>
          <w:tab w:leader="none" w:pos="60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statements set forth in the Disclosure Package and the Prospectus under the captions “Description of First Mortgage Bonds” and “Description of the Bonds” (insofar as such statements purport to summarize certain provisions of the Bonds and the Mortgage Indenture) fairly, accurately and completely summarize in all material respects the matters therein described.</w:t>
      </w:r>
    </w:p>
    <w:p>
      <w:pPr>
        <w:spacing w:after="0" w:line="164" w:lineRule="exact"/>
        <w:rPr>
          <w:rFonts w:ascii="Times New Roman" w:cs="Times New Roman" w:eastAsia="Times New Roman" w:hAnsi="Times New Roman"/>
          <w:sz w:val="16"/>
          <w:szCs w:val="16"/>
          <w:color w:val="auto"/>
        </w:rPr>
      </w:pPr>
    </w:p>
    <w:p>
      <w:pPr>
        <w:ind w:right="80" w:firstLine="374"/>
        <w:spacing w:after="0" w:line="247" w:lineRule="auto"/>
        <w:tabs>
          <w:tab w:leader="none" w:pos="60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statements set forth in the Disclosure Package and the Prospectus under the captions “Plan of Distribution” and “Underwriting (Conflicts of Interest)” (insofar as such statements purport to summarize certain provisions of the Underwriting Agreement) fairly, accurately and completely summarize in all material respects the matters therein described.</w:t>
      </w:r>
    </w:p>
    <w:p>
      <w:pPr>
        <w:spacing w:after="0" w:line="164" w:lineRule="exact"/>
        <w:rPr>
          <w:rFonts w:ascii="Times New Roman" w:cs="Times New Roman" w:eastAsia="Times New Roman" w:hAnsi="Times New Roman"/>
          <w:sz w:val="16"/>
          <w:szCs w:val="16"/>
          <w:color w:val="auto"/>
        </w:rPr>
      </w:pPr>
    </w:p>
    <w:p>
      <w:pPr>
        <w:jc w:val="both"/>
        <w:ind w:right="420" w:firstLine="374"/>
        <w:spacing w:after="0" w:line="247" w:lineRule="auto"/>
        <w:tabs>
          <w:tab w:leader="none" w:pos="57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statements set forth in the Disclosure Package and the Prospectus under the caption “Material U.S. Federal Income Tax Considerations,” insofar as they purport to constitute summaries of matters of United States federal income tax law, constitute accurate and complete summaries, in all material respects, subject to the qualifications set forth therein.</w:t>
      </w:r>
    </w:p>
    <w:p>
      <w:pPr>
        <w:spacing w:after="0" w:line="164" w:lineRule="exact"/>
        <w:rPr>
          <w:rFonts w:ascii="Times New Roman" w:cs="Times New Roman" w:eastAsia="Times New Roman" w:hAnsi="Times New Roman"/>
          <w:sz w:val="16"/>
          <w:szCs w:val="16"/>
          <w:color w:val="auto"/>
        </w:rPr>
      </w:pPr>
    </w:p>
    <w:p>
      <w:pPr>
        <w:ind w:right="60" w:firstLine="374"/>
        <w:spacing w:after="0" w:line="259" w:lineRule="auto"/>
        <w:tabs>
          <w:tab w:leader="none" w:pos="57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and will not be after giving effect to the offer and sale of the Bonds and application of the proceeds therefrom as described in the Prospectus, required to register as an “investment company” (as such term is defined in the Investment Company Act).</w:t>
      </w:r>
    </w:p>
    <w:p>
      <w:pPr>
        <w:spacing w:after="0" w:line="155" w:lineRule="exact"/>
        <w:rPr>
          <w:rFonts w:ascii="Times New Roman" w:cs="Times New Roman" w:eastAsia="Times New Roman" w:hAnsi="Times New Roman"/>
          <w:sz w:val="16"/>
          <w:szCs w:val="16"/>
          <w:color w:val="auto"/>
        </w:rPr>
      </w:pPr>
    </w:p>
    <w:p>
      <w:pPr>
        <w:ind w:firstLine="374"/>
        <w:spacing w:after="0" w:line="238" w:lineRule="auto"/>
        <w:tabs>
          <w:tab w:leader="none" w:pos="60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facts came to the attention of such counsel that gave such counsel reason to believe that (i) any part of the Registration Statement, as of the date of the Underwriting Agreement, contained an untrue statement of a material fact or omitted to state a material fact required to be stated therein or necessary to make the statements therein not misleading, (ii) the Disclosure Package, as of the Initial Sale Time, contained an untrue statement of a material fact or omitted to state a material fact necessary in order to make the statements therein, in the light of the circumstances under which they were made, not misleading or (iii) the Prospectus contained, as of the date of the Underwriting Agreement, or contains, on the date hereof, an untrue statement of a material fact or omitted, as of the date of the Underwriting Agreement, or omits, on the date hereof, to state a material fact necessary in order to make the statements therein, in the light of the circumstances under which they were made, not misleading, except that in each case such counsel may express no opinion or belief with respect to the financial statements, financial data, statistical data and supporting schedules included or incorporated or deemed to be incorporated by reference therein or omitted therefrom.</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A-1-2</w:t>
      </w:r>
    </w:p>
    <w:p>
      <w:pPr>
        <w:sectPr>
          <w:pgSz w:w="11900" w:h="16840" w:orient="portrait"/>
          <w:cols w:equalWidth="0" w:num="1">
            <w:col w:w="9780"/>
          </w:cols>
          <w:pgMar w:left="1060" w:top="689" w:right="1060" w:bottom="1440" w:gutter="0" w:footer="0" w:header="0"/>
        </w:sectPr>
      </w:pPr>
    </w:p>
    <w:bookmarkStart w:id="39" w:name="page40"/>
    <w:bookmarkEnd w:id="39"/>
    <w:p>
      <w:pPr>
        <w:jc w:val="center"/>
        <w:ind w:right="-5"/>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ANNEX A</w:t>
      </w:r>
    </w:p>
    <w:p>
      <w:pPr>
        <w:spacing w:after="0" w:line="9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DISCLOSURE PACKAGE</w:t>
      </w:r>
    </w:p>
    <w:p>
      <w:pPr>
        <w:spacing w:after="0" w:line="224" w:lineRule="exact"/>
        <w:rPr>
          <w:sz w:val="20"/>
          <w:szCs w:val="20"/>
          <w:color w:val="auto"/>
        </w:rPr>
      </w:pPr>
    </w:p>
    <w:p>
      <w:pPr>
        <w:ind w:left="486" w:hanging="486"/>
        <w:spacing w:after="0"/>
        <w:tabs>
          <w:tab w:leader="none" w:pos="48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Preliminary Prospectus.</w:t>
      </w:r>
    </w:p>
    <w:p>
      <w:pPr>
        <w:spacing w:after="0" w:line="224" w:lineRule="exact"/>
        <w:rPr>
          <w:rFonts w:ascii="Times New Roman" w:cs="Times New Roman" w:eastAsia="Times New Roman" w:hAnsi="Times New Roman"/>
          <w:sz w:val="16"/>
          <w:szCs w:val="16"/>
          <w:color w:val="auto"/>
        </w:rPr>
      </w:pPr>
    </w:p>
    <w:p>
      <w:pPr>
        <w:ind w:left="486" w:hanging="486"/>
        <w:spacing w:after="0"/>
        <w:tabs>
          <w:tab w:leader="none" w:pos="48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Final Term Sheet.</w:t>
      </w:r>
    </w:p>
    <w:p>
      <w:pPr>
        <w:spacing w:after="0" w:line="188" w:lineRule="exact"/>
        <w:rPr>
          <w:sz w:val="20"/>
          <w:szCs w:val="20"/>
          <w:color w:val="auto"/>
        </w:rPr>
      </w:pPr>
    </w:p>
    <w:p>
      <w:pPr>
        <w:jc w:val="center"/>
        <w:ind w:left="1440"/>
        <w:spacing w:after="0" w:line="463" w:lineRule="auto"/>
        <w:rPr>
          <w:sz w:val="20"/>
          <w:szCs w:val="20"/>
          <w:color w:val="auto"/>
        </w:rPr>
      </w:pPr>
      <w:r>
        <w:rPr>
          <w:rFonts w:ascii="Times New Roman" w:cs="Times New Roman" w:eastAsia="Times New Roman" w:hAnsi="Times New Roman"/>
          <w:sz w:val="16"/>
          <w:szCs w:val="16"/>
          <w:color w:val="auto"/>
        </w:rPr>
        <w:t>For purposes of determining the “Disclosure Package,” the information contained in the foregoing documents shall be considered together. A-1-3</w:t>
      </w:r>
    </w:p>
    <w:p>
      <w:pPr>
        <w:sectPr>
          <w:pgSz w:w="11900" w:h="16840" w:orient="portrait"/>
          <w:cols w:equalWidth="0" w:num="1">
            <w:col w:w="9026"/>
          </w:cols>
          <w:pgMar w:left="1434" w:top="689"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EXHIBIT A-2</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Opinion of Heather A. Humphrey, Senior Vice President, General Counsel and Corporate Secretary</w:t>
      </w:r>
    </w:p>
    <w:p>
      <w:pPr>
        <w:spacing w:after="0" w:line="190" w:lineRule="exact"/>
        <w:rPr>
          <w:sz w:val="20"/>
          <w:szCs w:val="20"/>
          <w:color w:val="auto"/>
        </w:rPr>
      </w:pPr>
    </w:p>
    <w:p>
      <w:pPr>
        <w:ind w:right="120" w:firstLine="374"/>
        <w:spacing w:after="0" w:line="247" w:lineRule="auto"/>
        <w:tabs>
          <w:tab w:leader="none" w:pos="59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validly organized and existing corporation in good standing under the laws of the State of Kansas with corporate power and authority to own, lease and operate its properties and to conduct its business as set forth in the Disclosure Package and the Prospectus and to enter into and perform its obligations under the Underwriting Agreement.</w:t>
      </w:r>
    </w:p>
    <w:p>
      <w:pPr>
        <w:spacing w:after="0" w:line="164"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Underwriting Agreement has been duly authorized, executed and delivered by the Company.</w:t>
      </w:r>
    </w:p>
    <w:p>
      <w:pPr>
        <w:spacing w:after="0" w:line="188" w:lineRule="exact"/>
        <w:rPr>
          <w:rFonts w:ascii="Times New Roman" w:cs="Times New Roman" w:eastAsia="Times New Roman" w:hAnsi="Times New Roman"/>
          <w:sz w:val="16"/>
          <w:szCs w:val="16"/>
          <w:color w:val="auto"/>
        </w:rPr>
      </w:pPr>
    </w:p>
    <w:p>
      <w:pPr>
        <w:ind w:right="20" w:firstLine="374"/>
        <w:spacing w:after="0" w:line="238" w:lineRule="auto"/>
        <w:tabs>
          <w:tab w:leader="none" w:pos="59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Mortgage Indenture is in due and proper form, has been duly and validly authorized by all necessary corporate action, has been duly and validly executed and delivered, and is a valid instrument legally binding on the Company enforceable in accordance with its terms, except as enforcement thereof may be limited by bankruptcy, insolvency, reorganization, moratorium or other similar laws relating to or affecting enforcement of mortgagees’ or other creditors’ rights generally and by the effect of general principles of equity (regardless of whether enforceability is considered in a proceeding in equity or at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that certain remedial provisions of the Mortgage Indenture may not be enforceable, but such unenforceability will not render the Mortgage Indenture invalid as a whole or affect the judicial enforcement of (i) the obligation of the Company to repay the principal of the Bonds, together with the interest and any premium thereon, as provided in the Bonds, (ii) the acceleration of the obligation of the Company to repay such principal, together with such interest and premium, based upon a material default by the Company in the payment of such principal, interest or premium or (iii) the right of the Trustee to exercise its right to foreclose under the Mortgage Indenture.</w:t>
      </w:r>
    </w:p>
    <w:p>
      <w:pPr>
        <w:spacing w:after="0" w:line="170" w:lineRule="exact"/>
        <w:rPr>
          <w:rFonts w:ascii="Times New Roman" w:cs="Times New Roman" w:eastAsia="Times New Roman" w:hAnsi="Times New Roman"/>
          <w:sz w:val="16"/>
          <w:szCs w:val="16"/>
          <w:color w:val="auto"/>
        </w:rPr>
      </w:pPr>
    </w:p>
    <w:p>
      <w:pPr>
        <w:ind w:firstLine="374"/>
        <w:spacing w:after="0" w:line="278" w:lineRule="auto"/>
        <w:tabs>
          <w:tab w:leader="none" w:pos="60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Bonds are in due and proper form; the issue and sale of the Bonds by the Company in accordance with the terms of the Underwriting Agreement have been duly and validly approved by the necessary corporate action of the Company; the Bonds have been duly authorized, executed and delivered by the Company and, when authenticated by the Trustee in accordance with the terms of the Mortgage Indenture and delivered against payment therefor pursuant to the terms of the Underwriting Agreement, will constitute legal, valid and binding obligations of the Company enforceable in accordance with their terms, secured by the lien of and entitled to the benefits provided by the Mortgage Indenture, except as enforcement thereof may be limited by bankruptcy, insolvency, reorganization, moratorium or other similar laws relating to or affecting enforcement of mortgagees’ or other creditors’ rights generally and by the effect of general principles of equity (regardless of whether enforceability is considered in a proceeding in equity or at law).</w:t>
      </w:r>
    </w:p>
    <w:p>
      <w:pPr>
        <w:spacing w:after="0" w:line="147" w:lineRule="exact"/>
        <w:rPr>
          <w:rFonts w:ascii="Times New Roman" w:cs="Times New Roman" w:eastAsia="Times New Roman" w:hAnsi="Times New Roman"/>
          <w:sz w:val="14"/>
          <w:szCs w:val="14"/>
          <w:color w:val="auto"/>
        </w:rPr>
      </w:pPr>
    </w:p>
    <w:p>
      <w:pPr>
        <w:ind w:right="40" w:firstLine="374"/>
        <w:spacing w:after="0" w:line="299" w:lineRule="auto"/>
        <w:tabs>
          <w:tab w:leader="none" w:pos="59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to property acquired subsequent to the execution and delivery of the Supplemental Indenture, the Company has good and sufficient title to, or a satisfactory easement in, the Mortgaged Property (as such term is defined in the Mortgage Indenture) (except such property as may have been disposed of or released from the lien of the Mortgage Indenture in accordance with the terms thereof), subject only to (i) the lien of the Mortgage Indenture,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A-2-1</w:t>
      </w:r>
    </w:p>
    <w:p>
      <w:pPr>
        <w:sectPr>
          <w:pgSz w:w="11900" w:h="16840" w:orient="portrait"/>
          <w:cols w:equalWidth="0" w:num="1">
            <w:col w:w="9760"/>
          </w:cols>
          <w:pgMar w:left="1060" w:top="687" w:right="1080" w:bottom="1440" w:gutter="0" w:footer="0" w:header="0"/>
        </w:sectPr>
      </w:pPr>
    </w:p>
    <w:bookmarkStart w:id="41" w:name="page42"/>
    <w:bookmarkEnd w:id="41"/>
    <w:p>
      <w:pPr>
        <w:ind w:left="10" w:hanging="10"/>
        <w:spacing w:after="0" w:line="237" w:lineRule="auto"/>
        <w:tabs>
          <w:tab w:leader="none" w:pos="23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exceptions and reservations specifically set forth therein, (iii) Permitted Liens (as such term is defined in the Mortgage Indenture), (iv) leases and minor liens of judgments not prior to the lien of the Mortgage Indenture that, in my opinion, do not interfere with the Company’s business, (v) defects, irregularities and deficiencies in titles of properties and rights-of-way that, in my opinion, do not materially impair the use of such property and rights-of-way for the purposes for which they are held by the Company and (vi) matters specified in the Disclosure Package and the Prospectus under “Description of First Mortgage Bonds—Priority and Security;” the description in the Mortgage Indenture of such property is adequate to constitute the mortgage lien thereon; the Mortgage Indenture, subject only to the qualifications set forth in this paragraph (e) and to such other matters as do not materially affect the security for the Bonds, constitutes a valid, direct first mortgage lien on the Mortgaged Property, and all property (to the extent such property constitutes Mortgaged Property) acquired by the Company after the execution and delivery of the Supplemental Indenture will, upon such acquisition, become subject to the lien of the Mortgage Indenture to the extent provided therein, subject, however, to Permitted Liens and such other exceptions as are permitted by the Mortgage Indenture.</w:t>
      </w:r>
    </w:p>
    <w:p>
      <w:pPr>
        <w:spacing w:after="0" w:line="175" w:lineRule="exact"/>
        <w:rPr>
          <w:rFonts w:ascii="Times New Roman" w:cs="Times New Roman" w:eastAsia="Times New Roman" w:hAnsi="Times New Roman"/>
          <w:sz w:val="16"/>
          <w:szCs w:val="16"/>
          <w:color w:val="auto"/>
        </w:rPr>
      </w:pPr>
    </w:p>
    <w:p>
      <w:pPr>
        <w:ind w:left="10" w:right="100" w:firstLine="374"/>
        <w:spacing w:after="0" w:line="247" w:lineRule="auto"/>
        <w:tabs>
          <w:tab w:leader="none" w:pos="589"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Mortgage Indenture has been duly recorded and filed in each place in which such recording or filing is required to establish, protect and preserve the lien of the Mortgage Indenture on the Mortgaged Property, and all taxes and recording or filing fees required to be paid in connection with the execution, recording or filing of the Mortgage Indenture have been duly paid.</w:t>
      </w:r>
    </w:p>
    <w:p>
      <w:pPr>
        <w:spacing w:after="0" w:line="164" w:lineRule="exact"/>
        <w:rPr>
          <w:rFonts w:ascii="Times New Roman" w:cs="Times New Roman" w:eastAsia="Times New Roman" w:hAnsi="Times New Roman"/>
          <w:sz w:val="16"/>
          <w:szCs w:val="16"/>
          <w:color w:val="auto"/>
        </w:rPr>
      </w:pPr>
    </w:p>
    <w:p>
      <w:pPr>
        <w:ind w:left="10" w:firstLine="374"/>
        <w:spacing w:after="0" w:line="238" w:lineRule="auto"/>
        <w:tabs>
          <w:tab w:leader="none" w:pos="61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Subsidiary has been duly organized and is validly existing as a corporation in good standing under the laws of the jurisdiction of its incorporation, has the corporate power and authority to own, lease and operate its properties and to conduct its business as described in the Disclosure Package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Change; except as otherwise disclosed in the Disclosure Package and the Prospectus, all of the issued and outstanding shares of capital stock of the Subsidiary have been duly authorized and validly issued, are fully paid and non-assessable and, to the best of such counsel’s knowledge, such shares of capital stock are owned directly by the Company free and clear of any security interest, mortgage, pledge, lien, encumbrance or claim; and none of the outstanding shares of capital stock of the Subsidiary was issued in violation of preemptive or other similar rights of any securityholder of the Subsidiary.</w:t>
      </w:r>
    </w:p>
    <w:p>
      <w:pPr>
        <w:spacing w:after="0" w:line="170" w:lineRule="exact"/>
        <w:rPr>
          <w:rFonts w:ascii="Times New Roman" w:cs="Times New Roman" w:eastAsia="Times New Roman" w:hAnsi="Times New Roman"/>
          <w:sz w:val="16"/>
          <w:szCs w:val="16"/>
          <w:color w:val="auto"/>
        </w:rPr>
      </w:pPr>
    </w:p>
    <w:p>
      <w:pPr>
        <w:ind w:left="10" w:right="260" w:firstLine="374"/>
        <w:spacing w:after="0" w:line="241" w:lineRule="auto"/>
        <w:tabs>
          <w:tab w:leader="none" w:pos="61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obtained all necessary consents, orders or approvals in connection with the issuance and sale of the Bonds. No additional consent, approval, authorization, filing with or order of (i) the Federal Energy Regulatory Commission under the Federal Power Act, (ii) the State Corporation Commission of the State of Kansas or (iii) to the knowledge of the Company, any court or governmental agency or body is required in connection with the transactions contemplated by the Underwriting Agreement or the Mortgage Indenture, except as may be required under securities or blue sky laws of the various states.</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A-2-2</w:t>
      </w:r>
    </w:p>
    <w:p>
      <w:pPr>
        <w:sectPr>
          <w:pgSz w:w="11900" w:h="16840" w:orient="portrait"/>
          <w:cols w:equalWidth="0" w:num="1">
            <w:col w:w="9770"/>
          </w:cols>
          <w:pgMar w:left="1050" w:top="689" w:right="1080" w:bottom="1440" w:gutter="0" w:footer="0" w:header="0"/>
        </w:sectPr>
      </w:pPr>
    </w:p>
    <w:bookmarkStart w:id="42" w:name="page43"/>
    <w:bookmarkEnd w:id="42"/>
    <w:p>
      <w:pPr>
        <w:ind w:firstLine="374"/>
        <w:spacing w:after="0" w:line="243" w:lineRule="auto"/>
        <w:tabs>
          <w:tab w:leader="none" w:pos="57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Company and the Subsidiary hold, to the extent required, valid and subsisting franchises, certificates of convenience and authority, licenses and permits authorizing them to carry on the regulated utility businesses in which they are engaged, in the territories from which substantially all of their consolidated gross operating revenue is derived, except where the failure to hold such franchises, certificates of convenience and authority, licenses and permits would not reasonably be expected to result in a Material Adverse Change.</w:t>
      </w:r>
    </w:p>
    <w:p>
      <w:pPr>
        <w:spacing w:after="0" w:line="167" w:lineRule="exact"/>
        <w:rPr>
          <w:rFonts w:ascii="Times New Roman" w:cs="Times New Roman" w:eastAsia="Times New Roman" w:hAnsi="Times New Roman"/>
          <w:sz w:val="16"/>
          <w:szCs w:val="16"/>
          <w:color w:val="auto"/>
        </w:rPr>
      </w:pPr>
    </w:p>
    <w:p>
      <w:pPr>
        <w:ind w:right="120" w:firstLine="374"/>
        <w:spacing w:after="0" w:line="241" w:lineRule="auto"/>
        <w:tabs>
          <w:tab w:leader="none" w:pos="57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best of such counsel’s knowledge, there are no legal or governmental proceedings pending or threatened that are required to be disclosed in the Disclosure Package and the Prospectus, other than those disclosed therein, and all pending legal or governmental proceedings to which the Company or any of its subsidiaries is a party or of which any of their property is the subject that are not described in the Disclosure Package and the Prospectus, including ordinary routine litigation incidental to the business of the Company, are, considered in the aggregate, not material to the consolidated financial condition of the Company and its subsidiaries, taken as a whole.</w:t>
      </w:r>
    </w:p>
    <w:p>
      <w:pPr>
        <w:spacing w:after="0" w:line="168" w:lineRule="exact"/>
        <w:rPr>
          <w:rFonts w:ascii="Times New Roman" w:cs="Times New Roman" w:eastAsia="Times New Roman" w:hAnsi="Times New Roman"/>
          <w:sz w:val="16"/>
          <w:szCs w:val="16"/>
          <w:color w:val="auto"/>
        </w:rPr>
      </w:pPr>
    </w:p>
    <w:p>
      <w:pPr>
        <w:ind w:right="20" w:firstLine="374"/>
        <w:spacing w:after="0" w:line="331" w:lineRule="auto"/>
        <w:tabs>
          <w:tab w:leader="none" w:pos="60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best of such counsel’s knowledge, the Company is not in violation of its Amended and Restated Articles of Incorporation, as amended, or in default in the performance or observance of any material obligation, agreement, covenant or condition contained in any material Agreement or Instrument.</w:t>
      </w:r>
    </w:p>
    <w:p>
      <w:pPr>
        <w:spacing w:after="0" w:line="108" w:lineRule="exact"/>
        <w:rPr>
          <w:rFonts w:ascii="Times New Roman" w:cs="Times New Roman" w:eastAsia="Times New Roman" w:hAnsi="Times New Roman"/>
          <w:sz w:val="14"/>
          <w:szCs w:val="14"/>
          <w:color w:val="auto"/>
        </w:rPr>
      </w:pPr>
    </w:p>
    <w:p>
      <w:pPr>
        <w:ind w:right="40" w:firstLine="374"/>
        <w:spacing w:after="0" w:line="238" w:lineRule="auto"/>
        <w:tabs>
          <w:tab w:leader="none" w:pos="57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of the Underwriting Agreement, the Mortgage Indenture and the Bonds and the consummation of the transactions contemplated therein (including the issuance and sale of the Bonds and the use of the proceeds received by the Company from the sale of the Bonds as described in the Disclosure Package and in the Prospectus under the caption “Use of Proceeds”) and compliance by the Company with its obligations under the Underwriting Agreement, the Mortgage Indenture and the Bonds do not and will not conflict with or violate or constitute a breach of, or default under, or result in the creation or imposition of any lien, charge or encumbrance (other than the lien of the Mortgage Indenture) upon any property or assets of the Company or the Subsidiary pursuant to any material Agreement or Instrument or any law, any regulation or any administrative or court order or decree known to such counsel to be applicable to the Company of any court or governmental agency, authority or body or any arbitrator having jurisdiction over the Company; nor will such action result in any violation of the provisions of the Company’s Amended and Restated Articles of Incorporation, as amended, or the Company’s Amended and Restated By-Laws, as amended.</w:t>
      </w:r>
    </w:p>
    <w:p>
      <w:pPr>
        <w:spacing w:after="0" w:line="170" w:lineRule="exact"/>
        <w:rPr>
          <w:rFonts w:ascii="Times New Roman" w:cs="Times New Roman" w:eastAsia="Times New Roman" w:hAnsi="Times New Roman"/>
          <w:sz w:val="16"/>
          <w:szCs w:val="16"/>
          <w:color w:val="auto"/>
        </w:rPr>
      </w:pPr>
    </w:p>
    <w:p>
      <w:pPr>
        <w:ind w:firstLine="374"/>
        <w:spacing w:after="0" w:line="239" w:lineRule="auto"/>
        <w:tabs>
          <w:tab w:leader="none" w:pos="64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best of such counsel’s knowledge, there are no contracts, indentures, mortgages, loan agreements, notes, leases or other instruments or documents required to be described or referred to in the Disclosure Package or the Prospectus or to be filed as exhibits or incorporated by reference as exhibits to the Registration Statement other than those described or referred to therein or filed or incorporated by reference as exhibits to the Registration Statement, the descriptions thereof or references thereto are correct in all material respects, and no default exists in the due performance or observance of any material obligation, agreement, covenant or condition contained in any Agreement or Instrument described, referred to, filed or incorporated by reference therein.</w:t>
      </w:r>
    </w:p>
    <w:p>
      <w:pPr>
        <w:spacing w:after="0" w:line="173" w:lineRule="exact"/>
        <w:rPr>
          <w:sz w:val="20"/>
          <w:szCs w:val="20"/>
          <w:color w:val="auto"/>
        </w:rPr>
      </w:pPr>
    </w:p>
    <w:p>
      <w:pPr>
        <w:ind w:right="180" w:firstLine="384"/>
        <w:spacing w:after="0" w:line="259" w:lineRule="auto"/>
        <w:rPr>
          <w:sz w:val="20"/>
          <w:szCs w:val="20"/>
          <w:color w:val="auto"/>
        </w:rPr>
      </w:pPr>
      <w:r>
        <w:rPr>
          <w:rFonts w:ascii="Times New Roman" w:cs="Times New Roman" w:eastAsia="Times New Roman" w:hAnsi="Times New Roman"/>
          <w:sz w:val="16"/>
          <w:szCs w:val="16"/>
          <w:color w:val="auto"/>
        </w:rPr>
        <w:t>In rendering such opinion, such counsel may state that such counsel expresses no opinion as to the laws of any jurisdiction other than the laws of the State of Kansas and the federal laws of the United States of America.</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A-2-3</w:t>
      </w:r>
    </w:p>
    <w:p>
      <w:pPr>
        <w:sectPr>
          <w:pgSz w:w="11900" w:h="16840" w:orient="portrait"/>
          <w:cols w:equalWidth="0" w:num="1">
            <w:col w:w="9820"/>
          </w:cols>
          <w:pgMar w:left="1060" w:top="689" w:right="102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159385</wp:posOffset>
            </wp:positionV>
            <wp:extent cx="621982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197485</wp:posOffset>
            </wp:positionV>
            <wp:extent cx="621982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18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8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THE BANK OF NEW YORK MELLON TRUST COMPANY, N.A.</w:t>
      </w:r>
    </w:p>
    <w:p>
      <w:pPr>
        <w:spacing w:after="0" w:line="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as Trustee</w:t>
      </w:r>
    </w:p>
    <w:p>
      <w:pPr>
        <w:spacing w:after="0" w:line="16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(as Successor to</w:t>
      </w:r>
    </w:p>
    <w:p>
      <w:pPr>
        <w:spacing w:after="0" w:line="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HARRIS TRUST AND SAVINGS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200025</wp:posOffset>
            </wp:positionV>
            <wp:extent cx="13036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b w:val="1"/>
          <w:bCs w:val="1"/>
          <w:color w:val="auto"/>
        </w:rPr>
        <w:t>FIFTY-THIRD SUPPLEMENTAL (REOPENING) INDENTURE</w:t>
      </w:r>
    </w:p>
    <w:p>
      <w:pPr>
        <w:spacing w:after="0" w:line="18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 Original Mortgage Filed with Shawnee County Register of Deeds</w:t>
      </w:r>
    </w:p>
    <w:p>
      <w:pPr>
        <w:spacing w:after="0" w:line="21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on July 1, 1939, at Book 778 Page 216</w:t>
      </w:r>
    </w:p>
    <w:p>
      <w:pPr>
        <w:spacing w:after="0" w:line="1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Dated as of December 5, 2025</w:t>
      </w:r>
    </w:p>
    <w:p>
      <w:pPr>
        <w:spacing w:after="0" w:line="1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First Mortgage Bonds, 5.25% Series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146685</wp:posOffset>
            </wp:positionV>
            <wp:extent cx="621982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184785</wp:posOffset>
            </wp:positionV>
            <wp:extent cx="621982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400"/>
          </w:cols>
          <w:pgMar w:left="1440" w:top="555" w:right="106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5"/>
        </w:trPr>
        <w:tc>
          <w:tcPr>
            <w:tcW w:w="3860" w:type="dxa"/>
            <w:vAlign w:val="bottom"/>
          </w:tcPr>
          <w:p>
            <w:pPr>
              <w:spacing w:after="0"/>
              <w:rPr>
                <w:sz w:val="17"/>
                <w:szCs w:val="17"/>
                <w:color w:val="auto"/>
              </w:rPr>
            </w:pPr>
          </w:p>
        </w:tc>
        <w:tc>
          <w:tcPr>
            <w:tcW w:w="5600" w:type="dxa"/>
            <w:vAlign w:val="bottom"/>
            <w:gridSpan w:val="2"/>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4"/>
        </w:trPr>
        <w:tc>
          <w:tcPr>
            <w:tcW w:w="386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4"/>
                <w:szCs w:val="24"/>
                <w:color w:val="auto"/>
              </w:rPr>
            </w:pPr>
          </w:p>
        </w:tc>
      </w:tr>
      <w:tr>
        <w:trPr>
          <w:trHeight w:val="180"/>
        </w:trPr>
        <w:tc>
          <w:tcPr>
            <w:tcW w:w="94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r>
      <w:tr>
        <w:trPr>
          <w:trHeight w:val="180"/>
        </w:trPr>
        <w:tc>
          <w:tcPr>
            <w:tcW w:w="94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Granting Clause</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r>
      <w:tr>
        <w:trPr>
          <w:trHeight w:val="180"/>
        </w:trPr>
        <w:tc>
          <w:tcPr>
            <w:tcW w:w="94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Habendum</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5"/>
                <w:szCs w:val="15"/>
                <w:color w:val="auto"/>
              </w:rPr>
            </w:pPr>
          </w:p>
        </w:tc>
      </w:tr>
      <w:tr>
        <w:trPr>
          <w:trHeight w:val="203"/>
        </w:trPr>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Exceptions and Reservations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7"/>
                <w:szCs w:val="17"/>
                <w:color w:val="auto"/>
              </w:rPr>
            </w:pPr>
          </w:p>
        </w:tc>
      </w:tr>
      <w:tr>
        <w:trPr>
          <w:trHeight w:val="374"/>
        </w:trPr>
        <w:tc>
          <w:tcPr>
            <w:tcW w:w="3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w:t>
            </w:r>
            <w:r>
              <w:rPr>
                <w:rFonts w:ascii="Times New Roman" w:cs="Times New Roman" w:eastAsia="Times New Roman" w:hAnsi="Times New Roman"/>
                <w:sz w:val="10"/>
                <w:szCs w:val="10"/>
                <w:color w:val="auto"/>
              </w:rPr>
              <w:t>AGE</w:t>
            </w:r>
          </w:p>
        </w:tc>
      </w:tr>
      <w:tr>
        <w:trPr>
          <w:trHeight w:val="243"/>
        </w:trPr>
        <w:tc>
          <w:tcPr>
            <w:tcW w:w="3860" w:type="dxa"/>
            <w:vAlign w:val="bottom"/>
          </w:tcPr>
          <w:p>
            <w:pPr>
              <w:spacing w:after="0"/>
              <w:rPr>
                <w:sz w:val="21"/>
                <w:szCs w:val="21"/>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6"/>
              </w:rPr>
              <w:t>ARTICLE I</w:t>
            </w:r>
          </w:p>
        </w:tc>
        <w:tc>
          <w:tcPr>
            <w:tcW w:w="2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9460" w:type="dxa"/>
            <w:vAlign w:val="bottom"/>
            <w:gridSpan w:val="3"/>
          </w:tcPr>
          <w:p>
            <w:pPr>
              <w:jc w:val="center"/>
              <w:ind w:left="202"/>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ESCRIPTION OF</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ONDS OF THE</w:t>
            </w:r>
            <w:r>
              <w:rPr>
                <w:rFonts w:ascii="Times New Roman" w:cs="Times New Roman" w:eastAsia="Times New Roman" w:hAnsi="Times New Roman"/>
                <w:sz w:val="16"/>
                <w:szCs w:val="16"/>
                <w:color w:val="auto"/>
              </w:rPr>
              <w:t xml:space="preserve"> 5.25% S</w:t>
            </w:r>
            <w:r>
              <w:rPr>
                <w:rFonts w:ascii="Times New Roman" w:cs="Times New Roman" w:eastAsia="Times New Roman" w:hAnsi="Times New Roman"/>
                <w:sz w:val="13"/>
                <w:szCs w:val="13"/>
                <w:color w:val="auto"/>
              </w:rPr>
              <w:t>ERIES DUE</w:t>
            </w:r>
            <w:r>
              <w:rPr>
                <w:rFonts w:ascii="Times New Roman" w:cs="Times New Roman" w:eastAsia="Times New Roman" w:hAnsi="Times New Roman"/>
                <w:sz w:val="16"/>
                <w:szCs w:val="16"/>
                <w:color w:val="auto"/>
              </w:rPr>
              <w:t xml:space="preserve"> 2035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1"/>
        </w:trPr>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Terms of the Reopening Bonds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21"/>
                <w:szCs w:val="21"/>
                <w:color w:val="auto"/>
              </w:rPr>
            </w:pPr>
          </w:p>
        </w:tc>
      </w:tr>
      <w:tr>
        <w:trPr>
          <w:trHeight w:val="180"/>
        </w:trPr>
        <w:tc>
          <w:tcPr>
            <w:tcW w:w="94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i w:val="1"/>
                <w:iCs w:val="1"/>
                <w:color w:val="auto"/>
              </w:rPr>
              <w:t>Denominations of Bonds of the 5.25% Series due 2035 and Privilege of Exchange</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5"/>
                <w:szCs w:val="15"/>
                <w:color w:val="auto"/>
              </w:rPr>
            </w:pPr>
          </w:p>
        </w:tc>
      </w:tr>
      <w:tr>
        <w:trPr>
          <w:trHeight w:val="180"/>
        </w:trPr>
        <w:tc>
          <w:tcPr>
            <w:tcW w:w="94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i w:val="1"/>
                <w:iCs w:val="1"/>
                <w:color w:val="auto"/>
              </w:rPr>
              <w:t>Form of Bonds of the 5.25% Series due 2035</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5"/>
                <w:szCs w:val="15"/>
                <w:color w:val="auto"/>
              </w:rPr>
            </w:pPr>
          </w:p>
        </w:tc>
      </w:tr>
      <w:tr>
        <w:trPr>
          <w:trHeight w:val="205"/>
        </w:trPr>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i w:val="1"/>
                <w:iCs w:val="1"/>
                <w:color w:val="auto"/>
              </w:rPr>
              <w:t>Execution and Form of Temporary Reopening Bonds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r>
      <w:tr>
        <w:trPr>
          <w:trHeight w:val="253"/>
        </w:trPr>
        <w:tc>
          <w:tcPr>
            <w:tcW w:w="3860" w:type="dxa"/>
            <w:vAlign w:val="bottom"/>
          </w:tcPr>
          <w:p>
            <w:pPr>
              <w:spacing w:after="0"/>
              <w:rPr>
                <w:sz w:val="22"/>
                <w:szCs w:val="22"/>
                <w:color w:val="auto"/>
              </w:rPr>
            </w:pPr>
          </w:p>
        </w:tc>
        <w:tc>
          <w:tcPr>
            <w:tcW w:w="5600" w:type="dxa"/>
            <w:vAlign w:val="bottom"/>
            <w:gridSpan w:val="2"/>
          </w:tcPr>
          <w:p>
            <w:pPr>
              <w:jc w:val="center"/>
              <w:ind w:right="3600"/>
              <w:spacing w:after="0"/>
              <w:rPr>
                <w:sz w:val="20"/>
                <w:szCs w:val="20"/>
                <w:color w:val="auto"/>
              </w:rPr>
            </w:pPr>
            <w:r>
              <w:rPr>
                <w:rFonts w:ascii="Times New Roman" w:cs="Times New Roman" w:eastAsia="Times New Roman" w:hAnsi="Times New Roman"/>
                <w:sz w:val="16"/>
                <w:szCs w:val="16"/>
                <w:color w:val="auto"/>
                <w:w w:val="97"/>
              </w:rPr>
              <w:t>ARTICLE II</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9460" w:type="dxa"/>
            <w:vAlign w:val="bottom"/>
            <w:gridSpan w:val="3"/>
          </w:tcPr>
          <w:p>
            <w:pPr>
              <w:jc w:val="center"/>
              <w:ind w:left="202"/>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3"/>
                <w:szCs w:val="13"/>
                <w:color w:val="auto"/>
              </w:rPr>
              <w:t>SSUE OF</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ONDS OF THE</w:t>
            </w:r>
            <w:r>
              <w:rPr>
                <w:rFonts w:ascii="Times New Roman" w:cs="Times New Roman" w:eastAsia="Times New Roman" w:hAnsi="Times New Roman"/>
                <w:sz w:val="16"/>
                <w:szCs w:val="16"/>
                <w:color w:val="auto"/>
              </w:rPr>
              <w:t xml:space="preserve"> 5.25% S</w:t>
            </w:r>
            <w:r>
              <w:rPr>
                <w:rFonts w:ascii="Times New Roman" w:cs="Times New Roman" w:eastAsia="Times New Roman" w:hAnsi="Times New Roman"/>
                <w:sz w:val="13"/>
                <w:szCs w:val="13"/>
                <w:color w:val="auto"/>
              </w:rPr>
              <w:t>ERIES DUE</w:t>
            </w:r>
            <w:r>
              <w:rPr>
                <w:rFonts w:ascii="Times New Roman" w:cs="Times New Roman" w:eastAsia="Times New Roman" w:hAnsi="Times New Roman"/>
                <w:sz w:val="16"/>
                <w:szCs w:val="16"/>
                <w:color w:val="auto"/>
              </w:rPr>
              <w:t xml:space="preserve"> 2035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1"/>
        </w:trPr>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Limitation as to Principal Amount of Bonds of the 5.25% Series due 2035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21"/>
                <w:szCs w:val="21"/>
                <w:color w:val="auto"/>
              </w:rPr>
            </w:pPr>
          </w:p>
        </w:tc>
      </w:tr>
      <w:tr>
        <w:trPr>
          <w:trHeight w:val="180"/>
        </w:trPr>
        <w:tc>
          <w:tcPr>
            <w:tcW w:w="946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i w:val="1"/>
                <w:iCs w:val="1"/>
                <w:color w:val="auto"/>
              </w:rPr>
              <w:t>Execution and Delivery of Bonds of the 5.25% Series due 2035</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5"/>
                <w:szCs w:val="15"/>
                <w:color w:val="auto"/>
              </w:rPr>
            </w:pPr>
          </w:p>
        </w:tc>
      </w:tr>
      <w:tr>
        <w:trPr>
          <w:trHeight w:val="205"/>
        </w:trPr>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i w:val="1"/>
                <w:iCs w:val="1"/>
                <w:color w:val="auto"/>
              </w:rPr>
              <w:t>Additional Bonds of the 5.25% Series due 2035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r>
      <w:tr>
        <w:trPr>
          <w:trHeight w:val="253"/>
        </w:trPr>
        <w:tc>
          <w:tcPr>
            <w:tcW w:w="3860" w:type="dxa"/>
            <w:vAlign w:val="bottom"/>
          </w:tcPr>
          <w:p>
            <w:pPr>
              <w:spacing w:after="0"/>
              <w:rPr>
                <w:sz w:val="22"/>
                <w:szCs w:val="22"/>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8"/>
              </w:rPr>
              <w:t>ARTICLE III</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9460" w:type="dxa"/>
            <w:vAlign w:val="bottom"/>
            <w:gridSpan w:val="3"/>
          </w:tcPr>
          <w:p>
            <w:pPr>
              <w:jc w:val="center"/>
              <w:ind w:left="202"/>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EDEMPTION AND</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UBSTITUTION OF</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ONDS OF THE</w:t>
            </w:r>
            <w:r>
              <w:rPr>
                <w:rFonts w:ascii="Times New Roman" w:cs="Times New Roman" w:eastAsia="Times New Roman" w:hAnsi="Times New Roman"/>
                <w:sz w:val="16"/>
                <w:szCs w:val="16"/>
                <w:color w:val="auto"/>
              </w:rPr>
              <w:t xml:space="preserve"> 5.25% S</w:t>
            </w:r>
            <w:r>
              <w:rPr>
                <w:rFonts w:ascii="Times New Roman" w:cs="Times New Roman" w:eastAsia="Times New Roman" w:hAnsi="Times New Roman"/>
                <w:sz w:val="13"/>
                <w:szCs w:val="13"/>
                <w:color w:val="auto"/>
              </w:rPr>
              <w:t>ERIES DUE</w:t>
            </w:r>
            <w:r>
              <w:rPr>
                <w:rFonts w:ascii="Times New Roman" w:cs="Times New Roman" w:eastAsia="Times New Roman" w:hAnsi="Times New Roman"/>
                <w:sz w:val="16"/>
                <w:szCs w:val="16"/>
                <w:color w:val="auto"/>
              </w:rPr>
              <w:t xml:space="preserve"> 2035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1"/>
        </w:trPr>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Optional Redemption of Bonds of the 5.25% Series due 2035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1"/>
                <w:szCs w:val="21"/>
                <w:color w:val="auto"/>
              </w:rPr>
            </w:pPr>
          </w:p>
        </w:tc>
      </w:tr>
      <w:tr>
        <w:trPr>
          <w:trHeight w:val="205"/>
        </w:trPr>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i w:val="1"/>
                <w:iCs w:val="1"/>
                <w:color w:val="auto"/>
              </w:rPr>
              <w:t>Substitution of Bonds of the 5.25% Series due 2035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7"/>
                <w:szCs w:val="17"/>
                <w:color w:val="auto"/>
              </w:rPr>
            </w:pPr>
          </w:p>
        </w:tc>
      </w:tr>
      <w:tr>
        <w:trPr>
          <w:trHeight w:val="253"/>
        </w:trPr>
        <w:tc>
          <w:tcPr>
            <w:tcW w:w="3860" w:type="dxa"/>
            <w:vAlign w:val="bottom"/>
          </w:tcPr>
          <w:p>
            <w:pPr>
              <w:spacing w:after="0"/>
              <w:rPr>
                <w:sz w:val="22"/>
                <w:szCs w:val="22"/>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7"/>
              </w:rPr>
              <w:t>ARTICLE IV</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3860" w:type="dxa"/>
            <w:vAlign w:val="bottom"/>
          </w:tcPr>
          <w:p>
            <w:pPr>
              <w:spacing w:after="0"/>
              <w:rPr>
                <w:sz w:val="17"/>
                <w:szCs w:val="17"/>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3"/>
                <w:szCs w:val="13"/>
                <w:color w:val="auto"/>
              </w:rPr>
              <w:t>DDITIONAL</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OVENANTS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6"/>
        </w:trPr>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Covenants of the Fifty-Third Supplemental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4"/>
                <w:szCs w:val="24"/>
                <w:color w:val="auto"/>
              </w:rPr>
            </w:pPr>
          </w:p>
        </w:tc>
      </w:tr>
      <w:tr>
        <w:trPr>
          <w:trHeight w:val="253"/>
        </w:trPr>
        <w:tc>
          <w:tcPr>
            <w:tcW w:w="3860" w:type="dxa"/>
            <w:vAlign w:val="bottom"/>
          </w:tcPr>
          <w:p>
            <w:pPr>
              <w:spacing w:after="0"/>
              <w:rPr>
                <w:sz w:val="22"/>
                <w:szCs w:val="22"/>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8"/>
              </w:rPr>
              <w:t>ARTICLE V</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9460" w:type="dxa"/>
            <w:vAlign w:val="bottom"/>
            <w:gridSpan w:val="3"/>
          </w:tcPr>
          <w:p>
            <w:pPr>
              <w:jc w:val="center"/>
              <w:ind w:left="202"/>
              <w:spacing w:after="0"/>
              <w:rPr>
                <w:sz w:val="20"/>
                <w:szCs w:val="20"/>
                <w:color w:val="auto"/>
              </w:rPr>
            </w:pPr>
            <w:r>
              <w:rPr>
                <w:rFonts w:ascii="Times New Roman" w:cs="Times New Roman" w:eastAsia="Times New Roman" w:hAnsi="Times New Roman"/>
                <w:sz w:val="16"/>
                <w:szCs w:val="16"/>
                <w:color w:val="auto"/>
                <w:w w:val="99"/>
              </w:rPr>
              <w:t>R</w:t>
            </w:r>
            <w:r>
              <w:rPr>
                <w:rFonts w:ascii="Times New Roman" w:cs="Times New Roman" w:eastAsia="Times New Roman" w:hAnsi="Times New Roman"/>
                <w:sz w:val="13"/>
                <w:szCs w:val="13"/>
                <w:color w:val="auto"/>
                <w:w w:val="99"/>
              </w:rPr>
              <w:t>ESERVATIONS</w:t>
            </w:r>
            <w:r>
              <w:rPr>
                <w:rFonts w:ascii="Times New Roman" w:cs="Times New Roman" w:eastAsia="Times New Roman" w:hAnsi="Times New Roman"/>
                <w:sz w:val="16"/>
                <w:szCs w:val="16"/>
                <w:color w:val="auto"/>
                <w:w w:val="99"/>
              </w:rPr>
              <w:t xml:space="preserve"> O</w:t>
            </w:r>
            <w:r>
              <w:rPr>
                <w:rFonts w:ascii="Times New Roman" w:cs="Times New Roman" w:eastAsia="Times New Roman" w:hAnsi="Times New Roman"/>
                <w:sz w:val="13"/>
                <w:szCs w:val="13"/>
                <w:color w:val="auto"/>
                <w:w w:val="99"/>
              </w:rPr>
              <w:t>F</w:t>
            </w:r>
            <w:r>
              <w:rPr>
                <w:rFonts w:ascii="Times New Roman" w:cs="Times New Roman" w:eastAsia="Times New Roman" w:hAnsi="Times New Roman"/>
                <w:sz w:val="16"/>
                <w:szCs w:val="16"/>
                <w:color w:val="auto"/>
                <w:w w:val="99"/>
              </w:rPr>
              <w:t xml:space="preserve"> R</w:t>
            </w:r>
            <w:r>
              <w:rPr>
                <w:rFonts w:ascii="Times New Roman" w:cs="Times New Roman" w:eastAsia="Times New Roman" w:hAnsi="Times New Roman"/>
                <w:sz w:val="13"/>
                <w:szCs w:val="13"/>
                <w:color w:val="auto"/>
                <w:w w:val="99"/>
              </w:rPr>
              <w:t>IGHTS</w:t>
            </w:r>
            <w:r>
              <w:rPr>
                <w:rFonts w:ascii="Times New Roman" w:cs="Times New Roman" w:eastAsia="Times New Roman" w:hAnsi="Times New Roman"/>
                <w:sz w:val="16"/>
                <w:szCs w:val="16"/>
                <w:color w:val="auto"/>
                <w:w w:val="99"/>
              </w:rPr>
              <w:t xml:space="preserve"> T</w:t>
            </w:r>
            <w:r>
              <w:rPr>
                <w:rFonts w:ascii="Times New Roman" w:cs="Times New Roman" w:eastAsia="Times New Roman" w:hAnsi="Times New Roman"/>
                <w:sz w:val="13"/>
                <w:szCs w:val="13"/>
                <w:color w:val="auto"/>
                <w:w w:val="99"/>
              </w:rPr>
              <w:t>O</w:t>
            </w:r>
            <w:r>
              <w:rPr>
                <w:rFonts w:ascii="Times New Roman" w:cs="Times New Roman" w:eastAsia="Times New Roman" w:hAnsi="Times New Roman"/>
                <w:sz w:val="16"/>
                <w:szCs w:val="16"/>
                <w:color w:val="auto"/>
                <w:w w:val="99"/>
              </w:rPr>
              <w:t xml:space="preserve"> A</w:t>
            </w:r>
            <w:r>
              <w:rPr>
                <w:rFonts w:ascii="Times New Roman" w:cs="Times New Roman" w:eastAsia="Times New Roman" w:hAnsi="Times New Roman"/>
                <w:sz w:val="13"/>
                <w:szCs w:val="13"/>
                <w:color w:val="auto"/>
                <w:w w:val="99"/>
              </w:rPr>
              <w:t>MEND</w:t>
            </w:r>
            <w:r>
              <w:rPr>
                <w:rFonts w:ascii="Times New Roman" w:cs="Times New Roman" w:eastAsia="Times New Roman" w:hAnsi="Times New Roman"/>
                <w:sz w:val="16"/>
                <w:szCs w:val="16"/>
                <w:color w:val="auto"/>
                <w:w w:val="99"/>
              </w:rPr>
              <w:t xml:space="preserve"> T</w:t>
            </w:r>
            <w:r>
              <w:rPr>
                <w:rFonts w:ascii="Times New Roman" w:cs="Times New Roman" w:eastAsia="Times New Roman" w:hAnsi="Times New Roman"/>
                <w:sz w:val="13"/>
                <w:szCs w:val="13"/>
                <w:color w:val="auto"/>
                <w:w w:val="99"/>
              </w:rPr>
              <w:t>HE</w:t>
            </w:r>
            <w:r>
              <w:rPr>
                <w:rFonts w:ascii="Times New Roman" w:cs="Times New Roman" w:eastAsia="Times New Roman" w:hAnsi="Times New Roman"/>
                <w:sz w:val="16"/>
                <w:szCs w:val="16"/>
                <w:color w:val="auto"/>
                <w:w w:val="99"/>
              </w:rPr>
              <w:t xml:space="preserve"> O</w:t>
            </w:r>
            <w:r>
              <w:rPr>
                <w:rFonts w:ascii="Times New Roman" w:cs="Times New Roman" w:eastAsia="Times New Roman" w:hAnsi="Times New Roman"/>
                <w:sz w:val="13"/>
                <w:szCs w:val="13"/>
                <w:color w:val="auto"/>
                <w:w w:val="99"/>
              </w:rPr>
              <w:t>RIGINAL</w:t>
            </w:r>
            <w:r>
              <w:rPr>
                <w:rFonts w:ascii="Times New Roman" w:cs="Times New Roman" w:eastAsia="Times New Roman" w:hAnsi="Times New Roman"/>
                <w:sz w:val="16"/>
                <w:szCs w:val="16"/>
                <w:color w:val="auto"/>
                <w:w w:val="99"/>
              </w:rPr>
              <w:t xml:space="preserve"> I</w:t>
            </w:r>
            <w:r>
              <w:rPr>
                <w:rFonts w:ascii="Times New Roman" w:cs="Times New Roman" w:eastAsia="Times New Roman" w:hAnsi="Times New Roman"/>
                <w:sz w:val="13"/>
                <w:szCs w:val="13"/>
                <w:color w:val="auto"/>
                <w:w w:val="99"/>
              </w:rPr>
              <w:t>NDENTURE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6"/>
        </w:trPr>
        <w:tc>
          <w:tcPr>
            <w:tcW w:w="9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Modernization of the Original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4"/>
                <w:szCs w:val="24"/>
                <w:color w:val="auto"/>
              </w:rPr>
            </w:pPr>
          </w:p>
        </w:tc>
      </w:tr>
    </w:tbl>
    <w:p>
      <w:pPr>
        <w:spacing w:after="0"/>
        <w:rPr>
          <w:sz w:val="20"/>
          <w:szCs w:val="20"/>
          <w:color w:val="auto"/>
        </w:rPr>
        <w:sectPr>
          <w:pgSz w:w="11900" w:h="16840" w:orient="portrait"/>
          <w:cols w:equalWidth="0" w:num="1">
            <w:col w:w="9760"/>
          </w:cols>
          <w:pgMar w:left="1060" w:top="687" w:right="108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45" w:name="page46"/>
    <w:bookmarkEnd w:id="45"/>
    <w:p>
      <w:pPr>
        <w:jc w:val="center"/>
        <w:ind w:right="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VI</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3"/>
          <w:szCs w:val="13"/>
          <w:color w:val="auto"/>
        </w:rPr>
        <w:t>ISCELLANEOUS</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3"/>
          <w:szCs w:val="13"/>
          <w:color w:val="auto"/>
        </w:rPr>
        <w:t>ROVISIONS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Acceptance of Trust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80"/>
        </w:trPr>
        <w:tc>
          <w:tcPr>
            <w:tcW w:w="7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i w:val="1"/>
                <w:iCs w:val="1"/>
                <w:color w:val="auto"/>
              </w:rPr>
              <w:t>Responsibility and Duty of Trustee</w:t>
            </w: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r>
      <w:tr>
        <w:trPr>
          <w:trHeight w:val="180"/>
        </w:trPr>
        <w:tc>
          <w:tcPr>
            <w:tcW w:w="7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i w:val="1"/>
                <w:iCs w:val="1"/>
                <w:color w:val="auto"/>
              </w:rPr>
              <w:t>Parties to Include Successors and Assigns</w:t>
            </w: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7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i w:val="1"/>
                <w:iCs w:val="1"/>
                <w:color w:val="auto"/>
              </w:rPr>
              <w:t>Benefits Restricted to Parties and to Holders of Bonds and Coupons</w:t>
            </w: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7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i w:val="1"/>
                <w:iCs w:val="1"/>
                <w:color w:val="auto"/>
              </w:rPr>
              <w:t>Execution in Counterparts</w:t>
            </w: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w:t>
            </w:r>
          </w:p>
        </w:tc>
        <w:tc>
          <w:tcPr>
            <w:tcW w:w="6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Titles of Articles Not Part of the Fifty-Third Supplemental (Reopening) Indenture</w:t>
            </w: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7.</w:t>
            </w:r>
          </w:p>
        </w:tc>
        <w:tc>
          <w:tcPr>
            <w:tcW w:w="6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Electronic Means</w:t>
            </w: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r>
      <w:tr>
        <w:trPr>
          <w:trHeight w:val="180"/>
        </w:trPr>
        <w:tc>
          <w:tcPr>
            <w:tcW w:w="7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8.</w:t>
            </w:r>
          </w:p>
        </w:tc>
        <w:tc>
          <w:tcPr>
            <w:tcW w:w="698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OFAC Compliance</w:t>
            </w: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205"/>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Section 9.</w:t>
            </w:r>
          </w:p>
        </w:tc>
        <w:tc>
          <w:tcPr>
            <w:tcW w:w="69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FATCA</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349"/>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TESTIMONIUM</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S-1</w:t>
            </w:r>
          </w:p>
        </w:tc>
      </w:tr>
      <w:tr>
        <w:trPr>
          <w:trHeight w:val="180"/>
        </w:trPr>
        <w:tc>
          <w:tcPr>
            <w:tcW w:w="7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SIGNATURES AND SEALS</w:t>
            </w: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S-2</w:t>
            </w:r>
          </w:p>
        </w:tc>
      </w:tr>
      <w:tr>
        <w:trPr>
          <w:trHeight w:val="203"/>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ACKNOWLEDGEMENTS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S-5</w:t>
            </w:r>
          </w:p>
        </w:tc>
      </w:tr>
    </w:tbl>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ii</w:t>
      </w:r>
    </w:p>
    <w:p>
      <w:pPr>
        <w:sectPr>
          <w:pgSz w:w="11900" w:h="16840" w:orient="portrait"/>
          <w:cols w:equalWidth="0" w:num="1">
            <w:col w:w="9740"/>
          </w:cols>
          <w:pgMar w:left="1060" w:top="785" w:right="1100" w:bottom="1440" w:gutter="0" w:footer="0" w:header="0"/>
        </w:sectPr>
      </w:pPr>
    </w:p>
    <w:bookmarkStart w:id="46" w:name="page47"/>
    <w:bookmarkEnd w:id="46"/>
    <w:p>
      <w:pPr>
        <w:ind w:left="3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FIFTY-THIRD SUPPLEMENTAL (REOPENING) INDENTURE, dated as of the 5th day of December, Two Thousand and Twenty-Five, made by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between Evergy Kansas Central, Inc., formerly Westar Energy, Inc., a corporation organized and existing under the laws of the State of Kansas (and</w:t>
      </w:r>
    </w:p>
    <w:p>
      <w:pPr>
        <w:spacing w:after="0" w:line="234" w:lineRule="auto"/>
        <w:rPr>
          <w:sz w:val="20"/>
          <w:szCs w:val="20"/>
          <w:color w:val="auto"/>
        </w:rPr>
      </w:pPr>
      <w:r>
        <w:rPr>
          <w:rFonts w:ascii="Times New Roman" w:cs="Times New Roman" w:eastAsia="Times New Roman" w:hAnsi="Times New Roman"/>
          <w:sz w:val="16"/>
          <w:szCs w:val="16"/>
          <w:color w:val="auto"/>
        </w:rPr>
        <w:t>successor by the Merger (hereinafter defined) to Westar Energy, Inc., formerly The Kansas Power and Light Company, sometimes hereinafter called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Company-Predecessor</w:t>
      </w:r>
      <w:r>
        <w:rPr>
          <w:rFonts w:ascii="Times New Roman" w:cs="Times New Roman" w:eastAsia="Times New Roman" w:hAnsi="Times New Roman"/>
          <w:sz w:val="14"/>
          <w:szCs w:val="14"/>
          <w:color w:val="auto"/>
        </w:rPr>
        <w:t>”) (hereinafter called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party of the first part, and The Bank of New York Mellon Trust Company, N.A., a national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banking association whose mailing address is 311 S. Wacker Drive, Suite 6200B Mailbox #44, Chicago, Illinois 60606 (hereinafter called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Trustee (as successor to Harris Trust and Savings Bank), under the Mortgage and Deed of Trust dated July 1, 1939, hereinafter mentioned, party of the</w:t>
      </w:r>
    </w:p>
    <w:p>
      <w:pPr>
        <w:spacing w:after="0"/>
        <w:rPr>
          <w:sz w:val="20"/>
          <w:szCs w:val="20"/>
          <w:color w:val="auto"/>
        </w:rPr>
      </w:pPr>
      <w:r>
        <w:rPr>
          <w:rFonts w:ascii="Times New Roman" w:cs="Times New Roman" w:eastAsia="Times New Roman" w:hAnsi="Times New Roman"/>
          <w:sz w:val="16"/>
          <w:szCs w:val="16"/>
          <w:color w:val="auto"/>
        </w:rPr>
        <w:t>second part;</w:t>
      </w:r>
    </w:p>
    <w:p>
      <w:pPr>
        <w:spacing w:after="0" w:line="170" w:lineRule="exact"/>
        <w:rPr>
          <w:sz w:val="20"/>
          <w:szCs w:val="20"/>
          <w:color w:val="auto"/>
        </w:rPr>
      </w:pPr>
    </w:p>
    <w:p>
      <w:pPr>
        <w:ind w:right="140" w:firstLine="384"/>
        <w:spacing w:after="0" w:line="247" w:lineRule="auto"/>
        <w:rPr>
          <w:sz w:val="20"/>
          <w:szCs w:val="20"/>
          <w:color w:val="auto"/>
        </w:rPr>
      </w:pPr>
      <w:r>
        <w:rPr>
          <w:rFonts w:ascii="Times New Roman" w:cs="Times New Roman" w:eastAsia="Times New Roman" w:hAnsi="Times New Roman"/>
          <w:sz w:val="16"/>
          <w:szCs w:val="16"/>
          <w:color w:val="auto"/>
        </w:rPr>
        <w:t>WHEREAS, the Company has heretofore executed and delivered to the Trustee its Mortgage and Deed of Trust dated July 1, 1939 (hereinafter referred to as the “</w:t>
      </w:r>
      <w:r>
        <w:rPr>
          <w:rFonts w:ascii="Times New Roman" w:cs="Times New Roman" w:eastAsia="Times New Roman" w:hAnsi="Times New Roman"/>
          <w:sz w:val="16"/>
          <w:szCs w:val="16"/>
          <w:b w:val="1"/>
          <w:bCs w:val="1"/>
          <w:color w:val="auto"/>
        </w:rPr>
        <w:t>Original Indenture</w:t>
      </w:r>
      <w:r>
        <w:rPr>
          <w:rFonts w:ascii="Times New Roman" w:cs="Times New Roman" w:eastAsia="Times New Roman" w:hAnsi="Times New Roman"/>
          <w:sz w:val="16"/>
          <w:szCs w:val="16"/>
          <w:color w:val="auto"/>
        </w:rPr>
        <w:t>”), to provide for and to secure the issue of First Mortgage Bonds of the Company, issuable in series, and to declare the terms and conditions upon which the Bonds (as defined in the Original Indenture) are to be issued thereunder; and</w:t>
      </w:r>
    </w:p>
    <w:p>
      <w:pPr>
        <w:spacing w:after="0" w:line="164" w:lineRule="exact"/>
        <w:rPr>
          <w:sz w:val="20"/>
          <w:szCs w:val="20"/>
          <w:color w:val="auto"/>
        </w:rPr>
      </w:pPr>
    </w:p>
    <w:p>
      <w:pPr>
        <w:ind w:right="120" w:firstLine="384"/>
        <w:spacing w:after="0" w:line="243" w:lineRule="auto"/>
        <w:rPr>
          <w:sz w:val="20"/>
          <w:szCs w:val="20"/>
          <w:color w:val="auto"/>
        </w:rPr>
      </w:pPr>
      <w:r>
        <w:rPr>
          <w:rFonts w:ascii="Times New Roman" w:cs="Times New Roman" w:eastAsia="Times New Roman" w:hAnsi="Times New Roman"/>
          <w:sz w:val="16"/>
          <w:szCs w:val="16"/>
          <w:color w:val="auto"/>
        </w:rPr>
        <w:t>WHEREAS, the Company has heretofore executed and delivered to the Trustee fifty-four Supplemental Indentures, in addition to the Forty-Second Supplemental (Reopening) Indenture, supplemental to said Original Indenture, of which fifty provided for the issuance thereunder of series of the Company’s First Mortgage Bonds, and there is set forth below information with respect to such Supplemental Indentures as have provided for the issuance of Bonds, and the principal amount of Bonds which remain outstanding as of December 5,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Series of</w:t>
            </w: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First Mortgage</w:t>
            </w: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r>
      <w:tr>
        <w:trPr>
          <w:trHeight w:val="156"/>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Bonds</w:t>
            </w: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90"/>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Indenture</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Provided For</w:t>
            </w: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39"/>
        </w:trPr>
        <w:tc>
          <w:tcPr>
            <w:tcW w:w="80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6"/>
                <w:szCs w:val="16"/>
                <w:color w:val="auto"/>
                <w:w w:val="88"/>
              </w:rPr>
              <w:t>Supplemental</w:t>
            </w:r>
          </w:p>
        </w:tc>
        <w:tc>
          <w:tcPr>
            <w:tcW w:w="1360" w:type="dxa"/>
            <w:vAlign w:val="bottom"/>
          </w:tcPr>
          <w:p>
            <w:pPr>
              <w:spacing w:after="0"/>
              <w:rPr>
                <w:sz w:val="12"/>
                <w:szCs w:val="12"/>
                <w:color w:val="auto"/>
              </w:rPr>
            </w:pPr>
          </w:p>
        </w:tc>
        <w:tc>
          <w:tcPr>
            <w:tcW w:w="18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9"/>
              </w:rPr>
              <w:t>July 1, 1939</w:t>
            </w:r>
          </w:p>
        </w:tc>
        <w:tc>
          <w:tcPr>
            <w:tcW w:w="100" w:type="dxa"/>
            <w:vAlign w:val="bottom"/>
          </w:tcPr>
          <w:p>
            <w:pPr>
              <w:spacing w:after="0"/>
              <w:rPr>
                <w:sz w:val="12"/>
                <w:szCs w:val="12"/>
                <w:color w:val="auto"/>
              </w:rPr>
            </w:pPr>
          </w:p>
        </w:tc>
        <w:tc>
          <w:tcPr>
            <w:tcW w:w="18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5"/>
              </w:rPr>
              <w:t>3-1/2% Series</w:t>
            </w:r>
          </w:p>
        </w:tc>
        <w:tc>
          <w:tcPr>
            <w:tcW w:w="100" w:type="dxa"/>
            <w:vAlign w:val="bottom"/>
          </w:tcPr>
          <w:p>
            <w:pPr>
              <w:spacing w:after="0"/>
              <w:rPr>
                <w:sz w:val="12"/>
                <w:szCs w:val="12"/>
                <w:color w:val="auto"/>
              </w:rPr>
            </w:pPr>
          </w:p>
        </w:tc>
        <w:tc>
          <w:tcPr>
            <w:tcW w:w="18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7"/>
              </w:rPr>
              <w:t>$26,500,000</w:t>
            </w:r>
          </w:p>
        </w:tc>
        <w:tc>
          <w:tcPr>
            <w:tcW w:w="100" w:type="dxa"/>
            <w:vAlign w:val="bottom"/>
          </w:tcPr>
          <w:p>
            <w:pPr>
              <w:spacing w:after="0"/>
              <w:rPr>
                <w:sz w:val="12"/>
                <w:szCs w:val="12"/>
                <w:color w:val="auto"/>
              </w:rPr>
            </w:pPr>
          </w:p>
        </w:tc>
        <w:tc>
          <w:tcPr>
            <w:tcW w:w="17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7"/>
              </w:rPr>
              <w:t>None</w:t>
            </w:r>
          </w:p>
        </w:tc>
      </w:tr>
      <w:tr>
        <w:trPr>
          <w:trHeight w:val="21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1969</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1949</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2-7/8%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10,000,000</w:t>
            </w:r>
          </w:p>
        </w:tc>
        <w:tc>
          <w:tcPr>
            <w:tcW w:w="1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1979</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Fourth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October 1, 1949</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2-3/4%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6,500,000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1979</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Fifth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December 1, 1949</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2-3/4%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32,500,000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1984</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Seventh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December 1, 1951</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3-1/4%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5,250,000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1981</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48"/>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gridSpan w:val="2"/>
          </w:tcPr>
          <w:p>
            <w:pPr>
              <w:jc w:val="right"/>
              <w:ind w:right="985"/>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40" w:orient="portrait"/>
          <w:cols w:equalWidth="0" w:num="1">
            <w:col w:w="9780"/>
          </w:cols>
          <w:pgMar w:left="1060" w:top="689" w:right="1060"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Series of</w:t>
            </w: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First Mortgage</w:t>
            </w: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r>
      <w:tr>
        <w:trPr>
          <w:trHeight w:val="156"/>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Bonds</w:t>
            </w: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90"/>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Indenture</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Provided For</w:t>
            </w: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39"/>
        </w:trPr>
        <w:tc>
          <w:tcPr>
            <w:tcW w:w="80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6"/>
                <w:szCs w:val="16"/>
                <w:color w:val="auto"/>
              </w:rPr>
              <w:t>Eighth</w:t>
            </w:r>
          </w:p>
        </w:tc>
        <w:tc>
          <w:tcPr>
            <w:tcW w:w="1360" w:type="dxa"/>
            <w:vAlign w:val="bottom"/>
          </w:tcPr>
          <w:p>
            <w:pPr>
              <w:spacing w:after="0"/>
              <w:rPr>
                <w:sz w:val="12"/>
                <w:szCs w:val="12"/>
                <w:color w:val="auto"/>
              </w:rPr>
            </w:pPr>
          </w:p>
        </w:tc>
        <w:tc>
          <w:tcPr>
            <w:tcW w:w="18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5"/>
              </w:rPr>
              <w:t>May 1, 1952</w:t>
            </w:r>
          </w:p>
        </w:tc>
        <w:tc>
          <w:tcPr>
            <w:tcW w:w="100" w:type="dxa"/>
            <w:vAlign w:val="bottom"/>
          </w:tcPr>
          <w:p>
            <w:pPr>
              <w:spacing w:after="0"/>
              <w:rPr>
                <w:sz w:val="12"/>
                <w:szCs w:val="12"/>
                <w:color w:val="auto"/>
              </w:rPr>
            </w:pPr>
          </w:p>
        </w:tc>
        <w:tc>
          <w:tcPr>
            <w:tcW w:w="18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5"/>
              </w:rPr>
              <w:t>3-1/4% Series</w:t>
            </w:r>
          </w:p>
        </w:tc>
        <w:tc>
          <w:tcPr>
            <w:tcW w:w="100" w:type="dxa"/>
            <w:vAlign w:val="bottom"/>
          </w:tcPr>
          <w:p>
            <w:pPr>
              <w:spacing w:after="0"/>
              <w:rPr>
                <w:sz w:val="12"/>
                <w:szCs w:val="12"/>
                <w:color w:val="auto"/>
              </w:rPr>
            </w:pPr>
          </w:p>
        </w:tc>
        <w:tc>
          <w:tcPr>
            <w:tcW w:w="18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6"/>
              </w:rPr>
              <w:t>4,750,000</w:t>
            </w:r>
          </w:p>
        </w:tc>
        <w:tc>
          <w:tcPr>
            <w:tcW w:w="100" w:type="dxa"/>
            <w:vAlign w:val="bottom"/>
          </w:tcPr>
          <w:p>
            <w:pPr>
              <w:spacing w:after="0"/>
              <w:rPr>
                <w:sz w:val="12"/>
                <w:szCs w:val="12"/>
                <w:color w:val="auto"/>
              </w:rPr>
            </w:pPr>
          </w:p>
        </w:tc>
        <w:tc>
          <w:tcPr>
            <w:tcW w:w="17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1982</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October 1, 1954</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3-1/8%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6"/>
              </w:rPr>
              <w:t>8,000,000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1984</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September 1, 1961</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4-3/4%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13,000,000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1991</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Eleventh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1969</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7-5/8%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19,000,000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1999</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Twelfth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September 1, 1970</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8-3/4%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2000</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Thirteenth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 1975</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8-5/8%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2005</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Fourteenth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May 1, 1976</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8-5/8%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45,000,000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2006</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Fifteenth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1977</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5.90% Pollution</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32,000,000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Control Series</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2007</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Sixteenth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June 1, 1977</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8-1/8%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2007</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Seventeenth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 1978</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8-3/4%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2008</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Eighteenth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January 1, 1979</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6-3/4% Pollution</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45,000,000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Control Series</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2009</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Nineteenth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May 1, 1980</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8-1/4% Pollution</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45,000,000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Control Series</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1983</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Twentieth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November 1, 1981</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16.95%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1988</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Twenty-First</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1, 1982</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60,000,000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1992</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48"/>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gridSpan w:val="2"/>
          </w:tcPr>
          <w:p>
            <w:pPr>
              <w:jc w:val="right"/>
              <w:ind w:right="98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40" w:orient="portrait"/>
          <w:cols w:equalWidth="0" w:num="1">
            <w:col w:w="9780"/>
          </w:cols>
          <w:pgMar w:left="1060" w:top="688" w:right="1060"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Series of</w:t>
            </w: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First Mortgage</w:t>
            </w: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r>
      <w:tr>
        <w:trPr>
          <w:trHeight w:val="156"/>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Bonds</w:t>
            </w: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90"/>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Indenture</w:t>
            </w:r>
          </w:p>
        </w:tc>
        <w:tc>
          <w:tcPr>
            <w:tcW w:w="136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Provided For</w:t>
            </w:r>
          </w:p>
        </w:tc>
        <w:tc>
          <w:tcPr>
            <w:tcW w:w="1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39"/>
        </w:trPr>
        <w:tc>
          <w:tcPr>
            <w:tcW w:w="2160" w:type="dxa"/>
            <w:vAlign w:val="bottom"/>
            <w:gridSpan w:val="2"/>
          </w:tcPr>
          <w:p>
            <w:pPr>
              <w:spacing w:after="0" w:line="139" w:lineRule="exact"/>
              <w:rPr>
                <w:sz w:val="20"/>
                <w:szCs w:val="20"/>
                <w:color w:val="auto"/>
              </w:rPr>
            </w:pPr>
            <w:r>
              <w:rPr>
                <w:rFonts w:ascii="Times New Roman" w:cs="Times New Roman" w:eastAsia="Times New Roman" w:hAnsi="Times New Roman"/>
                <w:sz w:val="16"/>
                <w:szCs w:val="16"/>
                <w:color w:val="auto"/>
              </w:rPr>
              <w:t>Twenty-Second</w:t>
            </w:r>
          </w:p>
        </w:tc>
        <w:tc>
          <w:tcPr>
            <w:tcW w:w="1860" w:type="dxa"/>
            <w:vAlign w:val="bottom"/>
          </w:tcPr>
          <w:p>
            <w:pPr>
              <w:jc w:val="center"/>
              <w:spacing w:after="0" w:line="139" w:lineRule="exact"/>
              <w:rPr>
                <w:sz w:val="20"/>
                <w:szCs w:val="20"/>
                <w:color w:val="auto"/>
              </w:rPr>
            </w:pPr>
            <w:r>
              <w:rPr>
                <w:rFonts w:ascii="Times New Roman" w:cs="Times New Roman" w:eastAsia="Times New Roman" w:hAnsi="Times New Roman"/>
                <w:sz w:val="16"/>
                <w:szCs w:val="16"/>
                <w:color w:val="auto"/>
                <w:w w:val="96"/>
              </w:rPr>
              <w:t>February 1, 1983</w:t>
            </w:r>
          </w:p>
        </w:tc>
        <w:tc>
          <w:tcPr>
            <w:tcW w:w="100" w:type="dxa"/>
            <w:vAlign w:val="bottom"/>
          </w:tcPr>
          <w:p>
            <w:pPr>
              <w:spacing w:after="0"/>
              <w:rPr>
                <w:sz w:val="12"/>
                <w:szCs w:val="12"/>
                <w:color w:val="auto"/>
              </w:rPr>
            </w:pPr>
          </w:p>
        </w:tc>
        <w:tc>
          <w:tcPr>
            <w:tcW w:w="1860" w:type="dxa"/>
            <w:vAlign w:val="bottom"/>
          </w:tcPr>
          <w:p>
            <w:pPr>
              <w:jc w:val="center"/>
              <w:spacing w:after="0" w:line="139" w:lineRule="exact"/>
              <w:rPr>
                <w:sz w:val="20"/>
                <w:szCs w:val="20"/>
                <w:color w:val="auto"/>
              </w:rPr>
            </w:pPr>
            <w:r>
              <w:rPr>
                <w:rFonts w:ascii="Times New Roman" w:cs="Times New Roman" w:eastAsia="Times New Roman" w:hAnsi="Times New Roman"/>
                <w:sz w:val="16"/>
                <w:szCs w:val="16"/>
                <w:color w:val="auto"/>
                <w:w w:val="96"/>
              </w:rPr>
              <w:t>9-5/8% Pollution</w:t>
            </w:r>
          </w:p>
        </w:tc>
        <w:tc>
          <w:tcPr>
            <w:tcW w:w="100" w:type="dxa"/>
            <w:vAlign w:val="bottom"/>
          </w:tcPr>
          <w:p>
            <w:pPr>
              <w:spacing w:after="0"/>
              <w:rPr>
                <w:sz w:val="12"/>
                <w:szCs w:val="12"/>
                <w:color w:val="auto"/>
              </w:rPr>
            </w:pPr>
          </w:p>
        </w:tc>
        <w:tc>
          <w:tcPr>
            <w:tcW w:w="1860" w:type="dxa"/>
            <w:vAlign w:val="bottom"/>
          </w:tcPr>
          <w:p>
            <w:pPr>
              <w:jc w:val="center"/>
              <w:spacing w:after="0" w:line="139" w:lineRule="exact"/>
              <w:rPr>
                <w:sz w:val="20"/>
                <w:szCs w:val="20"/>
                <w:color w:val="auto"/>
              </w:rPr>
            </w:pPr>
            <w:r>
              <w:rPr>
                <w:rFonts w:ascii="Times New Roman" w:cs="Times New Roman" w:eastAsia="Times New Roman" w:hAnsi="Times New Roman"/>
                <w:sz w:val="16"/>
                <w:szCs w:val="16"/>
                <w:color w:val="auto"/>
                <w:w w:val="97"/>
              </w:rPr>
              <w:t>58,500,000</w:t>
            </w:r>
          </w:p>
        </w:tc>
        <w:tc>
          <w:tcPr>
            <w:tcW w:w="100" w:type="dxa"/>
            <w:vAlign w:val="bottom"/>
          </w:tcPr>
          <w:p>
            <w:pPr>
              <w:spacing w:after="0"/>
              <w:rPr>
                <w:sz w:val="12"/>
                <w:szCs w:val="12"/>
                <w:color w:val="auto"/>
              </w:rPr>
            </w:pPr>
          </w:p>
        </w:tc>
        <w:tc>
          <w:tcPr>
            <w:tcW w:w="1740" w:type="dxa"/>
            <w:vAlign w:val="bottom"/>
          </w:tcPr>
          <w:p>
            <w:pPr>
              <w:jc w:val="center"/>
              <w:spacing w:after="0" w:line="139" w:lineRule="exact"/>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Control Series</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1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2013</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Twenty-Third</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1, 1986</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8-1/4%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60,000,000</w:t>
            </w:r>
          </w:p>
        </w:tc>
        <w:tc>
          <w:tcPr>
            <w:tcW w:w="1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1996</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Twenty-Fourth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1, 1987</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8-5/8%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50,000,000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2020</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Twenty-Fifth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15, 1988</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9.35%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75,000,000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1998</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Twenty-Sixth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February 15, 1990</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8-7/8%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75,000,000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2000</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Twenty-Seventh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12, 1992</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7.46% Demand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370,000,000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Twenty-Eighth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1, 1992</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7-1/4%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125,000,000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1999</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8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8-1/2%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125,000,000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2022</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Twenty-Ninth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August 20, 1992</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7-1/4%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100,000,000</w:t>
            </w:r>
          </w:p>
        </w:tc>
        <w:tc>
          <w:tcPr>
            <w:tcW w:w="1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2002</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Thirtieth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 1993</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6% Pollution Control</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58,500,000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Revenue Refunding Series</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2033</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Thirty-First</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15, 1993</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7.65%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100,000,000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2023</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Thirty-Second</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15, 1994</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7-1/2% Pollution Control</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45,000,000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Revenue Refunding</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City of St. Marys Series</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2032</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48"/>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gridSpan w:val="2"/>
          </w:tcPr>
          <w:p>
            <w:pPr>
              <w:jc w:val="right"/>
              <w:ind w:right="984"/>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40" w:orient="portrait"/>
          <w:cols w:equalWidth="0" w:num="1">
            <w:col w:w="9780"/>
          </w:cols>
          <w:pgMar w:left="1060" w:top="688" w:right="1060"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Series of</w:t>
            </w: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First Mortgage</w:t>
            </w: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r>
      <w:tr>
        <w:trPr>
          <w:trHeight w:val="156"/>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Bonds</w:t>
            </w: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74"/>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Indenture</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Provided For</w:t>
            </w:r>
          </w:p>
        </w:tc>
        <w:tc>
          <w:tcPr>
            <w:tcW w:w="1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0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67"/>
        </w:trPr>
        <w:tc>
          <w:tcPr>
            <w:tcW w:w="800" w:type="dxa"/>
            <w:vAlign w:val="bottom"/>
            <w:tcBorders>
              <w:top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7-1/2% Pollution Control</w:t>
            </w:r>
          </w:p>
        </w:tc>
        <w:tc>
          <w:tcPr>
            <w:tcW w:w="100" w:type="dxa"/>
            <w:vAlign w:val="bottom"/>
          </w:tcPr>
          <w:p>
            <w:pPr>
              <w:spacing w:after="0"/>
              <w:rPr>
                <w:sz w:val="14"/>
                <w:szCs w:val="14"/>
                <w:color w:val="auto"/>
              </w:rPr>
            </w:pPr>
          </w:p>
        </w:tc>
        <w:tc>
          <w:tcPr>
            <w:tcW w:w="18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30,500,000</w:t>
            </w:r>
          </w:p>
        </w:tc>
        <w:tc>
          <w:tcPr>
            <w:tcW w:w="100" w:type="dxa"/>
            <w:vAlign w:val="bottom"/>
          </w:tcPr>
          <w:p>
            <w:pPr>
              <w:spacing w:after="0"/>
              <w:rPr>
                <w:sz w:val="14"/>
                <w:szCs w:val="14"/>
                <w:color w:val="auto"/>
              </w:rPr>
            </w:pPr>
          </w:p>
        </w:tc>
        <w:tc>
          <w:tcPr>
            <w:tcW w:w="174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Revenue Refunding</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City of Wamego Series</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2032</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Thirty-Third</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August 11, 1997</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6-7/8% Convertible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370,000,000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2004</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8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7-1/8% Convertible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150,000,000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2009</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Thirty-Fourth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June 28, 2000</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9-1/2%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397,800,000</w:t>
            </w:r>
          </w:p>
        </w:tc>
        <w:tc>
          <w:tcPr>
            <w:tcW w:w="1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2003</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Thirty-Fifth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May 10, 2002</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7-7/8%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365,000,000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2007</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Thirty-Sixth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June 1, 2004</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5.00%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58,340,000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Pollution Control</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Refunding Revenue</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2033</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Thirty-Seventh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June 17, 2004</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6.00%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250,000,000</w:t>
            </w:r>
          </w:p>
        </w:tc>
        <w:tc>
          <w:tcPr>
            <w:tcW w:w="1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2014</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Thirty-Eighth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January 18, 2005</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5.15%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125,000,000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2017</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8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5.95%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125,000,000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2035</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Thirty-Ninth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June 30, 2005</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5.10%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250,000,000</w:t>
            </w:r>
          </w:p>
        </w:tc>
        <w:tc>
          <w:tcPr>
            <w:tcW w:w="1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2020</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8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5.875%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150,000,000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2036</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Fortieth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May 15, 2007</w:t>
            </w:r>
          </w:p>
        </w:tc>
        <w:tc>
          <w:tcPr>
            <w:tcW w:w="10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6.10%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150,000,000</w:t>
            </w:r>
          </w:p>
        </w:tc>
        <w:tc>
          <w:tcPr>
            <w:tcW w:w="1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2047</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Forty-First</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25, 2008</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8.625%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2018</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48"/>
        </w:trPr>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gridSpan w:val="2"/>
          </w:tcPr>
          <w:p>
            <w:pPr>
              <w:jc w:val="right"/>
              <w:ind w:right="98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40" w:orient="portrait"/>
          <w:cols w:equalWidth="0" w:num="1">
            <w:col w:w="9780"/>
          </w:cols>
          <w:pgMar w:left="1060" w:top="688" w:right="1060"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Series of</w:t>
            </w: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First Mortgage</w:t>
            </w: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Supplemental</w:t>
            </w: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Bonds</w:t>
            </w: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90"/>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Indenture</w:t>
            </w: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Provided For</w:t>
            </w:r>
          </w:p>
        </w:tc>
        <w:tc>
          <w:tcPr>
            <w:tcW w:w="10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39"/>
        </w:trPr>
        <w:tc>
          <w:tcPr>
            <w:tcW w:w="80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6"/>
                <w:szCs w:val="16"/>
                <w:color w:val="auto"/>
                <w:w w:val="89"/>
              </w:rPr>
              <w:t>Forty-Second</w:t>
            </w:r>
          </w:p>
        </w:tc>
        <w:tc>
          <w:tcPr>
            <w:tcW w:w="1360" w:type="dxa"/>
            <w:vAlign w:val="bottom"/>
          </w:tcPr>
          <w:p>
            <w:pPr>
              <w:spacing w:after="0"/>
              <w:rPr>
                <w:sz w:val="12"/>
                <w:szCs w:val="12"/>
                <w:color w:val="auto"/>
              </w:rPr>
            </w:pPr>
          </w:p>
        </w:tc>
        <w:tc>
          <w:tcPr>
            <w:tcW w:w="18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8"/>
              </w:rPr>
              <w:t>March 1, 2012</w:t>
            </w:r>
          </w:p>
        </w:tc>
        <w:tc>
          <w:tcPr>
            <w:tcW w:w="100" w:type="dxa"/>
            <w:vAlign w:val="bottom"/>
          </w:tcPr>
          <w:p>
            <w:pPr>
              <w:spacing w:after="0"/>
              <w:rPr>
                <w:sz w:val="12"/>
                <w:szCs w:val="12"/>
                <w:color w:val="auto"/>
              </w:rPr>
            </w:pPr>
          </w:p>
        </w:tc>
        <w:tc>
          <w:tcPr>
            <w:tcW w:w="18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7"/>
              </w:rPr>
              <w:t>4.125% Series</w:t>
            </w:r>
          </w:p>
        </w:tc>
        <w:tc>
          <w:tcPr>
            <w:tcW w:w="100" w:type="dxa"/>
            <w:vAlign w:val="bottom"/>
          </w:tcPr>
          <w:p>
            <w:pPr>
              <w:spacing w:after="0"/>
              <w:rPr>
                <w:sz w:val="12"/>
                <w:szCs w:val="12"/>
                <w:color w:val="auto"/>
              </w:rPr>
            </w:pPr>
          </w:p>
        </w:tc>
        <w:tc>
          <w:tcPr>
            <w:tcW w:w="18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7"/>
              </w:rPr>
              <w:t>250,000,000</w:t>
            </w:r>
          </w:p>
        </w:tc>
        <w:tc>
          <w:tcPr>
            <w:tcW w:w="100" w:type="dxa"/>
            <w:vAlign w:val="bottom"/>
          </w:tcPr>
          <w:p>
            <w:pPr>
              <w:spacing w:after="0"/>
              <w:rPr>
                <w:sz w:val="12"/>
                <w:szCs w:val="12"/>
                <w:color w:val="auto"/>
              </w:rPr>
            </w:pPr>
          </w:p>
        </w:tc>
        <w:tc>
          <w:tcPr>
            <w:tcW w:w="17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6"/>
                <w:szCs w:val="16"/>
                <w:color w:val="auto"/>
                <w:w w:val="97"/>
              </w:rPr>
              <w:t>250,000,000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2042</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Forty-Second</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May 17, 2012</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4.125%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18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2042</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(Reopening)</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Forty-Third</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28, 2013</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4.10%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430,000,000</w:t>
            </w:r>
          </w:p>
        </w:tc>
        <w:tc>
          <w:tcPr>
            <w:tcW w:w="18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430,000,000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2043</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Forty-Fourth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August 19, 2013</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4.625%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250,000,000</w:t>
            </w:r>
          </w:p>
        </w:tc>
        <w:tc>
          <w:tcPr>
            <w:tcW w:w="18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250,000,000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2043</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Forty-Fifth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13, 2015</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3.25%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250,000,000</w:t>
            </w:r>
          </w:p>
        </w:tc>
        <w:tc>
          <w:tcPr>
            <w:tcW w:w="10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2025</w:t>
            </w:r>
          </w:p>
        </w:tc>
        <w:tc>
          <w:tcPr>
            <w:tcW w:w="1960" w:type="dxa"/>
            <w:vAlign w:val="bottom"/>
            <w:gridSpan w:val="2"/>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300,000,000</w:t>
            </w:r>
          </w:p>
        </w:tc>
        <w:tc>
          <w:tcPr>
            <w:tcW w:w="1840" w:type="dxa"/>
            <w:vAlign w:val="bottom"/>
            <w:gridSpan w:val="2"/>
          </w:tcPr>
          <w:p>
            <w:pPr>
              <w:jc w:val="center"/>
              <w:ind w:left="22"/>
              <w:spacing w:after="0" w:line="180" w:lineRule="exact"/>
              <w:rPr>
                <w:sz w:val="20"/>
                <w:szCs w:val="20"/>
                <w:color w:val="auto"/>
              </w:rPr>
            </w:pPr>
            <w:r>
              <w:rPr>
                <w:rFonts w:ascii="Times New Roman" w:cs="Times New Roman" w:eastAsia="Times New Roman" w:hAnsi="Times New Roman"/>
                <w:sz w:val="16"/>
                <w:szCs w:val="16"/>
                <w:color w:val="auto"/>
                <w:w w:val="97"/>
              </w:rPr>
              <w:t>300,000,000</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4.25% Series</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8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Due 2045</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Forty-Sixth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June 20, 2016</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2.55%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350,000,000</w:t>
            </w:r>
          </w:p>
        </w:tc>
        <w:tc>
          <w:tcPr>
            <w:tcW w:w="18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350,000,000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2026</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Forty-Seventh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6, 2017</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3.10%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18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2027</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Forty-Ninth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August 19, 2019</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3.25%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18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2049</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Fiftieth</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April 9, 2020</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3.45%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500,000,000</w:t>
            </w:r>
          </w:p>
        </w:tc>
        <w:tc>
          <w:tcPr>
            <w:tcW w:w="18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500,000,000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2050</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Fifty-First</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14, 2023</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5.70%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400,000,000</w:t>
            </w:r>
          </w:p>
        </w:tc>
        <w:tc>
          <w:tcPr>
            <w:tcW w:w="18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400,000,000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2053</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Fifty-Second</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15, 2023</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5.90%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18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2033</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Fifty-Third</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13, 2025</w:t>
            </w:r>
          </w:p>
        </w:tc>
        <w:tc>
          <w:tcPr>
            <w:tcW w:w="10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5.25% Series</w:t>
            </w:r>
          </w:p>
        </w:tc>
        <w:tc>
          <w:tcPr>
            <w:tcW w:w="1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18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300,000,000</w:t>
            </w: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Supplemental</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8"/>
              </w:rPr>
              <w:t>Due 2035</w:t>
            </w: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Indenture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and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780"/>
          </w:cols>
          <w:pgMar w:left="1060" w:top="688" w:right="1060" w:bottom="1440" w:gutter="0" w:footer="0" w:header="0"/>
        </w:sectPr>
      </w:pPr>
    </w:p>
    <w:bookmarkStart w:id="51" w:name="page52"/>
    <w:bookmarkEnd w:id="51"/>
    <w:p>
      <w:pPr>
        <w:ind w:firstLine="384"/>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WHEREAS, pursuant to that Amended and Restated Agreement and Plan of Merger, dated as of July 9, 2017, by and among the Company-Predecessor, Great Plains Energy Incorporated, a corporation organized and existing under the laws of the State of Missouri, Monarch Energy Holding, Inc., a corporation organized and existing under the laws of the State of Missouri (“</w:t>
      </w:r>
      <w:r>
        <w:rPr>
          <w:rFonts w:ascii="Times New Roman" w:cs="Times New Roman" w:eastAsia="Times New Roman" w:hAnsi="Times New Roman"/>
          <w:sz w:val="16"/>
          <w:szCs w:val="16"/>
          <w:b w:val="1"/>
          <w:bCs w:val="1"/>
          <w:color w:val="auto"/>
        </w:rPr>
        <w:t>Monarch Energy</w:t>
      </w:r>
      <w:r>
        <w:rPr>
          <w:rFonts w:ascii="Times New Roman" w:cs="Times New Roman" w:eastAsia="Times New Roman" w:hAnsi="Times New Roman"/>
          <w:sz w:val="16"/>
          <w:szCs w:val="16"/>
          <w:color w:val="auto"/>
        </w:rPr>
        <w:t>”), and King Energy, Inc., a corporation organized and existing under the laws of the State of Kansas and a wholly owned subsidiary of Monarch Energy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xml:space="preserve"> ”), on June 4, 2018 Merger Sub merged with and into the Company-Predecessor, with the Company surviving the merger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on such terms as fully to preserve and in no respect impair the lien on the mortgaged property under the Original Indenture as amended by all indentures supplemental thereto (hereinafter sometimes collectively called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or any of the rights or powers of the Trustee or of the holders of the Bonds thereunder; and</w:t>
      </w:r>
    </w:p>
    <w:p>
      <w:pPr>
        <w:spacing w:after="0" w:line="170" w:lineRule="exact"/>
        <w:rPr>
          <w:sz w:val="20"/>
          <w:szCs w:val="20"/>
          <w:color w:val="auto"/>
        </w:rPr>
      </w:pPr>
    </w:p>
    <w:p>
      <w:pPr>
        <w:ind w:right="240" w:firstLine="384"/>
        <w:spacing w:after="0" w:line="241" w:lineRule="auto"/>
        <w:rPr>
          <w:sz w:val="20"/>
          <w:szCs w:val="20"/>
          <w:color w:val="auto"/>
        </w:rPr>
      </w:pPr>
      <w:r>
        <w:rPr>
          <w:rFonts w:ascii="Times New Roman" w:cs="Times New Roman" w:eastAsia="Times New Roman" w:hAnsi="Times New Roman"/>
          <w:sz w:val="16"/>
          <w:szCs w:val="16"/>
          <w:color w:val="auto"/>
        </w:rPr>
        <w:t>WHEREAS, pursuant to the Forty-Eighth Supplemental Indenture to supplement the Original Indenture, the Company, as a successor corporation resulting from the Merger, assumed the due and punctual performance and observance of all the covenants and conditions to be kept or performed by the Company -Predecessor under the Indenture and the due and punctual payment of the principal of and interest on all Bonds now outstanding under the Indenture according to their tenor and to enable the Company to have and exercise powers and rights of the Company-Predecessor under the Indenture in accordance with the terms thereof; and</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on September 16, 2019, the Company formally changed its name from Westar Energy, Inc. to Evergy Kansas Central, Inc.; and</w:t>
      </w:r>
    </w:p>
    <w:p>
      <w:pPr>
        <w:spacing w:after="0" w:line="188"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WHEREAS, the Company is entitled at this time to have authenticated and delivered additional bonds, upon compliance with the provisions of Article III of the Original Indenture, as amended; and</w:t>
      </w:r>
    </w:p>
    <w:p>
      <w:pPr>
        <w:spacing w:after="0" w:line="153" w:lineRule="exact"/>
        <w:rPr>
          <w:sz w:val="20"/>
          <w:szCs w:val="20"/>
          <w:color w:val="auto"/>
        </w:rPr>
      </w:pPr>
    </w:p>
    <w:p>
      <w:pPr>
        <w:ind w:right="320" w:firstLine="384"/>
        <w:spacing w:after="0" w:line="244" w:lineRule="auto"/>
        <w:rPr>
          <w:sz w:val="20"/>
          <w:szCs w:val="20"/>
          <w:color w:val="auto"/>
        </w:rPr>
      </w:pPr>
      <w:r>
        <w:rPr>
          <w:rFonts w:ascii="Times New Roman" w:cs="Times New Roman" w:eastAsia="Times New Roman" w:hAnsi="Times New Roman"/>
          <w:sz w:val="16"/>
          <w:szCs w:val="16"/>
          <w:color w:val="auto"/>
        </w:rPr>
        <w:t>WHEREAS, the Fifty-Third Supplemental Indenture dated as of March 13, 2025 (the“</w:t>
      </w:r>
      <w:r>
        <w:rPr>
          <w:rFonts w:ascii="Times New Roman" w:cs="Times New Roman" w:eastAsia="Times New Roman" w:hAnsi="Times New Roman"/>
          <w:sz w:val="16"/>
          <w:szCs w:val="16"/>
          <w:b w:val="1"/>
          <w:bCs w:val="1"/>
          <w:color w:val="auto"/>
        </w:rPr>
        <w:t>Fifty-Third Supplemental Indenture</w:t>
      </w:r>
      <w:r>
        <w:rPr>
          <w:rFonts w:ascii="Times New Roman" w:cs="Times New Roman" w:eastAsia="Times New Roman" w:hAnsi="Times New Roman"/>
          <w:sz w:val="16"/>
          <w:szCs w:val="16"/>
          <w:color w:val="auto"/>
        </w:rPr>
        <w:t>”) provided for the establishment of a series of Securities designated as the Company’s “First Mortgage Bonds, 5.25% Series due 2035” (hereinafter called “</w:t>
      </w:r>
      <w:r>
        <w:rPr>
          <w:rFonts w:ascii="Times New Roman" w:cs="Times New Roman" w:eastAsia="Times New Roman" w:hAnsi="Times New Roman"/>
          <w:sz w:val="16"/>
          <w:szCs w:val="16"/>
          <w:b w:val="1"/>
          <w:bCs w:val="1"/>
          <w:color w:val="auto"/>
        </w:rPr>
        <w:t>Bonds of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5.25% Series due 2035</w:t>
      </w:r>
      <w:r>
        <w:rPr>
          <w:rFonts w:ascii="Times New Roman" w:cs="Times New Roman" w:eastAsia="Times New Roman" w:hAnsi="Times New Roman"/>
          <w:sz w:val="16"/>
          <w:szCs w:val="16"/>
          <w:color w:val="auto"/>
        </w:rPr>
        <w:t>”) and provided for the initial issuance of $300,000,000 aggregate principal amount of Bonds of the 5.25% Series due 2035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Bonds</w:t>
      </w:r>
      <w:r>
        <w:rPr>
          <w:rFonts w:ascii="Times New Roman" w:cs="Times New Roman" w:eastAsia="Times New Roman" w:hAnsi="Times New Roman"/>
          <w:sz w:val="16"/>
          <w:szCs w:val="16"/>
          <w:color w:val="auto"/>
        </w:rPr>
        <w:t>”); and</w:t>
      </w:r>
    </w:p>
    <w:p>
      <w:pPr>
        <w:spacing w:after="0" w:line="164" w:lineRule="exact"/>
        <w:rPr>
          <w:sz w:val="20"/>
          <w:szCs w:val="20"/>
          <w:color w:val="auto"/>
        </w:rPr>
      </w:pPr>
    </w:p>
    <w:p>
      <w:pPr>
        <w:ind w:right="140" w:firstLine="384"/>
        <w:spacing w:after="0" w:line="248" w:lineRule="auto"/>
        <w:rPr>
          <w:sz w:val="20"/>
          <w:szCs w:val="20"/>
          <w:color w:val="auto"/>
        </w:rPr>
      </w:pPr>
      <w:r>
        <w:rPr>
          <w:rFonts w:ascii="Times New Roman" w:cs="Times New Roman" w:eastAsia="Times New Roman" w:hAnsi="Times New Roman"/>
          <w:sz w:val="16"/>
          <w:szCs w:val="16"/>
          <w:color w:val="auto"/>
        </w:rPr>
        <w:t>WHEREAS, the Company desires by this Fifty-Third Supplemental (Reopening) Indenture (hereinafter referred to as this “</w:t>
      </w:r>
      <w:r>
        <w:rPr>
          <w:rFonts w:ascii="Times New Roman" w:cs="Times New Roman" w:eastAsia="Times New Roman" w:hAnsi="Times New Roman"/>
          <w:sz w:val="16"/>
          <w:szCs w:val="16"/>
          <w:b w:val="1"/>
          <w:bCs w:val="1"/>
          <w:color w:val="auto"/>
        </w:rPr>
        <w:t>Supplemental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to issue an additional $300,000,000 aggregate principal amount of Bonds of the 5.25% Series due 2035 (the “</w:t>
      </w:r>
      <w:r>
        <w:rPr>
          <w:rFonts w:ascii="Times New Roman" w:cs="Times New Roman" w:eastAsia="Times New Roman" w:hAnsi="Times New Roman"/>
          <w:sz w:val="16"/>
          <w:szCs w:val="16"/>
          <w:b w:val="1"/>
          <w:bCs w:val="1"/>
          <w:color w:val="auto"/>
        </w:rPr>
        <w:t>Reopening Bonds</w:t>
      </w:r>
      <w:r>
        <w:rPr>
          <w:rFonts w:ascii="Times New Roman" w:cs="Times New Roman" w:eastAsia="Times New Roman" w:hAnsi="Times New Roman"/>
          <w:sz w:val="16"/>
          <w:szCs w:val="16"/>
          <w:color w:val="auto"/>
        </w:rPr>
        <w:t>”)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Original Indenture, as supplemented by the Fifty-Third Supplemental Indenture and this Supplemental Indenture; and</w:t>
      </w:r>
    </w:p>
    <w:p>
      <w:pPr>
        <w:spacing w:after="0" w:line="164" w:lineRule="exact"/>
        <w:rPr>
          <w:sz w:val="20"/>
          <w:szCs w:val="20"/>
          <w:color w:val="auto"/>
        </w:rPr>
      </w:pPr>
    </w:p>
    <w:p>
      <w:pPr>
        <w:ind w:right="540" w:firstLine="384"/>
        <w:spacing w:after="0" w:line="259" w:lineRule="auto"/>
        <w:rPr>
          <w:sz w:val="20"/>
          <w:szCs w:val="20"/>
          <w:color w:val="auto"/>
        </w:rPr>
      </w:pPr>
      <w:r>
        <w:rPr>
          <w:rFonts w:ascii="Times New Roman" w:cs="Times New Roman" w:eastAsia="Times New Roman" w:hAnsi="Times New Roman"/>
          <w:sz w:val="16"/>
          <w:szCs w:val="16"/>
          <w:color w:val="auto"/>
        </w:rPr>
        <w:t>WHEREAS, the Reopening Bonds and the Original Bonds shall form a single series and the Reopening Bonds shall be fully fungible with the Original Bonds; and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780"/>
          </w:cols>
          <w:pgMar w:left="1060" w:top="689" w:right="1060" w:bottom="1440" w:gutter="0" w:footer="0" w:header="0"/>
        </w:sectPr>
      </w:pPr>
    </w:p>
    <w:bookmarkStart w:id="52" w:name="page53"/>
    <w:bookmarkEnd w:id="52"/>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WHEREAS, the rights and obligations set forth herein do not adversely affect the holders of the Original Bonds; and</w:t>
      </w:r>
    </w:p>
    <w:p>
      <w:pPr>
        <w:spacing w:after="0" w:line="188"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WHEREAS, the Company in the exercise of the powers and authority conferred upon and reserved to it under the provisions of the Original Indenture and indentures supplemental thereto, and pursuant to appropriate resolutions of its Board of Directors, has duly resolved and determined to make, execute and deliver to the Trustee a supplemental indenture in the form hereof for the purposes herein provided; and</w:t>
      </w:r>
    </w:p>
    <w:p>
      <w:pPr>
        <w:spacing w:after="0" w:line="164" w:lineRule="exact"/>
        <w:rPr>
          <w:sz w:val="20"/>
          <w:szCs w:val="20"/>
          <w:color w:val="auto"/>
        </w:rPr>
      </w:pPr>
    </w:p>
    <w:p>
      <w:pPr>
        <w:ind w:right="220" w:firstLine="384"/>
        <w:spacing w:after="0" w:line="259" w:lineRule="auto"/>
        <w:rPr>
          <w:sz w:val="20"/>
          <w:szCs w:val="20"/>
          <w:color w:val="auto"/>
        </w:rPr>
      </w:pPr>
      <w:r>
        <w:rPr>
          <w:rFonts w:ascii="Times New Roman" w:cs="Times New Roman" w:eastAsia="Times New Roman" w:hAnsi="Times New Roman"/>
          <w:sz w:val="16"/>
          <w:szCs w:val="16"/>
          <w:color w:val="auto"/>
        </w:rPr>
        <w:t>WHEREAS, all conditions and requirements necessary to make this Supplemental Indenture a valid, binding and legal instrument have been done, performed and fulfilled, and the execution and delivery hereof have been in all respects duly authorized;</w:t>
      </w:r>
    </w:p>
    <w:p>
      <w:pPr>
        <w:spacing w:after="0" w:line="155" w:lineRule="exact"/>
        <w:rPr>
          <w:sz w:val="20"/>
          <w:szCs w:val="20"/>
          <w:color w:val="auto"/>
        </w:rPr>
      </w:pPr>
    </w:p>
    <w:p>
      <w:pPr>
        <w:ind w:right="20" w:firstLine="384"/>
        <w:spacing w:after="0" w:line="238" w:lineRule="auto"/>
        <w:rPr>
          <w:sz w:val="20"/>
          <w:szCs w:val="20"/>
          <w:color w:val="auto"/>
        </w:rPr>
      </w:pPr>
      <w:r>
        <w:rPr>
          <w:rFonts w:ascii="Times New Roman" w:cs="Times New Roman" w:eastAsia="Times New Roman" w:hAnsi="Times New Roman"/>
          <w:sz w:val="16"/>
          <w:szCs w:val="16"/>
          <w:color w:val="auto"/>
        </w:rPr>
        <w:t>NOW, THEREFORE, THIS INDENTURE WITNESSETH: That, in consideration of the premises and of the mutual covenants herein contained and of the sum of One Dollar duly paid by the Company to the Trustee at or before the time of the execution of these presents, and of other valuable considerations, the receipt whereof is hereby acknowledged, and in order further to secure the payment of the principal of and interest and premium, if any, on all Bonds at any time issued and outstanding under the Indenture according to their tenor, purpose and effect, and to declare certain terms and conditions upon and subject to which Bonds are to be issued and secured, the Company has executed and delivered this Supplemental Indenture, and by these presents grants, bargains, sells, warrants, aliens, releases, conveys, assigns, transfers, mortgages, pledges, sets over and ratifies and confirms unto The Bank of New York Mellon Trust Company, N.A., as Trustee, and to its successors in trust under the Indenture forever, all and singular the following described properties (in addition to all other properties heretofore specifically subjected to the lien of the Indenture and not heretofore released from the lien thereof), that is to say:</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FIRST.</w:t>
      </w:r>
    </w:p>
    <w:p>
      <w:pPr>
        <w:spacing w:after="0" w:line="190" w:lineRule="exact"/>
        <w:rPr>
          <w:sz w:val="20"/>
          <w:szCs w:val="20"/>
          <w:color w:val="auto"/>
        </w:rPr>
      </w:pPr>
    </w:p>
    <w:p>
      <w:pPr>
        <w:ind w:right="380" w:firstLine="384"/>
        <w:spacing w:after="0" w:line="331" w:lineRule="auto"/>
        <w:rPr>
          <w:sz w:val="20"/>
          <w:szCs w:val="20"/>
          <w:color w:val="auto"/>
        </w:rPr>
      </w:pPr>
      <w:r>
        <w:rPr>
          <w:rFonts w:ascii="Times New Roman" w:cs="Times New Roman" w:eastAsia="Times New Roman" w:hAnsi="Times New Roman"/>
          <w:sz w:val="14"/>
          <w:szCs w:val="14"/>
          <w:color w:val="auto"/>
        </w:rPr>
        <w:t>All and singular the lands, real estate, chattels real, easements, servitudes, and leaseholds of the Company, or which, subject to the provisions of Article XII of the Original Indenture, the Company may hereafter acquire, together with all improvements of any type located thereon.</w:t>
      </w:r>
    </w:p>
    <w:p>
      <w:pPr>
        <w:spacing w:after="0" w:line="108" w:lineRule="exact"/>
        <w:rPr>
          <w:sz w:val="20"/>
          <w:szCs w:val="20"/>
          <w:color w:val="auto"/>
        </w:rPr>
      </w:pPr>
    </w:p>
    <w:p>
      <w:pPr>
        <w:ind w:right="40" w:firstLine="384"/>
        <w:spacing w:after="0" w:line="241" w:lineRule="auto"/>
        <w:rPr>
          <w:sz w:val="20"/>
          <w:szCs w:val="20"/>
          <w:color w:val="auto"/>
        </w:rPr>
      </w:pPr>
      <w:r>
        <w:rPr>
          <w:rFonts w:ascii="Times New Roman" w:cs="Times New Roman" w:eastAsia="Times New Roman" w:hAnsi="Times New Roman"/>
          <w:sz w:val="16"/>
          <w:szCs w:val="16"/>
          <w:color w:val="auto"/>
        </w:rPr>
        <w:t>Also all power houses, plants, buildings and other structures, dams, dam sites, substations, heating plants, gas works, holders and tanks, compressor stations, gasoline extraction plants, together with all and singular the electric heating, gas and mechanical appliances appurtenant thereto of every nature whatsoever, now owned by the Company or which it may hereafter acquire, including all and singular the machinery, engines, boilers, furnaces, generators, dynamos, turbines and motors, and all and every character of mechanical appliance for generating or producing electricity, steam, water, gas and other agencies for light, heat, cold or power or any other purpose whatsoever.</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740"/>
          </w:cols>
          <w:pgMar w:left="1060" w:top="689" w:right="110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SECOND.</w:t>
      </w:r>
    </w:p>
    <w:p>
      <w:pPr>
        <w:spacing w:after="0" w:line="190"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Also all transmission and distribution systems used for the transmission and distribution of electricity, steam, water, gas and other agencies for light, heat, cold or power, or any other purpose whatsoever, whether underground or overhead or on the surface or otherwise of the Company, or which, subject to the provisions of Article XII of the Original Indenture, the Company may hereafter acquire, including all poles, posts, wires, cables, conduits, mains, pipes, tubes, drains, furnaces, switchboards, transformers, insulators, meters, lamps, fuses, junction boxes, water pumping stations, regulator stations, town border metering stations and other electric, steam, water and gas fixtures and apparatus.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THIRD.</w:t>
      </w:r>
    </w:p>
    <w:p>
      <w:pPr>
        <w:spacing w:after="0" w:line="190" w:lineRule="exact"/>
        <w:rPr>
          <w:sz w:val="20"/>
          <w:szCs w:val="20"/>
          <w:color w:val="auto"/>
        </w:rPr>
      </w:pPr>
    </w:p>
    <w:p>
      <w:pPr>
        <w:ind w:right="80" w:firstLine="384"/>
        <w:spacing w:after="0" w:line="243" w:lineRule="auto"/>
        <w:rPr>
          <w:sz w:val="20"/>
          <w:szCs w:val="20"/>
          <w:color w:val="auto"/>
        </w:rPr>
      </w:pPr>
      <w:r>
        <w:rPr>
          <w:rFonts w:ascii="Times New Roman" w:cs="Times New Roman" w:eastAsia="Times New Roman" w:hAnsi="Times New Roman"/>
          <w:sz w:val="16"/>
          <w:szCs w:val="16"/>
          <w:color w:val="auto"/>
        </w:rPr>
        <w:t>Also all franchises and all permits, ordinances, easements, privileges and immunities and licenses, all rights to construct, maintain and operate overhead, surface and underground systems for the distribution and transmission of electricity, gas, water or steam for the supply to itself or others of light, heat, cold or power or any other purpose whatsoever, all rights-of-way, all waters, water rights and flowage rights and all grants and consents, now owned by the Company or, subject to the provisions of Article XII of the Original Indenture, which it may hereafter acquire.</w:t>
      </w:r>
    </w:p>
    <w:p>
      <w:pPr>
        <w:spacing w:after="0" w:line="167" w:lineRule="exact"/>
        <w:rPr>
          <w:sz w:val="20"/>
          <w:szCs w:val="20"/>
          <w:color w:val="auto"/>
        </w:rPr>
      </w:pPr>
    </w:p>
    <w:p>
      <w:pPr>
        <w:ind w:right="240" w:firstLine="384"/>
        <w:spacing w:after="0" w:line="259" w:lineRule="auto"/>
        <w:rPr>
          <w:sz w:val="20"/>
          <w:szCs w:val="20"/>
          <w:color w:val="auto"/>
        </w:rPr>
      </w:pPr>
      <w:r>
        <w:rPr>
          <w:rFonts w:ascii="Times New Roman" w:cs="Times New Roman" w:eastAsia="Times New Roman" w:hAnsi="Times New Roman"/>
          <w:sz w:val="16"/>
          <w:szCs w:val="16"/>
          <w:color w:val="auto"/>
        </w:rPr>
        <w:t>Also all inventions, patent rights and licenses of every kind now owned by the Company or, subject to the provisions of Article XII of the Original Indenture, which it may hereafter acquire.</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FOURTH.</w:t>
      </w:r>
    </w:p>
    <w:p>
      <w:pPr>
        <w:spacing w:after="0" w:line="190"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Also, subject to the provisions of Article XII of the Original Indenture, all other property, real, personal and mixed (except as therein or herein expressly excepted) of every nature and kind and wheresoever situated now or hereafter possessed by or belonging to the Company, or to which it is now, or may at any time hereafter be, in any manner entitled at law or in equity.</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FIFTH.</w:t>
      </w:r>
    </w:p>
    <w:p>
      <w:pPr>
        <w:spacing w:after="0" w:line="190" w:lineRule="exact"/>
        <w:rPr>
          <w:sz w:val="20"/>
          <w:szCs w:val="20"/>
          <w:color w:val="auto"/>
        </w:rPr>
      </w:pPr>
    </w:p>
    <w:p>
      <w:pPr>
        <w:ind w:right="80" w:firstLine="384"/>
        <w:spacing w:after="0" w:line="239" w:lineRule="auto"/>
        <w:rPr>
          <w:sz w:val="20"/>
          <w:szCs w:val="20"/>
          <w:color w:val="auto"/>
        </w:rPr>
      </w:pPr>
      <w:r>
        <w:rPr>
          <w:rFonts w:ascii="Times New Roman" w:cs="Times New Roman" w:eastAsia="Times New Roman" w:hAnsi="Times New Roman"/>
          <w:sz w:val="16"/>
          <w:szCs w:val="16"/>
          <w:color w:val="auto"/>
        </w:rPr>
        <w:t>Also any and all property of any kind or description which may from time to time after the date of the Original Indenture by delivery or by writing of any kind be conveyed, mortgaged, pledged, assigned or transferred to the Trustee by the Company or by any person, copartnership or corporation, with the consent of the Company or otherwise, and accepted by the Trustee, to be held as part of the mortgaged property; and the Trustee is hereby authorized to accept and receive any such property and any such conveyance, mortgage, pledge, assignment and transfer, as and for additional security hereunder, and to hold and apply any and all such property subject to and in accordance with the terms and provisions upon which such conveyance, mortgage, pledge, assignment or transfer shall be made.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760"/>
          </w:cols>
          <w:pgMar w:left="1060" w:top="687" w:right="108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SIXTH.</w:t>
      </w:r>
    </w:p>
    <w:p>
      <w:pPr>
        <w:spacing w:after="0" w:line="190" w:lineRule="exact"/>
        <w:rPr>
          <w:sz w:val="20"/>
          <w:szCs w:val="20"/>
          <w:color w:val="auto"/>
        </w:rPr>
      </w:pPr>
    </w:p>
    <w:p>
      <w:pPr>
        <w:ind w:right="20" w:firstLine="384"/>
        <w:spacing w:after="0" w:line="243" w:lineRule="auto"/>
        <w:rPr>
          <w:sz w:val="20"/>
          <w:szCs w:val="20"/>
          <w:color w:val="auto"/>
        </w:rPr>
      </w:pPr>
      <w:r>
        <w:rPr>
          <w:rFonts w:ascii="Times New Roman" w:cs="Times New Roman" w:eastAsia="Times New Roman" w:hAnsi="Times New Roman"/>
          <w:sz w:val="16"/>
          <w:szCs w:val="16"/>
          <w:color w:val="auto"/>
        </w:rPr>
        <w:t>Together with all and singular, the tenements, hereditaments and appurtenances belonging or in anywise appertaining to the aforesaid property or any part thereof, with the reversion and reversions, remainder and remainders, tolls, rents, revenues, issues, income, products and profits thereof, and all the estate, right, title, interest and claim whatsoever, at law and in equity, which the Company now has or may hereafter acquire in and to the aforesaid property and franchises and every part and parcel thereof.</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EXPRESSLY EXCEPTING AND EXCLUDING, HOWEVER, all properties of the character excepted from the lien of the Original Indenture.</w:t>
      </w:r>
    </w:p>
    <w:p>
      <w:pPr>
        <w:spacing w:after="0" w:line="188"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TO HAVE AND TO HOLD all said properties, real, personal and mixed, mortgaged, pledged and conveyed by the Company as aforesaid, or intended so to be, unto the Trustee and its successors and assigns forever;</w:t>
      </w:r>
    </w:p>
    <w:p>
      <w:pPr>
        <w:spacing w:after="0" w:line="155"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SUBJECT, HOWEVER, to the exceptions and reservations hereinabove referred to, to existing leases other than leases which by their terms are subordinate to the lien of the Indenture, to existing liens upon rights-of -way for transmission or distribution line purposes, as defined in Article I of the Original Indenture; and any extensions thereof, and subject to existing easements for streets, alleys, highways, rights-of- way and railroad purposes over, upon and across certain of the property herein before described and subject also to all the terms, conditions, agreements, covenants, exceptions and reservations expressed or provided in the deeds or other instruments respectively under and by virtue of which the Company acquired the properties hereinabove described and to undetermined liens and charges, if any, incidental to construction or other existing permitted liens as defined in Article I of the Original Indenture;</w:t>
      </w:r>
    </w:p>
    <w:p>
      <w:pPr>
        <w:spacing w:after="0" w:line="170"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IN TRUST, NEVERTHELESS, upon the terms and trusts in the Original Indenture, and the indentures supplemental thereto, including this Supplemental Indenture, set forth, for the equal and proportionate benefit and security of all present and future holders of the Bonds and coupons issued and to be issued thereunder, or any of them, without preference of any of said Bonds and coupons of any particular series over the Bonds and coupons of any other series by reason of priority in the time of issue, sale or negotiation thereof, or by reason of the purpose of issue or otherwise howsoever, except as otherwise provided in Section 2 of Article IV of the Original Indenture.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760"/>
          </w:cols>
          <w:pgMar w:left="1060" w:top="687" w:right="1080" w:bottom="1440" w:gutter="0" w:footer="0" w:header="0"/>
        </w:sectPr>
      </w:pPr>
    </w:p>
    <w:bookmarkStart w:id="55" w:name="page56"/>
    <w:bookmarkEnd w:id="55"/>
    <w:p>
      <w:pPr>
        <w:ind w:left="3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 IT IS HEREBY COVENANTED, DECLARED AND AGREED, by and between the parties hereto for the benefit of those who shall hold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Bonds and coupons, or any of them, to be issued under the Indenture as follows: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ESCRIPTION OF</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ONDS OF THE</w:t>
      </w:r>
      <w:r>
        <w:rPr>
          <w:rFonts w:ascii="Times New Roman" w:cs="Times New Roman" w:eastAsia="Times New Roman" w:hAnsi="Times New Roman"/>
          <w:sz w:val="16"/>
          <w:szCs w:val="16"/>
          <w:color w:val="auto"/>
        </w:rPr>
        <w:t xml:space="preserve"> 5.25% S</w:t>
      </w:r>
      <w:r>
        <w:rPr>
          <w:rFonts w:ascii="Times New Roman" w:cs="Times New Roman" w:eastAsia="Times New Roman" w:hAnsi="Times New Roman"/>
          <w:sz w:val="13"/>
          <w:szCs w:val="13"/>
          <w:color w:val="auto"/>
        </w:rPr>
        <w:t>ERIES DUE</w:t>
      </w:r>
      <w:r>
        <w:rPr>
          <w:rFonts w:ascii="Times New Roman" w:cs="Times New Roman" w:eastAsia="Times New Roman" w:hAnsi="Times New Roman"/>
          <w:sz w:val="16"/>
          <w:szCs w:val="16"/>
          <w:color w:val="auto"/>
        </w:rPr>
        <w:t xml:space="preserve"> 2035</w:t>
      </w:r>
    </w:p>
    <w:p>
      <w:pPr>
        <w:spacing w:after="0" w:line="168"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4"/>
          <w:szCs w:val="14"/>
          <w:color w:val="auto"/>
        </w:rPr>
        <w:t xml:space="preserve">Section 1. </w:t>
      </w:r>
      <w:r>
        <w:rPr>
          <w:rFonts w:ascii="Times New Roman" w:cs="Times New Roman" w:eastAsia="Times New Roman" w:hAnsi="Times New Roman"/>
          <w:sz w:val="14"/>
          <w:szCs w:val="14"/>
          <w:i w:val="1"/>
          <w:iCs w:val="1"/>
          <w:color w:val="auto"/>
        </w:rPr>
        <w:t>Terms of the Reopening Bonds.</w:t>
      </w:r>
      <w:r>
        <w:rPr>
          <w:rFonts w:ascii="Times New Roman" w:cs="Times New Roman" w:eastAsia="Times New Roman" w:hAnsi="Times New Roman"/>
          <w:sz w:val="14"/>
          <w:szCs w:val="14"/>
          <w:color w:val="auto"/>
        </w:rPr>
        <w:t xml:space="preserve"> Except as otherwise provided in this Supplemental Indenture, the terms, provisions and covenants set forth in the Fifty- Third Supplemental Indenture applicable to the Bonds of the 5.25% Series due 2035 shall be applicable to the Reopening Bonds. The Reopening Bonds shall increase the aggregate principal amount of, and shall be consolidated and form a single series with, all other Bonds of the 5.25% Series due 2035. The Reopening Bonds issued hereunder shall be treated as a single class with all Bonds of the 5.25% Series due 2035 for all purposes under the Original Indenture, as supplemented by the Fifty-Third Supplemental Indenture and this Supplemental Indenture, including, without limitation, for purposes of waivers and amendments. Unless the context requires otherwise, references to “Bonds of the 5.25% Series due 2035” for all purposes under the Original Indenture, as supplemented by the Fifty-Third Supplemental Indenture and this Supplemental Indenture, shall include the Reopening Bonds.</w:t>
      </w:r>
    </w:p>
    <w:p>
      <w:pPr>
        <w:spacing w:after="0" w:line="142" w:lineRule="exact"/>
        <w:rPr>
          <w:sz w:val="20"/>
          <w:szCs w:val="20"/>
          <w:color w:val="auto"/>
        </w:rPr>
      </w:pPr>
    </w:p>
    <w:p>
      <w:pPr>
        <w:ind w:right="12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i w:val="1"/>
          <w:iCs w:val="1"/>
          <w:color w:val="auto"/>
        </w:rPr>
        <w:t>Denominations of Bonds of the 5.25% Series due 2035 and Privilege of Exchange.</w:t>
      </w:r>
      <w:r>
        <w:rPr>
          <w:rFonts w:ascii="Times New Roman" w:cs="Times New Roman" w:eastAsia="Times New Roman" w:hAnsi="Times New Roman"/>
          <w:sz w:val="16"/>
          <w:szCs w:val="16"/>
          <w:color w:val="auto"/>
        </w:rPr>
        <w:t xml:space="preserve"> The Reopening Bonds shall be issued in such minimum denominations as set forth in the Fifty-Third Supplemental Indenture.</w:t>
      </w:r>
    </w:p>
    <w:p>
      <w:pPr>
        <w:spacing w:after="0" w:line="150" w:lineRule="exact"/>
        <w:rPr>
          <w:sz w:val="20"/>
          <w:szCs w:val="20"/>
          <w:color w:val="auto"/>
        </w:rPr>
      </w:pPr>
    </w:p>
    <w:p>
      <w:pPr>
        <w:ind w:right="82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i w:val="1"/>
          <w:iCs w:val="1"/>
          <w:color w:val="auto"/>
        </w:rPr>
        <w:t>Form of Bonds of the 5.25% Series due 2035.</w:t>
      </w:r>
      <w:r>
        <w:rPr>
          <w:rFonts w:ascii="Times New Roman" w:cs="Times New Roman" w:eastAsia="Times New Roman" w:hAnsi="Times New Roman"/>
          <w:sz w:val="16"/>
          <w:szCs w:val="16"/>
          <w:color w:val="auto"/>
        </w:rPr>
        <w:t xml:space="preserve"> The Reopening Bonds, and the Trustee’s Certificate with respect thereto, shall be substantially in the following forms, respectively: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Form of Bond appears on following page]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780"/>
          </w:cols>
          <w:pgMar w:left="1060" w:top="689" w:right="106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[FORM OF LEGEND FOR GLOBAL SECURITY]</w:t>
      </w:r>
    </w:p>
    <w:p>
      <w:pPr>
        <w:spacing w:after="0" w:line="18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OR ANY SUPPLEMENT THERETO.</w:t>
      </w:r>
    </w:p>
    <w:p>
      <w:pPr>
        <w:spacing w:after="0" w:line="16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UNLESS THIS SECURITY IS PRESENTED BY AN AUTHORIZED REPRESENTATIVE OF THE DEPOSITORY TRUST COMPANY (55 WATER STREET, NEW YORK, NEW YORK) TO THE ISSUER OR ITS AGENT FOR REGISTRATION OF TRANSFER, EXCHANGE OR PAYMENT AND ANY SECURITY ISSUED IS REGISTERED IN THE NAME OF CEDE &amp; CO. OR SUCH OTHER NAME AS REQUESTED BY AN AUTHORIZED REPRESENTATIVE OF THE DEPOSITORY TRUST COMPANY AND ANY PAYMENT HEREON IS MADE TO CEDE &amp; CO., ANY TRANSFER, PLEDGE OR OTHER USE HEREOF FOR VALUE OR OTHERWISE BY OR TO A PERSON IS WRONGFUL SINCE THE REGISTERED OWNER HEREOF, CEDE &amp; CO., HAS AN INTEREST HEREIN.</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CUSIP 30036F AD3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(Incorporated under the laws of the State of Kansas)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FIRST MORTGAGE BOND, 5.25% SERIES DUE 2035</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DUE MARCH 15, 2035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No. R-[</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tc>
        <w:tc>
          <w:tcPr>
            <w:tcW w:w="5100" w:type="dxa"/>
            <w:vAlign w:val="bottom"/>
          </w:tcPr>
          <w:p>
            <w:pPr>
              <w:ind w:left="40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],000,000.00</w:t>
            </w:r>
          </w:p>
        </w:tc>
      </w:tr>
    </w:tbl>
    <w:p>
      <w:pPr>
        <w:spacing w:after="0" w:line="167"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EVERGY KANSAS CENTRAL, INC., a corporation organized and existing under the laws of the State of Kansas (hereinafter called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term shall include any successor corporation as defined in the Indenture hereinafter referred to), for value received, hereby promises to pay to CEDE &amp; CO. or registered assigns, on the fifteenth day of March, 2035, the principal sum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MILLION DOLLARS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],000,000.00) in any coin or currency of the United States of America which at the time of payment is legal tender for public</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80"/>
          </w:cols>
          <w:pgMar w:left="1060" w:top="689" w:right="1060" w:bottom="1440" w:gutter="0" w:footer="0" w:header="0"/>
        </w:sectPr>
      </w:pPr>
    </w:p>
    <w:bookmarkStart w:id="57" w:name="page58"/>
    <w:bookmarkEnd w:id="57"/>
    <w:p>
      <w:pPr>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and private debts, and to pay interest thereon in like coin or currency from the fifteenth day of March and September immediately preceding the date of this Bond, unless such Bond shall be dated prior to September 15, 2025, in which case from March 13, 2025 at the rate of 5.25 percent (5.25%) per annum, payable semi-annually, on March 15 and September 15 of each year, commencing March 15, 2026, until maturity, or, if this Bond shall be duly called for redemption or submitted for repurchase, until the redemption date or repurchase date, as the case may be, or, if the Company shall default in the payment of the principal or premium hereof, until the Company’s obligation with respect to the payment of such principal or premium shall be discharged as provided in the Indenture hereinafter mentioned. The interest payable on any March 15 or September 15 interest payment date as aforesaid will be paid to the person in whose name this Bond is registered at the close of business on the record date for the interest payment date, which will be the close of business on (i) the Business Day immediately preceding such interest payment date for so as long as this Bond remains in book-entry only form or (ii) the fifteenth calendar day immediately preceding each interest payment date if this Bond does not remain in book-entry only form (the “</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unless the Company shall default in the payment of the interest due on such interest payment date, in which case such defaulted interest shall be paid to the person in whose name this Bond is registered on the date of payment of such defaulted interest. Principal of, premium, if any, and interest on, this Bond are payable at the agency of the Company in the City of Chicago, Illinois in immediately available funds, or at the option of the holder thereof at the agency of the Company in the Borough of Manhattan, The City of New York, provided that at the option of the Company interest may be paid by check mailed to the holder at such holder’s registered address.</w:t>
      </w:r>
    </w:p>
    <w:p>
      <w:pPr>
        <w:spacing w:after="0" w:line="167" w:lineRule="exact"/>
        <w:rPr>
          <w:sz w:val="20"/>
          <w:szCs w:val="20"/>
          <w:color w:val="auto"/>
        </w:rPr>
      </w:pPr>
    </w:p>
    <w:p>
      <w:pPr>
        <w:ind w:right="60" w:firstLine="384"/>
        <w:spacing w:after="0" w:line="237" w:lineRule="auto"/>
        <w:rPr>
          <w:sz w:val="20"/>
          <w:szCs w:val="20"/>
          <w:color w:val="auto"/>
        </w:rPr>
      </w:pPr>
      <w:r>
        <w:rPr>
          <w:rFonts w:ascii="Times New Roman" w:cs="Times New Roman" w:eastAsia="Times New Roman" w:hAnsi="Times New Roman"/>
          <w:sz w:val="16"/>
          <w:szCs w:val="16"/>
          <w:color w:val="auto"/>
        </w:rPr>
        <w:t>This Bond is one of a duly authorized issue of Bonds of the Company (herein called the “</w:t>
      </w:r>
      <w:r>
        <w:rPr>
          <w:rFonts w:ascii="Times New Roman" w:cs="Times New Roman" w:eastAsia="Times New Roman" w:hAnsi="Times New Roman"/>
          <w:sz w:val="16"/>
          <w:szCs w:val="16"/>
          <w:b w:val="1"/>
          <w:bCs w:val="1"/>
          <w:color w:val="auto"/>
        </w:rPr>
        <w:t>Bonds</w:t>
      </w:r>
      <w:r>
        <w:rPr>
          <w:rFonts w:ascii="Times New Roman" w:cs="Times New Roman" w:eastAsia="Times New Roman" w:hAnsi="Times New Roman"/>
          <w:sz w:val="16"/>
          <w:szCs w:val="16"/>
          <w:color w:val="auto"/>
        </w:rPr>
        <w:t>”), in unlimited aggregate principal amount, of the series hereinafter specified, all issued and to be issued under and equally and ratably secured by a Mortgage and Deed of Trust, dated July 1, 1939 (the “</w:t>
      </w:r>
      <w:r>
        <w:rPr>
          <w:rFonts w:ascii="Times New Roman" w:cs="Times New Roman" w:eastAsia="Times New Roman" w:hAnsi="Times New Roman"/>
          <w:sz w:val="16"/>
          <w:szCs w:val="16"/>
          <w:b w:val="1"/>
          <w:bCs w:val="1"/>
          <w:color w:val="auto"/>
        </w:rPr>
        <w:t>Original Mortgage</w:t>
      </w:r>
      <w:r>
        <w:rPr>
          <w:rFonts w:ascii="Times New Roman" w:cs="Times New Roman" w:eastAsia="Times New Roman" w:hAnsi="Times New Roman"/>
          <w:sz w:val="16"/>
          <w:szCs w:val="16"/>
          <w:color w:val="auto"/>
        </w:rPr>
        <w:t>”), executed by the Company to The Bank of New York Mellon Trust Company, N.A. (herein called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as Trustee (as successor to Harris Trust and Savings Bank), as amended by indentures supplemental thereto including the Fifty-Third indenture supplemental thereto dated as of March 13, 2025 and the additional Fifty-Third Supplemental (Reopening) Indenture supplemental thereto dated as of December 5, 2025 (herein called the “</w:t>
      </w:r>
      <w:r>
        <w:rPr>
          <w:rFonts w:ascii="Times New Roman" w:cs="Times New Roman" w:eastAsia="Times New Roman" w:hAnsi="Times New Roman"/>
          <w:sz w:val="16"/>
          <w:szCs w:val="16"/>
          <w:b w:val="1"/>
          <w:bCs w:val="1"/>
          <w:color w:val="auto"/>
        </w:rPr>
        <w:t>Supplemental Indenture</w:t>
      </w:r>
      <w:r>
        <w:rPr>
          <w:rFonts w:ascii="Times New Roman" w:cs="Times New Roman" w:eastAsia="Times New Roman" w:hAnsi="Times New Roman"/>
          <w:sz w:val="16"/>
          <w:szCs w:val="16"/>
          <w:color w:val="auto"/>
        </w:rPr>
        <w:t>”), between the Company and the Trustee (said Original Mortgage, as so amended, being herein called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to which Indenture and all indentures supplemental thereto reference is hereby made for a description of the properties mortgaged and pledged, the nature and extent of the security, the rights of the bearers or registered owners of the Bonds and of the Trustee in respect thereto, and the terms and conditions upon which the Bonds are, and are to be, secured. The Bonds may be issued in series, for various principal sums, may mature at different times, may bear interest at different rates and may otherwise vary as in the Indenture provided. This Bond is one of a series designated as the “First Mortgage Bonds, 5.25% Series due 2035” (herein called</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800"/>
          </w:cols>
          <w:pgMar w:left="1060" w:top="689" w:right="1040" w:bottom="1440" w:gutter="0" w:footer="0" w:header="0"/>
        </w:sectPr>
      </w:pPr>
    </w:p>
    <w:bookmarkStart w:id="58" w:name="page59"/>
    <w:bookmarkEnd w:id="58"/>
    <w:p>
      <w:pPr>
        <w:jc w:val="both"/>
        <w:ind w:right="160"/>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Bonds of the 5.25% Series due 2035</w:t>
      </w:r>
      <w:r>
        <w:rPr>
          <w:rFonts w:ascii="Times New Roman" w:cs="Times New Roman" w:eastAsia="Times New Roman" w:hAnsi="Times New Roman"/>
          <w:sz w:val="16"/>
          <w:szCs w:val="16"/>
          <w:color w:val="auto"/>
        </w:rPr>
        <w:t>”) of the Company, issued under and secured by the Indenture executed by the Company to the Trustee. Additional Bonds of the 5.25% Series due 2035 may be issued, at the option of the Company, without the consent of any holder of the Bonds of the 5.25% Series due 2035, at any time and from time to time in unlimited aggregate principal amount.</w:t>
      </w:r>
    </w:p>
    <w:p>
      <w:pPr>
        <w:spacing w:after="0" w:line="164"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To the extent permitted by, and as provided in the Indenture, modifications or alterations of the Indenture or of any indenture supplemental thereto, and of the rights and obligations of the Company and of the holders of the Bonds and coupons, may be made with the consent of the Company by an affirmative vote of not less than 60% in principal amount of the Bonds entitled to vote then outstanding, at a meeting of holders of the Bonds called and held as provided in the Indenture, and by an affirmative vote of not less than 60% in principal amount of the Bonds of any series entitled to vote then outstanding and affected by such modification or alteration, in case one or more but less than all of the series of Bonds then outstanding under the Indenture are so affected. No modification or alteration shall be made which will affect the terms of payment of the principal of or premium, if any, or interest on, this Bond, which are unconditional. The Company has reserved the right to make certain amendments to the Indenture, without any consent or other action by holders of the Bonds of this series to the extent necessary from time to time to qualify the Indenture under the Trust Indenture Act of 1939 and to make certain other amendments, all as more fully provided in the Indenture and in the Supplemental Indenture.</w:t>
      </w:r>
    </w:p>
    <w:p>
      <w:pPr>
        <w:spacing w:after="0" w:line="168"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This Bond is subject to redemption by the Company, prior to December 15, 2034 (the “</w:t>
      </w:r>
      <w:r>
        <w:rPr>
          <w:rFonts w:ascii="Times New Roman" w:cs="Times New Roman" w:eastAsia="Times New Roman" w:hAnsi="Times New Roman"/>
          <w:sz w:val="16"/>
          <w:szCs w:val="16"/>
          <w:b w:val="1"/>
          <w:bCs w:val="1"/>
          <w:color w:val="auto"/>
        </w:rPr>
        <w:t>Par Call Date</w:t>
      </w:r>
      <w:r>
        <w:rPr>
          <w:rFonts w:ascii="Times New Roman" w:cs="Times New Roman" w:eastAsia="Times New Roman" w:hAnsi="Times New Roman"/>
          <w:sz w:val="16"/>
          <w:szCs w:val="16"/>
          <w:color w:val="auto"/>
        </w:rPr>
        <w:t>”) at its option, in whole or in part, at any time and from time to time, at a redemption price (expressed as a percentage of principal amount and rounded to three decimals) equal to the greater of: (1)(a) the sum of present values of the remaining scheduled payments of principal and interest thereon discounted to the redemption date (assuming the bonds matured on the Par Call Date) on a semi -annual basis (assuming a 360-day year consisting of twelve 30-day months) at the Treasury Rate applicable to the Bond plus 15 basis points less (b) interest accrued to the redemption date; and (2) 100% of the principal amount of the Bond to be redeemed, plus in either case, accrued and unpaid interest thereon to, but excluding, the redemption date.</w:t>
      </w:r>
    </w:p>
    <w:p>
      <w:pPr>
        <w:spacing w:after="0" w:line="170" w:lineRule="exact"/>
        <w:rPr>
          <w:sz w:val="20"/>
          <w:szCs w:val="20"/>
          <w:color w:val="auto"/>
        </w:rPr>
      </w:pPr>
    </w:p>
    <w:p>
      <w:pPr>
        <w:ind w:right="140" w:firstLine="384"/>
        <w:spacing w:after="0" w:line="247" w:lineRule="auto"/>
        <w:rPr>
          <w:sz w:val="20"/>
          <w:szCs w:val="20"/>
          <w:color w:val="auto"/>
        </w:rPr>
      </w:pPr>
      <w:r>
        <w:rPr>
          <w:rFonts w:ascii="Times New Roman" w:cs="Times New Roman" w:eastAsia="Times New Roman" w:hAnsi="Times New Roman"/>
          <w:sz w:val="16"/>
          <w:szCs w:val="16"/>
          <w:color w:val="auto"/>
        </w:rPr>
        <w:t>This Bond is subject to redemption by the Company on or after Par Call Date at its option, in whole or in part, at any time and from time to time in part, at a redemption price equal to 100% of the principal amount of the Bond to be redeemed, plus accrued and unpaid interest thereon, but excluding, the redemption date.</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For purposes of the optional redemption provisions, the following term has the following meaning:</w:t>
      </w:r>
    </w:p>
    <w:p>
      <w:pPr>
        <w:spacing w:after="0" w:line="90" w:lineRule="exact"/>
        <w:rPr>
          <w:sz w:val="20"/>
          <w:szCs w:val="20"/>
          <w:color w:val="auto"/>
        </w:rPr>
      </w:pPr>
    </w:p>
    <w:p>
      <w:pPr>
        <w:jc w:val="center"/>
        <w:ind w:left="1440"/>
        <w:spacing w:after="0" w:line="4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Treasury Rate</w:t>
      </w:r>
      <w:r>
        <w:rPr>
          <w:rFonts w:ascii="Times New Roman" w:cs="Times New Roman" w:eastAsia="Times New Roman" w:hAnsi="Times New Roman"/>
          <w:sz w:val="16"/>
          <w:szCs w:val="16"/>
          <w:color w:val="auto"/>
        </w:rPr>
        <w:t>” means, with respect to any redemption date, the yield determined by the Company in accordance with the following two paragraphs. 13</w:t>
      </w:r>
    </w:p>
    <w:p>
      <w:pPr>
        <w:sectPr>
          <w:pgSz w:w="11900" w:h="16840" w:orient="portrait"/>
          <w:cols w:equalWidth="0" w:num="1">
            <w:col w:w="9780"/>
          </w:cols>
          <w:pgMar w:left="1060" w:top="687" w:right="1060" w:bottom="1440" w:gutter="0" w:footer="0" w:header="0"/>
        </w:sectPr>
      </w:pPr>
    </w:p>
    <w:bookmarkStart w:id="59" w:name="page60"/>
    <w:bookmarkEnd w:id="59"/>
    <w:p>
      <w:pPr>
        <w:ind w:right="120" w:firstLine="384"/>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6"/>
          <w:szCs w:val="16"/>
          <w:b w:val="1"/>
          <w:bCs w:val="1"/>
          <w:color w:val="auto"/>
        </w:rPr>
        <w:t>H.15</w:t>
      </w:r>
      <w:r>
        <w:rPr>
          <w:rFonts w:ascii="Times New Roman" w:cs="Times New Roman" w:eastAsia="Times New Roman" w:hAnsi="Times New Roman"/>
          <w:sz w:val="16"/>
          <w:szCs w:val="16"/>
          <w:color w:val="auto"/>
        </w:rPr>
        <w:t>”) under the caption “U.S. government securities—Treasury constant maturities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Nominal” (or any successor caption or heading) (“</w:t>
      </w:r>
      <w:r>
        <w:rPr>
          <w:rFonts w:ascii="Times New Roman" w:cs="Times New Roman" w:eastAsia="Times New Roman" w:hAnsi="Times New Roman"/>
          <w:sz w:val="16"/>
          <w:szCs w:val="16"/>
          <w:b w:val="1"/>
          <w:bCs w:val="1"/>
          <w:color w:val="auto"/>
        </w:rPr>
        <w:t>H.15 TCM</w:t>
      </w:r>
      <w:r>
        <w:rPr>
          <w:rFonts w:ascii="Times New Roman" w:cs="Times New Roman" w:eastAsia="Times New Roman" w:hAnsi="Times New Roman"/>
          <w:sz w:val="16"/>
          <w:szCs w:val="16"/>
          <w:color w:val="auto"/>
        </w:rPr>
        <w:t>”). In determining the Treasury Rate, the Company shall select, as applicable:</w:t>
      </w:r>
    </w:p>
    <w:p>
      <w:pPr>
        <w:spacing w:after="0" w:line="98" w:lineRule="exact"/>
        <w:rPr>
          <w:sz w:val="20"/>
          <w:szCs w:val="20"/>
          <w:color w:val="auto"/>
        </w:rPr>
      </w:pPr>
    </w:p>
    <w:p>
      <w:pPr>
        <w:ind w:left="860" w:right="60" w:hanging="390"/>
        <w:spacing w:after="0" w:line="262" w:lineRule="auto"/>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yield for the Treasury constant maturity on H.15 exactly equal to the period from the redemption date to the Par Call Date (the “</w:t>
      </w:r>
      <w:r>
        <w:rPr>
          <w:rFonts w:ascii="Times New Roman" w:cs="Times New Roman" w:eastAsia="Times New Roman" w:hAnsi="Times New Roman"/>
          <w:sz w:val="16"/>
          <w:szCs w:val="16"/>
          <w:b w:val="1"/>
          <w:bCs w:val="1"/>
          <w:color w:val="auto"/>
        </w:rPr>
        <w:t>Remaining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Life</w:t>
      </w:r>
      <w:r>
        <w:rPr>
          <w:rFonts w:ascii="Times New Roman" w:cs="Times New Roman" w:eastAsia="Times New Roman" w:hAnsi="Times New Roman"/>
          <w:sz w:val="16"/>
          <w:szCs w:val="16"/>
          <w:color w:val="auto"/>
        </w:rPr>
        <w:t>”); or</w:t>
      </w:r>
    </w:p>
    <w:p>
      <w:pPr>
        <w:spacing w:after="0" w:line="80" w:lineRule="exact"/>
        <w:rPr>
          <w:rFonts w:ascii="Times New Roman" w:cs="Times New Roman" w:eastAsia="Times New Roman" w:hAnsi="Times New Roman"/>
          <w:sz w:val="16"/>
          <w:szCs w:val="16"/>
          <w:color w:val="auto"/>
        </w:rPr>
      </w:pPr>
    </w:p>
    <w:p>
      <w:pPr>
        <w:ind w:left="860" w:right="280" w:hanging="390"/>
        <w:spacing w:after="0" w:line="243" w:lineRule="auto"/>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w:t>
      </w:r>
    </w:p>
    <w:p>
      <w:pPr>
        <w:spacing w:after="0" w:line="95" w:lineRule="exact"/>
        <w:rPr>
          <w:rFonts w:ascii="Times New Roman" w:cs="Times New Roman" w:eastAsia="Times New Roman" w:hAnsi="Times New Roman"/>
          <w:sz w:val="16"/>
          <w:szCs w:val="16"/>
          <w:color w:val="auto"/>
        </w:rPr>
      </w:pPr>
    </w:p>
    <w:p>
      <w:pPr>
        <w:ind w:left="860" w:hanging="390"/>
        <w:spacing w:after="0" w:line="243" w:lineRule="auto"/>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w:t>
      </w:r>
    </w:p>
    <w:p>
      <w:pPr>
        <w:spacing w:after="0" w:line="167" w:lineRule="exact"/>
        <w:rPr>
          <w:sz w:val="20"/>
          <w:szCs w:val="20"/>
          <w:color w:val="auto"/>
        </w:rPr>
      </w:pPr>
    </w:p>
    <w:p>
      <w:pPr>
        <w:ind w:right="80" w:firstLine="384"/>
        <w:spacing w:after="0" w:line="238" w:lineRule="auto"/>
        <w:rPr>
          <w:sz w:val="20"/>
          <w:szCs w:val="20"/>
          <w:color w:val="auto"/>
        </w:rPr>
      </w:pPr>
      <w:r>
        <w:rPr>
          <w:rFonts w:ascii="Times New Roman" w:cs="Times New Roman" w:eastAsia="Times New Roman" w:hAnsi="Times New Roman"/>
          <w:sz w:val="16"/>
          <w:szCs w:val="16"/>
          <w:color w:val="auto"/>
        </w:rPr>
        <w:t>If on the third business day preceding the redemption date H.15 TCM is no longer published, the Company shall calculate the Treasury Rate based on the rate per annum equal to the semi- 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800"/>
          </w:cols>
          <w:pgMar w:left="1060" w:top="689" w:right="1040" w:bottom="1440" w:gutter="0" w:footer="0" w:header="0"/>
        </w:sectPr>
      </w:pPr>
    </w:p>
    <w:bookmarkStart w:id="60" w:name="page61"/>
    <w:bookmarkEnd w:id="60"/>
    <w:p>
      <w:pPr>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Company’s actions and determinations in determining the redemption price shall be conclusive and binding for all purposes, absent manifest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error.</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Trustee shall have no obligation or duty whatsoever to determine, or to verify the Company’s calculations of, the redemption price.</w:t>
      </w:r>
    </w:p>
    <w:p>
      <w:pPr>
        <w:spacing w:after="0" w:line="188"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Such redemption in every case shall be effected upon notice given: (1) at least ten days and not more than sixty days prior to the redemption date, to the registered owners of such Bonds at their addresses as the same shall appear on the transfer register of the Company; and (2) stating, among other things, the redemption price (or if not then ascertainable, the manner of calculation thereof) and date, in each case, subject to the conditions of and as more fully set forth in the Indenture. If less than all of the outstanding Bonds are to be redeemed, the Bonds to be redeemed shall be selected in accordance with the policies and procedures of The Depository Trust Company (or any successor depositary thereto), provided that in the event the Bonds are no longer held in the global form, the Bonds to be redeemed shall be selected by the Trustee by lot.</w:t>
      </w:r>
    </w:p>
    <w:p>
      <w:pPr>
        <w:spacing w:after="0" w:line="173" w:lineRule="exact"/>
        <w:rPr>
          <w:sz w:val="20"/>
          <w:szCs w:val="20"/>
          <w:color w:val="auto"/>
        </w:rPr>
      </w:pPr>
    </w:p>
    <w:p>
      <w:pPr>
        <w:ind w:right="100" w:firstLine="384"/>
        <w:spacing w:after="0" w:line="239" w:lineRule="auto"/>
        <w:rPr>
          <w:sz w:val="20"/>
          <w:szCs w:val="20"/>
          <w:color w:val="auto"/>
        </w:rPr>
      </w:pPr>
      <w:r>
        <w:rPr>
          <w:rFonts w:ascii="Times New Roman" w:cs="Times New Roman" w:eastAsia="Times New Roman" w:hAnsi="Times New Roman"/>
          <w:sz w:val="16"/>
          <w:szCs w:val="16"/>
          <w:color w:val="auto"/>
        </w:rPr>
        <w:t>Notwithstanding the foregoing, so long as there is no existing default in the payment on the Bonds of the 5.25% Series due 2035, installments of interest on the Bonds of the 5.25% Series due 2035 that are due and payable on an interest payment date falling on or prior to a redemption date shall be payable on such interest payment date to the registered owners of the Bonds of the 5.25% Series due 2035 as of the close of business on the relevant record date according to the Bonds of the 5.25% Series due 2035 and the Indenture, except as and to the extent the Company shall default in the payment of the interest due on such interest payment date, in which case defaulted interest shall be paid to the person in whose name such Bond of the 5.25% Series due 2035 is registered on the date of payment of such defaulted interest. The redemption price will be calculated assuming a 360-day year consisting of twelve 30-day months.</w:t>
      </w:r>
    </w:p>
    <w:p>
      <w:pPr>
        <w:spacing w:after="0" w:line="170" w:lineRule="exact"/>
        <w:rPr>
          <w:sz w:val="20"/>
          <w:szCs w:val="20"/>
          <w:color w:val="auto"/>
        </w:rPr>
      </w:pPr>
    </w:p>
    <w:p>
      <w:pPr>
        <w:ind w:right="60" w:firstLine="384"/>
        <w:spacing w:after="0" w:line="239" w:lineRule="auto"/>
        <w:rPr>
          <w:sz w:val="20"/>
          <w:szCs w:val="20"/>
          <w:color w:val="auto"/>
        </w:rPr>
      </w:pPr>
      <w:r>
        <w:rPr>
          <w:rFonts w:ascii="Times New Roman" w:cs="Times New Roman" w:eastAsia="Times New Roman" w:hAnsi="Times New Roman"/>
          <w:sz w:val="16"/>
          <w:szCs w:val="16"/>
          <w:color w:val="auto"/>
        </w:rPr>
        <w:t>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the Company. If any of these events fail to occur and are not waived by the Company, the Company will be under no obligation to redeem the Bonds or pay the holders thereof any redemption proceeds, and the Company’s failure to so redeem the Bonds will not be considered a default or event of default under the Indenture. In the event that any of these conditions fail to occur and are not waived by the Company, the Company will promptly notify the Trustee in writing that the conditions precedent to such redemption have failed to occur and the Bonds will not be redeemed.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780"/>
          </w:cols>
          <w:pgMar w:left="1060" w:top="689" w:right="1060" w:bottom="1440" w:gutter="0" w:footer="0" w:header="0"/>
        </w:sectPr>
      </w:pPr>
    </w:p>
    <w:bookmarkStart w:id="61" w:name="page62"/>
    <w:bookmarkEnd w:id="61"/>
    <w:p>
      <w:pPr>
        <w:ind w:right="380"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Unless the Company defaults in payment of the redemption price, on and after the redemption date, interest will cease to accrue on the Bonds or portions of the Bonds called for redemption.</w:t>
      </w:r>
    </w:p>
    <w:p>
      <w:pPr>
        <w:spacing w:after="0" w:line="155" w:lineRule="exact"/>
        <w:rPr>
          <w:sz w:val="20"/>
          <w:szCs w:val="20"/>
          <w:color w:val="auto"/>
        </w:rPr>
      </w:pPr>
    </w:p>
    <w:p>
      <w:pPr>
        <w:ind w:right="100" w:firstLine="384"/>
        <w:spacing w:after="0" w:line="247" w:lineRule="auto"/>
        <w:rPr>
          <w:sz w:val="20"/>
          <w:szCs w:val="20"/>
          <w:color w:val="auto"/>
        </w:rPr>
      </w:pPr>
      <w:r>
        <w:rPr>
          <w:rFonts w:ascii="Times New Roman" w:cs="Times New Roman" w:eastAsia="Times New Roman" w:hAnsi="Times New Roman"/>
          <w:sz w:val="16"/>
          <w:szCs w:val="16"/>
          <w:color w:val="auto"/>
        </w:rPr>
        <w:t>In case an event of default, as defined in the Indenture, shall occur, the principal of all of the Bonds at any such time outstanding under the Indenture may be declared or may become due and payable, upon the conditions and in the manner and with the effect provided in the Indenture. The Indenture provides that such declaration may in certain events be waived by the holders of a majority in principal amount of the Bonds outstanding.</w:t>
      </w:r>
    </w:p>
    <w:p>
      <w:pPr>
        <w:spacing w:after="0" w:line="164"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This Bond is transferable by the registered owner hereof, in person or by duly authorized attorney, on the books of the Company to be kept for that purpose at the agency of the Company in the City of Chicago, Illinois, and at the agency of the Company in the Borough of Manhattan, The City of New York, upon surrender and cancellation of this Bond and on presentation of a duly executed written instrument of transfer, and thereupon a new registered Bond or Bonds of the same series, of the same aggregate principal amount and in authorized denominations will be issued to the transferee or transferees in exchange herefor; and this Bond, with or without others of like form and series, may in like manner be exchanged for one or more new registered Bonds of the same series of other authorized denominations but of the same aggregate principal amount; all upon payment of the charges and subject to the terms and conditions set forth in the Indenture.</w:t>
      </w:r>
    </w:p>
    <w:p>
      <w:pPr>
        <w:spacing w:after="0" w:line="170" w:lineRule="exact"/>
        <w:rPr>
          <w:sz w:val="20"/>
          <w:szCs w:val="20"/>
          <w:color w:val="auto"/>
        </w:rPr>
      </w:pPr>
    </w:p>
    <w:p>
      <w:pPr>
        <w:ind w:right="180" w:firstLine="384"/>
        <w:spacing w:after="0" w:line="259" w:lineRule="auto"/>
        <w:rPr>
          <w:sz w:val="20"/>
          <w:szCs w:val="20"/>
          <w:color w:val="auto"/>
        </w:rPr>
      </w:pPr>
      <w:r>
        <w:rPr>
          <w:rFonts w:ascii="Times New Roman" w:cs="Times New Roman" w:eastAsia="Times New Roman" w:hAnsi="Times New Roman"/>
          <w:sz w:val="16"/>
          <w:szCs w:val="16"/>
          <w:color w:val="auto"/>
        </w:rPr>
        <w:t>The Company or a successor entity may deliver to the Trustee in substitution for any Bonds of the 5.25% Series due 2035, mortgage bonds or other similar instruments as set forth in the Indenture.</w:t>
      </w:r>
    </w:p>
    <w:p>
      <w:pPr>
        <w:spacing w:after="0" w:line="155"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Subject to the preceding sentence, no recourse shall be had for the payment of the principal of or premium, if any, or interest on this Bond, or for any claim based hereon or on the Indenture or any indenture supplemental thereto, against any incorporator, or against any stockholder, director or officer, past, present or future, of the Company, or of any predecessor or successor corporation, as such, either directly or through the Company or any such predecessor or successor corporation, whether by virtue of any constitution, statute or rule of law, or by the enforcement of any assessment or penalty or otherwise, all such liability, whether at common law, in equity, by any constitution, statute or otherwise, of incorporators, stockholders, directors or officers being released by every owner hereof by the acceptance of this Bond and as part of the consideration for the issue hereof, and being likewise released by the terms of the Indenture.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760"/>
          </w:cols>
          <w:pgMar w:left="1060" w:top="689" w:right="1080" w:bottom="1440" w:gutter="0" w:footer="0" w:header="0"/>
        </w:sectPr>
      </w:pPr>
    </w:p>
    <w:bookmarkStart w:id="62" w:name="page63"/>
    <w:bookmarkEnd w:id="62"/>
    <w:p>
      <w:pPr>
        <w:ind w:firstLine="384"/>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No director, officer, employee or stockholder of the Company will have any liability for any obligations of the Company under the Bonds or Indenture or for any claim based on, in respect of, or by reason of, such obligations or their creation. Each holder by accepting a Bond waives and releases all such liability. The waiver and release are part of the consideration for issuance of the Bonds. The waiver may not be effective to waive liabilities under the federal securities laws. It is the view of the Securities and Exchange Commission that this type of waiver is against public policy.</w:t>
      </w:r>
    </w:p>
    <w:p>
      <w:pPr>
        <w:spacing w:after="0" w:line="167" w:lineRule="exact"/>
        <w:rPr>
          <w:sz w:val="20"/>
          <w:szCs w:val="20"/>
          <w:color w:val="auto"/>
        </w:rPr>
      </w:pPr>
    </w:p>
    <w:p>
      <w:pPr>
        <w:ind w:right="180" w:firstLine="384"/>
        <w:spacing w:after="0" w:line="247" w:lineRule="auto"/>
        <w:rPr>
          <w:sz w:val="20"/>
          <w:szCs w:val="20"/>
          <w:color w:val="auto"/>
        </w:rPr>
      </w:pPr>
      <w:r>
        <w:rPr>
          <w:rFonts w:ascii="Times New Roman" w:cs="Times New Roman" w:eastAsia="Times New Roman" w:hAnsi="Times New Roman"/>
          <w:sz w:val="16"/>
          <w:szCs w:val="16"/>
          <w:color w:val="auto"/>
        </w:rPr>
        <w:t>This Bond shall not be entitled to any benefit under the Indenture or any indenture supplemental thereto, or become valid or obligatory for any purpose, until The Bank of New York Mellon Trust Company, N.A., the Trustee (as successor to Harris Trust and Savings Bank) under the Indenture, or a successor trustee thereto under the Indenture, shall have signed the form of certificate endorsed hereon.</w:t>
      </w:r>
    </w:p>
    <w:p>
      <w:pPr>
        <w:spacing w:after="0" w:line="164" w:lineRule="exact"/>
        <w:rPr>
          <w:sz w:val="20"/>
          <w:szCs w:val="20"/>
          <w:color w:val="auto"/>
        </w:rPr>
      </w:pPr>
    </w:p>
    <w:p>
      <w:pPr>
        <w:ind w:right="100" w:firstLine="384"/>
        <w:spacing w:after="0" w:line="247" w:lineRule="auto"/>
        <w:rPr>
          <w:sz w:val="20"/>
          <w:szCs w:val="20"/>
          <w:color w:val="auto"/>
        </w:rPr>
      </w:pPr>
      <w:r>
        <w:rPr>
          <w:rFonts w:ascii="Times New Roman" w:cs="Times New Roman" w:eastAsia="Times New Roman" w:hAnsi="Times New Roman"/>
          <w:sz w:val="16"/>
          <w:szCs w:val="16"/>
          <w:color w:val="auto"/>
        </w:rPr>
        <w:t>IN WITNESS WHEREOF, EVERGY KANSAS CENTRAL, INC. has caused this Bond to be signed in its name by its Chairman of the Board, President and Chief Executive Officer or a Vice President, manually or electronically, and its corporate seal (or a facsimile thereof) to be hereto affixed and attested by its Secretary or an Assistant Secretary, manually or electronically.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22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5715</wp:posOffset>
            </wp:positionV>
            <wp:extent cx="21037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103755"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Geoffrey T. Ley</w:t>
      </w:r>
    </w:p>
    <w:p>
      <w:pPr>
        <w:ind w:left="5880"/>
        <w:spacing w:after="0"/>
        <w:rPr>
          <w:sz w:val="20"/>
          <w:szCs w:val="20"/>
          <w:color w:val="auto"/>
        </w:rPr>
      </w:pPr>
      <w:r>
        <w:rPr>
          <w:rFonts w:ascii="Times New Roman" w:cs="Times New Roman" w:eastAsia="Times New Roman" w:hAnsi="Times New Roman"/>
          <w:sz w:val="16"/>
          <w:szCs w:val="16"/>
          <w:color w:val="auto"/>
        </w:rPr>
        <w:t>Senior Vice President, Corporate Planning and Treasurer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Attest:</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Heather A.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248475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Senior Vice President, General Counsel and</w:t>
      </w:r>
    </w:p>
    <w:p>
      <w:pPr>
        <w:spacing w:after="0"/>
        <w:rPr>
          <w:sz w:val="20"/>
          <w:szCs w:val="20"/>
          <w:color w:val="auto"/>
        </w:rPr>
      </w:pPr>
      <w:r>
        <w:rPr>
          <w:rFonts w:ascii="Times New Roman" w:cs="Times New Roman" w:eastAsia="Times New Roman" w:hAnsi="Times New Roman"/>
          <w:sz w:val="16"/>
          <w:szCs w:val="16"/>
          <w:color w:val="auto"/>
        </w:rPr>
        <w:t>Corporate Secretary</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[SIGNATURE PAGE TO GLOBAL NOTE]</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800"/>
          </w:cols>
          <w:pgMar w:left="1060" w:top="689" w:right="1040" w:bottom="1440" w:gutter="0" w:footer="0" w:header="0"/>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TRUSTEE’S CERTIFICATE</w:t>
      </w:r>
    </w:p>
    <w:p>
      <w:pPr>
        <w:spacing w:after="0" w:line="188"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This Bond is one of the Bonds, of the series designated herein, described in the within-mentioned Mortgage and Deed of Trust dated July 1, 1939 and Supplemental Indenture dated as of December 5, 2025.</w:t>
      </w:r>
    </w:p>
    <w:p>
      <w:pPr>
        <w:spacing w:after="0" w:line="8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THE BANK OF NEW YORK MELLON TRUST</w:t>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COMPANY, N.A.</w:t>
      </w:r>
    </w:p>
    <w:p>
      <w:pPr>
        <w:ind w:left="588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As Trustee</w:t>
      </w:r>
    </w:p>
    <w:p>
      <w:pPr>
        <w:spacing w:after="0" w:line="16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5715</wp:posOffset>
            </wp:positionV>
            <wp:extent cx="209613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96135"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i w:val="1"/>
          <w:iCs w:val="1"/>
          <w:color w:val="auto"/>
        </w:rPr>
        <w:t>[TRUSTEE’S CERTIFICATE TO GLOBAL NOTE]</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720"/>
          </w:cols>
          <w:pgMar w:left="1060" w:top="689" w:right="1120" w:bottom="1440" w:gutter="0" w:footer="0" w:header="0"/>
        </w:sectPr>
      </w:pPr>
    </w:p>
    <w:bookmarkStart w:id="64" w:name="page65"/>
    <w:bookmarkEnd w:id="64"/>
    <w:p>
      <w:pPr>
        <w:ind w:right="80" w:firstLine="384"/>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4. </w:t>
      </w:r>
      <w:r>
        <w:rPr>
          <w:rFonts w:ascii="Times New Roman" w:cs="Times New Roman" w:eastAsia="Times New Roman" w:hAnsi="Times New Roman"/>
          <w:sz w:val="16"/>
          <w:szCs w:val="16"/>
          <w:i w:val="1"/>
          <w:iCs w:val="1"/>
          <w:color w:val="auto"/>
        </w:rPr>
        <w:t>Execution and Form of Temporary Reopening Bonds</w:t>
      </w:r>
      <w:r>
        <w:rPr>
          <w:rFonts w:ascii="Times New Roman" w:cs="Times New Roman" w:eastAsia="Times New Roman" w:hAnsi="Times New Roman"/>
          <w:sz w:val="16"/>
          <w:szCs w:val="16"/>
          <w:color w:val="auto"/>
        </w:rPr>
        <w:t>. Until Reopening Bonds in definitive form are ready for delivery, the Company may execute, and upon its request in writing the Trustee shall authenticate and deliver, in lieu thereof, Reopening Bonds in temporary form, as provided in Section 9 of Article II of the Original Indenture.</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ARTICLE II</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3"/>
          <w:szCs w:val="13"/>
          <w:color w:val="auto"/>
        </w:rPr>
        <w:t>SSUE OF</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ONDS OF THE</w:t>
      </w:r>
      <w:r>
        <w:rPr>
          <w:rFonts w:ascii="Times New Roman" w:cs="Times New Roman" w:eastAsia="Times New Roman" w:hAnsi="Times New Roman"/>
          <w:sz w:val="16"/>
          <w:szCs w:val="16"/>
          <w:color w:val="auto"/>
        </w:rPr>
        <w:t xml:space="preserve"> 5.25% S</w:t>
      </w:r>
      <w:r>
        <w:rPr>
          <w:rFonts w:ascii="Times New Roman" w:cs="Times New Roman" w:eastAsia="Times New Roman" w:hAnsi="Times New Roman"/>
          <w:sz w:val="13"/>
          <w:szCs w:val="13"/>
          <w:color w:val="auto"/>
        </w:rPr>
        <w:t>ERIES DUE</w:t>
      </w:r>
      <w:r>
        <w:rPr>
          <w:rFonts w:ascii="Times New Roman" w:cs="Times New Roman" w:eastAsia="Times New Roman" w:hAnsi="Times New Roman"/>
          <w:sz w:val="16"/>
          <w:szCs w:val="16"/>
          <w:color w:val="auto"/>
        </w:rPr>
        <w:t xml:space="preserve"> 2035</w:t>
      </w:r>
    </w:p>
    <w:p>
      <w:pPr>
        <w:spacing w:after="0" w:line="168" w:lineRule="exact"/>
        <w:rPr>
          <w:sz w:val="20"/>
          <w:szCs w:val="20"/>
          <w:color w:val="auto"/>
        </w:rPr>
      </w:pPr>
    </w:p>
    <w:p>
      <w:pPr>
        <w:ind w:right="120" w:firstLine="384"/>
        <w:spacing w:after="0" w:line="248"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Limitation as to Principal Amount of Bonds of the 5.25% Series due 2035.</w:t>
      </w:r>
      <w:r>
        <w:rPr>
          <w:rFonts w:ascii="Times New Roman" w:cs="Times New Roman" w:eastAsia="Times New Roman" w:hAnsi="Times New Roman"/>
          <w:sz w:val="16"/>
          <w:szCs w:val="16"/>
          <w:color w:val="auto"/>
        </w:rPr>
        <w:t xml:space="preserve"> The total principal amount of Bonds of the 5.25% Series due 2035 which may be authenticated and delivered hereunder is not limited except as the Original Indenture, the Fifty-Third Supplemental Indenture and this Supplemental Indenture limit the principal amount of Bonds which may be issued thereunder.</w:t>
      </w:r>
    </w:p>
    <w:p>
      <w:pPr>
        <w:spacing w:after="0" w:line="162" w:lineRule="exact"/>
        <w:rPr>
          <w:sz w:val="20"/>
          <w:szCs w:val="20"/>
          <w:color w:val="auto"/>
        </w:rPr>
      </w:pPr>
    </w:p>
    <w:p>
      <w:pPr>
        <w:ind w:right="140" w:firstLine="384"/>
        <w:spacing w:after="0" w:line="241" w:lineRule="auto"/>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i w:val="1"/>
          <w:iCs w:val="1"/>
          <w:color w:val="auto"/>
        </w:rPr>
        <w:t>Execution and Delivery of Bonds of the 5.25% Series due 2035.</w:t>
      </w:r>
      <w:r>
        <w:rPr>
          <w:rFonts w:ascii="Times New Roman" w:cs="Times New Roman" w:eastAsia="Times New Roman" w:hAnsi="Times New Roman"/>
          <w:sz w:val="16"/>
          <w:szCs w:val="16"/>
          <w:color w:val="auto"/>
        </w:rPr>
        <w:t xml:space="preserve"> The Reopening Bonds in an aggregate principal amount of $300,000,000 may forthwith be executed by the Company and delivered to the Trustee and shall be authenticated by the Trustee and delivered (either before or after the filing or recording hereof) to or upon the order of the Company, upon receipt by the Trustee of the resolutions, certificates, instruments and opinions required by Article III of the Original Indenture. Upon the issuance of the Reopening Bonds, the aggregate principal amount of the Bonds of the 5.25% Series due 2035 will be $600,000,000.</w:t>
      </w:r>
    </w:p>
    <w:p>
      <w:pPr>
        <w:spacing w:after="0" w:line="169"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i w:val="1"/>
          <w:iCs w:val="1"/>
          <w:color w:val="auto"/>
        </w:rPr>
        <w:t>Additional Bonds of the 5.25% Series due 2035.</w:t>
      </w:r>
      <w:r>
        <w:rPr>
          <w:rFonts w:ascii="Times New Roman" w:cs="Times New Roman" w:eastAsia="Times New Roman" w:hAnsi="Times New Roman"/>
          <w:sz w:val="16"/>
          <w:szCs w:val="16"/>
          <w:color w:val="auto"/>
        </w:rPr>
        <w:t xml:space="preserve"> The Bonds of the 5.25% Series due 2035 need not be issued at the same time. Subject to the limitations of the Original Indenture, the Fifty-Third Supplemental Indenture and this Supplemental Indenture with respect to the principal amount of Bonds which may be issued thereunder, the Company may, from time to time, at its option and without the consent of any holder of the Bonds of the 5.25% Series due 2035, reopen the 5.25% Series due 2035 for issuance of additional Bonds of the 5.25% Series due 2035 (such Bonds, “</w:t>
      </w:r>
      <w:r>
        <w:rPr>
          <w:rFonts w:ascii="Times New Roman" w:cs="Times New Roman" w:eastAsia="Times New Roman" w:hAnsi="Times New Roman"/>
          <w:sz w:val="16"/>
          <w:szCs w:val="16"/>
          <w:b w:val="1"/>
          <w:bCs w:val="1"/>
          <w:color w:val="auto"/>
        </w:rPr>
        <w:t>Additional Bonds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if the Additional Bonds are not fungible with the previously issued Bonds of the 5.25% Series due 2035 for United States federal income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purposes, the Additional Bonds will have a separate CUSIP number, and further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Additional Bonds shall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any outstanding Bonds of the 5.25% Series due 2035, shall be consolidated with and treated as a single series with the outstanding Bonds of the 5.25% Series due 2035 for all purposes, and shall have terms and conditions identical to those of the other outstanding Bonds of the 5.25% Series due 2035, except that Additional Bonds may differ with respect to:</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 the date of issuance;</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720"/>
          </w:cols>
          <w:pgMar w:left="1060" w:top="687" w:right="1120" w:bottom="1440" w:gutter="0" w:footer="0" w:header="0"/>
        </w:sectPr>
      </w:pPr>
    </w:p>
    <w:bookmarkStart w:id="65" w:name="page66"/>
    <w:bookmarkEnd w:id="65"/>
    <w:p>
      <w:pPr>
        <w:ind w:left="600" w:hanging="226"/>
        <w:spacing w:after="0"/>
        <w:tabs>
          <w:tab w:leader="none" w:pos="6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amount of interest payable on the first interest payment date therefor;</w:t>
      </w:r>
    </w:p>
    <w:p>
      <w:pPr>
        <w:spacing w:after="0" w:line="188" w:lineRule="exact"/>
        <w:rPr>
          <w:rFonts w:ascii="Times New Roman" w:cs="Times New Roman" w:eastAsia="Times New Roman" w:hAnsi="Times New Roman"/>
          <w:sz w:val="16"/>
          <w:szCs w:val="16"/>
          <w:color w:val="auto"/>
        </w:rPr>
      </w:pPr>
    </w:p>
    <w:p>
      <w:pPr>
        <w:ind w:left="640" w:hanging="266"/>
        <w:spacing w:after="0"/>
        <w:tabs>
          <w:tab w:leader="none" w:pos="6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interest payment date;</w:t>
      </w:r>
    </w:p>
    <w:p>
      <w:pPr>
        <w:spacing w:after="0" w:line="188" w:lineRule="exact"/>
        <w:rPr>
          <w:rFonts w:ascii="Times New Roman" w:cs="Times New Roman" w:eastAsia="Times New Roman" w:hAnsi="Times New Roman"/>
          <w:sz w:val="16"/>
          <w:szCs w:val="16"/>
          <w:color w:val="auto"/>
        </w:rPr>
      </w:pPr>
    </w:p>
    <w:p>
      <w:pPr>
        <w:ind w:left="640" w:hanging="266"/>
        <w:spacing w:after="0"/>
        <w:tabs>
          <w:tab w:leader="none" w:pos="6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 price; and</w:t>
      </w:r>
    </w:p>
    <w:p>
      <w:pPr>
        <w:spacing w:after="0" w:line="188" w:lineRule="exact"/>
        <w:rPr>
          <w:rFonts w:ascii="Times New Roman" w:cs="Times New Roman" w:eastAsia="Times New Roman" w:hAnsi="Times New Roman"/>
          <w:sz w:val="16"/>
          <w:szCs w:val="16"/>
          <w:color w:val="auto"/>
        </w:rPr>
      </w:pPr>
    </w:p>
    <w:p>
      <w:pPr>
        <w:ind w:firstLine="374"/>
        <w:spacing w:after="0" w:line="259" w:lineRule="auto"/>
        <w:tabs>
          <w:tab w:leader="none" w:pos="60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adjustments necessary in order to conform to and ensure compliance with the Securities Act of 1933, as amended (or other applicable securities laws), which are not adverse in any material respect to the holder of any outstanding Bonds of the 5.25% Series due 2035.</w:t>
      </w:r>
    </w:p>
    <w:p>
      <w:pPr>
        <w:spacing w:after="0" w:line="155" w:lineRule="exact"/>
        <w:rPr>
          <w:sz w:val="20"/>
          <w:szCs w:val="20"/>
          <w:color w:val="auto"/>
        </w:rPr>
      </w:pPr>
    </w:p>
    <w:p>
      <w:pPr>
        <w:ind w:right="440" w:firstLine="384"/>
        <w:spacing w:after="0" w:line="247" w:lineRule="auto"/>
        <w:rPr>
          <w:sz w:val="20"/>
          <w:szCs w:val="20"/>
          <w:color w:val="auto"/>
        </w:rPr>
      </w:pPr>
      <w:r>
        <w:rPr>
          <w:rFonts w:ascii="Times New Roman" w:cs="Times New Roman" w:eastAsia="Times New Roman" w:hAnsi="Times New Roman"/>
          <w:sz w:val="16"/>
          <w:szCs w:val="16"/>
          <w:color w:val="auto"/>
        </w:rPr>
        <w:t>Additional Bonds of the 5.25% Series due 2035 executed by the Company and delivered to the Trustee shall be authenticated by the Trustee and delivered (either before or after the filing or recording hereof) to or upon the order of the Company, upon receipt by the Trustee of the resolutions, certificates, instruments and opinions required by Article III of the Original Indenture.</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ARTICLE III</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EDEMPTION AND</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UBSTITUTION OF</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ONDS OF THE</w:t>
      </w:r>
      <w:r>
        <w:rPr>
          <w:rFonts w:ascii="Times New Roman" w:cs="Times New Roman" w:eastAsia="Times New Roman" w:hAnsi="Times New Roman"/>
          <w:sz w:val="16"/>
          <w:szCs w:val="16"/>
          <w:color w:val="auto"/>
        </w:rPr>
        <w:t xml:space="preserve"> 5.25% S</w:t>
      </w:r>
      <w:r>
        <w:rPr>
          <w:rFonts w:ascii="Times New Roman" w:cs="Times New Roman" w:eastAsia="Times New Roman" w:hAnsi="Times New Roman"/>
          <w:sz w:val="13"/>
          <w:szCs w:val="13"/>
          <w:color w:val="auto"/>
        </w:rPr>
        <w:t>ERIES DUE</w:t>
      </w:r>
      <w:r>
        <w:rPr>
          <w:rFonts w:ascii="Times New Roman" w:cs="Times New Roman" w:eastAsia="Times New Roman" w:hAnsi="Times New Roman"/>
          <w:sz w:val="16"/>
          <w:szCs w:val="16"/>
          <w:color w:val="auto"/>
        </w:rPr>
        <w:t xml:space="preserve"> 2035</w:t>
      </w:r>
    </w:p>
    <w:p>
      <w:pPr>
        <w:spacing w:after="0" w:line="168" w:lineRule="exact"/>
        <w:rPr>
          <w:sz w:val="20"/>
          <w:szCs w:val="20"/>
          <w:color w:val="auto"/>
        </w:rPr>
      </w:pPr>
    </w:p>
    <w:p>
      <w:pPr>
        <w:ind w:right="66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Optional Redemption of Bonds of the 5.25% Series due 2035.</w:t>
      </w:r>
      <w:r>
        <w:rPr>
          <w:rFonts w:ascii="Times New Roman" w:cs="Times New Roman" w:eastAsia="Times New Roman" w:hAnsi="Times New Roman"/>
          <w:sz w:val="16"/>
          <w:szCs w:val="16"/>
          <w:color w:val="auto"/>
        </w:rPr>
        <w:t xml:space="preserve"> The Reopening Bonds shall be subject to optional redemption by the Company as set forth in the Fifty-Third Supplemental Indenture.</w:t>
      </w:r>
    </w:p>
    <w:p>
      <w:pPr>
        <w:spacing w:after="0" w:line="150" w:lineRule="exact"/>
        <w:rPr>
          <w:sz w:val="20"/>
          <w:szCs w:val="20"/>
          <w:color w:val="auto"/>
        </w:rPr>
      </w:pPr>
    </w:p>
    <w:p>
      <w:pPr>
        <w:ind w:right="36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i w:val="1"/>
          <w:iCs w:val="1"/>
          <w:color w:val="auto"/>
        </w:rPr>
        <w:t>Substitution of Bonds of the 5.25% Series due 2035</w:t>
      </w:r>
      <w:r>
        <w:rPr>
          <w:rFonts w:ascii="Times New Roman" w:cs="Times New Roman" w:eastAsia="Times New Roman" w:hAnsi="Times New Roman"/>
          <w:sz w:val="16"/>
          <w:szCs w:val="16"/>
          <w:color w:val="auto"/>
        </w:rPr>
        <w:t xml:space="preserve">. The Company may deliver to the Trustee in substitution for any Reopening Bonds, mortgage </w:t>
      </w:r>
      <w:r>
        <w:rPr>
          <w:rFonts w:ascii="Times New Roman" w:cs="Times New Roman" w:eastAsia="Times New Roman" w:hAnsi="Times New Roman"/>
          <w:sz w:val="16"/>
          <w:szCs w:val="16"/>
          <w:i w:val="1"/>
          <w:iCs w:val="1"/>
          <w:color w:val="auto"/>
        </w:rPr>
        <w:t>bonds</w:t>
      </w:r>
      <w:r>
        <w:rPr>
          <w:rFonts w:ascii="Times New Roman" w:cs="Times New Roman" w:eastAsia="Times New Roman" w:hAnsi="Times New Roman"/>
          <w:sz w:val="16"/>
          <w:szCs w:val="16"/>
          <w:color w:val="auto"/>
        </w:rPr>
        <w:t xml:space="preserve"> or other similar instruments of the Company or any successor entity as set forth in the Fifty-Third Supplemental Indenture.</w:t>
      </w: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ARTICLE IV</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3"/>
          <w:szCs w:val="13"/>
          <w:color w:val="auto"/>
        </w:rPr>
        <w:t>DDITIONAL</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OVENANTS</w:t>
      </w:r>
    </w:p>
    <w:p>
      <w:pPr>
        <w:spacing w:after="0" w:line="168" w:lineRule="exact"/>
        <w:rPr>
          <w:sz w:val="20"/>
          <w:szCs w:val="20"/>
          <w:color w:val="auto"/>
        </w:rPr>
      </w:pPr>
    </w:p>
    <w:p>
      <w:pPr>
        <w:ind w:right="30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Covenants of the Fifty-Third Supplemental Indenture</w:t>
      </w:r>
      <w:r>
        <w:rPr>
          <w:rFonts w:ascii="Times New Roman" w:cs="Times New Roman" w:eastAsia="Times New Roman" w:hAnsi="Times New Roman"/>
          <w:sz w:val="16"/>
          <w:szCs w:val="16"/>
          <w:color w:val="auto"/>
        </w:rPr>
        <w:t>. The Company hereby covenants, warrants and agrees to the covenants set forth in Article IV of the Fifty-Third Supplemental Indenture.</w:t>
      </w: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ARTICLE V</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ESERVATIONS OF</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3"/>
          <w:szCs w:val="13"/>
          <w:color w:val="auto"/>
        </w:rPr>
        <w:t>IGHTS TO</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3"/>
          <w:szCs w:val="13"/>
          <w:color w:val="auto"/>
        </w:rPr>
        <w:t>MEND THE</w:t>
      </w:r>
      <w:r>
        <w:rPr>
          <w:rFonts w:ascii="Times New Roman" w:cs="Times New Roman" w:eastAsia="Times New Roman" w:hAnsi="Times New Roman"/>
          <w:sz w:val="16"/>
          <w:szCs w:val="16"/>
          <w:color w:val="auto"/>
        </w:rPr>
        <w:t xml:space="preserve"> O</w:t>
      </w:r>
      <w:r>
        <w:rPr>
          <w:rFonts w:ascii="Times New Roman" w:cs="Times New Roman" w:eastAsia="Times New Roman" w:hAnsi="Times New Roman"/>
          <w:sz w:val="13"/>
          <w:szCs w:val="13"/>
          <w:color w:val="auto"/>
        </w:rPr>
        <w:t>RIGINAL</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3"/>
          <w:szCs w:val="13"/>
          <w:color w:val="auto"/>
        </w:rPr>
        <w:t>NDENTURE</w:t>
      </w:r>
    </w:p>
    <w:p>
      <w:pPr>
        <w:spacing w:after="0" w:line="168" w:lineRule="exact"/>
        <w:rPr>
          <w:sz w:val="20"/>
          <w:szCs w:val="20"/>
          <w:color w:val="auto"/>
        </w:rPr>
      </w:pPr>
    </w:p>
    <w:p>
      <w:pPr>
        <w:ind w:right="22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Modernization of the Original Indenture</w:t>
      </w:r>
      <w:r>
        <w:rPr>
          <w:rFonts w:ascii="Times New Roman" w:cs="Times New Roman" w:eastAsia="Times New Roman" w:hAnsi="Times New Roman"/>
          <w:sz w:val="16"/>
          <w:szCs w:val="16"/>
          <w:color w:val="auto"/>
        </w:rPr>
        <w:t>. The Company reserves the right, subject to appropriate action, but without any consent or other action by holders of Bonds of the 5.25% Series due 2035, or of any subsequent series of bonds, to amend the Original Indenture to:</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 Eliminate maintenance and improvement fund requirements;</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9820"/>
          </w:cols>
          <w:pgMar w:left="1060" w:top="689" w:right="1020" w:bottom="1440" w:gutter="0" w:footer="0" w:header="0"/>
        </w:sectPr>
      </w:pPr>
    </w:p>
    <w:bookmarkStart w:id="66" w:name="page67"/>
    <w:bookmarkEnd w:id="66"/>
    <w:p>
      <w:pPr>
        <w:ind w:left="600" w:hanging="226"/>
        <w:spacing w:after="0"/>
        <w:tabs>
          <w:tab w:leader="none" w:pos="6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Simplify the provisions for release of obsolete property, de minimis property releases and substitution of property and unfunded property;</w:t>
      </w:r>
    </w:p>
    <w:p>
      <w:pPr>
        <w:spacing w:after="0" w:line="188" w:lineRule="exact"/>
        <w:rPr>
          <w:rFonts w:ascii="Times New Roman" w:cs="Times New Roman" w:eastAsia="Times New Roman" w:hAnsi="Times New Roman"/>
          <w:sz w:val="16"/>
          <w:szCs w:val="16"/>
          <w:color w:val="auto"/>
        </w:rPr>
      </w:pPr>
    </w:p>
    <w:p>
      <w:pPr>
        <w:ind w:firstLine="374"/>
        <w:spacing w:after="0" w:line="259" w:lineRule="auto"/>
        <w:tabs>
          <w:tab w:leader="none" w:pos="59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additional terms of bonds or forms of bond in supplemental indentures, including terms for uncertificated and global securities (or definitive securities in lieu thereof) and medium-term notes;</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changes necessary to conform the Mortgage with the requirements of the Trust Indenture Act;</w:t>
      </w:r>
    </w:p>
    <w:p>
      <w:pPr>
        <w:spacing w:after="0" w:line="188"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defeasance provisions providing for covenant and legal defeasance options;</w:t>
      </w:r>
    </w:p>
    <w:p>
      <w:pPr>
        <w:spacing w:after="0" w:line="188" w:lineRule="exact"/>
        <w:rPr>
          <w:rFonts w:ascii="Times New Roman" w:cs="Times New Roman" w:eastAsia="Times New Roman" w:hAnsi="Times New Roman"/>
          <w:sz w:val="16"/>
          <w:szCs w:val="16"/>
          <w:color w:val="auto"/>
        </w:rPr>
      </w:pPr>
    </w:p>
    <w:p>
      <w:pPr>
        <w:ind w:left="560" w:hanging="186"/>
        <w:spacing w:after="0"/>
        <w:tabs>
          <w:tab w:leader="none" w:pos="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the Company to remove the trustee in certain circumstances;</w:t>
      </w:r>
    </w:p>
    <w:p>
      <w:pPr>
        <w:spacing w:after="0" w:line="18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direction to the trustee under the Mortgage to vote pledged prior lien bonds for specified amendments to the prior lien mortgage;</w:t>
      </w:r>
    </w:p>
    <w:p>
      <w:pPr>
        <w:spacing w:after="0" w:line="188" w:lineRule="exact"/>
        <w:rPr>
          <w:rFonts w:ascii="Times New Roman" w:cs="Times New Roman" w:eastAsia="Times New Roman" w:hAnsi="Times New Roman"/>
          <w:sz w:val="16"/>
          <w:szCs w:val="16"/>
          <w:color w:val="auto"/>
        </w:rPr>
      </w:pPr>
    </w:p>
    <w:p>
      <w:pPr>
        <w:ind w:right="40" w:firstLine="374"/>
        <w:spacing w:after="0" w:line="259" w:lineRule="auto"/>
        <w:tabs>
          <w:tab w:leader="none" w:pos="60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broader investment directions to the trustee or permitting the Company to direct investment of money held by the Trustee, so long as there is no event of default under the Mortgage;</w:t>
      </w:r>
    </w:p>
    <w:p>
      <w:pPr>
        <w:spacing w:after="0" w:line="155" w:lineRule="exact"/>
        <w:rPr>
          <w:rFonts w:ascii="Times New Roman" w:cs="Times New Roman" w:eastAsia="Times New Roman" w:hAnsi="Times New Roman"/>
          <w:sz w:val="16"/>
          <w:szCs w:val="16"/>
          <w:color w:val="auto"/>
        </w:rPr>
      </w:pPr>
    </w:p>
    <w:p>
      <w:pPr>
        <w:ind w:right="140" w:firstLine="374"/>
        <w:spacing w:after="0" w:line="259" w:lineRule="auto"/>
        <w:tabs>
          <w:tab w:leader="none" w:pos="57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definition of “Excepted Property” to exclude property which generally cannot be mortgaged without undue administrative burden (i.e. automobiles), but allowing the Company to subject Excepted Property to the Mortgage;</w:t>
      </w:r>
    </w:p>
    <w:p>
      <w:pPr>
        <w:spacing w:after="0" w:line="155" w:lineRule="exact"/>
        <w:rPr>
          <w:rFonts w:ascii="Times New Roman" w:cs="Times New Roman" w:eastAsia="Times New Roman" w:hAnsi="Times New Roman"/>
          <w:sz w:val="16"/>
          <w:szCs w:val="16"/>
          <w:color w:val="auto"/>
        </w:rPr>
      </w:pPr>
    </w:p>
    <w:p>
      <w:pPr>
        <w:ind w:left="560" w:hanging="186"/>
        <w:spacing w:after="0"/>
        <w:tabs>
          <w:tab w:leader="none" w:pos="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definition of “Bondable Property” to allow all mortgaged property to be bondable; and</w:t>
      </w:r>
    </w:p>
    <w:p>
      <w:pPr>
        <w:spacing w:after="0" w:line="18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Update the definition of “Permitted Liens.”</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VI</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3"/>
          <w:szCs w:val="13"/>
          <w:color w:val="auto"/>
        </w:rPr>
        <w:t>ISCELLANEOUS</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3"/>
          <w:szCs w:val="13"/>
          <w:color w:val="auto"/>
        </w:rPr>
        <w:t>ROVISIONS</w:t>
      </w:r>
    </w:p>
    <w:p>
      <w:pPr>
        <w:spacing w:after="0" w:line="168" w:lineRule="exact"/>
        <w:rPr>
          <w:sz w:val="20"/>
          <w:szCs w:val="20"/>
          <w:color w:val="auto"/>
        </w:rPr>
      </w:pPr>
    </w:p>
    <w:p>
      <w:pPr>
        <w:ind w:right="2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Acceptance of Trust</w:t>
      </w:r>
      <w:r>
        <w:rPr>
          <w:rFonts w:ascii="Times New Roman" w:cs="Times New Roman" w:eastAsia="Times New Roman" w:hAnsi="Times New Roman"/>
          <w:sz w:val="16"/>
          <w:szCs w:val="16"/>
          <w:color w:val="auto"/>
        </w:rPr>
        <w:t>. The Trustee accepts the trusts herein declared, provided, created or supplemented and agrees to perform the same upon the terms and conditions herein and in the Original Indenture, as amended, set forth and upon the following terms and conditions.</w:t>
      </w:r>
    </w:p>
    <w:p>
      <w:pPr>
        <w:spacing w:after="0" w:line="150" w:lineRule="exact"/>
        <w:rPr>
          <w:sz w:val="20"/>
          <w:szCs w:val="20"/>
          <w:color w:val="auto"/>
        </w:rPr>
      </w:pPr>
    </w:p>
    <w:p>
      <w:pPr>
        <w:ind w:right="340" w:firstLine="384"/>
        <w:spacing w:after="0" w:line="284" w:lineRule="auto"/>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i w:val="1"/>
          <w:iCs w:val="1"/>
          <w:color w:val="auto"/>
        </w:rPr>
        <w:t>Responsibility and Duty of Trustee.</w:t>
      </w:r>
      <w:r>
        <w:rPr>
          <w:rFonts w:ascii="Times New Roman" w:cs="Times New Roman" w:eastAsia="Times New Roman" w:hAnsi="Times New Roman"/>
          <w:sz w:val="14"/>
          <w:szCs w:val="14"/>
          <w:color w:val="auto"/>
        </w:rPr>
        <w:t xml:space="preserve"> The Trustee shall not be responsible in any manner whatsoever for or in respect of the validity or sufficiency of this Supplemental Indenture or for or in respect of the recitals contained herein, all of which recitals are made by the Company solely. In general each and every term and condition contained in Article XIII of the Original Indenture, as amended by the Second Supplemental Indenture, shall apply to and form part of this Supplemental Indenture with the same force and effect as if the same were herein set forth in full with such omissions, variations and insertions, if any, as may be appropriate to make the same conform to the provisions of this Supplemental Indenture.</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9800"/>
          </w:cols>
          <w:pgMar w:left="1060" w:top="689" w:right="1040" w:bottom="1440" w:gutter="0" w:footer="0" w:header="0"/>
        </w:sectPr>
      </w:pPr>
    </w:p>
    <w:bookmarkStart w:id="67" w:name="page68"/>
    <w:bookmarkEnd w:id="67"/>
    <w:p>
      <w:pPr>
        <w:jc w:val="both"/>
        <w:ind w:right="240" w:firstLine="384"/>
        <w:spacing w:after="0" w:line="29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3. </w:t>
      </w:r>
      <w:r>
        <w:rPr>
          <w:rFonts w:ascii="Times New Roman" w:cs="Times New Roman" w:eastAsia="Times New Roman" w:hAnsi="Times New Roman"/>
          <w:sz w:val="14"/>
          <w:szCs w:val="14"/>
          <w:i w:val="1"/>
          <w:iCs w:val="1"/>
          <w:color w:val="auto"/>
        </w:rPr>
        <w:t>Parties to Include Successors and Assigns.</w:t>
      </w:r>
      <w:r>
        <w:rPr>
          <w:rFonts w:ascii="Times New Roman" w:cs="Times New Roman" w:eastAsia="Times New Roman" w:hAnsi="Times New Roman"/>
          <w:sz w:val="14"/>
          <w:szCs w:val="14"/>
          <w:color w:val="auto"/>
        </w:rPr>
        <w:t xml:space="preserve"> Whenever in this Supplemental Indenture either of the parties hereto is named or referred to, such reference shall, subject to the provisions of Articles XII and XIII of the Original Indenture, be deemed to include the successors and assigns of such party, and all the covenants and agreements in this Supplemental Indenture contained by or on behalf of the Company, or by or on behalf of the Trustee, shall, subject as aforesaid, bind and inure to the respective benefits of the respective successors and assigns of such parties, whether so expressed or not.</w:t>
      </w:r>
    </w:p>
    <w:p>
      <w:pPr>
        <w:spacing w:after="0" w:line="134" w:lineRule="exact"/>
        <w:rPr>
          <w:sz w:val="20"/>
          <w:szCs w:val="20"/>
          <w:color w:val="auto"/>
        </w:rPr>
      </w:pPr>
    </w:p>
    <w:p>
      <w:pPr>
        <w:ind w:right="80" w:firstLine="384"/>
        <w:spacing w:after="0"/>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i w:val="1"/>
          <w:iCs w:val="1"/>
          <w:color w:val="auto"/>
        </w:rPr>
        <w:t>Benefits Restricted to Parties and to Holders of Bonds and Coupons.</w:t>
      </w:r>
      <w:r>
        <w:rPr>
          <w:rFonts w:ascii="Times New Roman" w:cs="Times New Roman" w:eastAsia="Times New Roman" w:hAnsi="Times New Roman"/>
          <w:sz w:val="16"/>
          <w:szCs w:val="16"/>
          <w:color w:val="auto"/>
        </w:rPr>
        <w:t xml:space="preserve"> Nothing in this Supplemental Indenture, expressed or implied, is intended or shall be construed, to confer upon, or to give to, any person, firm or corporation, other than the parties hereto and the holders of the Bonds and coupons outstanding under the Indenture, any right, remedy or claim under or by reason of this Supplemental Indenture or any covenant, condition, stipulation, promise or agreement hereof, and all the covenants, conditions, stipulations, promises and agreements in this Supplemental Indenture contained by and on behalf of the Company shall be for the sole and exclusive benefit of the parties hereto, and of the holders of the Bonds and of the coupons outstanding under the Indenture.</w:t>
      </w:r>
    </w:p>
    <w:p>
      <w:pPr>
        <w:spacing w:after="0" w:line="168" w:lineRule="exact"/>
        <w:rPr>
          <w:sz w:val="20"/>
          <w:szCs w:val="20"/>
          <w:color w:val="auto"/>
        </w:rPr>
      </w:pPr>
    </w:p>
    <w:p>
      <w:pPr>
        <w:ind w:right="20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i w:val="1"/>
          <w:iCs w:val="1"/>
          <w:color w:val="auto"/>
        </w:rPr>
        <w:t>Execution in Counterparts.</w:t>
      </w:r>
      <w:r>
        <w:rPr>
          <w:rFonts w:ascii="Times New Roman" w:cs="Times New Roman" w:eastAsia="Times New Roman" w:hAnsi="Times New Roman"/>
          <w:sz w:val="16"/>
          <w:szCs w:val="16"/>
          <w:color w:val="auto"/>
        </w:rPr>
        <w:t xml:space="preserve"> This Supplemental Indenture may be executed in several counterparts, and all such counterparts executed and delivered, each as an original, shall constitute but one and the same instrument.</w:t>
      </w:r>
    </w:p>
    <w:p>
      <w:pPr>
        <w:spacing w:after="0" w:line="150" w:lineRule="exact"/>
        <w:rPr>
          <w:sz w:val="20"/>
          <w:szCs w:val="20"/>
          <w:color w:val="auto"/>
        </w:rPr>
      </w:pPr>
    </w:p>
    <w:p>
      <w:pPr>
        <w:ind w:right="24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i w:val="1"/>
          <w:iCs w:val="1"/>
          <w:color w:val="auto"/>
        </w:rPr>
        <w:t>Titles of Articles Not Part of the Fifty-Third Supplemental (Reopening) Indenture.</w:t>
      </w:r>
      <w:r>
        <w:rPr>
          <w:rFonts w:ascii="Times New Roman" w:cs="Times New Roman" w:eastAsia="Times New Roman" w:hAnsi="Times New Roman"/>
          <w:sz w:val="16"/>
          <w:szCs w:val="16"/>
          <w:color w:val="auto"/>
        </w:rPr>
        <w:t xml:space="preserve"> The Titles of the several Articles of this Supplemental Indenture shall not be deemed to be any part thereof.</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i w:val="1"/>
          <w:iCs w:val="1"/>
          <w:color w:val="auto"/>
        </w:rPr>
        <w:t>Electronic Means.</w:t>
      </w:r>
      <w:r>
        <w:rPr>
          <w:rFonts w:ascii="Times New Roman" w:cs="Times New Roman" w:eastAsia="Times New Roman" w:hAnsi="Times New Roman"/>
          <w:sz w:val="16"/>
          <w:szCs w:val="16"/>
          <w:color w:val="auto"/>
        </w:rPr>
        <w:t xml:space="preserve"> With respect to the Bonds of the 5.25% Series due 2035:</w:t>
      </w:r>
    </w:p>
    <w:p>
      <w:pPr>
        <w:spacing w:after="0" w:line="92"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The Trustee shall have the right to accept and act upon instructions (“</w:t>
      </w:r>
      <w:r>
        <w:rPr>
          <w:rFonts w:ascii="Times New Roman" w:cs="Times New Roman" w:eastAsia="Times New Roman" w:hAnsi="Times New Roman"/>
          <w:sz w:val="16"/>
          <w:szCs w:val="16"/>
          <w:b w:val="1"/>
          <w:bCs w:val="1"/>
          <w:color w:val="auto"/>
        </w:rPr>
        <w:t>Instructions</w:t>
      </w:r>
      <w:r>
        <w:rPr>
          <w:rFonts w:ascii="Times New Roman" w:cs="Times New Roman" w:eastAsia="Times New Roman" w:hAnsi="Times New Roman"/>
          <w:sz w:val="16"/>
          <w:szCs w:val="16"/>
          <w:color w:val="auto"/>
        </w:rPr>
        <w:t>”), including fund transfer instructions given pursuant to this Supplemental Indenture and delivered using Electronic Means; provided, however, that the Company shall provide to the Trustee an incumbency certificate listing officers and other Company personnel with the authority to provide such Instructions (“</w:t>
      </w:r>
      <w:r>
        <w:rPr>
          <w:rFonts w:ascii="Times New Roman" w:cs="Times New Roman" w:eastAsia="Times New Roman" w:hAnsi="Times New Roman"/>
          <w:sz w:val="16"/>
          <w:szCs w:val="16"/>
          <w:b w:val="1"/>
          <w:bCs w:val="1"/>
          <w:color w:val="auto"/>
        </w:rPr>
        <w:t>Authorized Officers</w:t>
      </w:r>
      <w:r>
        <w:rPr>
          <w:rFonts w:ascii="Times New Roman" w:cs="Times New Roman" w:eastAsia="Times New Roman" w:hAnsi="Times New Roman"/>
          <w:sz w:val="16"/>
          <w:szCs w:val="16"/>
          <w:color w:val="auto"/>
        </w:rPr>
        <w:t xml:space="preserve"> ”) and containing specimen signatures of such Authorized Officers, which incumbency certificate shall be amended by the Company whenever a person is to be added or deleted from the listing or promptly upon reasonable request of the Trustee. If the Company elects to give the Trustee Instructions using Electronic Means and the Trustee in its reasonable discretion elects to act upon such Instructions, the Trustee’s reasonable understanding of such Instructions shall be deemed controlling. The Company understands and agrees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9780"/>
          </w:cols>
          <w:pgMar w:left="1060" w:top="687" w:right="1060" w:bottom="1440" w:gutter="0" w:footer="0" w:header="0"/>
        </w:sectPr>
      </w:pPr>
    </w:p>
    <w:bookmarkStart w:id="68" w:name="page69"/>
    <w:bookmarkEnd w:id="68"/>
    <w:p>
      <w:pPr>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that the Trustee shall be entitled to presume that directions that purport to have been sent by an Authorized Officer listed on the incumbency certificate provided to the Trustee have been sent by such Authorized Officer. The Company shall establish reasonable procedures to ensure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the Electronic Means it selects to submit Instructions to the Trustee, including without limitation the risk of the Trustee acting on unauthorized Instructions, and the risk of interception and misuse by third parties; (ii) that it is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For purposes of this Section 7, “Electronic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i w:val="1"/>
          <w:iCs w:val="1"/>
          <w:color w:val="auto"/>
        </w:rPr>
        <w:t>OFAC Compliance.</w:t>
      </w:r>
      <w:r>
        <w:rPr>
          <w:rFonts w:ascii="Times New Roman" w:cs="Times New Roman" w:eastAsia="Times New Roman" w:hAnsi="Times New Roman"/>
          <w:sz w:val="16"/>
          <w:szCs w:val="16"/>
          <w:color w:val="auto"/>
        </w:rPr>
        <w:t xml:space="preserve"> With respect to the Bonds of the 5.25% Series due 2035:</w:t>
      </w:r>
    </w:p>
    <w:p>
      <w:pPr>
        <w:spacing w:after="0" w:line="94" w:lineRule="exact"/>
        <w:rPr>
          <w:sz w:val="20"/>
          <w:szCs w:val="20"/>
          <w:color w:val="auto"/>
        </w:rPr>
      </w:pPr>
    </w:p>
    <w:p>
      <w:pPr>
        <w:ind w:left="380" w:right="160" w:firstLine="378"/>
        <w:spacing w:after="0" w:line="243" w:lineRule="auto"/>
        <w:tabs>
          <w:tab w:leader="none" w:pos="97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covenants and represents that neither it nor, to the knowledge of the Company, any of its affiliates, subsidiaries, directors or officers are the target or subject of any sanctions enforced by the US Government (including the Office of Foreign Assets Control of the US Department of the Treasury (“</w:t>
      </w:r>
      <w:r>
        <w:rPr>
          <w:rFonts w:ascii="Times New Roman" w:cs="Times New Roman" w:eastAsia="Times New Roman" w:hAnsi="Times New Roman"/>
          <w:sz w:val="16"/>
          <w:szCs w:val="16"/>
          <w:b w:val="1"/>
          <w:bCs w:val="1"/>
          <w:color w:val="auto"/>
        </w:rPr>
        <w:t>OFAC</w:t>
      </w:r>
      <w:r>
        <w:rPr>
          <w:rFonts w:ascii="Times New Roman" w:cs="Times New Roman" w:eastAsia="Times New Roman" w:hAnsi="Times New Roman"/>
          <w:sz w:val="16"/>
          <w:szCs w:val="16"/>
          <w:color w:val="auto"/>
        </w:rPr>
        <w:t>”)), the United Nations Security Council, the European Union, His Majesty’s Treasury, or other relevant sanctions authority (collectively, “</w:t>
      </w:r>
      <w:r>
        <w:rPr>
          <w:rFonts w:ascii="Times New Roman" w:cs="Times New Roman" w:eastAsia="Times New Roman" w:hAnsi="Times New Roman"/>
          <w:sz w:val="16"/>
          <w:szCs w:val="16"/>
          <w:b w:val="1"/>
          <w:bCs w:val="1"/>
          <w:color w:val="auto"/>
        </w:rPr>
        <w:t>Sanctions</w:t>
      </w:r>
      <w:r>
        <w:rPr>
          <w:rFonts w:ascii="Times New Roman" w:cs="Times New Roman" w:eastAsia="Times New Roman" w:hAnsi="Times New Roman"/>
          <w:sz w:val="16"/>
          <w:szCs w:val="16"/>
          <w:color w:val="auto"/>
        </w:rPr>
        <w:t>”).</w:t>
      </w:r>
    </w:p>
    <w:p>
      <w:pPr>
        <w:spacing w:after="0" w:line="71" w:lineRule="exact"/>
        <w:rPr>
          <w:rFonts w:ascii="Times New Roman" w:cs="Times New Roman" w:eastAsia="Times New Roman" w:hAnsi="Times New Roman"/>
          <w:sz w:val="16"/>
          <w:szCs w:val="16"/>
          <w:color w:val="auto"/>
        </w:rPr>
      </w:pPr>
    </w:p>
    <w:p>
      <w:pPr>
        <w:ind w:left="380" w:right="80" w:firstLine="378"/>
        <w:spacing w:after="0" w:line="241" w:lineRule="auto"/>
        <w:tabs>
          <w:tab w:leader="none" w:pos="98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covenants and represents that neither it nor any of its affiliates, subsidiaries, directors or officers will use any part of the proceeds received in connection with the Indenture or any other of the transaction documents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9780"/>
          </w:cols>
          <w:pgMar w:left="1060" w:top="689" w:right="1060" w:bottom="1440" w:gutter="0" w:footer="0" w:header="0"/>
        </w:sectPr>
      </w:pPr>
    </w:p>
    <w:bookmarkStart w:id="69" w:name="page70"/>
    <w:bookmarkEnd w:id="69"/>
    <w:p>
      <w:pPr>
        <w:ind w:firstLine="384"/>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9. </w:t>
      </w:r>
      <w:r>
        <w:rPr>
          <w:rFonts w:ascii="Times New Roman" w:cs="Times New Roman" w:eastAsia="Times New Roman" w:hAnsi="Times New Roman"/>
          <w:sz w:val="16"/>
          <w:szCs w:val="16"/>
          <w:i w:val="1"/>
          <w:iCs w:val="1"/>
          <w:color w:val="auto"/>
        </w:rPr>
        <w:t>FATCA.</w:t>
      </w:r>
      <w:r>
        <w:rPr>
          <w:rFonts w:ascii="Times New Roman" w:cs="Times New Roman" w:eastAsia="Times New Roman" w:hAnsi="Times New Roman"/>
          <w:sz w:val="16"/>
          <w:szCs w:val="16"/>
          <w:color w:val="auto"/>
        </w:rPr>
        <w:t xml:space="preserve"> In order to comply with applicable tax laws, rules and regulations (inclusive of directives, guidelines and interpretations promulgated by competent authorities) in effect from time to time (“</w:t>
      </w:r>
      <w:r>
        <w:rPr>
          <w:rFonts w:ascii="Times New Roman" w:cs="Times New Roman" w:eastAsia="Times New Roman" w:hAnsi="Times New Roman"/>
          <w:sz w:val="16"/>
          <w:szCs w:val="16"/>
          <w:b w:val="1"/>
          <w:bCs w:val="1"/>
          <w:color w:val="auto"/>
        </w:rPr>
        <w:t>Applicable Law</w:t>
      </w:r>
      <w:r>
        <w:rPr>
          <w:rFonts w:ascii="Times New Roman" w:cs="Times New Roman" w:eastAsia="Times New Roman" w:hAnsi="Times New Roman"/>
          <w:sz w:val="16"/>
          <w:szCs w:val="16"/>
          <w:color w:val="auto"/>
        </w:rPr>
        <w:t>”) that a foreign financial institution, issuer, trustee, paying agent, holder or other institution is or has agreed to be subject to related to this Supplemental Indenture, the Company agrees (i) to provide to the Trustee sufficient information about holders or other applicable parties and/or transactions (including any modification to the terms of such transactions) so the Trustee can determine whether it has tax related obligations under Applicable Law, (ii) that the Trustee shall be entitled to make any withholding or deduction from payments under the Indenture to the extent necessary to comply with Applicable Law for which the Trustee shall not have any liability, and (iii) to hold harmless the Trustee for any losses it may suffer due to the actions it takes to comply with such Applicable Law. The terms of this paragraph shall survive the termination of this Supplemental Indenture.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740"/>
          </w:cols>
          <w:pgMar w:left="1060" w:top="687" w:right="1100" w:bottom="1440" w:gutter="0" w:footer="0" w:header="0"/>
        </w:sectPr>
      </w:pPr>
    </w:p>
    <w:bookmarkStart w:id="70" w:name="page71"/>
    <w:bookmarkEnd w:id="70"/>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HEREOF, EVERGY KANSAS CENTRAL, INC., party hereto of the first part, has caused its corporate name to be hereunto affixed, and this instrument to be signed and sealed by its Chairman of the Board, President, Chief Executive Officer or a Vice President, and its corporate seal to be attested by its Secretary or an Assistant Secretary for and in its behalf, and The Bank of New York Mellon Trust Company, N.A., party hereto of the second part, has caused its corporate name to be hereunto affixed, and this instrument to be signed and attested by its duly authorized officer, all as of the day and year first above written.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SEAL)</w:t>
      </w:r>
    </w:p>
    <w:p>
      <w:pPr>
        <w:spacing w:after="0" w:line="22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5715</wp:posOffset>
            </wp:positionV>
            <wp:extent cx="230949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Geoffrey T. Ley</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Senior Vice President, Corporate Planning and Treasurer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/s/ Heather A.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5715</wp:posOffset>
            </wp:positionV>
            <wp:extent cx="230949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Heather A. Humphrey,</w:t>
      </w:r>
    </w:p>
    <w:p>
      <w:pPr>
        <w:ind w:left="320"/>
        <w:spacing w:after="0"/>
        <w:rPr>
          <w:sz w:val="20"/>
          <w:szCs w:val="20"/>
          <w:color w:val="auto"/>
        </w:rPr>
      </w:pPr>
      <w:r>
        <w:rPr>
          <w:rFonts w:ascii="Times New Roman" w:cs="Times New Roman" w:eastAsia="Times New Roman" w:hAnsi="Times New Roman"/>
          <w:sz w:val="16"/>
          <w:szCs w:val="16"/>
          <w:color w:val="auto"/>
        </w:rPr>
        <w:t>Senior Vice President,</w:t>
      </w:r>
    </w:p>
    <w:p>
      <w:pPr>
        <w:ind w:left="320"/>
        <w:spacing w:after="0"/>
        <w:rPr>
          <w:sz w:val="20"/>
          <w:szCs w:val="20"/>
          <w:color w:val="auto"/>
        </w:rPr>
      </w:pPr>
      <w:r>
        <w:rPr>
          <w:rFonts w:ascii="Times New Roman" w:cs="Times New Roman" w:eastAsia="Times New Roman" w:hAnsi="Times New Roman"/>
          <w:sz w:val="16"/>
          <w:szCs w:val="16"/>
          <w:color w:val="auto"/>
        </w:rPr>
        <w:t>General Counsel and Corporate Secretary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S-1</w:t>
      </w:r>
    </w:p>
    <w:p>
      <w:pPr>
        <w:sectPr>
          <w:pgSz w:w="11900" w:h="16840" w:orient="portrait"/>
          <w:cols w:equalWidth="0" w:num="1">
            <w:col w:w="9760"/>
          </w:cols>
          <w:pgMar w:left="1060" w:top="689" w:right="1080" w:bottom="1440" w:gutter="0" w:footer="0" w:header="0"/>
        </w:sectPr>
      </w:pPr>
    </w:p>
    <w:bookmarkStart w:id="71" w:name="page72"/>
    <w:bookmarkEnd w:id="71"/>
    <w:p>
      <w:pPr>
        <w:jc w:val="right"/>
        <w:ind w:right="4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BANK OF NEW YORK MELLON TRUST</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COMPANY, N.A., as Trustee</w:t>
      </w:r>
    </w:p>
    <w:p>
      <w:pPr>
        <w:spacing w:after="0" w:line="1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/s/ Mary Jo Wagener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5715</wp:posOffset>
            </wp:positionV>
            <wp:extent cx="230949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6"/>
          <w:szCs w:val="16"/>
          <w:color w:val="auto"/>
        </w:rPr>
        <w:t>Name: Mary Jo Wagener</w:t>
      </w:r>
    </w:p>
    <w:p>
      <w:pPr>
        <w:spacing w:after="0" w:line="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Vice President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ectPr>
          <w:pgSz w:w="11900" w:h="16840" w:orient="portrait"/>
          <w:cols w:equalWidth="0" w:num="1">
            <w:col w:w="9020"/>
          </w:cols>
          <w:pgMar w:left="1440" w:top="689" w:right="1440" w:bottom="1440" w:gutter="0" w:footer="0" w:header="0"/>
        </w:sectPr>
      </w:pPr>
    </w:p>
    <w:bookmarkStart w:id="72" w:name="page73"/>
    <w:bookmarkEnd w:id="72"/>
    <w:p>
      <w:pPr>
        <w:ind w:right="100"/>
        <w:spacing w:after="0" w:line="545" w:lineRule="auto"/>
        <w:rPr>
          <w:sz w:val="20"/>
          <w:szCs w:val="20"/>
          <w:color w:val="auto"/>
        </w:rPr>
      </w:pPr>
      <w:r>
        <w:rPr>
          <w:rFonts w:ascii="Times New Roman" w:cs="Times New Roman" w:eastAsia="Times New Roman" w:hAnsi="Times New Roman"/>
          <w:sz w:val="14"/>
          <w:szCs w:val="14"/>
          <w:color w:val="auto"/>
        </w:rPr>
        <w:t>STATE OF MISSOURI COUNTY OF JACKSON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-191770</wp:posOffset>
            </wp:positionV>
            <wp:extent cx="6748145"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sectPr>
          <w:pgSz w:w="11900" w:h="16840" w:orient="portrait"/>
          <w:cols w:equalWidth="0" w:num="2">
            <w:col w:w="1720" w:space="720"/>
            <w:col w:w="7080"/>
          </w:cols>
          <w:pgMar w:left="1060" w:top="689" w:right="1320" w:bottom="1440" w:gutter="0" w:footer="0" w:header="0"/>
        </w:sect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BE IT REMEMBERED, that on this 2nd day of December, 2025, before me, the undersigned, a Notary Public within and for the County and State aforesaid, personally came Geoffrey T. Ley and Heather A. Humphrey, of Evergy Kansas Central, Inc., a corporation duly organized, incorporated and existing under the laws of the State of Kansas, who are personally known to me to be such officers, and who are personally known to me to be the same persons who executed as such officers the within instrument of writing, and such persons duly acknowledged the execution of the same to be the act and deed of said corporation.</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WITNESS WHEREOF, I have hereunto subscribed my name and affixed my official seal on the day and year last above written.</w:t>
      </w:r>
    </w:p>
    <w:p>
      <w:pPr>
        <w:spacing w:after="0" w:line="22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/s/ Nicole A. Wehry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7400"/>
        <w:spacing w:after="0"/>
        <w:rPr>
          <w:sz w:val="20"/>
          <w:szCs w:val="20"/>
          <w:color w:val="auto"/>
        </w:rPr>
      </w:pPr>
      <w:r>
        <w:rPr>
          <w:rFonts w:ascii="Times New Roman" w:cs="Times New Roman" w:eastAsia="Times New Roman" w:hAnsi="Times New Roman"/>
          <w:sz w:val="16"/>
          <w:szCs w:val="16"/>
          <w:color w:val="auto"/>
        </w:rPr>
        <w:t>Notary Public</w:t>
      </w:r>
    </w:p>
    <w:p>
      <w:pPr>
        <w:jc w:val="center"/>
        <w:ind w:left="5860"/>
        <w:spacing w:after="0"/>
        <w:rPr>
          <w:sz w:val="20"/>
          <w:szCs w:val="20"/>
          <w:color w:val="auto"/>
        </w:rPr>
      </w:pPr>
      <w:r>
        <w:rPr>
          <w:rFonts w:ascii="Times New Roman" w:cs="Times New Roman" w:eastAsia="Times New Roman" w:hAnsi="Times New Roman"/>
          <w:sz w:val="16"/>
          <w:szCs w:val="16"/>
          <w:color w:val="auto"/>
        </w:rPr>
        <w:t>My Commission Expires</w:t>
      </w:r>
    </w:p>
    <w:p>
      <w:pPr>
        <w:jc w:val="center"/>
        <w:ind w:left="5880"/>
        <w:spacing w:after="0"/>
        <w:rPr>
          <w:sz w:val="20"/>
          <w:szCs w:val="20"/>
          <w:color w:val="auto"/>
        </w:rPr>
      </w:pPr>
      <w:r>
        <w:rPr>
          <w:rFonts w:ascii="Times New Roman" w:cs="Times New Roman" w:eastAsia="Times New Roman" w:hAnsi="Times New Roman"/>
          <w:sz w:val="16"/>
          <w:szCs w:val="16"/>
          <w:color w:val="auto"/>
        </w:rPr>
        <w:t>February 4, 2027</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NICOLE A. WEHRY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NOTARY PUBLIC – NOTARY SEAL</w:t>
      </w:r>
    </w:p>
    <w:p>
      <w:pPr>
        <w:spacing w:after="0" w:line="234" w:lineRule="auto"/>
        <w:rPr>
          <w:sz w:val="20"/>
          <w:szCs w:val="20"/>
          <w:color w:val="auto"/>
        </w:rPr>
      </w:pPr>
      <w:r>
        <w:rPr>
          <w:rFonts w:ascii="Times New Roman" w:cs="Times New Roman" w:eastAsia="Times New Roman" w:hAnsi="Times New Roman"/>
          <w:sz w:val="16"/>
          <w:szCs w:val="16"/>
          <w:color w:val="auto"/>
        </w:rPr>
        <w:t>STATE OF MISSOURI</w:t>
      </w:r>
    </w:p>
    <w:p>
      <w:pPr>
        <w:spacing w:after="0" w:line="235" w:lineRule="auto"/>
        <w:rPr>
          <w:sz w:val="20"/>
          <w:szCs w:val="20"/>
          <w:color w:val="auto"/>
        </w:rPr>
      </w:pPr>
      <w:r>
        <w:rPr>
          <w:rFonts w:ascii="Times New Roman" w:cs="Times New Roman" w:eastAsia="Times New Roman" w:hAnsi="Times New Roman"/>
          <w:sz w:val="16"/>
          <w:szCs w:val="16"/>
          <w:color w:val="auto"/>
        </w:rPr>
        <w:t>MY COMMISSION EXPIRES FEBRUARY 4, 2027</w:t>
      </w:r>
    </w:p>
    <w:p>
      <w:pPr>
        <w:spacing w:after="0" w:line="235" w:lineRule="auto"/>
        <w:rPr>
          <w:sz w:val="20"/>
          <w:szCs w:val="20"/>
          <w:color w:val="auto"/>
        </w:rPr>
      </w:pPr>
      <w:r>
        <w:rPr>
          <w:rFonts w:ascii="Times New Roman" w:cs="Times New Roman" w:eastAsia="Times New Roman" w:hAnsi="Times New Roman"/>
          <w:sz w:val="16"/>
          <w:szCs w:val="16"/>
          <w:color w:val="auto"/>
        </w:rPr>
        <w:t>JACKSON COUNTY</w:t>
      </w:r>
    </w:p>
    <w:p>
      <w:pPr>
        <w:spacing w:after="0"/>
        <w:rPr>
          <w:sz w:val="20"/>
          <w:szCs w:val="20"/>
          <w:color w:val="auto"/>
        </w:rPr>
      </w:pPr>
      <w:r>
        <w:rPr>
          <w:rFonts w:ascii="Times New Roman" w:cs="Times New Roman" w:eastAsia="Times New Roman" w:hAnsi="Times New Roman"/>
          <w:sz w:val="16"/>
          <w:szCs w:val="16"/>
          <w:color w:val="auto"/>
        </w:rPr>
        <w:t>COMMISSION #14391200</w:t>
      </w:r>
    </w:p>
    <w:p>
      <w:pPr>
        <w:spacing w:after="0" w:line="1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S-3</w:t>
      </w:r>
    </w:p>
    <w:p>
      <w:pPr>
        <w:sectPr>
          <w:pgSz w:w="11900" w:h="16840" w:orient="portrait"/>
          <w:cols w:equalWidth="0" w:num="1">
            <w:col w:w="9520"/>
          </w:cols>
          <w:pgMar w:left="1060" w:top="689" w:right="1320" w:bottom="1440" w:gutter="0" w:footer="0" w:header="0"/>
          <w:type w:val="continuous"/>
        </w:sectPr>
      </w:pPr>
    </w:p>
    <w:bookmarkStart w:id="73" w:name="page74"/>
    <w:bookmarkEnd w:id="73"/>
    <w:p>
      <w:pPr>
        <w:ind w:right="100"/>
        <w:spacing w:after="0" w:line="545" w:lineRule="auto"/>
        <w:rPr>
          <w:sz w:val="20"/>
          <w:szCs w:val="20"/>
          <w:color w:val="auto"/>
        </w:rPr>
      </w:pPr>
      <w:r>
        <w:rPr>
          <w:rFonts w:ascii="Times New Roman" w:cs="Times New Roman" w:eastAsia="Times New Roman" w:hAnsi="Times New Roman"/>
          <w:sz w:val="14"/>
          <w:szCs w:val="14"/>
          <w:color w:val="auto"/>
        </w:rPr>
        <w:t>STATE OF MISSOURI COUNTY OF JACKSON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-191770</wp:posOffset>
            </wp:positionV>
            <wp:extent cx="674814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sectPr>
          <w:pgSz w:w="11900" w:h="16840" w:orient="portrait"/>
          <w:cols w:equalWidth="0" w:num="2">
            <w:col w:w="1720" w:space="720"/>
            <w:col w:w="7200"/>
          </w:cols>
          <w:pgMar w:left="1060" w:top="689" w:right="1200" w:bottom="1440" w:gutter="0" w:footer="0" w:header="0"/>
        </w:sect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BE IT REMEMBERED, that on this 2nd day of December, 2025, before me, the undersigned, a Notary Public within and for the County and State aforesaid, personally came Geoffrey T. Ley, and Heather A. Humphrey, of Evergy Kansas Central, Inc., a corporation duly organized, incorporated and existing under the laws of the State of Kansas, who are personally known to me to be such officers, being by me respectively duly sworn, did each say that the said Geoffrey T. Ley is Senior Vice President, Corporate Planning and Treasurer and that the said Heather A. Humphrey is Senior Vice President, General Counsel and Corporate Secretary of said corporation, that the consideration of and for the foregoing instrument was actual and adequate, that the same was made and given in good faith, for the uses and purposes therein set forth and without any intent to hinder, delay, or defraud creditors or purchasers.</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WITNESS WHEREOF, I have hereunto subscribed my name and affixed my official seal on the day and year last above written.</w:t>
      </w:r>
    </w:p>
    <w:p>
      <w:pPr>
        <w:spacing w:after="0" w:line="22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/s/ Nicole A. Wehry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7400"/>
        <w:spacing w:after="0"/>
        <w:rPr>
          <w:sz w:val="20"/>
          <w:szCs w:val="20"/>
          <w:color w:val="auto"/>
        </w:rPr>
      </w:pPr>
      <w:r>
        <w:rPr>
          <w:rFonts w:ascii="Times New Roman" w:cs="Times New Roman" w:eastAsia="Times New Roman" w:hAnsi="Times New Roman"/>
          <w:sz w:val="16"/>
          <w:szCs w:val="16"/>
          <w:color w:val="auto"/>
        </w:rPr>
        <w:t>Notary Public</w:t>
      </w:r>
    </w:p>
    <w:p>
      <w:pPr>
        <w:jc w:val="center"/>
        <w:ind w:left="5880"/>
        <w:spacing w:after="0"/>
        <w:rPr>
          <w:sz w:val="20"/>
          <w:szCs w:val="20"/>
          <w:color w:val="auto"/>
        </w:rPr>
      </w:pPr>
      <w:r>
        <w:rPr>
          <w:rFonts w:ascii="Times New Roman" w:cs="Times New Roman" w:eastAsia="Times New Roman" w:hAnsi="Times New Roman"/>
          <w:sz w:val="16"/>
          <w:szCs w:val="16"/>
          <w:color w:val="auto"/>
        </w:rPr>
        <w:t>My Commission Expires</w:t>
      </w:r>
    </w:p>
    <w:p>
      <w:pPr>
        <w:jc w:val="center"/>
        <w:ind w:left="5880"/>
        <w:spacing w:after="0"/>
        <w:rPr>
          <w:sz w:val="20"/>
          <w:szCs w:val="20"/>
          <w:color w:val="auto"/>
        </w:rPr>
      </w:pPr>
      <w:r>
        <w:rPr>
          <w:rFonts w:ascii="Times New Roman" w:cs="Times New Roman" w:eastAsia="Times New Roman" w:hAnsi="Times New Roman"/>
          <w:sz w:val="16"/>
          <w:szCs w:val="16"/>
          <w:color w:val="auto"/>
        </w:rPr>
        <w:t>February 4, 2027</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NICOLE A. WEHRY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NOTARY PUBLIC – NOTARY SEAL</w:t>
      </w:r>
    </w:p>
    <w:p>
      <w:pPr>
        <w:spacing w:after="0" w:line="234" w:lineRule="auto"/>
        <w:rPr>
          <w:sz w:val="20"/>
          <w:szCs w:val="20"/>
          <w:color w:val="auto"/>
        </w:rPr>
      </w:pPr>
      <w:r>
        <w:rPr>
          <w:rFonts w:ascii="Times New Roman" w:cs="Times New Roman" w:eastAsia="Times New Roman" w:hAnsi="Times New Roman"/>
          <w:sz w:val="16"/>
          <w:szCs w:val="16"/>
          <w:color w:val="auto"/>
        </w:rPr>
        <w:t>STATE OF MISSOURI</w:t>
      </w:r>
    </w:p>
    <w:p>
      <w:pPr>
        <w:spacing w:after="0" w:line="235" w:lineRule="auto"/>
        <w:rPr>
          <w:sz w:val="20"/>
          <w:szCs w:val="20"/>
          <w:color w:val="auto"/>
        </w:rPr>
      </w:pPr>
      <w:r>
        <w:rPr>
          <w:rFonts w:ascii="Times New Roman" w:cs="Times New Roman" w:eastAsia="Times New Roman" w:hAnsi="Times New Roman"/>
          <w:sz w:val="16"/>
          <w:szCs w:val="16"/>
          <w:color w:val="auto"/>
        </w:rPr>
        <w:t>MY COMMISSION EXPIRES FEBRUARY 4, 2027</w:t>
      </w:r>
    </w:p>
    <w:p>
      <w:pPr>
        <w:spacing w:after="0" w:line="235" w:lineRule="auto"/>
        <w:rPr>
          <w:sz w:val="20"/>
          <w:szCs w:val="20"/>
          <w:color w:val="auto"/>
        </w:rPr>
      </w:pPr>
      <w:r>
        <w:rPr>
          <w:rFonts w:ascii="Times New Roman" w:cs="Times New Roman" w:eastAsia="Times New Roman" w:hAnsi="Times New Roman"/>
          <w:sz w:val="16"/>
          <w:szCs w:val="16"/>
          <w:color w:val="auto"/>
        </w:rPr>
        <w:t>JACKSON COUNTY</w:t>
      </w:r>
    </w:p>
    <w:p>
      <w:pPr>
        <w:spacing w:after="0"/>
        <w:rPr>
          <w:sz w:val="20"/>
          <w:szCs w:val="20"/>
          <w:color w:val="auto"/>
        </w:rPr>
      </w:pPr>
      <w:r>
        <w:rPr>
          <w:rFonts w:ascii="Times New Roman" w:cs="Times New Roman" w:eastAsia="Times New Roman" w:hAnsi="Times New Roman"/>
          <w:sz w:val="16"/>
          <w:szCs w:val="16"/>
          <w:color w:val="auto"/>
        </w:rPr>
        <w:t>COMMISSION #14391200</w:t>
      </w:r>
    </w:p>
    <w:p>
      <w:pPr>
        <w:spacing w:after="0" w:line="1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S-4</w:t>
      </w:r>
    </w:p>
    <w:p>
      <w:pPr>
        <w:sectPr>
          <w:pgSz w:w="11900" w:h="16840" w:orient="portrait"/>
          <w:cols w:equalWidth="0" w:num="1">
            <w:col w:w="9640"/>
          </w:cols>
          <w:pgMar w:left="1060" w:top="689" w:right="1200" w:bottom="1440" w:gutter="0" w:footer="0" w:header="0"/>
          <w:type w:val="continuous"/>
        </w:sectPr>
      </w:pPr>
    </w:p>
    <w:bookmarkStart w:id="74" w:name="page75"/>
    <w:bookmarkEnd w:id="74"/>
    <w:p>
      <w:pPr>
        <w:ind w:right="240"/>
        <w:spacing w:after="0" w:line="545" w:lineRule="auto"/>
        <w:rPr>
          <w:sz w:val="20"/>
          <w:szCs w:val="20"/>
          <w:color w:val="auto"/>
        </w:rPr>
      </w:pPr>
      <w:r>
        <w:rPr>
          <w:rFonts w:ascii="Times New Roman" w:cs="Times New Roman" w:eastAsia="Times New Roman" w:hAnsi="Times New Roman"/>
          <w:sz w:val="14"/>
          <w:szCs w:val="14"/>
          <w:color w:val="auto"/>
        </w:rPr>
        <w:t>STATE OF TEXAS COUNTY OF 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-191770</wp:posOffset>
            </wp:positionV>
            <wp:extent cx="6748145"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70" w:lineRule="exact"/>
        <w:rPr>
          <w:sz w:val="20"/>
          <w:szCs w:val="20"/>
          <w:color w:val="auto"/>
        </w:rPr>
      </w:pPr>
    </w:p>
    <w:p>
      <w:pPr>
        <w:sectPr>
          <w:pgSz w:w="11900" w:h="16840" w:orient="portrait"/>
          <w:cols w:equalWidth="0" w:num="2">
            <w:col w:w="1720" w:space="720"/>
            <w:col w:w="7360"/>
          </w:cols>
          <w:pgMar w:left="1060" w:top="689" w:right="1040" w:bottom="1440" w:gutter="0" w:footer="0" w:header="0"/>
        </w:sect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BE IT REMEMBERED, that on this 2nd day of December, 2025, before me, the undersigned, a Notary Public within and for the State aforesaid, personally came Mary Jo Wagener, a Vice President of The Bank of New York Mellon Trust Company, N.A., a national banking association, who is personally known to me or proved to be on the basis of sufficient identification to be such officer, and who is personally known to me or proved to me on the basis of sufficient identification to be the same person who executed as such officer the within instrument of writing, and such person duly acknowledged the execution of the same to be the act and deed of said corporation.</w:t>
      </w:r>
    </w:p>
    <w:p>
      <w:pPr>
        <w:spacing w:after="0" w:line="20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6"/>
          <w:szCs w:val="16"/>
          <w:color w:val="auto"/>
        </w:rPr>
        <w:t>/s/ April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jc w:val="center"/>
        <w:ind w:left="5900"/>
        <w:spacing w:after="0"/>
        <w:rPr>
          <w:sz w:val="20"/>
          <w:szCs w:val="20"/>
          <w:color w:val="auto"/>
        </w:rPr>
      </w:pPr>
      <w:r>
        <w:rPr>
          <w:rFonts w:ascii="Times New Roman" w:cs="Times New Roman" w:eastAsia="Times New Roman" w:hAnsi="Times New Roman"/>
          <w:sz w:val="16"/>
          <w:szCs w:val="16"/>
          <w:color w:val="auto"/>
        </w:rPr>
        <w:t>Notary Public April Bradley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MICHELLE BRADLEY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Notary ID#133238619</w:t>
      </w:r>
    </w:p>
    <w:p>
      <w:pPr>
        <w:spacing w:after="0" w:line="234" w:lineRule="auto"/>
        <w:rPr>
          <w:sz w:val="20"/>
          <w:szCs w:val="20"/>
          <w:color w:val="auto"/>
        </w:rPr>
      </w:pPr>
      <w:r>
        <w:rPr>
          <w:rFonts w:ascii="Times New Roman" w:cs="Times New Roman" w:eastAsia="Times New Roman" w:hAnsi="Times New Roman"/>
          <w:sz w:val="16"/>
          <w:szCs w:val="16"/>
          <w:color w:val="auto"/>
        </w:rPr>
        <w:t>My Commission Expires</w:t>
      </w:r>
    </w:p>
    <w:p>
      <w:pPr>
        <w:spacing w:after="0" w:line="235" w:lineRule="auto"/>
        <w:rPr>
          <w:sz w:val="20"/>
          <w:szCs w:val="20"/>
          <w:color w:val="auto"/>
        </w:rPr>
      </w:pPr>
      <w:r>
        <w:rPr>
          <w:rFonts w:ascii="Times New Roman" w:cs="Times New Roman" w:eastAsia="Times New Roman" w:hAnsi="Times New Roman"/>
          <w:sz w:val="16"/>
          <w:szCs w:val="16"/>
          <w:color w:val="auto"/>
        </w:rPr>
        <w:t>July 28, 2029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Notary Public – State of Texas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S-5</w:t>
      </w:r>
    </w:p>
    <w:p>
      <w:pPr>
        <w:sectPr>
          <w:pgSz w:w="11900" w:h="16840" w:orient="portrait"/>
          <w:cols w:equalWidth="0" w:num="1">
            <w:col w:w="9800"/>
          </w:cols>
          <w:pgMar w:left="1060" w:top="689" w:right="1040" w:bottom="1440" w:gutter="0" w:footer="0" w:header="0"/>
          <w:type w:val="continuous"/>
        </w:sectPr>
      </w:pPr>
    </w:p>
    <w:bookmarkStart w:id="75" w:name="page76"/>
    <w:bookmarkEnd w:id="75"/>
    <w:p>
      <w:pPr>
        <w:ind w:left="9060"/>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5,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818 South Kansas Avenue</w:t>
      </w:r>
    </w:p>
    <w:p>
      <w:pPr>
        <w:spacing w:after="0"/>
        <w:rPr>
          <w:sz w:val="20"/>
          <w:szCs w:val="20"/>
          <w:color w:val="auto"/>
        </w:rPr>
      </w:pPr>
      <w:r>
        <w:rPr>
          <w:rFonts w:ascii="Times New Roman" w:cs="Times New Roman" w:eastAsia="Times New Roman" w:hAnsi="Times New Roman"/>
          <w:sz w:val="16"/>
          <w:szCs w:val="16"/>
          <w:color w:val="auto"/>
        </w:rPr>
        <w:t>Topeka, Kansas 66612</w:t>
      </w:r>
    </w:p>
    <w:p>
      <w:pPr>
        <w:sectPr>
          <w:pgSz w:w="11900" w:h="16840" w:orient="portrait"/>
          <w:cols w:equalWidth="0" w:num="1">
            <w:col w:w="9800"/>
          </w:cols>
          <w:pgMar w:left="1060" w:top="555" w:right="1040" w:bottom="1440" w:gutter="0" w:footer="0" w:header="0"/>
        </w:sectPr>
      </w:pP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$300,000,000 aggregate principal amount of First Mortgage Bonds, 5.25% Series due 2035</w:t>
      </w:r>
    </w:p>
    <w:p>
      <w:pPr>
        <w:spacing w:after="0" w:line="193" w:lineRule="exact"/>
        <w:rPr>
          <w:sz w:val="20"/>
          <w:szCs w:val="20"/>
          <w:color w:val="auto"/>
        </w:rPr>
      </w:pPr>
    </w:p>
    <w:p>
      <w:pPr>
        <w:sectPr>
          <w:pgSz w:w="11900" w:h="16840" w:orient="portrait"/>
          <w:cols w:equalWidth="0" w:num="2">
            <w:col w:w="600" w:space="260"/>
            <w:col w:w="8940"/>
          </w:cols>
          <w:pgMar w:left="1060" w:top="555" w:right="10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92" w:lineRule="exact"/>
        <w:rPr>
          <w:sz w:val="20"/>
          <w:szCs w:val="20"/>
          <w:color w:val="auto"/>
        </w:rPr>
      </w:pPr>
    </w:p>
    <w:p>
      <w:pPr>
        <w:ind w:right="80" w:firstLine="384"/>
        <w:spacing w:after="0" w:line="243" w:lineRule="auto"/>
        <w:rPr>
          <w:sz w:val="20"/>
          <w:szCs w:val="20"/>
          <w:color w:val="auto"/>
        </w:rPr>
      </w:pPr>
      <w:r>
        <w:rPr>
          <w:rFonts w:ascii="Times New Roman" w:cs="Times New Roman" w:eastAsia="Times New Roman" w:hAnsi="Times New Roman"/>
          <w:sz w:val="16"/>
          <w:szCs w:val="16"/>
          <w:color w:val="auto"/>
        </w:rPr>
        <w:t>I have served as Senior Vice President, General Counsel and Corporate Secretary of Evergy Kansas Central, Inc., a Kansas corporation (the “Company”), in connection with the issuance and sale by the Company of $300,000,000 aggregate principal amount of First Mortgage Bonds, 5.25% Series due 2035 (the “Bonds”), covered by the Registration Statement on Form S-3 (No. 333-281614-02) (the “Registration Statement”) filed on August 16, 2024 by the Company with the Securities and Exchange Commission under the Securities Act of 1933, as amended.</w:t>
      </w:r>
    </w:p>
    <w:p>
      <w:pPr>
        <w:spacing w:after="0" w:line="167"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The Bonds were issued under and secured by the Mortgage and Deed of Trust (the “Indenture”) dated July 1, 1939, as amended and supplemented, between the Company and The Bank of New York Mellon Trust Company, N.A., as successor to BNY Midwest Trust Company, as successor to Harris Trust and Savings Bank, as trustee (the “Trustee”). The Bonds constitute an additional issuance of the Company’s First Mortgage Bonds, 5.25% Series due 2035 issued on March 13, 2025 in an aggregate principal amount of $300,000,000 (the “Existing Bonds”), and will form a single series with the Existing Bonds. The Bonds were sold by the Company pursuant to the Underwriting Agreement, dated December 1, 2025, among the Company, BNY Mellon Capital Markets, LLC, Regions Securities LLC, TD Securities (USA) LLC and Wells Fargo Securities, LLC, as representatives of the several underwriters named therein.</w:t>
      </w:r>
    </w:p>
    <w:p>
      <w:pPr>
        <w:spacing w:after="0" w:line="170" w:lineRule="exact"/>
        <w:rPr>
          <w:sz w:val="20"/>
          <w:szCs w:val="20"/>
          <w:color w:val="auto"/>
        </w:rPr>
      </w:pPr>
    </w:p>
    <w:p>
      <w:pPr>
        <w:ind w:right="20" w:firstLine="384"/>
        <w:spacing w:after="0" w:line="238" w:lineRule="auto"/>
        <w:rPr>
          <w:sz w:val="20"/>
          <w:szCs w:val="20"/>
          <w:color w:val="auto"/>
        </w:rPr>
      </w:pPr>
      <w:r>
        <w:rPr>
          <w:rFonts w:ascii="Times New Roman" w:cs="Times New Roman" w:eastAsia="Times New Roman" w:hAnsi="Times New Roman"/>
          <w:sz w:val="16"/>
          <w:szCs w:val="16"/>
          <w:color w:val="auto"/>
        </w:rPr>
        <w:t>In rendering the opinion expressed below, I have examined and relied upon a copy of the Registration Statement and the exhibits filed therewith. I am familiar with the Amended and Restated Articles of Incorporation and the Amended and Restated By- laws of the Company and the resolutions of the Board of Directors of the Company relating to the Registration Statement. I have also examined originals, or copies of originals certified to my satisfaction, of such agreements, documents, certificates and statements of government officials and other instruments, and have examined such questions of law and have satisfied myself as to such matters of fact, as I have considered relevant and necessary as a basis for this opinion letter. I have assumed the authenticity of all documents submitted to me as originals, the genuineness of all signatures, the legal capacity of all persons other than the directors and officers of the Company and the conformity with the original documents of any copies thereof submitted to me for examination. I have also assumed that the Indenture is the valid and binding obligation of the Trustee.</w:t>
      </w:r>
    </w:p>
    <w:p>
      <w:pPr>
        <w:spacing w:after="0" w:line="173" w:lineRule="exact"/>
        <w:rPr>
          <w:sz w:val="20"/>
          <w:szCs w:val="20"/>
          <w:color w:val="auto"/>
        </w:rPr>
      </w:pPr>
    </w:p>
    <w:p>
      <w:pPr>
        <w:ind w:right="80" w:firstLine="384"/>
        <w:spacing w:after="0" w:line="243" w:lineRule="auto"/>
        <w:rPr>
          <w:sz w:val="20"/>
          <w:szCs w:val="20"/>
          <w:color w:val="auto"/>
        </w:rPr>
      </w:pPr>
      <w:r>
        <w:rPr>
          <w:rFonts w:ascii="Times New Roman" w:cs="Times New Roman" w:eastAsia="Times New Roman" w:hAnsi="Times New Roman"/>
          <w:sz w:val="16"/>
          <w:szCs w:val="16"/>
          <w:color w:val="auto"/>
        </w:rPr>
        <w:t>Based on the foregoing, and subject to the qualifications and limitations hereinafter set forth, I am of the opinion that the Bonds are legally issued and constitute the valid and binding obligations of the Company enforceable in accordance with their terms, subject to bankruptcy, insolvency or other laws affecting enforcement of mortgagees’ and other creditors’ rights generally and general principles of equity (regardless of whether enforceability is considered in a proceeding in equity or at law).</w:t>
      </w:r>
    </w:p>
    <w:p>
      <w:pPr>
        <w:spacing w:after="0" w:line="167"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For purposes of this opinion letter, I have further assumed that the Bonds will be governed by the laws of the State of Kansas. I am licensed to practice law in the State of Kansas and the foregoing opinions are limited to the laws of the State of Kansas.</w:t>
      </w:r>
    </w:p>
    <w:p>
      <w:pPr>
        <w:sectPr>
          <w:pgSz w:w="11900" w:h="16840" w:orient="portrait"/>
          <w:cols w:equalWidth="0" w:num="1">
            <w:col w:w="9800"/>
          </w:cols>
          <w:pgMar w:left="1060" w:top="555" w:right="1040" w:bottom="1440" w:gutter="0" w:footer="0" w:header="0"/>
          <w:type w:val="continuous"/>
        </w:sectPr>
      </w:pPr>
    </w:p>
    <w:bookmarkStart w:id="76" w:name="page77"/>
    <w:bookmarkEnd w:id="76"/>
    <w:p>
      <w:pPr>
        <w:ind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 hereby consent to the filing of this opinion letter as an exhibit to the Registration Statement and to all references to me included in or made a part of the Registration Statement.</w:t>
      </w:r>
    </w:p>
    <w:p>
      <w:pPr>
        <w:spacing w:after="0" w:line="19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/s/ Heather A.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Heather A. Humphrey</w:t>
      </w:r>
    </w:p>
    <w:p>
      <w:pPr>
        <w:ind w:left="5880"/>
        <w:spacing w:after="0"/>
        <w:rPr>
          <w:sz w:val="20"/>
          <w:szCs w:val="20"/>
          <w:color w:val="auto"/>
        </w:rPr>
      </w:pPr>
      <w:r>
        <w:rPr>
          <w:rFonts w:ascii="Times New Roman" w:cs="Times New Roman" w:eastAsia="Times New Roman" w:hAnsi="Times New Roman"/>
          <w:sz w:val="16"/>
          <w:szCs w:val="16"/>
          <w:color w:val="auto"/>
        </w:rPr>
        <w:t>Senior Vice President, General Counsel and Corporate</w:t>
      </w:r>
    </w:p>
    <w:p>
      <w:pPr>
        <w:ind w:left="5880"/>
        <w:spacing w:after="0"/>
        <w:rPr>
          <w:sz w:val="20"/>
          <w:szCs w:val="20"/>
          <w:color w:val="auto"/>
        </w:rPr>
      </w:pPr>
      <w:r>
        <w:rPr>
          <w:rFonts w:ascii="Times New Roman" w:cs="Times New Roman" w:eastAsia="Times New Roman" w:hAnsi="Times New Roman"/>
          <w:sz w:val="16"/>
          <w:szCs w:val="16"/>
          <w:color w:val="auto"/>
        </w:rPr>
        <w:t>Secretary</w:t>
      </w:r>
    </w:p>
    <w:p>
      <w:pPr>
        <w:sectPr>
          <w:pgSz w:w="11900" w:h="16840" w:orient="portrait"/>
          <w:cols w:equalWidth="0" w:num="1">
            <w:col w:w="9700"/>
          </w:cols>
          <w:pgMar w:left="1060" w:top="689" w:right="1140" w:bottom="1440" w:gutter="0" w:footer="0" w:header="0"/>
        </w:sectPr>
      </w:pPr>
    </w:p>
    <w:bookmarkStart w:id="77" w:name="page78"/>
    <w:bookmarkEnd w:id="7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lvl w:ilvl="1">
      <w:lvlJc w:val="left"/>
      <w:lvlText w:val="(%2)"/>
      <w:numFmt w:val="lowerLetter"/>
      <w:start w:val="1"/>
    </w:lvl>
  </w:abstractNum>
  <w:abstractNum w:abstractNumId="2">
    <w:nsid w:val="B03E0C6"/>
    <w:multiLevelType w:val="hybridMultilevel"/>
    <w:lvl w:ilvl="0">
      <w:lvlJc w:val="left"/>
      <w:lvlText w:val="(%1)"/>
      <w:numFmt w:val="decimal"/>
      <w:start w:val="2"/>
    </w:lvl>
    <w:lvl w:ilvl="1">
      <w:lvlJc w:val="left"/>
      <w:lvlText w:val="(%2)"/>
      <w:numFmt w:val="lowerLetter"/>
      <w:start w:val="2"/>
    </w:lvl>
  </w:abstractNum>
  <w:abstractNum w:abstractNumId="3">
    <w:nsid w:val="189A769B"/>
    <w:multiLevelType w:val="hybridMultilevel"/>
    <w:lvl w:ilvl="0">
      <w:lvlJc w:val="left"/>
      <w:lvlText w:val="(%1)"/>
      <w:numFmt w:val="lowerLetter"/>
      <w:start w:val="3"/>
    </w:lvl>
  </w:abstractNum>
  <w:abstractNum w:abstractNumId="4">
    <w:nsid w:val="54E49EB4"/>
    <w:multiLevelType w:val="hybridMultilevel"/>
    <w:lvl w:ilvl="0">
      <w:lvlJc w:val="left"/>
      <w:lvlText w:val="(%1)"/>
      <w:numFmt w:val="lowerLetter"/>
      <w:start w:val="5"/>
    </w:lvl>
  </w:abstractNum>
  <w:abstractNum w:abstractNumId="5">
    <w:nsid w:val="71F32454"/>
    <w:multiLevelType w:val="hybridMultilevel"/>
    <w:lvl w:ilvl="0">
      <w:lvlJc w:val="left"/>
      <w:lvlText w:val="(%1)"/>
      <w:numFmt w:val="lowerLetter"/>
      <w:start w:val="10"/>
    </w:lvl>
  </w:abstractNum>
  <w:abstractNum w:abstractNumId="6">
    <w:nsid w:val="2CA88611"/>
    <w:multiLevelType w:val="hybridMultilevel"/>
    <w:lvl w:ilvl="0">
      <w:lvlJc w:val="left"/>
      <w:lvlText w:val="(%1)"/>
      <w:numFmt w:val="lowerLetter"/>
      <w:start w:val="15"/>
    </w:lvl>
  </w:abstractNum>
  <w:abstractNum w:abstractNumId="7">
    <w:nsid w:val="836C40E"/>
    <w:multiLevelType w:val="hybridMultilevel"/>
    <w:lvl w:ilvl="0">
      <w:lvlJc w:val="left"/>
      <w:lvlText w:val="(%1)"/>
      <w:numFmt w:val="lowerLetter"/>
      <w:start w:val="19"/>
    </w:lvl>
  </w:abstractNum>
  <w:abstractNum w:abstractNumId="8">
    <w:nsid w:val="2901D82"/>
    <w:multiLevelType w:val="hybridMultilevel"/>
    <w:lvl w:ilvl="0">
      <w:lvlJc w:val="left"/>
      <w:lvlText w:val="%1"/>
      <w:numFmt w:val="lowerLetter"/>
      <w:start w:val="1"/>
    </w:lvl>
    <w:lvl w:ilvl="1">
      <w:lvlJc w:val="left"/>
      <w:lvlText w:val="(%2)"/>
      <w:numFmt w:val="lowerLetter"/>
      <w:start w:val="24"/>
    </w:lvl>
  </w:abstractNum>
  <w:abstractNum w:abstractNumId="9">
    <w:nsid w:val="3A95F874"/>
    <w:multiLevelType w:val="hybridMultilevel"/>
    <w:lvl w:ilvl="0">
      <w:lvlJc w:val="left"/>
      <w:lvlText w:val="(%1)"/>
      <w:numFmt w:val="lowerLetter"/>
      <w:start w:val="35"/>
    </w:lvl>
    <w:lvl w:ilvl="1">
      <w:lvlJc w:val="left"/>
      <w:lvlText w:val="%2"/>
      <w:numFmt w:val="lowerLetter"/>
      <w:start w:val="1"/>
    </w:lvl>
  </w:abstractNum>
  <w:abstractNum w:abstractNumId="10">
    <w:nsid w:val="8138641"/>
    <w:multiLevelType w:val="hybridMultilevel"/>
    <w:lvl w:ilvl="0">
      <w:lvlJc w:val="left"/>
      <w:lvlText w:val="%1"/>
      <w:numFmt w:val="lowerLetter"/>
      <w:start w:val="1"/>
    </w:lvl>
    <w:lvl w:ilvl="1">
      <w:lvlJc w:val="left"/>
      <w:lvlText w:val="(%2)"/>
      <w:numFmt w:val="lowerLetter"/>
      <w:start w:val="27"/>
    </w:lvl>
    <w:lvl w:ilvl="2">
      <w:lvlJc w:val="left"/>
      <w:lvlText w:val="%3"/>
      <w:numFmt w:val="lowerLetter"/>
      <w:start w:val="1"/>
    </w:lvl>
  </w:abstractNum>
  <w:abstractNum w:abstractNumId="11">
    <w:nsid w:val="1E7FF521"/>
    <w:multiLevelType w:val="hybridMultilevel"/>
    <w:lvl w:ilvl="0">
      <w:lvlJc w:val="left"/>
      <w:lvlText w:val="(%1)"/>
      <w:numFmt w:val="lowerLetter"/>
      <w:start w:val="9"/>
    </w:lvl>
    <w:lvl w:ilvl="1">
      <w:lvlJc w:val="left"/>
      <w:lvlText w:val="(%2)"/>
      <w:numFmt w:val="lowerLetter"/>
      <w:start w:val="29"/>
    </w:lvl>
    <w:lvl w:ilvl="2">
      <w:lvlJc w:val="left"/>
      <w:lvlText w:val="(%3)"/>
      <w:numFmt w:val="lowerLetter"/>
      <w:start w:val="9"/>
    </w:lvl>
  </w:abstractNum>
  <w:abstractNum w:abstractNumId="12">
    <w:nsid w:val="7C3DBD3D"/>
    <w:multiLevelType w:val="hybridMultilevel"/>
    <w:lvl w:ilvl="0">
      <w:lvlJc w:val="left"/>
      <w:lvlText w:val="%1"/>
      <w:numFmt w:val="lowerLetter"/>
      <w:start w:val="1"/>
    </w:lvl>
    <w:lvl w:ilvl="1">
      <w:lvlJc w:val="left"/>
      <w:lvlText w:val="(%2)"/>
      <w:numFmt w:val="lowerRoman"/>
      <w:start w:val="2"/>
    </w:lvl>
  </w:abstractNum>
  <w:abstractNum w:abstractNumId="13">
    <w:nsid w:val="737B8DDC"/>
    <w:multiLevelType w:val="hybridMultilevel"/>
    <w:lvl w:ilvl="0">
      <w:lvlJc w:val="left"/>
      <w:lvlText w:val="(%1)"/>
      <w:numFmt w:val="lowerLetter"/>
      <w:start w:val="33"/>
    </w:lvl>
    <w:lvl w:ilvl="1">
      <w:lvlJc w:val="left"/>
      <w:lvlText w:val="%2"/>
      <w:numFmt w:val="lowerRoman"/>
      <w:start w:val="1"/>
    </w:lvl>
  </w:abstractNum>
  <w:abstractNum w:abstractNumId="14">
    <w:nsid w:val="6CEAF087"/>
    <w:multiLevelType w:val="hybridMultilevel"/>
    <w:lvl w:ilvl="0">
      <w:lvlJc w:val="left"/>
      <w:lvlText w:val="(%1)"/>
      <w:numFmt w:val="lowerLetter"/>
      <w:start w:val="38"/>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2"/>
    </w:lvl>
  </w:abstractNum>
  <w:abstractNum w:abstractNumId="17">
    <w:nsid w:val="3006C83E"/>
    <w:multiLevelType w:val="hybridMultilevel"/>
    <w:lvl w:ilvl="0">
      <w:lvlJc w:val="left"/>
      <w:lvlText w:val="%1"/>
      <w:numFmt w:val="lowerLetter"/>
      <w:start w:val="1"/>
    </w:lvl>
    <w:lvl w:ilvl="1">
      <w:lvlJc w:val="left"/>
      <w:lvlText w:val="(%2)"/>
      <w:numFmt w:val="lowerLetter"/>
      <w:start w:val="1"/>
    </w:lvl>
  </w:abstractNum>
  <w:abstractNum w:abstractNumId="18">
    <w:nsid w:val="614FD4A1"/>
    <w:multiLevelType w:val="hybridMultilevel"/>
    <w:lvl w:ilvl="0">
      <w:lvlJc w:val="left"/>
      <w:lvlText w:val="(%1)"/>
      <w:numFmt w:val="lowerLetter"/>
      <w:start w:val="61"/>
    </w:lvl>
    <w:lvl w:ilvl="1">
      <w:lvlJc w:val="left"/>
      <w:lvlText w:val="%2"/>
      <w:numFmt w:val="lowerLetter"/>
      <w:start w:val="1"/>
    </w:lvl>
  </w:abstractNum>
  <w:abstractNum w:abstractNumId="19">
    <w:nsid w:val="419AC241"/>
    <w:multiLevelType w:val="hybridMultilevel"/>
    <w:lvl w:ilvl="0">
      <w:lvlJc w:val="left"/>
      <w:lvlText w:val="(%1)"/>
      <w:numFmt w:val="lowerLetter"/>
      <w:start w:val="2"/>
    </w:lvl>
  </w:abstractNum>
  <w:abstractNum w:abstractNumId="20">
    <w:nsid w:val="5577F8E1"/>
    <w:multiLevelType w:val="hybridMultilevel"/>
    <w:lvl w:ilvl="0">
      <w:lvlJc w:val="left"/>
      <w:lvlText w:val="(%1)"/>
      <w:numFmt w:val="lowerLetter"/>
      <w:start w:val="5"/>
    </w:lvl>
  </w:abstractNum>
  <w:abstractNum w:abstractNumId="21">
    <w:nsid w:val="440BADFC"/>
    <w:multiLevelType w:val="hybridMultilevel"/>
    <w:lvl w:ilvl="0">
      <w:lvlJc w:val="left"/>
      <w:lvlText w:val="%1"/>
      <w:numFmt w:val="lowerLetter"/>
      <w:start w:val="1"/>
    </w:lvl>
    <w:lvl w:ilvl="1">
      <w:lvlJc w:val="left"/>
      <w:lvlText w:val="(%2)"/>
      <w:numFmt w:val="lowerLetter"/>
      <w:start w:val="10"/>
    </w:lvl>
  </w:abstractNum>
  <w:abstractNum w:abstractNumId="22">
    <w:nsid w:val="5072367"/>
    <w:multiLevelType w:val="hybridMultilevel"/>
    <w:lvl w:ilvl="0">
      <w:lvlJc w:val="left"/>
      <w:lvlText w:val="(%1)"/>
      <w:numFmt w:val="lowerLetter"/>
      <w:start w:val="9"/>
    </w:lvl>
    <w:lvl w:ilvl="1">
      <w:lvlJc w:val="left"/>
      <w:lvlText w:val="(%2)"/>
      <w:numFmt w:val="lowerLetter"/>
      <w:start w:val="13"/>
    </w:lvl>
  </w:abstractNum>
  <w:abstractNum w:abstractNumId="23">
    <w:nsid w:val="3804823E"/>
    <w:multiLevelType w:val="hybridMultilevel"/>
    <w:lvl w:ilvl="0">
      <w:lvlJc w:val="left"/>
      <w:lvlText w:val="(%1)"/>
      <w:numFmt w:val="lowerLetter"/>
      <w:start w:val="14"/>
    </w:lvl>
  </w:abstractNum>
  <w:abstractNum w:abstractNumId="24">
    <w:nsid w:val="77465F01"/>
    <w:multiLevelType w:val="hybridMultilevel"/>
    <w:lvl w:ilvl="0">
      <w:lvlJc w:val="left"/>
      <w:lvlText w:val="(%1)"/>
      <w:numFmt w:val="lowerLetter"/>
      <w:start w:val="1"/>
    </w:lvl>
    <w:lvl w:ilvl="1">
      <w:lvlJc w:val="left"/>
      <w:lvlText w:val="(%2)"/>
      <w:numFmt w:val="lowerLetter"/>
      <w:start w:val="9"/>
    </w:lvl>
  </w:abstractNum>
  <w:abstractNum w:abstractNumId="25">
    <w:nsid w:val="7724C67E"/>
    <w:multiLevelType w:val="hybridMultilevel"/>
    <w:lvl w:ilvl="0">
      <w:lvlJc w:val="left"/>
      <w:lvlText w:val="%1"/>
      <w:numFmt w:val="lowerLetter"/>
      <w:start w:val="1"/>
    </w:lvl>
    <w:lvl w:ilvl="1">
      <w:lvlJc w:val="left"/>
      <w:lvlText w:val="(%2)"/>
      <w:numFmt w:val="lowerLetter"/>
      <w:start w:val="35"/>
    </w:lvl>
  </w:abstractNum>
  <w:abstractNum w:abstractNumId="26">
    <w:nsid w:val="5C482A97"/>
    <w:multiLevelType w:val="hybridMultilevel"/>
    <w:lvl w:ilvl="0">
      <w:lvlJc w:val="left"/>
      <w:lvlText w:val="(%1)"/>
      <w:numFmt w:val="lowerLetter"/>
      <w:start w:val="3"/>
    </w:lvl>
    <w:lvl w:ilvl="1">
      <w:lvlJc w:val="left"/>
      <w:lvlText w:val="(%2)"/>
      <w:numFmt w:val="lowerLetter"/>
      <w:start w:val="9"/>
    </w:lvl>
  </w:abstractNum>
  <w:abstractNum w:abstractNumId="27">
    <w:nsid w:val="2463B9EA"/>
    <w:multiLevelType w:val="hybridMultilevel"/>
    <w:lvl w:ilvl="0">
      <w:lvlJc w:val="left"/>
      <w:lvlText w:val="%1"/>
      <w:numFmt w:val="lowerLetter"/>
      <w:start w:val="1"/>
    </w:lvl>
    <w:lvl w:ilvl="1">
      <w:lvlJc w:val="left"/>
      <w:lvlText w:val="(%2)"/>
      <w:numFmt w:val="lowerLetter"/>
      <w:start w:val="35"/>
    </w:lvl>
  </w:abstractNum>
  <w:abstractNum w:abstractNumId="28">
    <w:nsid w:val="5E884ADC"/>
    <w:multiLevelType w:val="hybridMultilevel"/>
    <w:lvl w:ilvl="0">
      <w:lvlJc w:val="left"/>
      <w:lvlText w:val="(%1)"/>
      <w:numFmt w:val="lowerLetter"/>
      <w:start w:val="6"/>
    </w:lvl>
    <w:lvl w:ilvl="1">
      <w:lvlJc w:val="left"/>
      <w:lvlText w:val="(%2)"/>
      <w:numFmt w:val="lowerLetter"/>
      <w:start w:val="9"/>
    </w:lvl>
  </w:abstractNum>
  <w:abstractNum w:abstractNumId="29">
    <w:nsid w:val="51EAD36B"/>
    <w:multiLevelType w:val="hybridMultilevel"/>
    <w:lvl w:ilvl="0">
      <w:lvlJc w:val="left"/>
      <w:lvlText w:val="%1"/>
      <w:numFmt w:val="lowerLetter"/>
      <w:start w:val="1"/>
    </w:lvl>
    <w:lvl w:ilvl="1">
      <w:lvlJc w:val="left"/>
      <w:lvlText w:val="(%2)"/>
      <w:numFmt w:val="lowerRoman"/>
      <w:start w:val="2"/>
    </w:lvl>
  </w:abstractNum>
  <w:abstractNum w:abstractNumId="30">
    <w:nsid w:val="2D517796"/>
    <w:multiLevelType w:val="hybridMultilevel"/>
    <w:lvl w:ilvl="0">
      <w:lvlJc w:val="left"/>
      <w:lvlText w:val="(%1)"/>
      <w:numFmt w:val="lowerLetter"/>
      <w:start w:val="9"/>
    </w:lvl>
    <w:lvl w:ilvl="1">
      <w:lvlJc w:val="left"/>
      <w:lvlText w:val="%2"/>
      <w:numFmt w:val="lowerRoman"/>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
    </w:lvl>
    <w:lvl w:ilvl="1">
      <w:lvlJc w:val="left"/>
      <w:lvlText w:val="(%2)"/>
      <w:numFmt w:val="lowerLetter"/>
      <w:start w:val="3"/>
    </w:lvl>
  </w:abstractNum>
  <w:abstractNum w:abstractNumId="33">
    <w:nsid w:val="3855585C"/>
    <w:multiLevelType w:val="hybridMultilevel"/>
    <w:lvl w:ilvl="0">
      <w:lvlJc w:val="left"/>
      <w:lvlText w:val="(%1)"/>
      <w:numFmt w:val="lowerLetter"/>
      <w:start w:val="35"/>
    </w:lvl>
    <w:lvl w:ilvl="1">
      <w:lvlJc w:val="left"/>
      <w:lvlText w:val="%2"/>
      <w:numFmt w:val="lowerLetter"/>
      <w:start w:val="1"/>
    </w:lvl>
  </w:abstractNum>
  <w:abstractNum w:abstractNumId="34">
    <w:nsid w:val="70A64E2A"/>
    <w:multiLevelType w:val="hybridMultilevel"/>
    <w:lvl w:ilvl="0">
      <w:lvlJc w:val="left"/>
      <w:lvlText w:val="(%1)"/>
      <w:numFmt w:val="lowerLetter"/>
      <w:start w:val="4"/>
    </w:lvl>
  </w:abstractNum>
  <w:abstractNum w:abstractNumId="35">
    <w:nsid w:val="6A2342EC"/>
    <w:multiLevelType w:val="hybridMultilevel"/>
    <w:lvl w:ilvl="0">
      <w:lvlJc w:val="left"/>
      <w:lvlText w:val="(%1)"/>
      <w:numFmt w:val="lowerRoman"/>
      <w:start w:val="4"/>
    </w:lvl>
  </w:abstractNum>
  <w:abstractNum w:abstractNumId="36">
    <w:nsid w:val="2A487CB0"/>
    <w:multiLevelType w:val="hybridMultilevel"/>
    <w:lvl w:ilvl="0">
      <w:lvlJc w:val="left"/>
      <w:lvlText w:val="(%1)"/>
      <w:numFmt w:val="upperLetter"/>
      <w:start w:val="2"/>
    </w:lvl>
  </w:abstractNum>
  <w:abstractNum w:abstractNumId="37">
    <w:nsid w:val="1D4ED43B"/>
    <w:multiLevelType w:val="hybridMultilevel"/>
    <w:lvl w:ilvl="0">
      <w:lvlJc w:val="left"/>
      <w:lvlText w:val="(%1)"/>
      <w:numFmt w:val="lowerRoman"/>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6"/>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35"/>
    </w:lvl>
    <w:lvl w:ilvl="1">
      <w:lvlJc w:val="left"/>
      <w:lvlText w:val="(%2)"/>
      <w:numFmt w:val="lowerLetter"/>
      <w:start w:val="6"/>
    </w:lvl>
  </w:abstractNum>
  <w:abstractNum w:abstractNumId="44">
    <w:nsid w:val="6DE91B18"/>
    <w:multiLevelType w:val="hybridMultilevel"/>
    <w:lvl w:ilvl="0">
      <w:lvlJc w:val="left"/>
      <w:lvlText w:val="(%1)"/>
      <w:numFmt w:val="lowerLetter"/>
      <w:start w:val="9"/>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lowerRoman"/>
      <w:start w:val="2"/>
    </w:lvl>
  </w:abstractNum>
  <w:abstractNum w:abstractNumId="47">
    <w:nsid w:val="32FFF902"/>
    <w:multiLevelType w:val="hybridMultilevel"/>
    <w:lvl w:ilvl="0">
      <w:lvlJc w:val="left"/>
      <w:lvlText w:val="(%1)"/>
      <w:numFmt w:val="lowerLetter"/>
      <w:start w:val="2"/>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9" Type="http://schemas.openxmlformats.org/officeDocument/2006/relationships/hyperlink" Target="http://www.sec.gov/Archives/edgar/data/54507/000119312525053956/d89289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2025-12-05T16:39:12Z</dcterms:created>
  <dcterms:modified xsi:type="dcterms:W3CDTF">2025-12-05T16:39:12Z</dcterms:modified>
</cp:coreProperties>
</file>