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jc w:val="center"/>
        <w:ind w:left="4580" w:right="2240" w:hanging="2337"/>
        <w:spacing w:after="0" w:line="277" w:lineRule="auto"/>
        <w:tabs>
          <w:tab w:leader="none" w:pos="244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June 30, 2022</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jc w:val="center"/>
        <w:ind w:left="4580" w:right="2220" w:hanging="2346"/>
        <w:spacing w:after="0" w:line="277" w:lineRule="auto"/>
        <w:tabs>
          <w:tab w:leader="none" w:pos="243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0"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For the transition period from _______to_______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151765</wp:posOffset>
            </wp:positionV>
            <wp:extent cx="258000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000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2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6"/>
              </w:rPr>
              <w:t>Commission</w:t>
            </w: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state of incorporation, address of principal</w:t>
            </w:r>
          </w:p>
        </w:tc>
        <w:tc>
          <w:tcPr>
            <w:tcW w:w="180" w:type="dxa"/>
            <w:vAlign w:val="bottom"/>
          </w:tcPr>
          <w:p>
            <w:pPr>
              <w:spacing w:after="0"/>
              <w:rPr>
                <w:sz w:val="19"/>
                <w:szCs w:val="19"/>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3"/>
              </w:rPr>
              <w:t>I.R.S. Employer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center"/>
              <w:ind w:right="760"/>
              <w:spacing w:after="0"/>
              <w:rPr>
                <w:sz w:val="20"/>
                <w:szCs w:val="20"/>
                <w:color w:val="auto"/>
              </w:rPr>
            </w:pPr>
            <w:r>
              <w:rPr>
                <w:rFonts w:ascii="Arial" w:cs="Arial" w:eastAsia="Arial" w:hAnsi="Arial"/>
                <w:sz w:val="18"/>
                <w:szCs w:val="18"/>
                <w:b w:val="1"/>
                <w:bCs w:val="1"/>
                <w:color w:val="auto"/>
                <w:w w:val="94"/>
              </w:rPr>
              <w:t>File Number</w:t>
            </w:r>
          </w:p>
        </w:tc>
        <w:tc>
          <w:tcPr>
            <w:tcW w:w="120" w:type="dxa"/>
            <w:vAlign w:val="bottom"/>
          </w:tcPr>
          <w:p>
            <w:pPr>
              <w:spacing w:after="0"/>
              <w:rPr>
                <w:sz w:val="20"/>
                <w:szCs w:val="20"/>
                <w:color w:val="auto"/>
              </w:rPr>
            </w:pPr>
          </w:p>
        </w:tc>
        <w:tc>
          <w:tcPr>
            <w:tcW w:w="5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executive offices and telephone number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8"/>
                <w:szCs w:val="18"/>
                <w:b w:val="1"/>
                <w:bCs w:val="1"/>
                <w:color w:val="auto"/>
                <w:w w:val="92"/>
              </w:rPr>
              <w:t>Identification Number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001-38515</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4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rPr>
              <w:t>EVERGY,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82-2733395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Arial" w:cs="Arial" w:eastAsia="Arial" w:hAnsi="Arial"/>
                <w:sz w:val="18"/>
                <w:szCs w:val="18"/>
                <w:color w:val="auto"/>
                <w:w w:val="90"/>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001-03523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rPr>
              <w:t>EVERGY KANSAS CENTRAL,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48-0290150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(a Kansas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818 South Kansas Avenue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Topeka, Kansas 66612</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(785) 575-6300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000-51873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rPr>
              <w:t>EVERGY METRO,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44-0308720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Arial" w:cs="Arial" w:eastAsia="Arial" w:hAnsi="Arial"/>
                <w:sz w:val="18"/>
                <w:szCs w:val="18"/>
                <w:color w:val="auto"/>
                <w:w w:val="90"/>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340" w:type="dxa"/>
            <w:vAlign w:val="bottom"/>
            <w:gridSpan w:val="4"/>
          </w:tcPr>
          <w:p>
            <w:pPr>
              <w:ind w:left="540"/>
              <w:spacing w:after="0"/>
              <w:rPr>
                <w:sz w:val="20"/>
                <w:szCs w:val="20"/>
                <w:color w:val="auto"/>
              </w:rPr>
            </w:pPr>
            <w:r>
              <w:rPr>
                <w:rFonts w:ascii="Arial" w:cs="Arial" w:eastAsia="Arial" w:hAnsi="Arial"/>
                <w:sz w:val="18"/>
                <w:szCs w:val="18"/>
                <w:b w:val="1"/>
                <w:bCs w:val="1"/>
                <w:color w:val="auto"/>
                <w:w w:val="96"/>
              </w:rPr>
              <w:t>Securities registered pursuant to Section 12(b) of the Act:</w:t>
            </w:r>
          </w:p>
        </w:tc>
        <w:tc>
          <w:tcPr>
            <w:tcW w:w="180" w:type="dxa"/>
            <w:vAlign w:val="bottom"/>
          </w:tcPr>
          <w:p>
            <w:pPr>
              <w:spacing w:after="0"/>
              <w:rPr>
                <w:sz w:val="22"/>
                <w:szCs w:val="22"/>
                <w:color w:val="auto"/>
              </w:rPr>
            </w:pPr>
          </w:p>
        </w:tc>
        <w:tc>
          <w:tcPr>
            <w:tcW w:w="2720" w:type="dxa"/>
            <w:vAlign w:val="bottom"/>
            <w:gridSpan w:val="5"/>
            <w:vMerge w:val="restart"/>
          </w:tcPr>
          <w:p>
            <w:pPr>
              <w:jc w:val="center"/>
              <w:ind w:right="200"/>
              <w:spacing w:after="0"/>
              <w:rPr>
                <w:sz w:val="20"/>
                <w:szCs w:val="20"/>
                <w:color w:val="auto"/>
              </w:rPr>
            </w:pPr>
            <w:r>
              <w:rPr>
                <w:rFonts w:ascii="Arial" w:cs="Arial" w:eastAsia="Arial" w:hAnsi="Arial"/>
                <w:sz w:val="18"/>
                <w:szCs w:val="18"/>
                <w:b w:val="1"/>
                <w:bCs w:val="1"/>
                <w:color w:val="auto"/>
                <w:w w:val="87"/>
              </w:rPr>
              <w:t>Name of each exchange on which</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1900" w:type="dxa"/>
            <w:vAlign w:val="bottom"/>
          </w:tcPr>
          <w:p>
            <w:pPr>
              <w:spacing w:after="0"/>
              <w:rPr>
                <w:sz w:val="16"/>
                <w:szCs w:val="16"/>
                <w:color w:val="auto"/>
              </w:rPr>
            </w:pPr>
          </w:p>
        </w:tc>
        <w:tc>
          <w:tcPr>
            <w:tcW w:w="3440" w:type="dxa"/>
            <w:vAlign w:val="bottom"/>
            <w:gridSpan w:val="3"/>
            <w:vMerge w:val="restart"/>
          </w:tcPr>
          <w:p>
            <w:pPr>
              <w:jc w:val="center"/>
              <w:ind w:right="2020"/>
              <w:spacing w:after="0"/>
              <w:rPr>
                <w:sz w:val="20"/>
                <w:szCs w:val="20"/>
                <w:color w:val="auto"/>
              </w:rPr>
            </w:pPr>
            <w:r>
              <w:rPr>
                <w:rFonts w:ascii="Arial" w:cs="Arial" w:eastAsia="Arial" w:hAnsi="Arial"/>
                <w:sz w:val="18"/>
                <w:szCs w:val="18"/>
                <w:b w:val="1"/>
                <w:bCs w:val="1"/>
                <w:color w:val="auto"/>
                <w:w w:val="89"/>
              </w:rPr>
              <w:t>Trading Symbol(s)</w:t>
            </w:r>
          </w:p>
        </w:tc>
        <w:tc>
          <w:tcPr>
            <w:tcW w:w="180" w:type="dxa"/>
            <w:vAlign w:val="bottom"/>
          </w:tcPr>
          <w:p>
            <w:pPr>
              <w:spacing w:after="0"/>
              <w:rPr>
                <w:sz w:val="16"/>
                <w:szCs w:val="16"/>
                <w:color w:val="auto"/>
              </w:rPr>
            </w:pPr>
          </w:p>
        </w:tc>
        <w:tc>
          <w:tcPr>
            <w:tcW w:w="27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gridSpan w:val="4"/>
            <w:vMerge w:val="continue"/>
          </w:tcPr>
          <w:p>
            <w:pPr>
              <w:spacing w:after="0"/>
              <w:rPr>
                <w:sz w:val="5"/>
                <w:szCs w:val="5"/>
                <w:color w:val="auto"/>
              </w:rPr>
            </w:pPr>
          </w:p>
        </w:tc>
        <w:tc>
          <w:tcPr>
            <w:tcW w:w="1900" w:type="dxa"/>
            <w:vAlign w:val="bottom"/>
          </w:tcPr>
          <w:p>
            <w:pPr>
              <w:spacing w:after="0"/>
              <w:rPr>
                <w:sz w:val="5"/>
                <w:szCs w:val="5"/>
                <w:color w:val="auto"/>
              </w:rPr>
            </w:pPr>
          </w:p>
        </w:tc>
        <w:tc>
          <w:tcPr>
            <w:tcW w:w="34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Borders>
              <w:top w:val="single" w:sz="8" w:color="auto"/>
            </w:tcBorders>
            <w:vMerge w:val="restart"/>
          </w:tcPr>
          <w:p>
            <w:pPr>
              <w:spacing w:after="0"/>
              <w:rPr>
                <w:sz w:val="5"/>
                <w:szCs w:val="5"/>
                <w:color w:val="auto"/>
              </w:rPr>
            </w:pPr>
          </w:p>
        </w:tc>
        <w:tc>
          <w:tcPr>
            <w:tcW w:w="1640" w:type="dxa"/>
            <w:vAlign w:val="bottom"/>
            <w:tcBorders>
              <w:top w:val="single" w:sz="8" w:color="auto"/>
            </w:tcBorders>
            <w:gridSpan w:val="2"/>
            <w:vMerge w:val="restart"/>
          </w:tcPr>
          <w:p>
            <w:pPr>
              <w:jc w:val="center"/>
              <w:ind w:right="880"/>
              <w:spacing w:after="0" w:line="156" w:lineRule="exact"/>
              <w:rPr>
                <w:sz w:val="20"/>
                <w:szCs w:val="20"/>
                <w:color w:val="auto"/>
              </w:rPr>
            </w:pPr>
            <w:r>
              <w:rPr>
                <w:rFonts w:ascii="Arial" w:cs="Arial" w:eastAsia="Arial" w:hAnsi="Arial"/>
                <w:sz w:val="18"/>
                <w:szCs w:val="18"/>
                <w:b w:val="1"/>
                <w:bCs w:val="1"/>
                <w:color w:val="auto"/>
                <w:w w:val="87"/>
              </w:rPr>
              <w:t>registered</w:t>
            </w:r>
          </w:p>
        </w:tc>
        <w:tc>
          <w:tcPr>
            <w:tcW w:w="200" w:type="dxa"/>
            <w:vAlign w:val="bottom"/>
            <w:gridSpan w:val="2"/>
            <w:vMerge w:val="restart"/>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420" w:type="dxa"/>
            <w:vAlign w:val="bottom"/>
            <w:tcBorders>
              <w:top w:val="single" w:sz="8" w:color="auto"/>
            </w:tcBorders>
          </w:tcPr>
          <w:p>
            <w:pPr>
              <w:spacing w:after="0"/>
              <w:rPr>
                <w:sz w:val="6"/>
                <w:szCs w:val="6"/>
                <w:color w:val="auto"/>
              </w:rPr>
            </w:pPr>
          </w:p>
        </w:tc>
        <w:tc>
          <w:tcPr>
            <w:tcW w:w="1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Borders>
              <w:top w:val="single" w:sz="8" w:color="auto"/>
            </w:tcBorders>
            <w:vMerge w:val="continue"/>
          </w:tcPr>
          <w:p>
            <w:pPr>
              <w:spacing w:after="0"/>
              <w:rPr>
                <w:sz w:val="6"/>
                <w:szCs w:val="6"/>
                <w:color w:val="auto"/>
              </w:rPr>
            </w:pPr>
          </w:p>
        </w:tc>
        <w:tc>
          <w:tcPr>
            <w:tcW w:w="1640" w:type="dxa"/>
            <w:vAlign w:val="bottom"/>
            <w:tcBorders>
              <w:top w:val="single" w:sz="8" w:color="auto"/>
            </w:tcBorders>
            <w:gridSpan w:val="2"/>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98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Evergy, Inc. common stock</w:t>
            </w:r>
          </w:p>
        </w:tc>
        <w:tc>
          <w:tcPr>
            <w:tcW w:w="1900" w:type="dxa"/>
            <w:vAlign w:val="bottom"/>
          </w:tcPr>
          <w:p>
            <w:pPr>
              <w:spacing w:after="0"/>
              <w:rPr>
                <w:sz w:val="22"/>
                <w:szCs w:val="22"/>
                <w:color w:val="auto"/>
              </w:rPr>
            </w:pPr>
          </w:p>
        </w:tc>
        <w:tc>
          <w:tcPr>
            <w:tcW w:w="3440" w:type="dxa"/>
            <w:vAlign w:val="bottom"/>
            <w:gridSpan w:val="3"/>
          </w:tcPr>
          <w:p>
            <w:pPr>
              <w:jc w:val="center"/>
              <w:ind w:right="2020"/>
              <w:spacing w:after="0"/>
              <w:rPr>
                <w:sz w:val="20"/>
                <w:szCs w:val="20"/>
                <w:color w:val="auto"/>
              </w:rPr>
            </w:pPr>
            <w:r>
              <w:rPr>
                <w:rFonts w:ascii="Arial" w:cs="Arial" w:eastAsia="Arial" w:hAnsi="Arial"/>
                <w:sz w:val="18"/>
                <w:szCs w:val="18"/>
                <w:color w:val="auto"/>
                <w:w w:val="97"/>
              </w:rPr>
              <w:t>EVRG</w:t>
            </w:r>
          </w:p>
        </w:tc>
        <w:tc>
          <w:tcPr>
            <w:tcW w:w="180" w:type="dxa"/>
            <w:vAlign w:val="bottom"/>
          </w:tcPr>
          <w:p>
            <w:pPr>
              <w:spacing w:after="0"/>
              <w:rPr>
                <w:sz w:val="22"/>
                <w:szCs w:val="22"/>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1019"/>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 w:name="page2"/>
    <w:bookmarkEnd w:id="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20" w:right="340"/>
        <w:spacing w:after="0" w:line="23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8" w:lineRule="exact"/>
        <w:rPr>
          <w:sz w:val="20"/>
          <w:szCs w:val="20"/>
          <w:color w:val="auto"/>
        </w:rPr>
      </w:pPr>
    </w:p>
    <w:p>
      <w:pPr>
        <w:ind w:left="20" w:right="360"/>
        <w:spacing w:after="0" w:line="27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8" w:lineRule="exact"/>
        <w:rPr>
          <w:sz w:val="20"/>
          <w:szCs w:val="20"/>
          <w:color w:val="auto"/>
        </w:rPr>
      </w:pPr>
    </w:p>
    <w:p>
      <w:pPr>
        <w:ind w:left="20" w:right="12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6"/>
                <w:szCs w:val="16"/>
                <w:color w:val="auto"/>
              </w:rPr>
              <w:t>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80" w:type="dxa"/>
            <w:vAlign w:val="bottom"/>
            <w:vMerge w:val="continue"/>
          </w:tcPr>
          <w:p>
            <w:pPr>
              <w:spacing w:after="0"/>
              <w:rPr>
                <w:sz w:val="19"/>
                <w:szCs w:val="19"/>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Kansas Central,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88"/>
              </w:rPr>
              <w:t>x</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80" w:type="dxa"/>
            <w:vAlign w:val="bottom"/>
            <w:vMerge w:val="continue"/>
          </w:tcPr>
          <w:p>
            <w:pPr>
              <w:spacing w:after="0"/>
              <w:rPr>
                <w:sz w:val="19"/>
                <w:szCs w:val="19"/>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Metro,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88"/>
              </w:rPr>
              <w:t>x</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80" w:type="dxa"/>
            <w:vAlign w:val="bottom"/>
            <w:vMerge w:val="continue"/>
          </w:tcPr>
          <w:p>
            <w:pPr>
              <w:spacing w:after="0"/>
              <w:rPr>
                <w:sz w:val="19"/>
                <w:szCs w:val="19"/>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20" w:right="54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pursuant to Section 13(a) of the Exchange Act.</w:t>
      </w:r>
    </w:p>
    <w:p>
      <w:pPr>
        <w:sectPr>
          <w:pgSz w:w="11900" w:h="16838" w:orient="portrait"/>
          <w:cols w:equalWidth="0" w:num="1">
            <w:col w:w="11220"/>
          </w:cols>
          <w:pgMar w:left="320" w:top="121" w:right="359" w:bottom="1440" w:gutter="0" w:footer="0" w:header="0"/>
        </w:sectPr>
      </w:pP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Evergy, Inc.</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2">
            <w:col w:w="2460" w:space="720"/>
            <w:col w:w="8040"/>
          </w:cols>
          <w:pgMar w:left="320" w:top="121" w:right="359" w:bottom="1440" w:gutter="0" w:footer="0" w:header="0"/>
          <w:type w:val="continuous"/>
        </w:sectPr>
      </w:pP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Evergy Kansas Central,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2">
            <w:col w:w="2460" w:space="720"/>
            <w:col w:w="8040"/>
          </w:cols>
          <w:pgMar w:left="320" w:top="121" w:right="359" w:bottom="1440" w:gutter="0" w:footer="0" w:header="0"/>
          <w:type w:val="continuous"/>
        </w:sectPr>
      </w:pPr>
    </w:p>
    <w:p>
      <w:pPr>
        <w:spacing w:after="0" w:line="51" w:lineRule="exact"/>
        <w:rPr>
          <w:sz w:val="20"/>
          <w:szCs w:val="20"/>
          <w:color w:val="auto"/>
        </w:rPr>
      </w:pPr>
    </w:p>
    <w:p>
      <w:pPr>
        <w:ind w:left="20"/>
        <w:spacing w:after="0"/>
        <w:rPr>
          <w:sz w:val="20"/>
          <w:szCs w:val="20"/>
          <w:color w:val="auto"/>
        </w:rPr>
      </w:pPr>
      <w:r>
        <w:rPr>
          <w:rFonts w:ascii="Arial" w:cs="Arial" w:eastAsia="Arial" w:hAnsi="Arial"/>
          <w:sz w:val="15"/>
          <w:szCs w:val="15"/>
          <w:color w:val="auto"/>
        </w:rPr>
        <w:t>Evergy Metro,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1" w:lineRule="exact"/>
        <w:rPr>
          <w:sz w:val="20"/>
          <w:szCs w:val="20"/>
          <w:color w:val="auto"/>
        </w:rPr>
      </w:pPr>
    </w:p>
    <w:p>
      <w:pPr>
        <w:sectPr>
          <w:pgSz w:w="11900" w:h="16838" w:orient="portrait"/>
          <w:cols w:equalWidth="0" w:num="2">
            <w:col w:w="2460" w:space="720"/>
            <w:col w:w="8040"/>
          </w:cols>
          <w:pgMar w:left="320" w:top="121"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bl>
    <w:p>
      <w:pPr>
        <w:spacing w:after="0" w:line="12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On July 29, 2022, Evergy, Inc. had 229,521,999 shares of common stock outstanding. On July 29, 2022, Evergy Metro, Inc. and Evergy Kansas Central, Inc. each had one share of common stock outstanding and held by Evergy, Inc.</w:t>
      </w:r>
    </w:p>
    <w:p>
      <w:pPr>
        <w:spacing w:after="0" w:line="155" w:lineRule="exact"/>
        <w:rPr>
          <w:sz w:val="20"/>
          <w:szCs w:val="20"/>
          <w:color w:val="auto"/>
        </w:rPr>
      </w:pPr>
    </w:p>
    <w:p>
      <w:pPr>
        <w:ind w:left="20" w:right="580"/>
        <w:spacing w:after="0" w:line="245" w:lineRule="auto"/>
        <w:rPr>
          <w:sz w:val="20"/>
          <w:szCs w:val="20"/>
          <w:color w:val="auto"/>
        </w:rPr>
      </w:pPr>
      <w:r>
        <w:rPr>
          <w:rFonts w:ascii="Arial" w:cs="Arial" w:eastAsia="Arial" w:hAnsi="Arial"/>
          <w:sz w:val="16"/>
          <w:szCs w:val="16"/>
          <w:b w:val="1"/>
          <w:bCs w:val="1"/>
          <w:color w:val="auto"/>
        </w:rPr>
        <w:t>Evergy Kansas Central, Inc. and Evergy Metro, Inc. meet the conditions set forth in General Instruction (H)(1)(a) and (b) of Form 10-Q and are therefore filing this Form 10-Q with the reduced disclosure format.</w:t>
      </w:r>
    </w:p>
    <w:p>
      <w:pPr>
        <w:spacing w:after="0" w:line="2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This combined Quarterly Report on Form 10-Q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spacing w:after="0" w:line="191" w:lineRule="exact"/>
        <w:rPr>
          <w:sz w:val="20"/>
          <w:szCs w:val="20"/>
          <w:color w:val="auto"/>
        </w:rPr>
      </w:pPr>
    </w:p>
    <w:p>
      <w:pPr>
        <w:ind w:right="460"/>
        <w:spacing w:after="0" w:line="246" w:lineRule="auto"/>
        <w:rPr>
          <w:sz w:val="20"/>
          <w:szCs w:val="20"/>
          <w:color w:val="auto"/>
        </w:rPr>
      </w:pPr>
      <w:r>
        <w:rPr>
          <w:rFonts w:ascii="Arial" w:cs="Arial" w:eastAsia="Arial" w:hAnsi="Arial"/>
          <w:sz w:val="20"/>
          <w:szCs w:val="20"/>
          <w:color w:val="auto"/>
        </w:rPr>
        <w:t>This report should be read in its entirety. No one section of the report deals with all aspects of the subject matter. It should be read in conjunction with the consolidated financial statements and related notes and with the management's discussion and analysis of financial condition and results of operations included in the annual report on Form 10-K for the fiscal year ended December 31, 2021 for each of Evergy, Evergy Kansas Central and Evergy Metro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 w:name="page3"/>
    <w:bookmarkEnd w:id="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gridSpan w:val="11"/>
          </w:tcPr>
          <w:p>
            <w:pPr>
              <w:jc w:val="center"/>
              <w:ind w:right="2580"/>
              <w:spacing w:after="0"/>
              <w:rPr>
                <w:sz w:val="20"/>
                <w:szCs w:val="20"/>
                <w:color w:val="auto"/>
              </w:rPr>
            </w:pPr>
            <w:r>
              <w:rPr>
                <w:rFonts w:ascii="Arial" w:cs="Arial" w:eastAsia="Arial" w:hAnsi="Arial"/>
                <w:sz w:val="18"/>
                <w:szCs w:val="18"/>
                <w:b w:val="1"/>
                <w:bCs w:val="1"/>
                <w:color w:val="auto"/>
                <w:w w:val="98"/>
              </w:rPr>
              <w:t>TABLE OF CONTENTS</w:t>
            </w:r>
          </w:p>
        </w:tc>
        <w:tc>
          <w:tcPr>
            <w:tcW w:w="1920" w:type="dxa"/>
            <w:vAlign w:val="bottom"/>
            <w:gridSpan w:val="6"/>
            <w:vMerge w:val="restart"/>
          </w:tcPr>
          <w:p>
            <w:pPr>
              <w:ind w:left="380"/>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240" w:type="dxa"/>
            <w:vAlign w:val="bottom"/>
            <w:gridSpan w:val="23"/>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Cautionary Statements Regarding Certain Forward-Looking Information</w:t>
              </w:r>
            </w:hyperlink>
          </w:p>
        </w:tc>
        <w:tc>
          <w:tcPr>
            <w:tcW w:w="402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Borders>
              <w:top w:val="single" w:sz="8" w:color="auto"/>
            </w:tcBorders>
            <w:gridSpan w:val="3"/>
          </w:tcPr>
          <w:p>
            <w:pPr>
              <w:jc w:val="center"/>
              <w:ind w:left="35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4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2620" w:type="dxa"/>
            <w:vAlign w:val="bottom"/>
            <w:gridSpan w:val="1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Glossary of Terms</w:t>
              </w:r>
            </w:hyperlink>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3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2620" w:type="dxa"/>
            <w:vAlign w:val="bottom"/>
            <w:gridSpan w:val="11"/>
          </w:tcPr>
          <w:p>
            <w:pPr>
              <w:spacing w:after="0"/>
              <w:rPr>
                <w:rFonts w:ascii="Arial" w:cs="Arial" w:eastAsia="Arial" w:hAnsi="Arial"/>
                <w:sz w:val="18"/>
                <w:szCs w:val="18"/>
                <w:b w:val="1"/>
                <w:bCs w:val="1"/>
                <w:color w:val="0000FF"/>
              </w:rPr>
            </w:pPr>
            <w:hyperlink w:anchor="page7">
              <w:r>
                <w:rPr>
                  <w:rFonts w:ascii="Arial" w:cs="Arial" w:eastAsia="Arial" w:hAnsi="Arial"/>
                  <w:sz w:val="18"/>
                  <w:szCs w:val="18"/>
                  <w:b w:val="1"/>
                  <w:bCs w:val="1"/>
                  <w:color w:val="0000FF"/>
                </w:rPr>
                <w:t>Part I - Financial Information</w:t>
              </w:r>
            </w:hyperlink>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080" w:type="dxa"/>
            <w:vAlign w:val="bottom"/>
            <w:gridSpan w:val="29"/>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Financial Statements</w:t>
              </w:r>
            </w:hyperlink>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0000FF"/>
              <w:bottom w:val="single" w:sz="8" w:color="0000FF"/>
            </w:tcBorders>
            <w:gridSpan w:val="5"/>
          </w:tcPr>
          <w:p>
            <w:pPr>
              <w:spacing w:after="0"/>
              <w:rPr>
                <w:rFonts w:ascii="Arial" w:cs="Arial" w:eastAsia="Arial" w:hAnsi="Arial"/>
                <w:sz w:val="18"/>
                <w:szCs w:val="18"/>
                <w:b w:val="1"/>
                <w:bCs w:val="1"/>
                <w:color w:val="0000FF"/>
                <w:w w:val="89"/>
              </w:rPr>
            </w:pPr>
            <w:hyperlink w:anchor="page8">
              <w:r>
                <w:rPr>
                  <w:rFonts w:ascii="Arial" w:cs="Arial" w:eastAsia="Arial" w:hAnsi="Arial"/>
                  <w:sz w:val="18"/>
                  <w:szCs w:val="18"/>
                  <w:b w:val="1"/>
                  <w:bCs w:val="1"/>
                  <w:color w:val="0000FF"/>
                  <w:w w:val="89"/>
                </w:rPr>
                <w:t>Evergy, Inc.</w:t>
              </w:r>
            </w:hyperlink>
          </w:p>
        </w:tc>
        <w:tc>
          <w:tcPr>
            <w:tcW w:w="520" w:type="dxa"/>
            <w:vAlign w:val="bottom"/>
            <w:tcBorders>
              <w:top w:val="single" w:sz="8" w:color="0000FF"/>
            </w:tcBorders>
            <w:gridSpan w:val="4"/>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5"/>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Unaudited Consolidated Balance Sheets</w:t>
              </w:r>
            </w:hyperlink>
          </w:p>
        </w:tc>
        <w:tc>
          <w:tcPr>
            <w:tcW w:w="5040" w:type="dxa"/>
            <w:vAlign w:val="bottom"/>
            <w:gridSpan w:val="12"/>
          </w:tcPr>
          <w:p>
            <w:pPr>
              <w:spacing w:after="0"/>
              <w:rPr>
                <w:sz w:val="18"/>
                <w:szCs w:val="18"/>
                <w:color w:val="auto"/>
              </w:rPr>
            </w:pPr>
          </w:p>
        </w:tc>
        <w:tc>
          <w:tcPr>
            <w:tcW w:w="980" w:type="dxa"/>
            <w:vAlign w:val="bottom"/>
            <w:gridSpan w:val="4"/>
          </w:tcPr>
          <w:p>
            <w:pPr>
              <w:jc w:val="center"/>
              <w:ind w:left="73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3"/>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Unaudited Consolidated Statements of Comprehensive Income</w:t>
              </w:r>
            </w:hyperlink>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10</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8"/>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Unaudited Consolidated Statements of Cash Flows</w:t>
              </w:r>
            </w:hyperlink>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80" w:type="dxa"/>
            <w:vAlign w:val="bottom"/>
            <w:gridSpan w:val="4"/>
          </w:tcPr>
          <w:p>
            <w:pPr>
              <w:jc w:val="center"/>
              <w:ind w:left="73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11</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7"/>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Unaudited Consolidated Statements of Changes in Equity</w:t>
              </w:r>
            </w:hyperlink>
          </w:p>
        </w:tc>
        <w:tc>
          <w:tcPr>
            <w:tcW w:w="980" w:type="dxa"/>
            <w:vAlign w:val="bottom"/>
            <w:gridSpan w:val="4"/>
          </w:tcPr>
          <w:p>
            <w:pPr>
              <w:jc w:val="center"/>
              <w:ind w:left="710"/>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12</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29"/>
          </w:tcPr>
          <w:p>
            <w:pPr>
              <w:spacing w:after="0"/>
              <w:rPr>
                <w:rFonts w:ascii="Arial" w:cs="Arial" w:eastAsia="Arial" w:hAnsi="Arial"/>
                <w:sz w:val="18"/>
                <w:szCs w:val="18"/>
                <w:b w:val="1"/>
                <w:bCs w:val="1"/>
                <w:color w:val="0000FF"/>
              </w:rPr>
            </w:pPr>
            <w:hyperlink w:anchor="page13">
              <w:r>
                <w:rPr>
                  <w:rFonts w:ascii="Arial" w:cs="Arial" w:eastAsia="Arial" w:hAnsi="Arial"/>
                  <w:sz w:val="18"/>
                  <w:szCs w:val="18"/>
                  <w:b w:val="1"/>
                  <w:bCs w:val="1"/>
                  <w:color w:val="0000FF"/>
                </w:rPr>
                <w:t>Evergy Kansas Central, Inc.</w:t>
              </w:r>
            </w:hyperlink>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5"/>
          </w:tcPr>
          <w:p>
            <w:pPr>
              <w:spacing w:after="0"/>
              <w:rPr>
                <w:rFonts w:ascii="Arial" w:cs="Arial" w:eastAsia="Arial" w:hAnsi="Arial"/>
                <w:sz w:val="18"/>
                <w:szCs w:val="18"/>
                <w:color w:val="0000FF"/>
                <w:w w:val="88"/>
              </w:rPr>
            </w:pPr>
            <w:hyperlink w:anchor="page13">
              <w:r>
                <w:rPr>
                  <w:rFonts w:ascii="Arial" w:cs="Arial" w:eastAsia="Arial" w:hAnsi="Arial"/>
                  <w:sz w:val="18"/>
                  <w:szCs w:val="18"/>
                  <w:color w:val="0000FF"/>
                  <w:w w:val="88"/>
                </w:rPr>
                <w:t>Unaudited Consolidated Balance Sheets</w:t>
              </w:r>
            </w:hyperlink>
          </w:p>
        </w:tc>
        <w:tc>
          <w:tcPr>
            <w:tcW w:w="5040" w:type="dxa"/>
            <w:vAlign w:val="bottom"/>
            <w:gridSpan w:val="12"/>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14</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17"/>
          </w:tcPr>
          <w:p>
            <w:pPr>
              <w:spacing w:after="0"/>
              <w:rPr>
                <w:rFonts w:ascii="Arial" w:cs="Arial" w:eastAsia="Arial" w:hAnsi="Arial"/>
                <w:sz w:val="18"/>
                <w:szCs w:val="18"/>
                <w:color w:val="0000FF"/>
                <w:w w:val="88"/>
              </w:rPr>
            </w:pPr>
            <w:hyperlink w:anchor="page15">
              <w:r>
                <w:rPr>
                  <w:rFonts w:ascii="Arial" w:cs="Arial" w:eastAsia="Arial" w:hAnsi="Arial"/>
                  <w:sz w:val="18"/>
                  <w:szCs w:val="18"/>
                  <w:color w:val="0000FF"/>
                  <w:w w:val="88"/>
                </w:rPr>
                <w:t>Unaudited Consolidated Statements of Income</w:t>
              </w:r>
            </w:hyperlink>
          </w:p>
        </w:tc>
        <w:tc>
          <w:tcPr>
            <w:tcW w:w="4600" w:type="dxa"/>
            <w:vAlign w:val="bottom"/>
            <w:gridSpan w:val="10"/>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16</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8"/>
          </w:tcPr>
          <w:p>
            <w:pPr>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Unaudited Consolidated Statements of Cash Flows</w:t>
              </w:r>
            </w:hyperlink>
          </w:p>
        </w:tc>
        <w:tc>
          <w:tcPr>
            <w:tcW w:w="4260" w:type="dxa"/>
            <w:vAlign w:val="bottom"/>
            <w:gridSpan w:val="9"/>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17</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7"/>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Unaudited Consolidated Statements of Changes in Equity</w:t>
              </w:r>
            </w:hyperlink>
          </w:p>
        </w:tc>
        <w:tc>
          <w:tcPr>
            <w:tcW w:w="980" w:type="dxa"/>
            <w:vAlign w:val="bottom"/>
            <w:gridSpan w:val="4"/>
          </w:tcPr>
          <w:p>
            <w:pPr>
              <w:jc w:val="center"/>
              <w:ind w:left="71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18</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29"/>
          </w:tcPr>
          <w:p>
            <w:pPr>
              <w:spacing w:after="0"/>
              <w:rPr>
                <w:rFonts w:ascii="Arial" w:cs="Arial" w:eastAsia="Arial" w:hAnsi="Arial"/>
                <w:sz w:val="18"/>
                <w:szCs w:val="18"/>
                <w:b w:val="1"/>
                <w:bCs w:val="1"/>
                <w:color w:val="0000FF"/>
              </w:rPr>
            </w:pPr>
            <w:hyperlink w:anchor="page18">
              <w:r>
                <w:rPr>
                  <w:rFonts w:ascii="Arial" w:cs="Arial" w:eastAsia="Arial" w:hAnsi="Arial"/>
                  <w:sz w:val="18"/>
                  <w:szCs w:val="18"/>
                  <w:b w:val="1"/>
                  <w:bCs w:val="1"/>
                  <w:color w:val="0000FF"/>
                </w:rPr>
                <w:t>Evergy Metro, Inc.</w:t>
              </w:r>
            </w:hyperlink>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5"/>
          </w:tcPr>
          <w:p>
            <w:pPr>
              <w:spacing w:after="0"/>
              <w:rPr>
                <w:rFonts w:ascii="Arial" w:cs="Arial" w:eastAsia="Arial" w:hAnsi="Arial"/>
                <w:sz w:val="18"/>
                <w:szCs w:val="18"/>
                <w:color w:val="0000FF"/>
                <w:w w:val="88"/>
              </w:rPr>
            </w:pPr>
            <w:hyperlink w:anchor="page18">
              <w:r>
                <w:rPr>
                  <w:rFonts w:ascii="Arial" w:cs="Arial" w:eastAsia="Arial" w:hAnsi="Arial"/>
                  <w:sz w:val="18"/>
                  <w:szCs w:val="18"/>
                  <w:color w:val="0000FF"/>
                  <w:w w:val="88"/>
                </w:rPr>
                <w:t>Unaudited Consolidated Balance Sheets</w:t>
              </w:r>
            </w:hyperlink>
          </w:p>
        </w:tc>
        <w:tc>
          <w:tcPr>
            <w:tcW w:w="5040" w:type="dxa"/>
            <w:vAlign w:val="bottom"/>
            <w:gridSpan w:val="12"/>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19</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3"/>
          </w:tcPr>
          <w:p>
            <w:pPr>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Unaudited Consolidated Statements of Comprehensive Income</w:t>
              </w:r>
            </w:hyperlink>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21</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8"/>
          </w:tcPr>
          <w:p>
            <w:pPr>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Unaudited Consolidated Statements of Cash Flows</w:t>
              </w:r>
            </w:hyperlink>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22</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7"/>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Unaudited Consolidated Statements of Changes in Equity</w:t>
              </w:r>
            </w:hyperlink>
          </w:p>
        </w:tc>
        <w:tc>
          <w:tcPr>
            <w:tcW w:w="980" w:type="dxa"/>
            <w:vAlign w:val="bottom"/>
            <w:gridSpan w:val="4"/>
          </w:tcPr>
          <w:p>
            <w:pPr>
              <w:jc w:val="center"/>
              <w:ind w:left="71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23</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80" w:type="dxa"/>
            <w:vAlign w:val="bottom"/>
            <w:gridSpan w:val="29"/>
          </w:tcPr>
          <w:p>
            <w:pPr>
              <w:spacing w:after="0"/>
              <w:rPr>
                <w:rFonts w:ascii="Arial" w:cs="Arial" w:eastAsia="Arial" w:hAnsi="Arial"/>
                <w:sz w:val="18"/>
                <w:szCs w:val="18"/>
                <w:color w:val="0000FF"/>
                <w:w w:val="94"/>
              </w:rPr>
            </w:pPr>
            <w:hyperlink w:anchor="page23">
              <w:r>
                <w:rPr>
                  <w:rFonts w:ascii="Arial" w:cs="Arial" w:eastAsia="Arial" w:hAnsi="Arial"/>
                  <w:sz w:val="18"/>
                  <w:szCs w:val="18"/>
                  <w:color w:val="0000FF"/>
                  <w:w w:val="94"/>
                </w:rPr>
                <w:t>Combined Notes to Unaudited Consolidated Financial Statements for Evergy, Inc., Evergy Kansas Central,</w:t>
              </w:r>
            </w:hyperlink>
          </w:p>
        </w:tc>
        <w:tc>
          <w:tcPr>
            <w:tcW w:w="980" w:type="dxa"/>
            <w:vAlign w:val="bottom"/>
            <w:gridSpan w:val="4"/>
          </w:tcPr>
          <w:p>
            <w:pPr>
              <w:jc w:val="center"/>
              <w:ind w:left="71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24</w:t>
              </w:r>
            </w:hyperlink>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5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w:anchor="page23">
              <w:r>
                <w:rPr>
                  <w:rFonts w:ascii="Arial" w:cs="Arial" w:eastAsia="Arial" w:hAnsi="Arial"/>
                  <w:sz w:val="18"/>
                  <w:szCs w:val="18"/>
                  <w:color w:val="0000FF"/>
                </w:rPr>
                <w:t>Inc. and Evergy Metro, Inc.</w:t>
              </w:r>
            </w:hyperlink>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w:t>
            </w:r>
          </w:p>
        </w:tc>
        <w:tc>
          <w:tcPr>
            <w:tcW w:w="2800" w:type="dxa"/>
            <w:vAlign w:val="bottom"/>
            <w:gridSpan w:val="13"/>
          </w:tcPr>
          <w:p>
            <w:pPr>
              <w:spacing w:after="0"/>
              <w:rPr>
                <w:rFonts w:ascii="Arial" w:cs="Arial" w:eastAsia="Arial" w:hAnsi="Arial"/>
                <w:sz w:val="18"/>
                <w:szCs w:val="18"/>
                <w:color w:val="0000FF"/>
                <w:w w:val="88"/>
              </w:rPr>
            </w:pPr>
            <w:hyperlink w:anchor="page24">
              <w:r>
                <w:rPr>
                  <w:rFonts w:ascii="Arial" w:cs="Arial" w:eastAsia="Arial" w:hAnsi="Arial"/>
                  <w:sz w:val="18"/>
                  <w:szCs w:val="18"/>
                  <w:color w:val="0000FF"/>
                  <w:w w:val="88"/>
                </w:rPr>
                <w:t>Organization and Basis of Presentation</w:t>
              </w:r>
            </w:hyperlink>
          </w:p>
        </w:tc>
        <w:tc>
          <w:tcPr>
            <w:tcW w:w="3840" w:type="dxa"/>
            <w:vAlign w:val="bottom"/>
            <w:gridSpan w:val="7"/>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24</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2:</w:t>
            </w:r>
          </w:p>
        </w:tc>
        <w:tc>
          <w:tcPr>
            <w:tcW w:w="620" w:type="dxa"/>
            <w:vAlign w:val="bottom"/>
            <w:gridSpan w:val="3"/>
          </w:tcPr>
          <w:p>
            <w:pPr>
              <w:spacing w:after="0"/>
              <w:rPr>
                <w:rFonts w:ascii="Arial" w:cs="Arial" w:eastAsia="Arial" w:hAnsi="Arial"/>
                <w:sz w:val="18"/>
                <w:szCs w:val="18"/>
                <w:color w:val="0000FF"/>
                <w:w w:val="83"/>
              </w:rPr>
            </w:pPr>
            <w:hyperlink w:anchor="page29">
              <w:r>
                <w:rPr>
                  <w:rFonts w:ascii="Arial" w:cs="Arial" w:eastAsia="Arial" w:hAnsi="Arial"/>
                  <w:sz w:val="18"/>
                  <w:szCs w:val="18"/>
                  <w:color w:val="0000FF"/>
                  <w:w w:val="83"/>
                </w:rPr>
                <w:t>Revenue</w:t>
              </w:r>
            </w:hyperlink>
          </w:p>
        </w:tc>
        <w:tc>
          <w:tcPr>
            <w:tcW w:w="2180" w:type="dxa"/>
            <w:vAlign w:val="bottom"/>
            <w:gridSpan w:val="10"/>
          </w:tcPr>
          <w:p>
            <w:pPr>
              <w:spacing w:after="0"/>
              <w:rPr>
                <w:sz w:val="18"/>
                <w:szCs w:val="18"/>
                <w:color w:val="auto"/>
              </w:rPr>
            </w:pPr>
          </w:p>
        </w:tc>
        <w:tc>
          <w:tcPr>
            <w:tcW w:w="3840" w:type="dxa"/>
            <w:vAlign w:val="bottom"/>
            <w:gridSpan w:val="7"/>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3:</w:t>
            </w:r>
          </w:p>
        </w:tc>
        <w:tc>
          <w:tcPr>
            <w:tcW w:w="860" w:type="dxa"/>
            <w:vAlign w:val="bottom"/>
            <w:gridSpan w:val="5"/>
          </w:tcPr>
          <w:p>
            <w:pPr>
              <w:spacing w:after="0"/>
              <w:rPr>
                <w:rFonts w:ascii="Arial" w:cs="Arial" w:eastAsia="Arial" w:hAnsi="Arial"/>
                <w:sz w:val="18"/>
                <w:szCs w:val="18"/>
                <w:color w:val="0000FF"/>
                <w:w w:val="85"/>
              </w:rPr>
            </w:pPr>
            <w:hyperlink w:anchor="page30">
              <w:r>
                <w:rPr>
                  <w:rFonts w:ascii="Arial" w:cs="Arial" w:eastAsia="Arial" w:hAnsi="Arial"/>
                  <w:sz w:val="18"/>
                  <w:szCs w:val="18"/>
                  <w:color w:val="0000FF"/>
                  <w:w w:val="85"/>
                </w:rPr>
                <w:t>Receivables</w:t>
              </w:r>
            </w:hyperlink>
          </w:p>
        </w:tc>
        <w:tc>
          <w:tcPr>
            <w:tcW w:w="5780" w:type="dxa"/>
            <w:vAlign w:val="bottom"/>
            <w:gridSpan w:val="15"/>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31</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4:</w:t>
            </w:r>
          </w:p>
        </w:tc>
        <w:tc>
          <w:tcPr>
            <w:tcW w:w="6640" w:type="dxa"/>
            <w:vAlign w:val="bottom"/>
            <w:gridSpan w:val="20"/>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Rate Matters and Regulation</w:t>
              </w:r>
            </w:hyperlink>
          </w:p>
        </w:tc>
        <w:tc>
          <w:tcPr>
            <w:tcW w:w="980" w:type="dxa"/>
            <w:vAlign w:val="bottom"/>
            <w:gridSpan w:val="4"/>
          </w:tcPr>
          <w:p>
            <w:pPr>
              <w:jc w:val="center"/>
              <w:ind w:left="710"/>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5:</w:t>
            </w:r>
          </w:p>
        </w:tc>
        <w:tc>
          <w:tcPr>
            <w:tcW w:w="2040" w:type="dxa"/>
            <w:vAlign w:val="bottom"/>
            <w:gridSpan w:val="10"/>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Goodwill</w:t>
              </w:r>
            </w:hyperlink>
          </w:p>
        </w:tc>
        <w:tc>
          <w:tcPr>
            <w:tcW w:w="4600" w:type="dxa"/>
            <w:vAlign w:val="bottom"/>
            <w:gridSpan w:val="10"/>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6:</w:t>
            </w:r>
          </w:p>
        </w:tc>
        <w:tc>
          <w:tcPr>
            <w:tcW w:w="3160" w:type="dxa"/>
            <w:vAlign w:val="bottom"/>
            <w:gridSpan w:val="15"/>
          </w:tcPr>
          <w:p>
            <w:pPr>
              <w:spacing w:after="0"/>
              <w:rPr>
                <w:rFonts w:ascii="Arial" w:cs="Arial" w:eastAsia="Arial" w:hAnsi="Arial"/>
                <w:sz w:val="18"/>
                <w:szCs w:val="18"/>
                <w:color w:val="0000FF"/>
                <w:w w:val="88"/>
              </w:rPr>
            </w:pPr>
            <w:hyperlink w:anchor="page37">
              <w:r>
                <w:rPr>
                  <w:rFonts w:ascii="Arial" w:cs="Arial" w:eastAsia="Arial" w:hAnsi="Arial"/>
                  <w:sz w:val="18"/>
                  <w:szCs w:val="18"/>
                  <w:color w:val="0000FF"/>
                  <w:w w:val="88"/>
                </w:rPr>
                <w:t>Pension Plans and Post-Retirement Benefits</w:t>
              </w:r>
            </w:hyperlink>
          </w:p>
        </w:tc>
        <w:tc>
          <w:tcPr>
            <w:tcW w:w="3480" w:type="dxa"/>
            <w:vAlign w:val="bottom"/>
            <w:gridSpan w:val="5"/>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7:</w:t>
            </w:r>
          </w:p>
        </w:tc>
        <w:tc>
          <w:tcPr>
            <w:tcW w:w="6640" w:type="dxa"/>
            <w:vAlign w:val="bottom"/>
            <w:gridSpan w:val="20"/>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Short-Term Borrowings and Short-Term Bank Lines of Credit</w:t>
              </w:r>
            </w:hyperlink>
          </w:p>
        </w:tc>
        <w:tc>
          <w:tcPr>
            <w:tcW w:w="980" w:type="dxa"/>
            <w:vAlign w:val="bottom"/>
            <w:gridSpan w:val="4"/>
          </w:tcPr>
          <w:p>
            <w:pPr>
              <w:jc w:val="center"/>
              <w:ind w:left="71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39</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8:</w:t>
            </w:r>
          </w:p>
        </w:tc>
        <w:tc>
          <w:tcPr>
            <w:tcW w:w="1200" w:type="dxa"/>
            <w:vAlign w:val="bottom"/>
            <w:gridSpan w:val="7"/>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Long-Term Debt</w:t>
              </w:r>
            </w:hyperlink>
          </w:p>
        </w:tc>
        <w:tc>
          <w:tcPr>
            <w:tcW w:w="3240" w:type="dxa"/>
            <w:vAlign w:val="bottom"/>
            <w:gridSpan w:val="10"/>
          </w:tcPr>
          <w:p>
            <w:pPr>
              <w:spacing w:after="0"/>
              <w:rPr>
                <w:sz w:val="18"/>
                <w:szCs w:val="18"/>
                <w:color w:val="auto"/>
              </w:rPr>
            </w:pPr>
          </w:p>
        </w:tc>
        <w:tc>
          <w:tcPr>
            <w:tcW w:w="2200" w:type="dxa"/>
            <w:vAlign w:val="bottom"/>
            <w:gridSpan w:val="3"/>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40</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9:</w:t>
            </w:r>
          </w:p>
        </w:tc>
        <w:tc>
          <w:tcPr>
            <w:tcW w:w="6640" w:type="dxa"/>
            <w:vAlign w:val="bottom"/>
            <w:gridSpan w:val="20"/>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Fair Value Measurements</w:t>
              </w:r>
            </w:hyperlink>
          </w:p>
        </w:tc>
        <w:tc>
          <w:tcPr>
            <w:tcW w:w="980" w:type="dxa"/>
            <w:vAlign w:val="bottom"/>
            <w:gridSpan w:val="4"/>
          </w:tcPr>
          <w:p>
            <w:pPr>
              <w:jc w:val="center"/>
              <w:ind w:left="71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40</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10:</w:t>
            </w:r>
          </w:p>
        </w:tc>
        <w:tc>
          <w:tcPr>
            <w:tcW w:w="6640" w:type="dxa"/>
            <w:vAlign w:val="bottom"/>
            <w:gridSpan w:val="20"/>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Commitments and Contingencies</w:t>
              </w:r>
            </w:hyperlink>
          </w:p>
        </w:tc>
        <w:tc>
          <w:tcPr>
            <w:tcW w:w="980" w:type="dxa"/>
            <w:vAlign w:val="bottom"/>
            <w:gridSpan w:val="4"/>
          </w:tcPr>
          <w:p>
            <w:pPr>
              <w:jc w:val="center"/>
              <w:ind w:left="71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45</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11:</w:t>
            </w:r>
          </w:p>
        </w:tc>
        <w:tc>
          <w:tcPr>
            <w:tcW w:w="6640" w:type="dxa"/>
            <w:vAlign w:val="bottom"/>
            <w:gridSpan w:val="20"/>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Related Party Transactions and Relationships</w:t>
              </w:r>
            </w:hyperlink>
          </w:p>
        </w:tc>
        <w:tc>
          <w:tcPr>
            <w:tcW w:w="980" w:type="dxa"/>
            <w:vAlign w:val="bottom"/>
            <w:gridSpan w:val="4"/>
          </w:tcPr>
          <w:p>
            <w:pPr>
              <w:jc w:val="center"/>
              <w:ind w:left="71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48</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12:</w:t>
            </w:r>
          </w:p>
        </w:tc>
        <w:tc>
          <w:tcPr>
            <w:tcW w:w="3240" w:type="dxa"/>
            <w:vAlign w:val="bottom"/>
            <w:gridSpan w:val="16"/>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Taxes</w:t>
              </w:r>
            </w:hyperlink>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49</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27"/>
          </w:tcPr>
          <w:p>
            <w:pPr>
              <w:spacing w:after="0"/>
              <w:rPr>
                <w:rFonts w:ascii="Arial" w:cs="Arial" w:eastAsia="Arial" w:hAnsi="Arial"/>
                <w:sz w:val="18"/>
                <w:szCs w:val="18"/>
                <w:color w:val="0000FF"/>
                <w:w w:val="90"/>
              </w:rPr>
            </w:pPr>
            <w:hyperlink w:anchor="page52">
              <w:r>
                <w:rPr>
                  <w:rFonts w:ascii="Arial" w:cs="Arial" w:eastAsia="Arial" w:hAnsi="Arial"/>
                  <w:sz w:val="18"/>
                  <w:szCs w:val="18"/>
                  <w:color w:val="0000FF"/>
                  <w:w w:val="90"/>
                </w:rPr>
                <w:t>Management's Discussion and Analysis of Financial Condition and Results of Operations</w:t>
              </w:r>
            </w:hyperlink>
          </w:p>
        </w:tc>
        <w:tc>
          <w:tcPr>
            <w:tcW w:w="1640" w:type="dxa"/>
            <w:vAlign w:val="bottom"/>
            <w:gridSpan w:val="2"/>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52</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23"/>
          </w:tcPr>
          <w:p>
            <w:pPr>
              <w:spacing w:after="0"/>
              <w:rPr>
                <w:rFonts w:ascii="Arial" w:cs="Arial" w:eastAsia="Arial" w:hAnsi="Arial"/>
                <w:sz w:val="18"/>
                <w:szCs w:val="18"/>
                <w:color w:val="0000FF"/>
                <w:w w:val="91"/>
              </w:rPr>
            </w:pPr>
            <w:hyperlink w:anchor="page66">
              <w:r>
                <w:rPr>
                  <w:rFonts w:ascii="Arial" w:cs="Arial" w:eastAsia="Arial" w:hAnsi="Arial"/>
                  <w:sz w:val="18"/>
                  <w:szCs w:val="18"/>
                  <w:color w:val="0000FF"/>
                  <w:w w:val="91"/>
                </w:rPr>
                <w:t>Quantitative and Qualitative Disclosures About Market Risk</w:t>
              </w:r>
            </w:hyperlink>
          </w:p>
        </w:tc>
        <w:tc>
          <w:tcPr>
            <w:tcW w:w="2100" w:type="dxa"/>
            <w:vAlign w:val="bottom"/>
            <w:gridSpan w:val="4"/>
          </w:tcPr>
          <w:p>
            <w:pPr>
              <w:spacing w:after="0"/>
              <w:rPr>
                <w:sz w:val="18"/>
                <w:szCs w:val="18"/>
                <w:color w:val="auto"/>
              </w:rPr>
            </w:pPr>
          </w:p>
        </w:tc>
        <w:tc>
          <w:tcPr>
            <w:tcW w:w="1640" w:type="dxa"/>
            <w:vAlign w:val="bottom"/>
            <w:gridSpan w:val="2"/>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67</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3740" w:type="dxa"/>
            <w:vAlign w:val="bottom"/>
            <w:tcBorders>
              <w:left w:val="single" w:sz="8" w:color="0000FF"/>
            </w:tcBorders>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23"/>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Controls and Procedures</w:t>
              </w:r>
            </w:hyperlink>
          </w:p>
        </w:tc>
        <w:tc>
          <w:tcPr>
            <w:tcW w:w="3740" w:type="dxa"/>
            <w:vAlign w:val="bottom"/>
            <w:gridSpan w:val="6"/>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67</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2120" w:type="dxa"/>
            <w:vAlign w:val="bottom"/>
            <w:tcBorders>
              <w:bottom w:val="single" w:sz="8" w:color="0000FF"/>
            </w:tcBorders>
            <w:gridSpan w:val="8"/>
          </w:tcPr>
          <w:p>
            <w:pPr>
              <w:spacing w:after="0"/>
              <w:rPr>
                <w:rFonts w:ascii="Arial" w:cs="Arial" w:eastAsia="Arial" w:hAnsi="Arial"/>
                <w:sz w:val="18"/>
                <w:szCs w:val="18"/>
                <w:b w:val="1"/>
                <w:bCs w:val="1"/>
                <w:color w:val="0000FF"/>
                <w:w w:val="96"/>
              </w:rPr>
            </w:pPr>
            <w:hyperlink w:anchor="page68">
              <w:r>
                <w:rPr>
                  <w:rFonts w:ascii="Arial" w:cs="Arial" w:eastAsia="Arial" w:hAnsi="Arial"/>
                  <w:sz w:val="18"/>
                  <w:szCs w:val="18"/>
                  <w:b w:val="1"/>
                  <w:bCs w:val="1"/>
                  <w:color w:val="0000FF"/>
                  <w:w w:val="96"/>
                </w:rPr>
                <w:t>Part II - Other Information</w:t>
              </w:r>
            </w:hyperlink>
          </w:p>
        </w:tc>
        <w:tc>
          <w:tcPr>
            <w:tcW w:w="50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40" w:type="dxa"/>
            <w:vAlign w:val="bottom"/>
            <w:gridSpan w:val="9"/>
          </w:tcPr>
          <w:p>
            <w:pPr>
              <w:spacing w:after="0"/>
              <w:rPr>
                <w:rFonts w:ascii="Arial" w:cs="Arial" w:eastAsia="Arial" w:hAnsi="Arial"/>
                <w:sz w:val="18"/>
                <w:szCs w:val="18"/>
                <w:color w:val="0000FF"/>
                <w:w w:val="93"/>
              </w:rPr>
            </w:pPr>
            <w:hyperlink w:anchor="page68">
              <w:r>
                <w:rPr>
                  <w:rFonts w:ascii="Arial" w:cs="Arial" w:eastAsia="Arial" w:hAnsi="Arial"/>
                  <w:sz w:val="18"/>
                  <w:szCs w:val="18"/>
                  <w:color w:val="0000FF"/>
                  <w:w w:val="93"/>
                </w:rPr>
                <w:t>Legal Proceedings</w:t>
              </w:r>
            </w:hyperlink>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68</w:t>
              </w:r>
            </w:hyperlink>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FF"/>
                <w:w w:val="87"/>
              </w:rPr>
            </w:pPr>
            <w:hyperlink w:anchor="page68">
              <w:r>
                <w:rPr>
                  <w:rFonts w:ascii="Arial" w:cs="Arial" w:eastAsia="Arial" w:hAnsi="Arial"/>
                  <w:sz w:val="18"/>
                  <w:szCs w:val="18"/>
                  <w:color w:val="0000FF"/>
                  <w:w w:val="87"/>
                </w:rPr>
                <w:t>Risk Factors</w:t>
              </w:r>
            </w:hyperlink>
          </w:p>
        </w:tc>
        <w:tc>
          <w:tcPr>
            <w:tcW w:w="40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68</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080" w:type="dxa"/>
            <w:vAlign w:val="bottom"/>
            <w:gridSpan w:val="29"/>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Unregistered Sales of Equity Securities and Use of Proceeds</w:t>
              </w:r>
            </w:hyperlink>
          </w:p>
        </w:tc>
        <w:tc>
          <w:tcPr>
            <w:tcW w:w="980" w:type="dxa"/>
            <w:vAlign w:val="bottom"/>
            <w:gridSpan w:val="4"/>
          </w:tcPr>
          <w:p>
            <w:pPr>
              <w:jc w:val="center"/>
              <w:ind w:left="710"/>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68</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15"/>
          </w:tcPr>
          <w:p>
            <w:pPr>
              <w:spacing w:after="0"/>
              <w:rPr>
                <w:rFonts w:ascii="Arial" w:cs="Arial" w:eastAsia="Arial" w:hAnsi="Arial"/>
                <w:sz w:val="18"/>
                <w:szCs w:val="18"/>
                <w:color w:val="0000FF"/>
                <w:w w:val="90"/>
              </w:rPr>
            </w:pPr>
            <w:hyperlink w:anchor="page68">
              <w:r>
                <w:rPr>
                  <w:rFonts w:ascii="Arial" w:cs="Arial" w:eastAsia="Arial" w:hAnsi="Arial"/>
                  <w:sz w:val="18"/>
                  <w:szCs w:val="18"/>
                  <w:color w:val="0000FF"/>
                  <w:w w:val="90"/>
                </w:rPr>
                <w:t>Defaults Upon Senior Securities</w:t>
              </w:r>
            </w:hyperlink>
          </w:p>
        </w:tc>
        <w:tc>
          <w:tcPr>
            <w:tcW w:w="2020" w:type="dxa"/>
            <w:vAlign w:val="bottom"/>
            <w:gridSpan w:val="8"/>
          </w:tcPr>
          <w:p>
            <w:pPr>
              <w:spacing w:after="0"/>
              <w:rPr>
                <w:sz w:val="18"/>
                <w:szCs w:val="18"/>
                <w:color w:val="auto"/>
              </w:rPr>
            </w:pPr>
          </w:p>
        </w:tc>
        <w:tc>
          <w:tcPr>
            <w:tcW w:w="3740" w:type="dxa"/>
            <w:vAlign w:val="bottom"/>
            <w:gridSpan w:val="6"/>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68</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5760" w:type="dxa"/>
            <w:vAlign w:val="bottom"/>
            <w:gridSpan w:val="14"/>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15"/>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Mine Safety Disclosures</w:t>
              </w:r>
            </w:hyperlink>
          </w:p>
        </w:tc>
        <w:tc>
          <w:tcPr>
            <w:tcW w:w="5760" w:type="dxa"/>
            <w:vAlign w:val="bottom"/>
            <w:gridSpan w:val="14"/>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69</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40" w:type="dxa"/>
            <w:vAlign w:val="bottom"/>
            <w:gridSpan w:val="9"/>
          </w:tcPr>
          <w:p>
            <w:pPr>
              <w:spacing w:after="0"/>
              <w:rPr>
                <w:rFonts w:ascii="Arial" w:cs="Arial" w:eastAsia="Arial" w:hAnsi="Arial"/>
                <w:sz w:val="18"/>
                <w:szCs w:val="18"/>
                <w:color w:val="0000FF"/>
                <w:w w:val="99"/>
              </w:rPr>
            </w:pPr>
            <w:hyperlink w:anchor="page69">
              <w:r>
                <w:rPr>
                  <w:rFonts w:ascii="Arial" w:cs="Arial" w:eastAsia="Arial" w:hAnsi="Arial"/>
                  <w:sz w:val="18"/>
                  <w:szCs w:val="18"/>
                  <w:color w:val="0000FF"/>
                  <w:w w:val="99"/>
                </w:rPr>
                <w:t>Other Information</w:t>
              </w:r>
            </w:hyperlink>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69</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3"/>
          </w:tcPr>
          <w:p>
            <w:pPr>
              <w:spacing w:after="0"/>
              <w:rPr>
                <w:rFonts w:ascii="Arial" w:cs="Arial" w:eastAsia="Arial" w:hAnsi="Arial"/>
                <w:sz w:val="18"/>
                <w:szCs w:val="18"/>
                <w:color w:val="0000FF"/>
                <w:w w:val="91"/>
              </w:rPr>
            </w:pPr>
            <w:hyperlink w:anchor="page69">
              <w:r>
                <w:rPr>
                  <w:rFonts w:ascii="Arial" w:cs="Arial" w:eastAsia="Arial" w:hAnsi="Arial"/>
                  <w:sz w:val="18"/>
                  <w:szCs w:val="18"/>
                  <w:color w:val="0000FF"/>
                  <w:w w:val="91"/>
                </w:rPr>
                <w:t>Exhibits</w:t>
              </w:r>
            </w:hyperlink>
          </w:p>
        </w:tc>
        <w:tc>
          <w:tcPr>
            <w:tcW w:w="70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70</w:t>
              </w:r>
            </w:hyperlink>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Signatures</w:t>
              </w:r>
            </w:hyperlink>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4"/>
          </w:tcPr>
          <w:p>
            <w:pPr>
              <w:jc w:val="center"/>
              <w:ind w:left="71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72</w:t>
              </w:r>
            </w:hyperlink>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4"/>
        </w:trPr>
        <w:tc>
          <w:tcPr>
            <w:tcW w:w="6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15"/>
          </w:tcPr>
          <w:p>
            <w:pPr>
              <w:jc w:val="right"/>
              <w:ind w:right="1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STATEMENTS REGARDING CERTAIN FORWARD-LOOKING INFORMATION</w:t>
      </w:r>
    </w:p>
    <w:p>
      <w:pPr>
        <w:spacing w:after="0" w:line="22" w:lineRule="exact"/>
        <w:rPr>
          <w:sz w:val="20"/>
          <w:szCs w:val="20"/>
          <w:color w:val="auto"/>
        </w:rPr>
      </w:pPr>
    </w:p>
    <w:p>
      <w:pPr>
        <w:ind w:right="100"/>
        <w:spacing w:after="0" w:line="254" w:lineRule="auto"/>
        <w:rPr>
          <w:sz w:val="20"/>
          <w:szCs w:val="20"/>
          <w:color w:val="auto"/>
        </w:rPr>
      </w:pPr>
      <w:r>
        <w:rPr>
          <w:rFonts w:ascii="Arial" w:cs="Arial" w:eastAsia="Arial" w:hAnsi="Arial"/>
          <w:sz w:val="19"/>
          <w:szCs w:val="19"/>
          <w:color w:val="auto"/>
        </w:rPr>
        <w:t>Statements made in this document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"should," "could," "may," "seeks," "intends,"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the Evergy Companies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changes in business strategy or operations; the impact of federal, state and local political, legislative, judicial and regulatory actions or developments, including deregulation, re-regulation, securitization and restructuring of the electric utility industry;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the impact of climate change, including increased frequency and severity of significant weather events and the extent to which counterparties are willing to do business with, finance the operations of or purchase energy from the Evergy Companies due to the fact that the Evergy Companies operate coal-fired generation; prices and availability of electricity in wholesale markets; market perception of the energy industry and the Evergy Companies; the impact of the Coronavirus (COVID-19) pandemic on, among other things, sales, results of operations, financial condition,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(RTO) and independent system operators; financial market conditions and performance, including changes in interest rates and credit spreads and in availability and cost of capital and the effects on derivatives and hedges, nuclear decommissioning trust and pension plan assets and costs; impairments of long-lived assets or goodwill; credit ratings; inflation rates; the transition to a replacement for the London Interbank Offered Rate (LIBOR) benchmark interest rate; effectiveness of risk management policies and procedures and the ability of counterparties to satisfy their contractual commitments;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ability to carry out marketing and sales plans; cost, availability, quality and timely provision of equipment, supplies, labor and fuel; ability to achieve generation goals and the occurrence and duration of planned and unplanned generation outages; delays and cost increases of generation, transmission, distribution or other projects; the Evergy Companies' ability to manage their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possibility that strategic initiatives, including mergers, acquisitions and divestitures, and long-term financial plans, may not create the value that they are expected to achieve in a timely manner or at all; difficulties in maintaining relationships with customers, employees, regulators or suppliers; and other risks and uncertainties.</w:t>
      </w:r>
    </w:p>
    <w:p>
      <w:pPr>
        <w:spacing w:after="0" w:line="223" w:lineRule="exact"/>
        <w:rPr>
          <w:sz w:val="20"/>
          <w:szCs w:val="20"/>
          <w:color w:val="auto"/>
        </w:rPr>
      </w:pPr>
    </w:p>
    <w:p>
      <w:pPr>
        <w:ind w:right="300"/>
        <w:spacing w:after="0" w:line="246" w:lineRule="auto"/>
        <w:rPr>
          <w:sz w:val="20"/>
          <w:szCs w:val="20"/>
          <w:color w:val="auto"/>
        </w:rPr>
      </w:pPr>
      <w:r>
        <w:rPr>
          <w:rFonts w:ascii="Arial" w:cs="Arial" w:eastAsia="Arial" w:hAnsi="Arial"/>
          <w:sz w:val="20"/>
          <w:szCs w:val="20"/>
          <w:color w:val="auto"/>
        </w:rPr>
        <w:t>This list of factors is not all-inclusive because it is not possible to predict all factors. You should also carefully consider the information contained in our other filings with the Securities and Exchange Commission (SEC). Additional risks and uncertainties are discussed from time to time in current, quarterly and annual reports filed by the Evergy Companies with the SEC. Each forward-looking statement speaks only as of the date of the particular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statement. The Evergy Companies undertake no obligation to publicly update or revise any forward-looking statement, whether as a result of new information, future events or otherwise, except as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2"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66"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5" w:name="page6"/>
    <w:bookmarkEnd w:id="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GLOSSARY OF TERMS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glossary of frequently used abbreviations or acronyms that are found throughout this report.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20"/>
                <w:szCs w:val="20"/>
                <w:b w:val="1"/>
                <w:bCs w:val="1"/>
                <w:color w:val="auto"/>
                <w:w w:val="90"/>
              </w:rPr>
              <w:t>Abbreviation or Acronym</w:t>
            </w:r>
          </w:p>
        </w:tc>
        <w:tc>
          <w:tcPr>
            <w:tcW w:w="10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20"/>
                <w:szCs w:val="20"/>
                <w:b w:val="1"/>
                <w:bCs w:val="1"/>
                <w:color w:val="auto"/>
              </w:rPr>
              <w:t>Definition</w:t>
            </w:r>
          </w:p>
        </w:tc>
        <w:tc>
          <w:tcPr>
            <w:tcW w:w="0" w:type="dxa"/>
            <w:vAlign w:val="bottom"/>
          </w:tcPr>
          <w:p>
            <w:pPr>
              <w:spacing w:after="0"/>
              <w:rPr>
                <w:sz w:val="1"/>
                <w:szCs w:val="1"/>
                <w:color w:val="auto"/>
              </w:rPr>
            </w:pPr>
          </w:p>
        </w:tc>
      </w:tr>
      <w:tr>
        <w:trPr>
          <w:trHeight w:val="497"/>
        </w:trPr>
        <w:tc>
          <w:tcPr>
            <w:tcW w:w="20" w:type="dxa"/>
            <w:vAlign w:val="bottom"/>
          </w:tcPr>
          <w:p>
            <w:pPr>
              <w:spacing w:after="0"/>
              <w:rPr>
                <w:sz w:val="24"/>
                <w:szCs w:val="24"/>
                <w:color w:val="auto"/>
              </w:rPr>
            </w:pPr>
          </w:p>
        </w:tc>
        <w:tc>
          <w:tcPr>
            <w:tcW w:w="220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AAO</w:t>
            </w:r>
          </w:p>
        </w:tc>
        <w:tc>
          <w:tcPr>
            <w:tcW w:w="1080" w:type="dxa"/>
            <w:vAlign w:val="bottom"/>
          </w:tcPr>
          <w:p>
            <w:pPr>
              <w:spacing w:after="0"/>
              <w:rPr>
                <w:sz w:val="24"/>
                <w:szCs w:val="24"/>
                <w:color w:val="auto"/>
              </w:rPr>
            </w:pPr>
          </w:p>
        </w:tc>
        <w:tc>
          <w:tcPr>
            <w:tcW w:w="3620" w:type="dxa"/>
            <w:vAlign w:val="bottom"/>
          </w:tcPr>
          <w:p>
            <w:pPr>
              <w:ind w:left="200"/>
              <w:spacing w:after="0"/>
              <w:rPr>
                <w:sz w:val="20"/>
                <w:szCs w:val="20"/>
                <w:color w:val="auto"/>
              </w:rPr>
            </w:pPr>
            <w:r>
              <w:rPr>
                <w:rFonts w:ascii="Arial" w:cs="Arial" w:eastAsia="Arial" w:hAnsi="Arial"/>
                <w:sz w:val="20"/>
                <w:szCs w:val="20"/>
                <w:color w:val="auto"/>
              </w:rPr>
              <w:t>Accounting authority order</w:t>
            </w:r>
          </w:p>
        </w:tc>
        <w:tc>
          <w:tcPr>
            <w:tcW w:w="84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ACE</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Affordable Clean Energy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AEP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American Electric Power Company, Inc.</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AFUDC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Allowance for funds used during construction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AOCI</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Accumulated other comprehensive income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AROs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Asset retirement obligations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BSER</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Best system of emission reduction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CAA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Clean Air Act Amendments of 1990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CCRs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Coal combustion residuals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2" w:lineRule="exact"/>
              <w:rPr>
                <w:sz w:val="20"/>
                <w:szCs w:val="20"/>
                <w:color w:val="auto"/>
              </w:rPr>
            </w:pPr>
            <w:r>
              <w:rPr>
                <w:rFonts w:ascii="Arial" w:cs="Arial" w:eastAsia="Arial" w:hAnsi="Arial"/>
                <w:sz w:val="20"/>
                <w:szCs w:val="20"/>
                <w:b w:val="1"/>
                <w:bCs w:val="1"/>
                <w:color w:val="auto"/>
              </w:rPr>
              <w:t>CO</w:t>
            </w:r>
            <w:r>
              <w:rPr>
                <w:rFonts w:ascii="Arial" w:cs="Arial" w:eastAsia="Arial" w:hAnsi="Arial"/>
                <w:sz w:val="25"/>
                <w:szCs w:val="25"/>
                <w:b w:val="1"/>
                <w:bCs w:val="1"/>
                <w:color w:val="auto"/>
                <w:vertAlign w:val="subscript"/>
              </w:rPr>
              <w:t>2</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Carbon dioxide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COLI</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Corporate-owned life insurance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COVID-19</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Coronavirus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CPP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Clean Power Plan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CSAPR</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Cross-State Air Pollution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ELG</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Effluent limitations guidelines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EPA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Environmental Protection Agency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EPS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Earnings per common share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ERISA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Employee Retirement Income Security Act of 1974, as amended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ERSP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Earnings Review and Sharing Plan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Inc. and its consolidated subsidiaries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Board</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Board of Directors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gridSpan w:val="2"/>
          </w:tcPr>
          <w:p>
            <w:pPr>
              <w:spacing w:after="0" w:line="198" w:lineRule="exact"/>
              <w:rPr>
                <w:sz w:val="20"/>
                <w:szCs w:val="20"/>
                <w:color w:val="auto"/>
              </w:rPr>
            </w:pPr>
            <w:r>
              <w:rPr>
                <w:rFonts w:ascii="Arial" w:cs="Arial" w:eastAsia="Arial" w:hAnsi="Arial"/>
                <w:sz w:val="20"/>
                <w:szCs w:val="20"/>
                <w:b w:val="1"/>
                <w:bCs w:val="1"/>
                <w:color w:val="auto"/>
              </w:rPr>
              <w:t>Evergy Companies</w:t>
            </w:r>
          </w:p>
        </w:tc>
        <w:tc>
          <w:tcPr>
            <w:tcW w:w="7940" w:type="dxa"/>
            <w:vAlign w:val="bottom"/>
            <w:gridSpan w:val="3"/>
          </w:tcPr>
          <w:p>
            <w:pPr>
              <w:ind w:left="200"/>
              <w:spacing w:after="0" w:line="198" w:lineRule="exact"/>
              <w:rPr>
                <w:sz w:val="20"/>
                <w:szCs w:val="20"/>
                <w:color w:val="auto"/>
              </w:rPr>
            </w:pPr>
            <w:r>
              <w:rPr>
                <w:rFonts w:ascii="Arial" w:cs="Arial" w:eastAsia="Arial" w:hAnsi="Arial"/>
                <w:sz w:val="20"/>
                <w:szCs w:val="20"/>
                <w:color w:val="auto"/>
                <w:w w:val="91"/>
              </w:rPr>
              <w:t>Evergy, Evergy Kansas Central, and Evergy Metro, collectively, which are individual registrants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Evergy Kansas Central</w:t>
            </w:r>
          </w:p>
        </w:tc>
        <w:tc>
          <w:tcPr>
            <w:tcW w:w="7940" w:type="dxa"/>
            <w:vAlign w:val="bottom"/>
            <w:gridSpan w:val="3"/>
          </w:tcPr>
          <w:p>
            <w:pPr>
              <w:ind w:left="360"/>
              <w:spacing w:after="0"/>
              <w:rPr>
                <w:sz w:val="20"/>
                <w:szCs w:val="20"/>
                <w:color w:val="auto"/>
              </w:rPr>
            </w:pPr>
            <w:r>
              <w:rPr>
                <w:rFonts w:ascii="Arial" w:cs="Arial" w:eastAsia="Arial" w:hAnsi="Arial"/>
                <w:sz w:val="20"/>
                <w:szCs w:val="20"/>
                <w:color w:val="auto"/>
              </w:rPr>
              <w:t>within the Evergy consolidated group</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gridSpan w:val="2"/>
            <w:vMerge w:val="continue"/>
          </w:tcPr>
          <w:p>
            <w:pPr>
              <w:spacing w:after="0"/>
              <w:rPr>
                <w:sz w:val="16"/>
                <w:szCs w:val="16"/>
                <w:color w:val="auto"/>
              </w:rPr>
            </w:pPr>
          </w:p>
        </w:tc>
        <w:tc>
          <w:tcPr>
            <w:tcW w:w="7940" w:type="dxa"/>
            <w:vAlign w:val="bottom"/>
            <w:gridSpan w:val="3"/>
          </w:tcPr>
          <w:p>
            <w:pPr>
              <w:ind w:left="200"/>
              <w:spacing w:after="0" w:line="192" w:lineRule="exact"/>
              <w:rPr>
                <w:sz w:val="20"/>
                <w:szCs w:val="20"/>
                <w:color w:val="auto"/>
              </w:rPr>
            </w:pPr>
            <w:r>
              <w:rPr>
                <w:rFonts w:ascii="Arial" w:cs="Arial" w:eastAsia="Arial" w:hAnsi="Arial"/>
                <w:sz w:val="20"/>
                <w:szCs w:val="20"/>
                <w:color w:val="auto"/>
              </w:rPr>
              <w:t>Evergy Kansas Central, Inc., a wholly-owned subsidiary of Evergy, and its consolidated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Evergy Kansas South</w:t>
            </w:r>
          </w:p>
        </w:tc>
        <w:tc>
          <w:tcPr>
            <w:tcW w:w="7940" w:type="dxa"/>
            <w:vAlign w:val="bottom"/>
            <w:gridSpan w:val="3"/>
          </w:tcPr>
          <w:p>
            <w:pPr>
              <w:ind w:left="360"/>
              <w:spacing w:after="0"/>
              <w:rPr>
                <w:sz w:val="20"/>
                <w:szCs w:val="20"/>
                <w:color w:val="auto"/>
              </w:rPr>
            </w:pPr>
            <w:r>
              <w:rPr>
                <w:rFonts w:ascii="Arial" w:cs="Arial" w:eastAsia="Arial" w:hAnsi="Arial"/>
                <w:sz w:val="20"/>
                <w:szCs w:val="20"/>
                <w:color w:val="auto"/>
              </w:rPr>
              <w:t>subsidiaries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gridSpan w:val="2"/>
            <w:vMerge w:val="continue"/>
          </w:tcPr>
          <w:p>
            <w:pPr>
              <w:spacing w:after="0"/>
              <w:rPr>
                <w:sz w:val="20"/>
                <w:szCs w:val="20"/>
                <w:color w:val="auto"/>
              </w:rPr>
            </w:pP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Kansas South, Inc., a wholly-owned subsidiary of Evergy Kansas Central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Metro</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w w:val="96"/>
              </w:rPr>
              <w:t>Evergy Metro, Inc., a wholly-owned subsidiary of Evergy, and its consolidated subsidiaries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Missouri West</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Missouri West, Inc., a wholly-owned subsidiary of Evergy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Transmission Company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Transmission Company, LLC</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Exchange Act</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The Securities Exchange Act of 1934, as amended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gridSpan w:val="2"/>
          </w:tcPr>
          <w:p>
            <w:pPr>
              <w:spacing w:after="0" w:line="198" w:lineRule="exact"/>
              <w:rPr>
                <w:sz w:val="20"/>
                <w:szCs w:val="20"/>
                <w:color w:val="auto"/>
              </w:rPr>
            </w:pPr>
            <w:r>
              <w:rPr>
                <w:rFonts w:ascii="Arial" w:cs="Arial" w:eastAsia="Arial" w:hAnsi="Arial"/>
                <w:sz w:val="20"/>
                <w:szCs w:val="20"/>
                <w:b w:val="1"/>
                <w:bCs w:val="1"/>
                <w:color w:val="auto"/>
                <w:w w:val="96"/>
              </w:rPr>
              <w:t>February 2021 winter weather event</w:t>
            </w:r>
          </w:p>
        </w:tc>
        <w:tc>
          <w:tcPr>
            <w:tcW w:w="7940" w:type="dxa"/>
            <w:vAlign w:val="bottom"/>
            <w:gridSpan w:val="3"/>
          </w:tcPr>
          <w:p>
            <w:pPr>
              <w:ind w:left="200"/>
              <w:spacing w:after="0" w:line="198" w:lineRule="exact"/>
              <w:rPr>
                <w:sz w:val="20"/>
                <w:szCs w:val="20"/>
                <w:color w:val="auto"/>
              </w:rPr>
            </w:pPr>
            <w:r>
              <w:rPr>
                <w:rFonts w:ascii="Arial" w:cs="Arial" w:eastAsia="Arial" w:hAnsi="Arial"/>
                <w:sz w:val="20"/>
                <w:szCs w:val="20"/>
                <w:color w:val="auto"/>
                <w:w w:val="92"/>
              </w:rPr>
              <w:t>Significant winter weather event in February 2021 that resulted in extremely cold temperatures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FERC</w:t>
            </w:r>
          </w:p>
        </w:tc>
        <w:tc>
          <w:tcPr>
            <w:tcW w:w="7940" w:type="dxa"/>
            <w:vAlign w:val="bottom"/>
            <w:gridSpan w:val="3"/>
          </w:tcPr>
          <w:p>
            <w:pPr>
              <w:ind w:left="280"/>
              <w:spacing w:after="0"/>
              <w:rPr>
                <w:sz w:val="20"/>
                <w:szCs w:val="20"/>
                <w:color w:val="auto"/>
              </w:rPr>
            </w:pPr>
            <w:r>
              <w:rPr>
                <w:rFonts w:ascii="Arial" w:cs="Arial" w:eastAsia="Arial" w:hAnsi="Arial"/>
                <w:sz w:val="20"/>
                <w:szCs w:val="20"/>
                <w:color w:val="auto"/>
              </w:rPr>
              <w:t>over a multi-day period across much of the central and southern United States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gridSpan w:val="2"/>
            <w:vMerge w:val="continue"/>
          </w:tcPr>
          <w:p>
            <w:pPr>
              <w:spacing w:after="0"/>
              <w:rPr>
                <w:sz w:val="20"/>
                <w:szCs w:val="20"/>
                <w:color w:val="auto"/>
              </w:rPr>
            </w:pP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Federal Energy Regulatory Commission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GAAP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Generally Accepted Accounting Principles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GHG</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Greenhouse gas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Great Plains Energy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Great Plains Energy Incorporated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JEC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Jeffrey Energy Center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KCC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State Corporation Commission of the State of Kansas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KDHE</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Kansas Department of Health &amp; Environment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kV</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Kilovolt</w:t>
            </w:r>
          </w:p>
        </w:tc>
        <w:tc>
          <w:tcPr>
            <w:tcW w:w="0" w:type="dxa"/>
            <w:vAlign w:val="bottom"/>
          </w:tcPr>
          <w:p>
            <w:pPr>
              <w:spacing w:after="0"/>
              <w:rPr>
                <w:sz w:val="1"/>
                <w:szCs w:val="1"/>
                <w:color w:val="auto"/>
              </w:rPr>
            </w:pPr>
          </w:p>
        </w:tc>
      </w:tr>
      <w:tr>
        <w:trPr>
          <w:trHeight w:val="860"/>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20" w:type="dxa"/>
            <w:vAlign w:val="bottom"/>
          </w:tcPr>
          <w:p>
            <w:pPr>
              <w:ind w:left="2280"/>
              <w:spacing w:after="0"/>
              <w:rPr>
                <w:sz w:val="20"/>
                <w:szCs w:val="20"/>
                <w:color w:val="auto"/>
              </w:rPr>
            </w:pPr>
            <w:r>
              <w:rPr>
                <w:rFonts w:ascii="Arial" w:cs="Arial" w:eastAsia="Arial" w:hAnsi="Arial"/>
                <w:sz w:val="18"/>
                <w:szCs w:val="18"/>
                <w:color w:val="auto"/>
              </w:rPr>
              <w:t>6</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2"/>
          </w:tcPr>
          <w:p>
            <w:pPr>
              <w:spacing w:after="0"/>
              <w:rPr>
                <w:rFonts w:ascii="Arial" w:cs="Arial" w:eastAsia="Arial" w:hAnsi="Arial"/>
                <w:sz w:val="20"/>
                <w:szCs w:val="20"/>
                <w:color w:val="0000FF"/>
                <w:w w:val="88"/>
              </w:rPr>
            </w:pPr>
            <w:hyperlink w:anchor="page2">
              <w:r>
                <w:rPr>
                  <w:rFonts w:ascii="Arial" w:cs="Arial" w:eastAsia="Arial" w:hAnsi="Arial"/>
                  <w:sz w:val="20"/>
                  <w:szCs w:val="20"/>
                  <w:color w:val="0000FF"/>
                  <w:w w:val="88"/>
                </w:rPr>
                <w:t>Table of Contents</w:t>
              </w:r>
            </w:hyperlink>
          </w:p>
        </w:tc>
        <w:tc>
          <w:tcPr>
            <w:tcW w:w="1440" w:type="dxa"/>
            <w:vAlign w:val="bottom"/>
            <w:gridSpan w:val="2"/>
          </w:tcPr>
          <w:p>
            <w:pPr>
              <w:spacing w:after="0"/>
              <w:rPr>
                <w:sz w:val="19"/>
                <w:szCs w:val="19"/>
                <w:color w:val="auto"/>
              </w:rPr>
            </w:pPr>
          </w:p>
        </w:tc>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885"/>
        </w:trPr>
        <w:tc>
          <w:tcPr>
            <w:tcW w:w="2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20"/>
                <w:szCs w:val="20"/>
                <w:b w:val="1"/>
                <w:bCs w:val="1"/>
                <w:color w:val="auto"/>
                <w:w w:val="90"/>
              </w:rPr>
              <w:t>Abbreviation or Acronym</w:t>
            </w:r>
          </w:p>
        </w:tc>
        <w:tc>
          <w:tcPr>
            <w:tcW w:w="6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20"/>
                <w:szCs w:val="20"/>
                <w:b w:val="1"/>
                <w:bCs w:val="1"/>
                <w:color w:val="auto"/>
              </w:rPr>
              <w:t>Definition</w:t>
            </w:r>
          </w:p>
        </w:tc>
      </w:tr>
      <w:tr>
        <w:trPr>
          <w:trHeight w:val="254"/>
        </w:trPr>
        <w:tc>
          <w:tcPr>
            <w:tcW w:w="20" w:type="dxa"/>
            <w:vAlign w:val="bottom"/>
          </w:tcPr>
          <w:p>
            <w:pPr>
              <w:spacing w:after="0"/>
              <w:rPr>
                <w:sz w:val="22"/>
                <w:szCs w:val="22"/>
                <w:color w:val="auto"/>
              </w:rPr>
            </w:pPr>
          </w:p>
        </w:tc>
        <w:tc>
          <w:tcPr>
            <w:tcW w:w="2200" w:type="dxa"/>
            <w:vAlign w:val="bottom"/>
            <w:tcBorders>
              <w:top w:val="single" w:sz="8" w:color="auto"/>
            </w:tcBorders>
            <w:gridSpan w:val="2"/>
          </w:tcPr>
          <w:p>
            <w:pPr>
              <w:spacing w:after="0"/>
              <w:rPr>
                <w:sz w:val="20"/>
                <w:szCs w:val="20"/>
                <w:color w:val="auto"/>
              </w:rPr>
            </w:pPr>
            <w:r>
              <w:rPr>
                <w:rFonts w:ascii="Arial" w:cs="Arial" w:eastAsia="Arial" w:hAnsi="Arial"/>
                <w:sz w:val="20"/>
                <w:szCs w:val="20"/>
                <w:b w:val="1"/>
                <w:bCs w:val="1"/>
                <w:color w:val="auto"/>
              </w:rPr>
              <w:t>MDNR</w:t>
            </w:r>
          </w:p>
        </w:tc>
        <w:tc>
          <w:tcPr>
            <w:tcW w:w="640" w:type="dxa"/>
            <w:vAlign w:val="bottom"/>
          </w:tcPr>
          <w:p>
            <w:pPr>
              <w:spacing w:after="0"/>
              <w:rPr>
                <w:sz w:val="22"/>
                <w:szCs w:val="22"/>
                <w:color w:val="auto"/>
              </w:rPr>
            </w:pPr>
          </w:p>
        </w:tc>
        <w:tc>
          <w:tcPr>
            <w:tcW w:w="4060" w:type="dxa"/>
            <w:vAlign w:val="bottom"/>
          </w:tcPr>
          <w:p>
            <w:pPr>
              <w:ind w:left="640"/>
              <w:spacing w:after="0"/>
              <w:rPr>
                <w:sz w:val="20"/>
                <w:szCs w:val="20"/>
                <w:color w:val="auto"/>
              </w:rPr>
            </w:pPr>
            <w:r>
              <w:rPr>
                <w:rFonts w:ascii="Arial" w:cs="Arial" w:eastAsia="Arial" w:hAnsi="Arial"/>
                <w:sz w:val="20"/>
                <w:szCs w:val="20"/>
                <w:color w:val="auto"/>
                <w:w w:val="89"/>
              </w:rPr>
              <w:t>Missouri Department of Natural Resources</w:t>
            </w:r>
          </w:p>
        </w:tc>
        <w:tc>
          <w:tcPr>
            <w:tcW w:w="840" w:type="dxa"/>
            <w:vAlign w:val="bottom"/>
            <w:tcBorders>
              <w:top w:val="single" w:sz="8" w:color="auto"/>
            </w:tcBorders>
          </w:tcPr>
          <w:p>
            <w:pPr>
              <w:spacing w:after="0"/>
              <w:rPr>
                <w:sz w:val="22"/>
                <w:szCs w:val="22"/>
                <w:color w:val="auto"/>
              </w:rPr>
            </w:pPr>
          </w:p>
        </w:tc>
        <w:tc>
          <w:tcPr>
            <w:tcW w:w="348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MECG</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Midwest Energy Consumers Group</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MPSC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Public Service Commission of the State of Missouri</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MW</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Megawatt</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MWh</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Megawatt hour</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NAAQS</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National Ambient Air Quality Standards</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NAV</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Net asset value</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OCI</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Other comprehensive income</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OPC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Office of the Public Counsel</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Prairie Wind</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Prairie Wind Transmission, LLC, 50% owned by Evergy Kansas Central</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RSU</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Restricted share unit</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RTO</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Regional transmission organization</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SEC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Securities and Exchange Commission</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SIP</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State implementation plan</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SPP</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Southwest Power Pool, Inc.</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TDC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Transmission delivery charge</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Term Loan Facility</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Term Loan Credit Agreement</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TFR</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Transmission formula rate</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Transource</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w w:val="92"/>
              </w:rPr>
              <w:t>Transource Energy, LLC and its subsidiaries, 13.5% owned by Evergy Transmission Company</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VIE</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Variable interest entity</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Wolf Creek</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Wolf Creek Generating Station</w:t>
            </w:r>
          </w:p>
        </w:tc>
      </w:tr>
      <w:tr>
        <w:trPr>
          <w:trHeight w:val="846"/>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60" w:type="dxa"/>
            <w:vAlign w:val="bottom"/>
          </w:tcPr>
          <w:p>
            <w:pPr>
              <w:ind w:left="2720"/>
              <w:spacing w:after="0"/>
              <w:rPr>
                <w:sz w:val="20"/>
                <w:szCs w:val="20"/>
                <w:color w:val="auto"/>
              </w:rPr>
            </w:pPr>
            <w:r>
              <w:rPr>
                <w:rFonts w:ascii="Arial" w:cs="Arial" w:eastAsia="Arial" w:hAnsi="Arial"/>
                <w:sz w:val="18"/>
                <w:szCs w:val="18"/>
                <w:color w:val="auto"/>
              </w:rPr>
              <w:t>7</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7" w:name="page8"/>
    <w:bookmarkEnd w:id="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w w:val="97"/>
              </w:rPr>
              <w:t>June 30</w:t>
            </w:r>
          </w:p>
        </w:tc>
        <w:tc>
          <w:tcPr>
            <w:tcW w:w="142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3"/>
        </w:trPr>
        <w:tc>
          <w:tcPr>
            <w:tcW w:w="8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tcPr>
          <w:p>
            <w:pPr>
              <w:spacing w:after="0"/>
              <w:rPr>
                <w:sz w:val="18"/>
                <w:szCs w:val="18"/>
                <w:color w:val="auto"/>
              </w:rPr>
            </w:pPr>
          </w:p>
        </w:tc>
        <w:tc>
          <w:tcPr>
            <w:tcW w:w="2480" w:type="dxa"/>
            <w:vAlign w:val="bottom"/>
            <w:gridSpan w:val="3"/>
          </w:tcPr>
          <w:p>
            <w:pPr>
              <w:jc w:val="right"/>
              <w:ind w:right="399"/>
              <w:spacing w:after="0"/>
              <w:rPr>
                <w:sz w:val="20"/>
                <w:szCs w:val="20"/>
                <w:color w:val="auto"/>
              </w:rPr>
            </w:pPr>
            <w:r>
              <w:rPr>
                <w:rFonts w:ascii="Arial" w:cs="Arial" w:eastAsia="Arial" w:hAnsi="Arial"/>
                <w:sz w:val="14"/>
                <w:szCs w:val="14"/>
                <w:color w:val="auto"/>
                <w:w w:val="98"/>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22.4</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26.2</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Receivables, net of allowance for credit losses of $27.1 and $32.9, respectively</w:t>
            </w:r>
          </w:p>
        </w:tc>
        <w:tc>
          <w:tcPr>
            <w:tcW w:w="36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384.4</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221.6</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pledged as collateral</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347.0</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319.0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Fuel inventory and supplies</w:t>
            </w:r>
          </w:p>
        </w:tc>
        <w:tc>
          <w:tcPr>
            <w:tcW w:w="36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636.5</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566.7</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receivable</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2.1</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28.0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assets</w:t>
            </w:r>
          </w:p>
        </w:tc>
        <w:tc>
          <w:tcPr>
            <w:tcW w:w="36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411.5</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424.1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52.3</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49.3</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65.9</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75.4</w:t>
            </w: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1,922.1</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1,710.3</w:t>
            </w:r>
          </w:p>
        </w:tc>
      </w:tr>
      <w:tr>
        <w:trPr>
          <w:trHeight w:val="207"/>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21,468.6</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21,002.6</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OF VARIABLE INTEREST ENTITIES, NET</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144.3</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147.8</w:t>
            </w: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assets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2,056.8</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1,991.1</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Nuclear decommissioning trust fund</w:t>
            </w:r>
          </w:p>
        </w:tc>
        <w:tc>
          <w:tcPr>
            <w:tcW w:w="36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687.6</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768.7</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2,336.6</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2,336.6</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572.8</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563.4</w:t>
            </w: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 Assets</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5,653.8</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5,659.8</w:t>
            </w:r>
          </w:p>
        </w:tc>
      </w:tr>
      <w:tr>
        <w:trPr>
          <w:trHeight w:val="216"/>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29,188.8</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28,520.5</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w w:val="97"/>
              </w:rPr>
              <w:t>June 30</w:t>
            </w:r>
          </w:p>
        </w:tc>
        <w:tc>
          <w:tcPr>
            <w:tcW w:w="1380" w:type="dxa"/>
            <w:vAlign w:val="bottom"/>
            <w:gridSpan w:val="2"/>
          </w:tcPr>
          <w:p>
            <w:pPr>
              <w:jc w:val="right"/>
              <w:ind w:right="13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3"/>
          </w:tcPr>
          <w:p>
            <w:pPr>
              <w:jc w:val="right"/>
              <w:ind w:right="359"/>
              <w:spacing w:after="0"/>
              <w:rPr>
                <w:sz w:val="20"/>
                <w:szCs w:val="20"/>
                <w:color w:val="auto"/>
              </w:rPr>
            </w:pPr>
            <w:r>
              <w:rPr>
                <w:rFonts w:ascii="Arial" w:cs="Arial" w:eastAsia="Arial" w:hAnsi="Arial"/>
                <w:sz w:val="14"/>
                <w:szCs w:val="14"/>
                <w:color w:val="auto"/>
                <w:w w:val="98"/>
              </w:rPr>
              <w:t>(millions, except share amounts)</w:t>
            </w:r>
          </w:p>
        </w:tc>
        <w:tc>
          <w:tcPr>
            <w:tcW w:w="0" w:type="dxa"/>
            <w:vAlign w:val="bottom"/>
          </w:tcPr>
          <w:p>
            <w:pPr>
              <w:spacing w:after="0"/>
              <w:rPr>
                <w:sz w:val="1"/>
                <w:szCs w:val="1"/>
                <w:color w:val="auto"/>
              </w:rPr>
            </w:pP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349.5</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389.3</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Notes payable and commercial paper</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2,028.5</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1,159.3</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Collateralized note payable</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347.0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319.0</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474.3</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639.7</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taxes</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212.2</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150.4</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92.2</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73.8</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18.5</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73.9</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189.8</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184.6</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3,859.7</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3,102.9</w:t>
            </w:r>
          </w:p>
        </w:tc>
        <w:tc>
          <w:tcPr>
            <w:tcW w:w="0" w:type="dxa"/>
            <w:vAlign w:val="bottom"/>
          </w:tcPr>
          <w:p>
            <w:pPr>
              <w:spacing w:after="0"/>
              <w:rPr>
                <w:sz w:val="1"/>
                <w:szCs w:val="1"/>
                <w:color w:val="auto"/>
              </w:rPr>
            </w:pP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9,196.7</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9,297.9</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1,913.5</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1,861.9</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Unamortized investment tax credits</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180.5</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181.4</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2,578.0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2,705.0</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and post-retirement liability</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886.3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879.1</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959.8</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940.6</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303.5</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310.0</w:t>
            </w:r>
          </w:p>
        </w:tc>
        <w:tc>
          <w:tcPr>
            <w:tcW w:w="0" w:type="dxa"/>
            <w:vAlign w:val="bottom"/>
          </w:tcPr>
          <w:p>
            <w:pPr>
              <w:spacing w:after="0"/>
              <w:rPr>
                <w:sz w:val="1"/>
                <w:szCs w:val="1"/>
                <w:color w:val="auto"/>
              </w:rPr>
            </w:pPr>
          </w:p>
        </w:tc>
      </w:tr>
      <w:tr>
        <w:trPr>
          <w:trHeight w:val="207"/>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Long-Term Liabilities</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16,018.3</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16,175.9</w:t>
            </w:r>
          </w:p>
        </w:tc>
        <w:tc>
          <w:tcPr>
            <w:tcW w:w="0" w:type="dxa"/>
            <w:vAlign w:val="bottom"/>
          </w:tcPr>
          <w:p>
            <w:pPr>
              <w:spacing w:after="0"/>
              <w:rPr>
                <w:sz w:val="1"/>
                <w:szCs w:val="1"/>
                <w:color w:val="auto"/>
              </w:rPr>
            </w:pPr>
          </w:p>
        </w:tc>
      </w:tr>
      <w:tr>
        <w:trPr>
          <w:trHeight w:val="19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EQUITY: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Evergy, Inc. Shareholders' Equity:</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400" w:type="dxa"/>
            <w:vAlign w:val="bottom"/>
          </w:tcPr>
          <w:p>
            <w:pPr>
              <w:ind w:left="360"/>
              <w:spacing w:after="0" w:line="166" w:lineRule="exact"/>
              <w:rPr>
                <w:sz w:val="20"/>
                <w:szCs w:val="20"/>
                <w:color w:val="auto"/>
              </w:rPr>
            </w:pPr>
            <w:r>
              <w:rPr>
                <w:rFonts w:ascii="Arial" w:cs="Arial" w:eastAsia="Arial" w:hAnsi="Arial"/>
                <w:sz w:val="16"/>
                <w:szCs w:val="16"/>
                <w:color w:val="auto"/>
              </w:rPr>
              <w:t>Common stock - 600,000,000 shares authorized, without par value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7,212.5</w:t>
            </w:r>
          </w:p>
        </w:tc>
        <w:tc>
          <w:tcPr>
            <w:tcW w:w="440" w:type="dxa"/>
            <w:vAlign w:val="bottom"/>
          </w:tcPr>
          <w:p>
            <w:pPr>
              <w:spacing w:after="0"/>
              <w:rPr>
                <w:sz w:val="14"/>
                <w:szCs w:val="14"/>
                <w:color w:val="auto"/>
              </w:rPr>
            </w:pPr>
          </w:p>
        </w:tc>
        <w:tc>
          <w:tcPr>
            <w:tcW w:w="940" w:type="dxa"/>
            <w:vAlign w:val="bottom"/>
            <w:vMerge w:val="restart"/>
          </w:tcPr>
          <w:p>
            <w:pPr>
              <w:jc w:val="right"/>
              <w:ind w:right="159"/>
              <w:spacing w:after="0"/>
              <w:rPr>
                <w:sz w:val="20"/>
                <w:szCs w:val="20"/>
                <w:color w:val="auto"/>
              </w:rPr>
            </w:pPr>
            <w:r>
              <w:rPr>
                <w:rFonts w:ascii="Arial" w:cs="Arial" w:eastAsia="Arial" w:hAnsi="Arial"/>
                <w:sz w:val="16"/>
                <w:szCs w:val="16"/>
                <w:color w:val="auto"/>
              </w:rPr>
              <w:t>7,205.5</w:t>
            </w:r>
          </w:p>
        </w:tc>
        <w:tc>
          <w:tcPr>
            <w:tcW w:w="0" w:type="dxa"/>
            <w:vAlign w:val="bottom"/>
          </w:tcPr>
          <w:p>
            <w:pPr>
              <w:spacing w:after="0"/>
              <w:rPr>
                <w:sz w:val="1"/>
                <w:szCs w:val="1"/>
                <w:color w:val="auto"/>
              </w:rPr>
            </w:pPr>
          </w:p>
        </w:tc>
      </w:tr>
      <w:tr>
        <w:trPr>
          <w:trHeight w:val="209"/>
        </w:trPr>
        <w:tc>
          <w:tcPr>
            <w:tcW w:w="8400" w:type="dxa"/>
            <w:vAlign w:val="bottom"/>
          </w:tcPr>
          <w:p>
            <w:pPr>
              <w:ind w:left="360"/>
              <w:spacing w:after="0"/>
              <w:rPr>
                <w:sz w:val="20"/>
                <w:szCs w:val="20"/>
                <w:color w:val="auto"/>
              </w:rPr>
            </w:pPr>
            <w:r>
              <w:rPr>
                <w:rFonts w:ascii="Arial" w:cs="Arial" w:eastAsia="Arial" w:hAnsi="Arial"/>
                <w:sz w:val="16"/>
                <w:szCs w:val="16"/>
                <w:color w:val="auto"/>
              </w:rPr>
              <w:t>229,515,301 and 229,299,900 shares issued, stated value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2,136.0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2,082.9</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(41.2)</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Evergy, Inc. Shareholders' Equity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9,307.3</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9,244.4</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3.5</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9,310.8</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9,241.7</w:t>
            </w:r>
          </w:p>
        </w:tc>
        <w:tc>
          <w:tcPr>
            <w:tcW w:w="0" w:type="dxa"/>
            <w:vAlign w:val="bottom"/>
          </w:tcPr>
          <w:p>
            <w:pPr>
              <w:spacing w:after="0"/>
              <w:rPr>
                <w:sz w:val="1"/>
                <w:szCs w:val="1"/>
                <w:color w:val="auto"/>
              </w:rPr>
            </w:pPr>
          </w:p>
        </w:tc>
      </w:tr>
      <w:tr>
        <w:trPr>
          <w:trHeight w:val="216"/>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29,188.8</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28,520.5</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80" w:type="dxa"/>
            <w:vAlign w:val="bottom"/>
          </w:tcPr>
          <w:p>
            <w:pPr>
              <w:jc w:val="center"/>
              <w:ind w:left="4799"/>
              <w:spacing w:after="0"/>
              <w:rPr>
                <w:sz w:val="20"/>
                <w:szCs w:val="20"/>
                <w:color w:val="auto"/>
              </w:rPr>
            </w:pPr>
            <w:r>
              <w:rPr>
                <w:rFonts w:ascii="Arial" w:cs="Arial" w:eastAsia="Arial" w:hAnsi="Arial"/>
                <w:sz w:val="16"/>
                <w:szCs w:val="16"/>
                <w:b w:val="1"/>
                <w:bCs w:val="1"/>
                <w:color w:val="auto"/>
              </w:rPr>
              <w:t>EVERGY, INC.</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680" w:type="dxa"/>
            <w:vAlign w:val="bottom"/>
            <w:gridSpan w:val="3"/>
          </w:tcPr>
          <w:p>
            <w:pPr>
              <w:jc w:val="center"/>
              <w:ind w:left="3479"/>
              <w:spacing w:after="0"/>
              <w:rPr>
                <w:sz w:val="20"/>
                <w:szCs w:val="20"/>
                <w:color w:val="auto"/>
              </w:rPr>
            </w:pPr>
            <w:r>
              <w:rPr>
                <w:rFonts w:ascii="Arial" w:cs="Arial" w:eastAsia="Arial" w:hAnsi="Arial"/>
                <w:sz w:val="16"/>
                <w:szCs w:val="16"/>
                <w:b w:val="1"/>
                <w:bCs w:val="1"/>
                <w:color w:val="auto"/>
                <w:w w:val="89"/>
              </w:rPr>
              <w:t>Consolidated Statements of Comprehensive Income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380" w:type="dxa"/>
            <w:vAlign w:val="bottom"/>
          </w:tcPr>
          <w:p>
            <w:pPr>
              <w:jc w:val="center"/>
              <w:ind w:left="4799"/>
              <w:spacing w:after="0"/>
              <w:rPr>
                <w:sz w:val="20"/>
                <w:szCs w:val="20"/>
                <w:color w:val="auto"/>
              </w:rPr>
            </w:pPr>
            <w:r>
              <w:rPr>
                <w:rFonts w:ascii="Arial" w:cs="Arial" w:eastAsia="Arial" w:hAnsi="Arial"/>
                <w:sz w:val="16"/>
                <w:szCs w:val="16"/>
                <w:color w:val="auto"/>
                <w:w w:val="93"/>
              </w:rPr>
              <w:t>(Unaudited)</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68"/>
        </w:trPr>
        <w:tc>
          <w:tcPr>
            <w:tcW w:w="6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gridSpan w:val="3"/>
          </w:tcPr>
          <w:p>
            <w:pPr>
              <w:jc w:val="right"/>
              <w:ind w:right="399"/>
              <w:spacing w:after="0" w:line="168" w:lineRule="exact"/>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4"/>
                <w:szCs w:val="14"/>
                <w:color w:val="auto"/>
              </w:rPr>
            </w:pPr>
          </w:p>
        </w:tc>
        <w:tc>
          <w:tcPr>
            <w:tcW w:w="1320" w:type="dxa"/>
            <w:vAlign w:val="bottom"/>
            <w:gridSpan w:val="2"/>
          </w:tcPr>
          <w:p>
            <w:pPr>
              <w:jc w:val="right"/>
              <w:spacing w:after="0" w:line="168" w:lineRule="exact"/>
              <w:rPr>
                <w:sz w:val="20"/>
                <w:szCs w:val="20"/>
                <w:color w:val="auto"/>
              </w:rPr>
            </w:pPr>
            <w:r>
              <w:rPr>
                <w:rFonts w:ascii="Arial" w:cs="Arial" w:eastAsia="Arial" w:hAnsi="Arial"/>
                <w:sz w:val="16"/>
                <w:szCs w:val="16"/>
                <w:b w:val="1"/>
                <w:bCs w:val="1"/>
                <w:color w:val="auto"/>
              </w:rPr>
              <w:t>Year to Date</w:t>
            </w:r>
          </w:p>
        </w:tc>
        <w:tc>
          <w:tcPr>
            <w:tcW w:w="700" w:type="dxa"/>
            <w:vAlign w:val="bottom"/>
          </w:tcPr>
          <w:p>
            <w:pPr>
              <w:spacing w:after="0"/>
              <w:rPr>
                <w:sz w:val="14"/>
                <w:szCs w:val="14"/>
                <w:color w:val="auto"/>
              </w:rPr>
            </w:pPr>
          </w:p>
        </w:tc>
      </w:tr>
      <w:tr>
        <w:trPr>
          <w:trHeight w:val="210"/>
        </w:trPr>
        <w:tc>
          <w:tcPr>
            <w:tcW w:w="6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8"/>
                <w:szCs w:val="18"/>
                <w:color w:val="auto"/>
              </w:rPr>
            </w:pPr>
          </w:p>
        </w:tc>
      </w:tr>
      <w:tr>
        <w:trPr>
          <w:trHeight w:val="229"/>
        </w:trPr>
        <w:tc>
          <w:tcPr>
            <w:tcW w:w="63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2021</w:t>
            </w:r>
          </w:p>
        </w:tc>
      </w:tr>
      <w:tr>
        <w:trPr>
          <w:trHeight w:val="186"/>
        </w:trPr>
        <w:tc>
          <w:tcPr>
            <w:tcW w:w="6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20" w:type="dxa"/>
            <w:vAlign w:val="bottom"/>
            <w:gridSpan w:val="4"/>
          </w:tcPr>
          <w:p>
            <w:pPr>
              <w:jc w:val="right"/>
              <w:ind w:right="79"/>
              <w:spacing w:after="0"/>
              <w:rPr>
                <w:sz w:val="20"/>
                <w:szCs w:val="20"/>
                <w:color w:val="auto"/>
              </w:rPr>
            </w:pPr>
            <w:r>
              <w:rPr>
                <w:rFonts w:ascii="Arial" w:cs="Arial" w:eastAsia="Arial" w:hAnsi="Arial"/>
                <w:sz w:val="14"/>
                <w:szCs w:val="14"/>
                <w:color w:val="auto"/>
                <w:w w:val="99"/>
              </w:rPr>
              <w:t>(millions, except per share amounts)</w:t>
            </w: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1,446.5</w:t>
            </w:r>
          </w:p>
        </w:tc>
        <w:tc>
          <w:tcPr>
            <w:tcW w:w="3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1,236.2</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2,670.4</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2,848.1</w:t>
            </w:r>
          </w:p>
        </w:tc>
      </w:tr>
      <w:tr>
        <w:trPr>
          <w:trHeight w:val="193"/>
        </w:trPr>
        <w:tc>
          <w:tcPr>
            <w:tcW w:w="63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414.3</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284.1</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723.3</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919.2</w:t>
            </w: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SPP network transmission costs</w:t>
            </w:r>
          </w:p>
        </w:tc>
        <w:tc>
          <w:tcPr>
            <w:tcW w:w="4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81.5</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73.8</w:t>
            </w:r>
          </w:p>
        </w:tc>
        <w:tc>
          <w:tcPr>
            <w:tcW w:w="3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160.2</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143.2</w:t>
            </w: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and maintenance</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282.8</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259.9</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535.0</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535.4</w:t>
            </w: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232.1</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225.2</w:t>
            </w:r>
          </w:p>
        </w:tc>
        <w:tc>
          <w:tcPr>
            <w:tcW w:w="3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461.1</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444.5</w:t>
            </w: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100.3</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97.9</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192.8</w:t>
            </w:r>
          </w:p>
        </w:tc>
      </w:tr>
      <w:tr>
        <w:trPr>
          <w:trHeight w:val="207"/>
        </w:trPr>
        <w:tc>
          <w:tcPr>
            <w:tcW w:w="63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1,111.0</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940.9</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2,081.8</w:t>
            </w: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2,235.1</w:t>
            </w:r>
          </w:p>
        </w:tc>
      </w:tr>
      <w:tr>
        <w:trPr>
          <w:trHeight w:val="212"/>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335.5</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295.3</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588.6</w:t>
            </w:r>
          </w:p>
        </w:tc>
        <w:tc>
          <w:tcPr>
            <w:tcW w:w="4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613.0</w:t>
            </w:r>
          </w:p>
        </w:tc>
      </w:tr>
      <w:tr>
        <w:trPr>
          <w:trHeight w:val="193"/>
        </w:trPr>
        <w:tc>
          <w:tcPr>
            <w:tcW w:w="638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earnings (loss)</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(0.9)</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(10.5)</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4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5.9</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14.7</w:t>
            </w:r>
          </w:p>
        </w:tc>
        <w:tc>
          <w:tcPr>
            <w:tcW w:w="3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14.1</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(22.9)</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(47.8)</w:t>
            </w:r>
          </w:p>
        </w:tc>
        <w:tc>
          <w:tcPr>
            <w:tcW w:w="4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07"/>
        </w:trPr>
        <w:tc>
          <w:tcPr>
            <w:tcW w:w="63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Income (Expense), Net</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(17.9)</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(44.2)</w:t>
            </w: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12"/>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99.3</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93.8</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191.1</w:t>
            </w:r>
          </w:p>
        </w:tc>
        <w:tc>
          <w:tcPr>
            <w:tcW w:w="4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187.8</w:t>
            </w:r>
          </w:p>
        </w:tc>
      </w:tr>
      <w:tr>
        <w:trPr>
          <w:trHeight w:val="207"/>
        </w:trPr>
        <w:tc>
          <w:tcPr>
            <w:tcW w:w="63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218.3</w:t>
            </w:r>
          </w:p>
        </w:tc>
        <w:tc>
          <w:tcPr>
            <w:tcW w:w="36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205.8</w:t>
            </w:r>
          </w:p>
        </w:tc>
        <w:tc>
          <w:tcPr>
            <w:tcW w:w="3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353.3</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421.4</w:t>
            </w:r>
          </w:p>
        </w:tc>
      </w:tr>
      <w:tr>
        <w:trPr>
          <w:trHeight w:val="219"/>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22.1</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19.6</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33.6</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13"/>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3.5</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12"/>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197.6</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188.3</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323.2</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382.9</w:t>
            </w:r>
          </w:p>
        </w:tc>
      </w:tr>
      <w:tr>
        <w:trPr>
          <w:trHeight w:val="213"/>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3.1</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6.2</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r>
      <w:tr>
        <w:trPr>
          <w:trHeight w:val="219"/>
        </w:trPr>
        <w:tc>
          <w:tcPr>
            <w:tcW w:w="6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EVERGY, INC.</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194.5</w:t>
            </w:r>
          </w:p>
        </w:tc>
        <w:tc>
          <w:tcPr>
            <w:tcW w:w="3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185.3</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317.0</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376.9</w:t>
            </w:r>
          </w:p>
        </w:tc>
      </w:tr>
      <w:tr>
        <w:trPr>
          <w:trHeight w:val="166"/>
        </w:trPr>
        <w:tc>
          <w:tcPr>
            <w:tcW w:w="6380" w:type="dxa"/>
            <w:vAlign w:val="bottom"/>
          </w:tcPr>
          <w:p>
            <w:pPr>
              <w:ind w:left="20"/>
              <w:spacing w:after="0" w:line="166" w:lineRule="exact"/>
              <w:rPr>
                <w:sz w:val="20"/>
                <w:szCs w:val="20"/>
                <w:color w:val="auto"/>
              </w:rPr>
            </w:pPr>
            <w:r>
              <w:rPr>
                <w:rFonts w:ascii="Arial" w:cs="Arial" w:eastAsia="Arial" w:hAnsi="Arial"/>
                <w:sz w:val="16"/>
                <w:szCs w:val="16"/>
                <w:color w:val="auto"/>
              </w:rPr>
              <w:t>BASIC AND DILUTED EARNINGS PER AVERAGE COMMON SHARE OUTSTANDING</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9"/>
        </w:trPr>
        <w:tc>
          <w:tcPr>
            <w:tcW w:w="6380" w:type="dxa"/>
            <w:vAlign w:val="bottom"/>
          </w:tcPr>
          <w:p>
            <w:pPr>
              <w:ind w:left="180"/>
              <w:spacing w:after="0"/>
              <w:rPr>
                <w:sz w:val="20"/>
                <w:szCs w:val="20"/>
                <w:color w:val="auto"/>
              </w:rPr>
            </w:pPr>
            <w:r>
              <w:rPr>
                <w:rFonts w:ascii="Arial" w:cs="Arial" w:eastAsia="Arial" w:hAnsi="Arial"/>
                <w:sz w:val="16"/>
                <w:szCs w:val="16"/>
                <w:color w:val="auto"/>
              </w:rPr>
              <w:t>ATTRIBUTABLE TO EVERGY, INC. (see Note 1)</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 earnings per common share</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0.85</w:t>
            </w:r>
          </w:p>
        </w:tc>
        <w:tc>
          <w:tcPr>
            <w:tcW w:w="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0.81</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1.38</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Diluted earnings per common share</w:t>
            </w:r>
          </w:p>
        </w:tc>
        <w:tc>
          <w:tcPr>
            <w:tcW w:w="4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0.84</w:t>
            </w:r>
          </w:p>
        </w:tc>
        <w:tc>
          <w:tcPr>
            <w:tcW w:w="3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0.81</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1.38</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19"/>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COMMON SHARES OUTSTANDING</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Basic</w:t>
            </w:r>
          </w:p>
        </w:tc>
        <w:tc>
          <w:tcPr>
            <w:tcW w:w="4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229.9</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229.3</w:t>
            </w:r>
          </w:p>
        </w:tc>
        <w:tc>
          <w:tcPr>
            <w:tcW w:w="3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229.8</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228.3</w:t>
            </w:r>
          </w:p>
        </w:tc>
      </w:tr>
      <w:tr>
        <w:trPr>
          <w:trHeight w:val="226"/>
        </w:trPr>
        <w:tc>
          <w:tcPr>
            <w:tcW w:w="6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230.4</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229.7</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230.4</w:t>
            </w:r>
          </w:p>
        </w:tc>
        <w:tc>
          <w:tcPr>
            <w:tcW w:w="4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228.7</w:t>
            </w: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197.6</w:t>
            </w:r>
          </w:p>
        </w:tc>
        <w:tc>
          <w:tcPr>
            <w:tcW w:w="3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188.3</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323.2</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382.9</w:t>
            </w: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Derivative hedging activity</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Reclassification to expenses, net of tax</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2.7</w:t>
            </w:r>
          </w:p>
        </w:tc>
        <w:tc>
          <w:tcPr>
            <w:tcW w:w="4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7"/>
        </w:trPr>
        <w:tc>
          <w:tcPr>
            <w:tcW w:w="63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Derivative hedging activity, net of tax</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2.7</w:t>
            </w: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19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Defined benefit pension plans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Amortization of net losses included in net periodic benefit costs, net of tax</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0.1</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0.1</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3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Change in unrecognized pension expense, net of tax</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0.1</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0.1</w:t>
            </w:r>
          </w:p>
        </w:tc>
        <w:tc>
          <w:tcPr>
            <w:tcW w:w="4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comprehensive income</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2.8</w:t>
            </w: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12"/>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199.0</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189.7</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326.0</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385.7</w:t>
            </w:r>
          </w:p>
        </w:tc>
      </w:tr>
      <w:tr>
        <w:trPr>
          <w:trHeight w:val="213"/>
        </w:trPr>
        <w:tc>
          <w:tcPr>
            <w:tcW w:w="6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3.1</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6.2</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r>
      <w:tr>
        <w:trPr>
          <w:trHeight w:val="219"/>
        </w:trPr>
        <w:tc>
          <w:tcPr>
            <w:tcW w:w="6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EVERGY, INC.</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195.9</w:t>
            </w:r>
          </w:p>
        </w:tc>
        <w:tc>
          <w:tcPr>
            <w:tcW w:w="3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186.7</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319.8</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379.7</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to Date June 30</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60" w:type="dxa"/>
            <w:vAlign w:val="bottom"/>
          </w:tcPr>
          <w:p>
            <w:pPr>
              <w:spacing w:after="0"/>
              <w:rPr>
                <w:sz w:val="18"/>
                <w:szCs w:val="18"/>
                <w:color w:val="auto"/>
              </w:rPr>
            </w:pPr>
          </w:p>
        </w:tc>
        <w:tc>
          <w:tcPr>
            <w:tcW w:w="1380" w:type="dxa"/>
            <w:vAlign w:val="bottom"/>
            <w:gridSpan w:val="2"/>
          </w:tcPr>
          <w:p>
            <w:pPr>
              <w:jc w:val="right"/>
              <w:ind w:right="19"/>
              <w:spacing w:after="0"/>
              <w:rPr>
                <w:sz w:val="20"/>
                <w:szCs w:val="20"/>
                <w:color w:val="auto"/>
              </w:rPr>
            </w:pPr>
            <w:r>
              <w:rPr>
                <w:rFonts w:ascii="Arial" w:cs="Arial" w:eastAsia="Arial" w:hAnsi="Arial"/>
                <w:sz w:val="14"/>
                <w:szCs w:val="14"/>
                <w:color w:val="auto"/>
              </w:rPr>
              <w:t>(millions)</w:t>
            </w:r>
          </w:p>
        </w:tc>
        <w:tc>
          <w:tcPr>
            <w:tcW w:w="880" w:type="dxa"/>
            <w:vAlign w:val="bottom"/>
          </w:tcPr>
          <w:p>
            <w:pPr>
              <w:spacing w:after="0"/>
              <w:rPr>
                <w:sz w:val="18"/>
                <w:szCs w:val="18"/>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323.2</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382.9</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461.1</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444.5</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31.8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12.5</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Amortization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11.7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11.0</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6.9</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37.1</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Income from corporate-owned life insurance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(0.9)</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0.6</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Changes in working capital items: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(131.9)</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(28.0)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34.0</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 inventory and supplies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(69.5)</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(27.8)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(88.0)</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(75.9)</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(232.3)</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87.7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62.4</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(61.6)</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Changes in other assets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35.1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(322.1)</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23.1</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r>
      <w:tr>
        <w:trPr>
          <w:trHeight w:val="207"/>
        </w:trPr>
        <w:tc>
          <w:tcPr>
            <w:tcW w:w="87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588.9</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224.6</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(1,116.4)</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(891.1)</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securities - trusts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(19.4)</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Sale of securities - trusts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19.4</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44.9</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Proceeds from investment in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2.9</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0.1</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07"/>
        </w:trPr>
        <w:tc>
          <w:tcPr>
            <w:tcW w:w="87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used in Investing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(1,128.9)</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(918.2)</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Short-term debt, net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369.1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598.0</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term loan facility</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500.0</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Collateralized short-term borrowings, net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28.0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(34.0)</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Proceeds from long-term debt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246.9</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497.7</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Retirements of long-term debt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(387.5)</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(351.1)</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Retirements of long-term debt of variable interest entities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against cash surrender value of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51.1</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Repayment of borrowings against cash surrender value of corporate-owned life insurance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(262.7)</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w:t>
            </w:r>
          </w:p>
        </w:tc>
      </w:tr>
      <w:tr>
        <w:trPr>
          <w:trHeight w:val="213"/>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r>
      <w:tr>
        <w:trPr>
          <w:trHeight w:val="209"/>
        </w:trPr>
        <w:tc>
          <w:tcPr>
            <w:tcW w:w="87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536.2</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607.1</w:t>
            </w:r>
          </w:p>
        </w:tc>
      </w:tr>
      <w:tr>
        <w:trPr>
          <w:trHeight w:val="210"/>
        </w:trPr>
        <w:tc>
          <w:tcPr>
            <w:tcW w:w="872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(86.5)</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Beginning of period</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26.2</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144.9</w:t>
            </w:r>
          </w:p>
        </w:tc>
      </w:tr>
      <w:tr>
        <w:trPr>
          <w:trHeight w:val="219"/>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22.4</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5100" w:type="dxa"/>
            <w:vAlign w:val="bottom"/>
          </w:tcPr>
          <w:p>
            <w:pPr>
              <w:spacing w:after="0"/>
              <w:rPr>
                <w:sz w:val="19"/>
                <w:szCs w:val="19"/>
                <w:color w:val="auto"/>
              </w:rPr>
            </w:pPr>
          </w:p>
        </w:tc>
        <w:tc>
          <w:tcPr>
            <w:tcW w:w="3220" w:type="dxa"/>
            <w:vAlign w:val="bottom"/>
            <w:tcBorders>
              <w:bottom w:val="single" w:sz="8" w:color="auto"/>
            </w:tcBorders>
            <w:gridSpan w:val="5"/>
          </w:tcPr>
          <w:p>
            <w:pPr>
              <w:jc w:val="right"/>
              <w:ind w:right="219"/>
              <w:spacing w:after="0"/>
              <w:rPr>
                <w:sz w:val="20"/>
                <w:szCs w:val="20"/>
                <w:color w:val="auto"/>
              </w:rPr>
            </w:pPr>
            <w:r>
              <w:rPr>
                <w:rFonts w:ascii="Arial" w:cs="Arial" w:eastAsia="Arial" w:hAnsi="Arial"/>
                <w:sz w:val="16"/>
                <w:szCs w:val="16"/>
                <w:b w:val="1"/>
                <w:bCs w:val="1"/>
                <w:color w:val="auto"/>
              </w:rPr>
              <w:t>Evergy, Inc. Shareholders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Common stock</w:t>
            </w:r>
          </w:p>
        </w:tc>
        <w:tc>
          <w:tcPr>
            <w:tcW w:w="160" w:type="dxa"/>
            <w:vAlign w:val="bottom"/>
          </w:tcPr>
          <w:p>
            <w:pPr>
              <w:spacing w:after="0"/>
              <w:rPr>
                <w:sz w:val="12"/>
                <w:szCs w:val="12"/>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8"/>
              </w:rPr>
              <w:t>Common</w:t>
            </w:r>
          </w:p>
        </w:tc>
        <w:tc>
          <w:tcPr>
            <w:tcW w:w="120" w:type="dxa"/>
            <w:vAlign w:val="bottom"/>
          </w:tcPr>
          <w:p>
            <w:pPr>
              <w:spacing w:after="0"/>
              <w:rPr>
                <w:sz w:val="12"/>
                <w:szCs w:val="12"/>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4"/>
              </w:rPr>
              <w:t>Retained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9"/>
              <w:spacing w:after="0" w:line="148" w:lineRule="exact"/>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AOCI</w:t>
            </w:r>
          </w:p>
        </w:tc>
        <w:tc>
          <w:tcPr>
            <w:tcW w:w="120" w:type="dxa"/>
            <w:vAlign w:val="bottom"/>
          </w:tcPr>
          <w:p>
            <w:pPr>
              <w:spacing w:after="0"/>
              <w:rPr>
                <w:sz w:val="14"/>
                <w:szCs w:val="14"/>
                <w:color w:val="auto"/>
              </w:rPr>
            </w:pPr>
          </w:p>
        </w:tc>
        <w:tc>
          <w:tcPr>
            <w:tcW w:w="9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controlling</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Total equity</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earnings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interests</w:t>
            </w:r>
          </w:p>
        </w:tc>
        <w:tc>
          <w:tcPr>
            <w:tcW w:w="9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Arial" w:cs="Arial" w:eastAsia="Arial" w:hAnsi="Arial"/>
                <w:sz w:val="16"/>
                <w:szCs w:val="16"/>
                <w:color w:val="auto"/>
              </w:rPr>
              <w:t>(millions, except share amounts)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226,836,670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7,080.0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8,718.5</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191.6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194.6</w:t>
            </w:r>
          </w:p>
        </w:tc>
        <w:tc>
          <w:tcPr>
            <w:tcW w:w="0" w:type="dxa"/>
            <w:vAlign w:val="bottom"/>
          </w:tcPr>
          <w:p>
            <w:pPr>
              <w:spacing w:after="0"/>
              <w:rPr>
                <w:sz w:val="1"/>
                <w:szCs w:val="1"/>
                <w:color w:val="auto"/>
              </w:rPr>
            </w:pPr>
          </w:p>
        </w:tc>
      </w:tr>
      <w:tr>
        <w:trPr>
          <w:trHeight w:val="169"/>
        </w:trPr>
        <w:tc>
          <w:tcPr>
            <w:tcW w:w="51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104,896</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w:t>
            </w:r>
          </w:p>
        </w:tc>
        <w:tc>
          <w:tcPr>
            <w:tcW w:w="1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Issuance of restricted common stock</w:t>
            </w:r>
          </w:p>
        </w:tc>
        <w:tc>
          <w:tcPr>
            <w:tcW w:w="1240" w:type="dxa"/>
            <w:vAlign w:val="bottom"/>
          </w:tcPr>
          <w:p>
            <w:pPr>
              <w:jc w:val="right"/>
              <w:spacing w:after="0"/>
              <w:rPr>
                <w:sz w:val="20"/>
                <w:szCs w:val="20"/>
                <w:color w:val="auto"/>
              </w:rPr>
            </w:pPr>
            <w:r>
              <w:rPr>
                <w:rFonts w:ascii="Arial" w:cs="Arial" w:eastAsia="Arial" w:hAnsi="Arial"/>
                <w:sz w:val="16"/>
                <w:szCs w:val="16"/>
                <w:color w:val="auto"/>
              </w:rPr>
              <w:t>54,054</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 ($0.535 per share)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Dividend equivalents declared</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compensation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Unearned compensation</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restricted common stock</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5100" w:type="dxa"/>
            <w:vAlign w:val="bottom"/>
          </w:tcPr>
          <w:p>
            <w:pPr>
              <w:ind w:left="120"/>
              <w:spacing w:after="0"/>
              <w:rPr>
                <w:sz w:val="20"/>
                <w:szCs w:val="20"/>
                <w:color w:val="auto"/>
              </w:rPr>
            </w:pPr>
            <w:r>
              <w:rPr>
                <w:rFonts w:ascii="Arial" w:cs="Arial" w:eastAsia="Arial" w:hAnsi="Arial"/>
                <w:sz w:val="16"/>
                <w:szCs w:val="16"/>
                <w:color w:val="auto"/>
              </w:rPr>
              <w:t>Compensation expense recognized</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2"/>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226,995,620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7,081.5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8,794.4</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185.3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188.3</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stock, net of issuance costs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2,269,447</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166"/>
        </w:trPr>
        <w:tc>
          <w:tcPr>
            <w:tcW w:w="5100" w:type="dxa"/>
            <w:vAlign w:val="bottom"/>
          </w:tcPr>
          <w:p>
            <w:pPr>
              <w:ind w:left="20"/>
              <w:spacing w:after="0" w:line="166"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31,147</w:t>
            </w: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9"/>
        </w:trPr>
        <w:tc>
          <w:tcPr>
            <w:tcW w:w="5100" w:type="dxa"/>
            <w:vAlign w:val="bottom"/>
          </w:tcPr>
          <w:p>
            <w:pPr>
              <w:ind w:left="180"/>
              <w:spacing w:after="0"/>
              <w:rPr>
                <w:sz w:val="20"/>
                <w:szCs w:val="20"/>
                <w:color w:val="auto"/>
              </w:rPr>
            </w:pPr>
            <w:r>
              <w:rPr>
                <w:rFonts w:ascii="Arial" w:cs="Arial" w:eastAsia="Arial" w:hAnsi="Arial"/>
                <w:sz w:val="16"/>
                <w:szCs w:val="16"/>
                <w:color w:val="auto"/>
              </w:rPr>
              <w:t>withholding</w:t>
            </w:r>
          </w:p>
        </w:tc>
        <w:tc>
          <w:tcPr>
            <w:tcW w:w="1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 ($0.535 per share)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Dividend equivalents declared</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compensation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Unearned compensation</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expense recognized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229,296,214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7,197.6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1,835.0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5080" w:type="dxa"/>
            <w:vAlign w:val="bottom"/>
          </w:tcPr>
          <w:p>
            <w:pPr>
              <w:spacing w:after="0"/>
              <w:rPr>
                <w:sz w:val="19"/>
                <w:szCs w:val="19"/>
                <w:color w:val="auto"/>
              </w:rPr>
            </w:pPr>
          </w:p>
        </w:tc>
        <w:tc>
          <w:tcPr>
            <w:tcW w:w="3200" w:type="dxa"/>
            <w:vAlign w:val="bottom"/>
            <w:tcBorders>
              <w:bottom w:val="single" w:sz="8" w:color="auto"/>
            </w:tcBorders>
            <w:gridSpan w:val="5"/>
          </w:tcPr>
          <w:p>
            <w:pPr>
              <w:jc w:val="right"/>
              <w:ind w:right="219"/>
              <w:spacing w:after="0"/>
              <w:rPr>
                <w:sz w:val="20"/>
                <w:szCs w:val="20"/>
                <w:color w:val="auto"/>
              </w:rPr>
            </w:pPr>
            <w:r>
              <w:rPr>
                <w:rFonts w:ascii="Arial" w:cs="Arial" w:eastAsia="Arial" w:hAnsi="Arial"/>
                <w:sz w:val="16"/>
                <w:szCs w:val="16"/>
                <w:b w:val="1"/>
                <w:bCs w:val="1"/>
                <w:color w:val="auto"/>
              </w:rPr>
              <w:t>Evergy, Inc. Shareholders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6"/>
              </w:rPr>
              <w:t>Common stock</w:t>
            </w:r>
          </w:p>
        </w:tc>
        <w:tc>
          <w:tcPr>
            <w:tcW w:w="160" w:type="dxa"/>
            <w:vAlign w:val="bottom"/>
          </w:tcPr>
          <w:p>
            <w:pPr>
              <w:spacing w:after="0"/>
              <w:rPr>
                <w:sz w:val="12"/>
                <w:szCs w:val="12"/>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8"/>
              </w:rPr>
              <w:t>Common</w:t>
            </w:r>
          </w:p>
        </w:tc>
        <w:tc>
          <w:tcPr>
            <w:tcW w:w="120" w:type="dxa"/>
            <w:vAlign w:val="bottom"/>
          </w:tcPr>
          <w:p>
            <w:pPr>
              <w:spacing w:after="0"/>
              <w:rPr>
                <w:sz w:val="12"/>
                <w:szCs w:val="12"/>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4"/>
              </w:rPr>
              <w:t>Retained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9"/>
              <w:spacing w:after="0" w:line="148" w:lineRule="exact"/>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AOCI</w:t>
            </w:r>
          </w:p>
        </w:tc>
        <w:tc>
          <w:tcPr>
            <w:tcW w:w="120" w:type="dxa"/>
            <w:vAlign w:val="bottom"/>
          </w:tcPr>
          <w:p>
            <w:pPr>
              <w:spacing w:after="0"/>
              <w:rPr>
                <w:sz w:val="14"/>
                <w:szCs w:val="14"/>
                <w:color w:val="auto"/>
              </w:rPr>
            </w:pPr>
          </w:p>
        </w:tc>
        <w:tc>
          <w:tcPr>
            <w:tcW w:w="9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controlling</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Total equity</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earnings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interests</w:t>
            </w:r>
          </w:p>
        </w:tc>
        <w:tc>
          <w:tcPr>
            <w:tcW w:w="9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Arial" w:cs="Arial" w:eastAsia="Arial" w:hAnsi="Arial"/>
                <w:sz w:val="16"/>
                <w:szCs w:val="16"/>
                <w:color w:val="auto"/>
              </w:rPr>
              <w:t>(millions, except share amounts)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229,299,900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7,205.5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9,241.7</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122.5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125.6</w:t>
            </w:r>
          </w:p>
        </w:tc>
        <w:tc>
          <w:tcPr>
            <w:tcW w:w="0" w:type="dxa"/>
            <w:vAlign w:val="bottom"/>
          </w:tcPr>
          <w:p>
            <w:pPr>
              <w:spacing w:after="0"/>
              <w:rPr>
                <w:sz w:val="1"/>
                <w:szCs w:val="1"/>
                <w:color w:val="auto"/>
              </w:rPr>
            </w:pPr>
          </w:p>
        </w:tc>
      </w:tr>
      <w:tr>
        <w:trPr>
          <w:trHeight w:val="169"/>
        </w:trPr>
        <w:tc>
          <w:tcPr>
            <w:tcW w:w="50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176,658</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w:t>
            </w:r>
          </w:p>
        </w:tc>
        <w:tc>
          <w:tcPr>
            <w:tcW w:w="1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Dividends declared on common stock ($0.5725 per share)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(131.3)</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equivalents declared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compensation</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120"/>
              <w:spacing w:after="0"/>
              <w:rPr>
                <w:sz w:val="20"/>
                <w:szCs w:val="20"/>
                <w:color w:val="auto"/>
              </w:rPr>
            </w:pPr>
            <w:r>
              <w:rPr>
                <w:rFonts w:ascii="Arial" w:cs="Arial" w:eastAsia="Arial" w:hAnsi="Arial"/>
                <w:sz w:val="16"/>
                <w:szCs w:val="16"/>
                <w:color w:val="auto"/>
              </w:rPr>
              <w:t>Compensation expense recognized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229,476,558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7,206.4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9,237.5</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194.5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169"/>
        </w:trPr>
        <w:tc>
          <w:tcPr>
            <w:tcW w:w="50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38,743</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w:t>
            </w:r>
          </w:p>
        </w:tc>
        <w:tc>
          <w:tcPr>
            <w:tcW w:w="1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Dividends declared on common stock ($0.5725 per share)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(131.4)</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equivalents declared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compensation</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120"/>
              <w:spacing w:after="0"/>
              <w:rPr>
                <w:sz w:val="20"/>
                <w:szCs w:val="20"/>
                <w:color w:val="auto"/>
              </w:rPr>
            </w:pPr>
            <w:r>
              <w:rPr>
                <w:rFonts w:ascii="Arial" w:cs="Arial" w:eastAsia="Arial" w:hAnsi="Arial"/>
                <w:sz w:val="16"/>
                <w:szCs w:val="16"/>
                <w:color w:val="auto"/>
              </w:rPr>
              <w:t>Compensation expense recognized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Change in unrecognized pension expense, net of tax</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229,515,301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7,212.5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2,136.0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9,310.8</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3" w:name="page14"/>
    <w:bookmarkEnd w:id="1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June 30</w:t>
            </w: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December 31</w:t>
            </w:r>
          </w:p>
        </w:tc>
      </w:tr>
      <w:tr>
        <w:trPr>
          <w:trHeight w:val="223"/>
        </w:trPr>
        <w:tc>
          <w:tcPr>
            <w:tcW w:w="8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r>
      <w:tr>
        <w:trPr>
          <w:trHeight w:val="210"/>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Pr>
          <w:p>
            <w:pPr>
              <w:spacing w:after="0"/>
              <w:rPr>
                <w:sz w:val="18"/>
                <w:szCs w:val="18"/>
                <w:color w:val="auto"/>
              </w:rPr>
            </w:pPr>
          </w:p>
        </w:tc>
        <w:tc>
          <w:tcPr>
            <w:tcW w:w="2480" w:type="dxa"/>
            <w:vAlign w:val="bottom"/>
            <w:gridSpan w:val="3"/>
          </w:tcPr>
          <w:p>
            <w:pPr>
              <w:jc w:val="right"/>
              <w:ind w:right="399"/>
              <w:spacing w:after="0"/>
              <w:rPr>
                <w:sz w:val="20"/>
                <w:szCs w:val="20"/>
                <w:color w:val="auto"/>
              </w:rPr>
            </w:pPr>
            <w:r>
              <w:rPr>
                <w:rFonts w:ascii="Arial" w:cs="Arial" w:eastAsia="Arial" w:hAnsi="Arial"/>
                <w:sz w:val="14"/>
                <w:szCs w:val="14"/>
                <w:color w:val="auto"/>
                <w:w w:val="98"/>
              </w:rPr>
              <w:t>(millions, except share amounts)</w:t>
            </w:r>
          </w:p>
        </w:tc>
      </w:tr>
      <w:tr>
        <w:trPr>
          <w:trHeight w:val="219"/>
        </w:trPr>
        <w:tc>
          <w:tcPr>
            <w:tcW w:w="84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9.1</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Receivables, net of allowance for credit losses of $10.7 and $13.0, respectively</w:t>
            </w:r>
          </w:p>
        </w:tc>
        <w:tc>
          <w:tcPr>
            <w:tcW w:w="34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290.8</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201.6</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receivables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21.2</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Accounts receivable pledged as collateral</w:t>
            </w:r>
          </w:p>
        </w:tc>
        <w:tc>
          <w:tcPr>
            <w:tcW w:w="34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168.0</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153.0</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inventory and supplies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333.7</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283.2</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Income taxes receivable</w:t>
            </w:r>
          </w:p>
        </w:tc>
        <w:tc>
          <w:tcPr>
            <w:tcW w:w="34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9.6</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212.0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257.3</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34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24.0</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19.4</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39.8</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21.6</w:t>
            </w:r>
          </w:p>
        </w:tc>
      </w:tr>
      <w:tr>
        <w:trPr>
          <w:trHeight w:val="207"/>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Assets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1,085.9</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970.0</w:t>
            </w:r>
          </w:p>
        </w:tc>
      </w:tr>
      <w:tr>
        <w:trPr>
          <w:trHeight w:val="212"/>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10,726.8</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10,548.9</w:t>
            </w:r>
          </w:p>
        </w:tc>
      </w:tr>
      <w:tr>
        <w:trPr>
          <w:trHeight w:val="207"/>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PLANT AND EQUIPMENT OF VARIABLE INTEREST ENTITIES, NET</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144.3</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147.8</w:t>
            </w:r>
          </w:p>
        </w:tc>
      </w:tr>
      <w:tr>
        <w:trPr>
          <w:trHeight w:val="212"/>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Regulatory assets</w:t>
            </w:r>
          </w:p>
        </w:tc>
        <w:tc>
          <w:tcPr>
            <w:tcW w:w="34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765.2</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753.6</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Nuclear decommissioning trust fund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334.5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368.4</w:t>
            </w:r>
          </w:p>
        </w:tc>
      </w:tr>
      <w:tr>
        <w:trPr>
          <w:trHeight w:val="213"/>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282.5</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286.9</w:t>
            </w:r>
          </w:p>
        </w:tc>
      </w:tr>
      <w:tr>
        <w:trPr>
          <w:trHeight w:val="212"/>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 Assets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1,382.2</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1,408.9</w:t>
            </w:r>
          </w:p>
        </w:tc>
      </w:tr>
      <w:tr>
        <w:trPr>
          <w:trHeight w:val="216"/>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13,339.2</w:t>
            </w: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13,075.6</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w w:val="97"/>
              </w:rPr>
              <w:t>June 30</w:t>
            </w:r>
          </w:p>
        </w:tc>
        <w:tc>
          <w:tcPr>
            <w:tcW w:w="140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3"/>
        </w:trPr>
        <w:tc>
          <w:tcPr>
            <w:tcW w:w="8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40" w:type="dxa"/>
            <w:vAlign w:val="bottom"/>
          </w:tcPr>
          <w:p>
            <w:pPr>
              <w:spacing w:after="0"/>
              <w:rPr>
                <w:sz w:val="18"/>
                <w:szCs w:val="18"/>
                <w:color w:val="auto"/>
              </w:rPr>
            </w:pPr>
          </w:p>
        </w:tc>
        <w:tc>
          <w:tcPr>
            <w:tcW w:w="2440" w:type="dxa"/>
            <w:vAlign w:val="bottom"/>
            <w:gridSpan w:val="3"/>
          </w:tcPr>
          <w:p>
            <w:pPr>
              <w:jc w:val="right"/>
              <w:ind w:right="379"/>
              <w:spacing w:after="0"/>
              <w:rPr>
                <w:sz w:val="20"/>
                <w:szCs w:val="20"/>
                <w:color w:val="auto"/>
              </w:rPr>
            </w:pPr>
            <w:r>
              <w:rPr>
                <w:rFonts w:ascii="Arial" w:cs="Arial" w:eastAsia="Arial" w:hAnsi="Arial"/>
                <w:sz w:val="14"/>
                <w:szCs w:val="14"/>
                <w:color w:val="auto"/>
                <w:w w:val="97"/>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50.0</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Notes payable and commercial paper</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728.5</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406.0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Collateralized note payable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168.0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153.0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234.7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232.2</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payables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28.4</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27.5</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taxes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130.8</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106.1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44.9</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71.5</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13.9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12.8</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7.3</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7.3</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compensation and benefits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40.1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13.8</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130.9</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126.3</w:t>
            </w:r>
          </w:p>
        </w:tc>
      </w:tr>
      <w:tr>
        <w:trPr>
          <w:trHeight w:val="207"/>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1,577.5</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1,156.5</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3,885.6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3,934.2</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855.0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867.9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Unamortized investment tax credits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62.1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61.7</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1,417.1</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1,469.4</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Pension and post-retirement liability</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431.1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435.6</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447.3</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436.6</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181.3</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172.2</w:t>
            </w:r>
          </w:p>
        </w:tc>
      </w:tr>
      <w:tr>
        <w:trPr>
          <w:trHeight w:val="212"/>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Long-Term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7,279.5</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7,377.6</w:t>
            </w:r>
          </w:p>
        </w:tc>
      </w:tr>
      <w:tr>
        <w:trPr>
          <w:trHeight w:val="193"/>
        </w:trPr>
        <w:tc>
          <w:tcPr>
            <w:tcW w:w="840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Evergy Kansas Central, Inc. Shareholder's Equity:</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stock - 1,000 shares authorized, $0.01 par value, 1 share issued</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2,737.6</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2,737.6</w:t>
            </w:r>
          </w:p>
        </w:tc>
      </w:tr>
      <w:tr>
        <w:trPr>
          <w:trHeight w:val="213"/>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Retained earnings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1,741.1</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1,806.6</w:t>
            </w:r>
          </w:p>
        </w:tc>
      </w:tr>
      <w:tr>
        <w:trPr>
          <w:trHeight w:val="212"/>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Evergy Kansas Central, Inc. Shareholder's Equity</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4,478.7</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4,544.2</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3.5</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w:t>
            </w:r>
          </w:p>
        </w:tc>
      </w:tr>
      <w:tr>
        <w:trPr>
          <w:trHeight w:val="212"/>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Equity</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4,482.2</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4,541.5</w:t>
            </w:r>
          </w:p>
        </w:tc>
      </w:tr>
      <w:tr>
        <w:trPr>
          <w:trHeight w:val="216"/>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13,339.2</w:t>
            </w: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13,075.6</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gridSpan w:val="4"/>
          </w:tcPr>
          <w:p>
            <w:pPr>
              <w:jc w:val="center"/>
              <w:ind w:left="3959"/>
              <w:spacing w:after="0"/>
              <w:rPr>
                <w:sz w:val="20"/>
                <w:szCs w:val="20"/>
                <w:color w:val="auto"/>
              </w:rPr>
            </w:pPr>
            <w:r>
              <w:rPr>
                <w:rFonts w:ascii="Arial" w:cs="Arial" w:eastAsia="Arial" w:hAnsi="Arial"/>
                <w:sz w:val="16"/>
                <w:szCs w:val="16"/>
                <w:b w:val="1"/>
                <w:bCs w:val="1"/>
                <w:color w:val="auto"/>
              </w:rPr>
              <w:t>EVERGY KANSAS CENTRAL, INC.</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7200" w:type="dxa"/>
            <w:vAlign w:val="bottom"/>
            <w:gridSpan w:val="4"/>
          </w:tcPr>
          <w:p>
            <w:pPr>
              <w:jc w:val="center"/>
              <w:ind w:left="3959"/>
              <w:spacing w:after="0"/>
              <w:rPr>
                <w:sz w:val="20"/>
                <w:szCs w:val="20"/>
                <w:color w:val="auto"/>
              </w:rPr>
            </w:pPr>
            <w:r>
              <w:rPr>
                <w:rFonts w:ascii="Arial" w:cs="Arial" w:eastAsia="Arial" w:hAnsi="Arial"/>
                <w:sz w:val="16"/>
                <w:szCs w:val="16"/>
                <w:b w:val="1"/>
                <w:bCs w:val="1"/>
                <w:color w:val="auto"/>
                <w:w w:val="89"/>
              </w:rPr>
              <w:t>Consolidated Statements of Income</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16"/>
                <w:szCs w:val="16"/>
                <w:color w:val="auto"/>
              </w:rPr>
              <w:t>(Unaudited)</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68"/>
        </w:trPr>
        <w:tc>
          <w:tcPr>
            <w:tcW w:w="5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gridSpan w:val="3"/>
          </w:tcPr>
          <w:p>
            <w:pPr>
              <w:jc w:val="right"/>
              <w:ind w:right="539"/>
              <w:spacing w:after="0" w:line="168" w:lineRule="exact"/>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Arial" w:cs="Arial" w:eastAsia="Arial" w:hAnsi="Arial"/>
                <w:sz w:val="16"/>
                <w:szCs w:val="16"/>
                <w:b w:val="1"/>
                <w:bCs w:val="1"/>
                <w:color w:val="auto"/>
              </w:rPr>
              <w:t>Year to Date</w:t>
            </w:r>
          </w:p>
        </w:tc>
        <w:tc>
          <w:tcPr>
            <w:tcW w:w="820" w:type="dxa"/>
            <w:vAlign w:val="bottom"/>
          </w:tcPr>
          <w:p>
            <w:pPr>
              <w:spacing w:after="0"/>
              <w:rPr>
                <w:sz w:val="14"/>
                <w:szCs w:val="14"/>
                <w:color w:val="auto"/>
              </w:rPr>
            </w:pPr>
          </w:p>
        </w:tc>
      </w:tr>
      <w:tr>
        <w:trPr>
          <w:trHeight w:val="210"/>
        </w:trPr>
        <w:tc>
          <w:tcPr>
            <w:tcW w:w="5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r>
      <w:tr>
        <w:trPr>
          <w:trHeight w:val="229"/>
        </w:trPr>
        <w:tc>
          <w:tcPr>
            <w:tcW w:w="5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r>
      <w:tr>
        <w:trPr>
          <w:trHeight w:val="186"/>
        </w:trPr>
        <w:tc>
          <w:tcPr>
            <w:tcW w:w="5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gridSpan w:val="2"/>
          </w:tcPr>
          <w:p>
            <w:pPr>
              <w:jc w:val="right"/>
              <w:ind w:right="39"/>
              <w:spacing w:after="0"/>
              <w:rPr>
                <w:sz w:val="20"/>
                <w:szCs w:val="20"/>
                <w:color w:val="auto"/>
              </w:rPr>
            </w:pPr>
            <w:r>
              <w:rPr>
                <w:rFonts w:ascii="Arial" w:cs="Arial" w:eastAsia="Arial" w:hAnsi="Arial"/>
                <w:sz w:val="14"/>
                <w:szCs w:val="14"/>
                <w:color w:val="auto"/>
              </w:rPr>
              <w:t>(millions)</w:t>
            </w: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0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724.0</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598.5</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1,337.9</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1,499.6</w:t>
            </w:r>
          </w:p>
        </w:tc>
      </w:tr>
      <w:tr>
        <w:trPr>
          <w:trHeight w:val="193"/>
        </w:trPr>
        <w:tc>
          <w:tcPr>
            <w:tcW w:w="51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5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179.0</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105.7</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287.1</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w:t>
            </w: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SPP network transmission costs</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81.5</w:t>
            </w:r>
          </w:p>
        </w:tc>
        <w:tc>
          <w:tcPr>
            <w:tcW w:w="40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73.8</w:t>
            </w:r>
          </w:p>
        </w:tc>
        <w:tc>
          <w:tcPr>
            <w:tcW w:w="4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160.2</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143.2</w:t>
            </w: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and maintenance</w:t>
            </w: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141.5</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130.2</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267.2</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w:t>
            </w: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120.6</w:t>
            </w:r>
          </w:p>
        </w:tc>
        <w:tc>
          <w:tcPr>
            <w:tcW w:w="40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116.3</w:t>
            </w:r>
          </w:p>
        </w:tc>
        <w:tc>
          <w:tcPr>
            <w:tcW w:w="4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240.3</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231.8</w:t>
            </w: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w:t>
            </w:r>
          </w:p>
        </w:tc>
        <w:tc>
          <w:tcPr>
            <w:tcW w:w="5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53.9</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52.0</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108.4</w:t>
            </w: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w:t>
            </w:r>
          </w:p>
        </w:tc>
      </w:tr>
      <w:tr>
        <w:trPr>
          <w:trHeight w:val="207"/>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Expenses</w:t>
            </w:r>
          </w:p>
        </w:tc>
        <w:tc>
          <w:tcPr>
            <w:tcW w:w="5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576.5</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478.0</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1,063.2</w:t>
            </w: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1,138.8</w:t>
            </w: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5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147.5</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120.5</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274.7</w:t>
            </w: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360.8</w:t>
            </w:r>
          </w:p>
        </w:tc>
      </w:tr>
      <w:tr>
        <w:trPr>
          <w:trHeight w:val="193"/>
        </w:trPr>
        <w:tc>
          <w:tcPr>
            <w:tcW w:w="516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earnings (loss)</w:t>
            </w: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2.7</w:t>
            </w:r>
          </w:p>
        </w:tc>
        <w:tc>
          <w:tcPr>
            <w:tcW w:w="40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11.1</w:t>
            </w:r>
          </w:p>
        </w:tc>
        <w:tc>
          <w:tcPr>
            <w:tcW w:w="4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5.8</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5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(9.1)</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(19.3)</w:t>
            </w: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07"/>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Income (Expense), Net</w:t>
            </w:r>
          </w:p>
        </w:tc>
        <w:tc>
          <w:tcPr>
            <w:tcW w:w="5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(8.8)</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(17.4)</w:t>
            </w: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5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44.7</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39.8</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85.6</w:t>
            </w: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w:t>
            </w: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94.0</w:t>
            </w:r>
          </w:p>
        </w:tc>
        <w:tc>
          <w:tcPr>
            <w:tcW w:w="40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85.1</w:t>
            </w:r>
          </w:p>
        </w:tc>
        <w:tc>
          <w:tcPr>
            <w:tcW w:w="4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171.7</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281.9</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4.4</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6.5</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8.0</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1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5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w:t>
            </w: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90.6</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79.6</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165.7</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260.7</w:t>
            </w:r>
          </w:p>
        </w:tc>
      </w:tr>
      <w:tr>
        <w:trPr>
          <w:trHeight w:val="21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5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3.1</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6.2</w:t>
            </w: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r>
      <w:tr>
        <w:trPr>
          <w:trHeight w:val="219"/>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EVERGY KANSAS CENTRAL, INC.</w:t>
            </w:r>
          </w:p>
        </w:tc>
        <w:tc>
          <w:tcPr>
            <w:tcW w:w="5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87.5</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76.6</w:t>
            </w:r>
          </w:p>
        </w:tc>
        <w:tc>
          <w:tcPr>
            <w:tcW w:w="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159.5</w:t>
            </w:r>
          </w:p>
        </w:tc>
        <w:tc>
          <w:tcPr>
            <w:tcW w:w="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254.7</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to Date June 30</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60" w:type="dxa"/>
            <w:vAlign w:val="bottom"/>
          </w:tcPr>
          <w:p>
            <w:pPr>
              <w:spacing w:after="0"/>
              <w:rPr>
                <w:sz w:val="18"/>
                <w:szCs w:val="18"/>
                <w:color w:val="auto"/>
              </w:rPr>
            </w:pPr>
          </w:p>
        </w:tc>
        <w:tc>
          <w:tcPr>
            <w:tcW w:w="1360" w:type="dxa"/>
            <w:vAlign w:val="bottom"/>
            <w:gridSpan w:val="2"/>
          </w:tcPr>
          <w:p>
            <w:pPr>
              <w:jc w:val="right"/>
              <w:ind w:right="19"/>
              <w:spacing w:after="0"/>
              <w:rPr>
                <w:sz w:val="20"/>
                <w:szCs w:val="20"/>
                <w:color w:val="auto"/>
              </w:rPr>
            </w:pPr>
            <w:r>
              <w:rPr>
                <w:rFonts w:ascii="Arial" w:cs="Arial" w:eastAsia="Arial" w:hAnsi="Arial"/>
                <w:sz w:val="14"/>
                <w:szCs w:val="14"/>
                <w:color w:val="auto"/>
              </w:rPr>
              <w:t>(millions)</w:t>
            </w: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165.7</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260.7</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240.3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231.8</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15.9</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Amortization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11.7</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(27.9)</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from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(0.9)</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working capital items: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(56.1)</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(58.6)</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Fuel inventory and supplies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(50.2)</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30.5</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(90.6)</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taxes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34.3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(44.1)</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10.4</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r>
      <w:tr>
        <w:trPr>
          <w:trHeight w:val="213"/>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Changes in other liabilities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15.5</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r>
      <w:tr>
        <w:trPr>
          <w:trHeight w:val="210"/>
        </w:trPr>
        <w:tc>
          <w:tcPr>
            <w:tcW w:w="87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314.7</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w:t>
            </w:r>
          </w:p>
        </w:tc>
      </w:tr>
      <w:tr>
        <w:trPr>
          <w:trHeight w:val="209"/>
        </w:trPr>
        <w:tc>
          <w:tcPr>
            <w:tcW w:w="8760" w:type="dxa"/>
            <w:vAlign w:val="bottom"/>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(456.3)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(394.7)</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Purchase of securities - trusts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securities - trusts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9.5</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Investment in corporate-owned life insurance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(15.5)</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investment in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2.9</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87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(467.3)</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(408.8)</w:t>
            </w:r>
          </w:p>
        </w:tc>
      </w:tr>
      <w:tr>
        <w:trPr>
          <w:trHeight w:val="209"/>
        </w:trPr>
        <w:tc>
          <w:tcPr>
            <w:tcW w:w="8760" w:type="dxa"/>
            <w:vAlign w:val="bottom"/>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debt,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322.5</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Collateralized short-term debt, net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15.0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Retirements of long-term debt of variable interest entities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Borrowings against cash surrender value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49.2</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48.9</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borrowings against cash surrender value of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Cash dividends paid</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(225.0)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7"/>
        </w:trPr>
        <w:tc>
          <w:tcPr>
            <w:tcW w:w="87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158.6</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248.0</w:t>
            </w:r>
          </w:p>
        </w:tc>
      </w:tr>
      <w:tr>
        <w:trPr>
          <w:trHeight w:val="212"/>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217"/>
        </w:trPr>
        <w:tc>
          <w:tcPr>
            <w:tcW w:w="87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80" w:type="dxa"/>
            <w:vAlign w:val="bottom"/>
          </w:tcPr>
          <w:p>
            <w:pPr>
              <w:spacing w:after="0"/>
              <w:rPr>
                <w:sz w:val="19"/>
                <w:szCs w:val="19"/>
                <w:color w:val="auto"/>
              </w:rPr>
            </w:pPr>
          </w:p>
        </w:tc>
        <w:tc>
          <w:tcPr>
            <w:tcW w:w="3300" w:type="dxa"/>
            <w:vAlign w:val="bottom"/>
            <w:tcBorders>
              <w:bottom w:val="single" w:sz="8" w:color="auto"/>
            </w:tcBorders>
            <w:gridSpan w:val="5"/>
          </w:tcPr>
          <w:p>
            <w:pPr>
              <w:jc w:val="right"/>
              <w:ind w:right="139"/>
              <w:spacing w:after="0"/>
              <w:rPr>
                <w:sz w:val="20"/>
                <w:szCs w:val="20"/>
                <w:color w:val="auto"/>
              </w:rPr>
            </w:pPr>
            <w:r>
              <w:rPr>
                <w:rFonts w:ascii="Arial" w:cs="Arial" w:eastAsia="Arial" w:hAnsi="Arial"/>
                <w:sz w:val="16"/>
                <w:szCs w:val="16"/>
                <w:b w:val="1"/>
                <w:bCs w:val="1"/>
                <w:color w:val="auto"/>
                <w:w w:val="99"/>
              </w:rPr>
              <w:t>Evergy Kansas Central, Inc. Shareholder</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Common stock</w:t>
            </w:r>
          </w:p>
        </w:tc>
        <w:tc>
          <w:tcPr>
            <w:tcW w:w="180" w:type="dxa"/>
            <w:vAlign w:val="bottom"/>
          </w:tcPr>
          <w:p>
            <w:pPr>
              <w:spacing w:after="0"/>
              <w:rPr>
                <w:sz w:val="12"/>
                <w:szCs w:val="12"/>
                <w:color w:val="auto"/>
              </w:rPr>
            </w:pPr>
          </w:p>
        </w:tc>
        <w:tc>
          <w:tcPr>
            <w:tcW w:w="8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95"/>
              </w:rPr>
              <w:t>Common</w:t>
            </w:r>
          </w:p>
        </w:tc>
        <w:tc>
          <w:tcPr>
            <w:tcW w:w="160" w:type="dxa"/>
            <w:vAlign w:val="bottom"/>
          </w:tcPr>
          <w:p>
            <w:pPr>
              <w:spacing w:after="0"/>
              <w:rPr>
                <w:sz w:val="12"/>
                <w:szCs w:val="12"/>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7"/>
              </w:rPr>
              <w:t>Retained</w:t>
            </w:r>
          </w:p>
        </w:tc>
        <w:tc>
          <w:tcPr>
            <w:tcW w:w="120" w:type="dxa"/>
            <w:vAlign w:val="bottom"/>
          </w:tcPr>
          <w:p>
            <w:pPr>
              <w:spacing w:after="0"/>
              <w:rPr>
                <w:sz w:val="12"/>
                <w:szCs w:val="12"/>
                <w:color w:val="auto"/>
              </w:rPr>
            </w:pPr>
          </w:p>
        </w:tc>
        <w:tc>
          <w:tcPr>
            <w:tcW w:w="940" w:type="dxa"/>
            <w:vAlign w:val="bottom"/>
          </w:tcPr>
          <w:p>
            <w:pPr>
              <w:jc w:val="center"/>
              <w:ind w:right="39"/>
              <w:spacing w:after="0" w:line="148" w:lineRule="exact"/>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controlling</w:t>
            </w: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Total equity</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stock</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earnings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interests</w:t>
            </w:r>
          </w:p>
        </w:tc>
        <w:tc>
          <w:tcPr>
            <w:tcW w:w="9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5"/>
          </w:tcPr>
          <w:p>
            <w:pPr>
              <w:jc w:val="right"/>
              <w:ind w:right="679"/>
              <w:spacing w:after="0"/>
              <w:rPr>
                <w:sz w:val="20"/>
                <w:szCs w:val="20"/>
                <w:color w:val="auto"/>
              </w:rPr>
            </w:pPr>
            <w:r>
              <w:rPr>
                <w:rFonts w:ascii="Arial" w:cs="Arial" w:eastAsia="Arial" w:hAnsi="Arial"/>
                <w:sz w:val="14"/>
                <w:szCs w:val="14"/>
                <w:color w:val="auto"/>
              </w:rPr>
              <w:t>(millions, except share amounts)</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4,280.8</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w:t>
            </w: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4,461.9</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0" w:type="dxa"/>
            <w:vAlign w:val="bottom"/>
          </w:tcPr>
          <w:p>
            <w:pPr>
              <w:spacing w:after="0"/>
              <w:rPr>
                <w:sz w:val="1"/>
                <w:szCs w:val="1"/>
                <w:color w:val="auto"/>
              </w:rPr>
            </w:pPr>
          </w:p>
        </w:tc>
      </w:tr>
      <w:tr>
        <w:trPr>
          <w:trHeight w:val="206"/>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1,812.8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4,541.5</w:t>
            </w:r>
          </w:p>
        </w:tc>
        <w:tc>
          <w:tcPr>
            <w:tcW w:w="0" w:type="dxa"/>
            <w:vAlign w:val="bottom"/>
          </w:tcPr>
          <w:p>
            <w:pPr>
              <w:spacing w:after="0"/>
              <w:rPr>
                <w:sz w:val="1"/>
                <w:szCs w:val="1"/>
                <w:color w:val="auto"/>
              </w:rPr>
            </w:pPr>
          </w:p>
        </w:tc>
      </w:tr>
      <w:tr>
        <w:trPr>
          <w:trHeight w:val="256"/>
        </w:trPr>
        <w:tc>
          <w:tcPr>
            <w:tcW w:w="58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4,541.5</w:t>
            </w: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7"/>
        </w:trPr>
        <w:tc>
          <w:tcPr>
            <w:tcW w:w="588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1,853.6</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0.4</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4,591.6</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Dividends declared on common stock</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9"/>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4,482.2</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Unaudited Notes to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8" w:name="page19"/>
    <w:bookmarkEnd w:id="1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w w:val="97"/>
              </w:rPr>
              <w:t>June 30</w:t>
            </w:r>
          </w:p>
        </w:tc>
        <w:tc>
          <w:tcPr>
            <w:tcW w:w="144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3"/>
        </w:trPr>
        <w:tc>
          <w:tcPr>
            <w:tcW w:w="8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r>
      <w:tr>
        <w:trPr>
          <w:trHeight w:val="210"/>
        </w:trPr>
        <w:tc>
          <w:tcPr>
            <w:tcW w:w="8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18"/>
                <w:szCs w:val="18"/>
                <w:color w:val="auto"/>
              </w:rPr>
            </w:pPr>
          </w:p>
        </w:tc>
        <w:tc>
          <w:tcPr>
            <w:tcW w:w="2480" w:type="dxa"/>
            <w:vAlign w:val="bottom"/>
            <w:gridSpan w:val="3"/>
          </w:tcPr>
          <w:p>
            <w:pPr>
              <w:jc w:val="right"/>
              <w:ind w:right="379"/>
              <w:spacing w:after="0"/>
              <w:rPr>
                <w:sz w:val="20"/>
                <w:szCs w:val="20"/>
                <w:color w:val="auto"/>
              </w:rPr>
            </w:pPr>
            <w:r>
              <w:rPr>
                <w:rFonts w:ascii="Arial" w:cs="Arial" w:eastAsia="Arial" w:hAnsi="Arial"/>
                <w:sz w:val="14"/>
                <w:szCs w:val="14"/>
                <w:color w:val="auto"/>
                <w:w w:val="99"/>
              </w:rPr>
              <w:t>(millions, except share amounts)</w:t>
            </w:r>
          </w:p>
        </w:tc>
      </w:tr>
      <w:tr>
        <w:trPr>
          <w:trHeight w:val="219"/>
        </w:trPr>
        <w:tc>
          <w:tcPr>
            <w:tcW w:w="8380" w:type="dxa"/>
            <w:vAlign w:val="bottom"/>
          </w:tcPr>
          <w:p>
            <w:pPr>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4.1</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Receivables, net of allowance for credit losses of $11.1 and $13.3, respectively</w:t>
            </w:r>
          </w:p>
        </w:tc>
        <w:tc>
          <w:tcPr>
            <w:tcW w:w="32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90.9</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31.0</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Related party receivables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122.2</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277.8</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Accounts receivable pledged as collateral</w:t>
            </w:r>
          </w:p>
        </w:tc>
        <w:tc>
          <w:tcPr>
            <w:tcW w:w="32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114.0</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116.0</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Fuel inventory and supplies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223.0</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211.0</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Income taxes receivable</w:t>
            </w:r>
          </w:p>
        </w:tc>
        <w:tc>
          <w:tcPr>
            <w:tcW w:w="32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9.0</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Regulatory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77.2</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86.3</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Prepaid expenses</w:t>
            </w:r>
          </w:p>
        </w:tc>
        <w:tc>
          <w:tcPr>
            <w:tcW w:w="32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21.5</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22.6</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21.5</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19.7</w:t>
            </w:r>
          </w:p>
        </w:tc>
      </w:tr>
      <w:tr>
        <w:trPr>
          <w:trHeight w:val="207"/>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683.4</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766.5</w:t>
            </w:r>
          </w:p>
        </w:tc>
      </w:tr>
      <w:tr>
        <w:trPr>
          <w:trHeight w:val="212"/>
        </w:trPr>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7,606.9</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7,474.9</w:t>
            </w:r>
          </w:p>
        </w:tc>
      </w:tr>
      <w:tr>
        <w:trPr>
          <w:trHeight w:val="206"/>
        </w:trPr>
        <w:tc>
          <w:tcPr>
            <w:tcW w:w="8380" w:type="dxa"/>
            <w:vAlign w:val="bottom"/>
          </w:tcPr>
          <w:p>
            <w:pPr>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Regulatory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437.2</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410.7</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Nuclear decommissioning trust fund</w:t>
            </w:r>
          </w:p>
        </w:tc>
        <w:tc>
          <w:tcPr>
            <w:tcW w:w="32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353.1</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400.3</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104.2</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104.4</w:t>
            </w:r>
          </w:p>
        </w:tc>
      </w:tr>
      <w:tr>
        <w:trPr>
          <w:trHeight w:val="207"/>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Assets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894.5</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915.4</w:t>
            </w:r>
          </w:p>
        </w:tc>
      </w:tr>
      <w:tr>
        <w:trPr>
          <w:trHeight w:val="219"/>
        </w:trPr>
        <w:tc>
          <w:tcPr>
            <w:tcW w:w="8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9,184.8</w:t>
            </w: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9,156.8</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w w:val="97"/>
              </w:rPr>
              <w:t>June 30</w:t>
            </w:r>
          </w:p>
        </w:tc>
        <w:tc>
          <w:tcPr>
            <w:tcW w:w="140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3"/>
        </w:trPr>
        <w:tc>
          <w:tcPr>
            <w:tcW w:w="8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40" w:type="dxa"/>
            <w:vAlign w:val="bottom"/>
          </w:tcPr>
          <w:p>
            <w:pPr>
              <w:spacing w:after="0"/>
              <w:rPr>
                <w:sz w:val="18"/>
                <w:szCs w:val="18"/>
                <w:color w:val="auto"/>
              </w:rPr>
            </w:pPr>
          </w:p>
        </w:tc>
        <w:tc>
          <w:tcPr>
            <w:tcW w:w="2440" w:type="dxa"/>
            <w:vAlign w:val="bottom"/>
            <w:gridSpan w:val="3"/>
          </w:tcPr>
          <w:p>
            <w:pPr>
              <w:jc w:val="right"/>
              <w:ind w:right="379"/>
              <w:spacing w:after="0"/>
              <w:rPr>
                <w:sz w:val="20"/>
                <w:szCs w:val="20"/>
                <w:color w:val="auto"/>
              </w:rPr>
            </w:pPr>
            <w:r>
              <w:rPr>
                <w:rFonts w:ascii="Arial" w:cs="Arial" w:eastAsia="Arial" w:hAnsi="Arial"/>
                <w:sz w:val="14"/>
                <w:szCs w:val="14"/>
                <w:color w:val="auto"/>
                <w:w w:val="97"/>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300.0</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Collateralized note payable</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114.0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116.0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206.2</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305.2</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Related party payables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0.2</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0.1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taxes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69.1</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38.6</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24.9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26.4</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54.0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54.6</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10.3</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 and benefits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33.8</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37.8</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43.3</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48.8</w:t>
            </w:r>
          </w:p>
        </w:tc>
      </w:tr>
      <w:tr>
        <w:trPr>
          <w:trHeight w:val="212"/>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855.8</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638.5</w:t>
            </w:r>
          </w:p>
        </w:tc>
      </w:tr>
      <w:tr>
        <w:trPr>
          <w:trHeight w:val="206"/>
        </w:trPr>
        <w:tc>
          <w:tcPr>
            <w:tcW w:w="840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2,625.8</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2,925.0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646.8</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606.1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Unamortized investment tax credits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115.9</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117.2</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877.8</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954.2</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and post-retirement liability</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430.5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420.9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377.9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370.0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90.2</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103.7</w:t>
            </w:r>
          </w:p>
        </w:tc>
      </w:tr>
      <w:tr>
        <w:trPr>
          <w:trHeight w:val="207"/>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Long-Term Liabilities</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5,164.9</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5,497.1</w:t>
            </w:r>
          </w:p>
        </w:tc>
      </w:tr>
      <w:tr>
        <w:trPr>
          <w:trHeight w:val="19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10)</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EQUITY:</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- 1,000 shares authorized, without par value, 1 share issued, stated value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1,563.1</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1,563.1</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1,596.8</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1,453.8</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4.2</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4.3</w:t>
            </w:r>
          </w:p>
        </w:tc>
      </w:tr>
      <w:tr>
        <w:trPr>
          <w:trHeight w:val="207"/>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Equity</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3,164.1</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3,021.2</w:t>
            </w:r>
          </w:p>
        </w:tc>
      </w:tr>
      <w:tr>
        <w:trPr>
          <w:trHeight w:val="219"/>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9,184.8</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9,156.8</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3840" w:type="dxa"/>
            <w:vAlign w:val="bottom"/>
            <w:gridSpan w:val="3"/>
          </w:tcPr>
          <w:p>
            <w:pPr>
              <w:jc w:val="center"/>
              <w:ind w:left="679"/>
              <w:spacing w:after="0"/>
              <w:rPr>
                <w:sz w:val="20"/>
                <w:szCs w:val="20"/>
                <w:color w:val="auto"/>
              </w:rPr>
            </w:pPr>
            <w:r>
              <w:rPr>
                <w:rFonts w:ascii="Arial" w:cs="Arial" w:eastAsia="Arial" w:hAnsi="Arial"/>
                <w:sz w:val="16"/>
                <w:szCs w:val="16"/>
                <w:b w:val="1"/>
                <w:bCs w:val="1"/>
                <w:color w:val="auto"/>
              </w:rPr>
              <w:t>EVERGY METRO, INC.</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4200" w:type="dxa"/>
            <w:vAlign w:val="bottom"/>
            <w:gridSpan w:val="4"/>
          </w:tcPr>
          <w:p>
            <w:pPr>
              <w:jc w:val="center"/>
              <w:ind w:left="319"/>
              <w:spacing w:after="0"/>
              <w:rPr>
                <w:sz w:val="20"/>
                <w:szCs w:val="20"/>
                <w:color w:val="auto"/>
              </w:rPr>
            </w:pPr>
            <w:r>
              <w:rPr>
                <w:rFonts w:ascii="Arial" w:cs="Arial" w:eastAsia="Arial" w:hAnsi="Arial"/>
                <w:sz w:val="16"/>
                <w:szCs w:val="16"/>
                <w:b w:val="1"/>
                <w:bCs w:val="1"/>
                <w:color w:val="auto"/>
                <w:w w:val="89"/>
              </w:rPr>
              <w:t>Consolidated Statements of Comprehensive Income</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2960" w:type="dxa"/>
            <w:vAlign w:val="bottom"/>
            <w:gridSpan w:val="2"/>
          </w:tcPr>
          <w:p>
            <w:pPr>
              <w:jc w:val="center"/>
              <w:ind w:left="1579"/>
              <w:spacing w:after="0"/>
              <w:rPr>
                <w:sz w:val="20"/>
                <w:szCs w:val="20"/>
                <w:color w:val="auto"/>
              </w:rPr>
            </w:pPr>
            <w:r>
              <w:rPr>
                <w:rFonts w:ascii="Arial" w:cs="Arial" w:eastAsia="Arial" w:hAnsi="Arial"/>
                <w:sz w:val="16"/>
                <w:szCs w:val="16"/>
                <w:color w:val="auto"/>
                <w:w w:val="93"/>
              </w:rPr>
              <w:t>(Unaudited)</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68"/>
        </w:trPr>
        <w:tc>
          <w:tcPr>
            <w:tcW w:w="3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gridSpan w:val="3"/>
          </w:tcPr>
          <w:p>
            <w:pPr>
              <w:jc w:val="right"/>
              <w:ind w:right="339"/>
              <w:spacing w:after="0" w:line="168" w:lineRule="exact"/>
              <w:rPr>
                <w:sz w:val="20"/>
                <w:szCs w:val="20"/>
                <w:color w:val="auto"/>
              </w:rPr>
            </w:pPr>
            <w:r>
              <w:rPr>
                <w:rFonts w:ascii="Arial" w:cs="Arial" w:eastAsia="Arial" w:hAnsi="Arial"/>
                <w:sz w:val="16"/>
                <w:szCs w:val="16"/>
                <w:b w:val="1"/>
                <w:bCs w:val="1"/>
                <w:color w:val="auto"/>
              </w:rPr>
              <w:t>Three Months Ended</w:t>
            </w:r>
          </w:p>
        </w:tc>
        <w:tc>
          <w:tcPr>
            <w:tcW w:w="640" w:type="dxa"/>
            <w:vAlign w:val="bottom"/>
          </w:tcPr>
          <w:p>
            <w:pPr>
              <w:spacing w:after="0"/>
              <w:rPr>
                <w:sz w:val="14"/>
                <w:szCs w:val="14"/>
                <w:color w:val="auto"/>
              </w:rPr>
            </w:pPr>
          </w:p>
        </w:tc>
        <w:tc>
          <w:tcPr>
            <w:tcW w:w="1400" w:type="dxa"/>
            <w:vAlign w:val="bottom"/>
            <w:gridSpan w:val="2"/>
          </w:tcPr>
          <w:p>
            <w:pPr>
              <w:jc w:val="right"/>
              <w:spacing w:after="0" w:line="168" w:lineRule="exact"/>
              <w:rPr>
                <w:sz w:val="20"/>
                <w:szCs w:val="20"/>
                <w:color w:val="auto"/>
              </w:rPr>
            </w:pPr>
            <w:r>
              <w:rPr>
                <w:rFonts w:ascii="Arial" w:cs="Arial" w:eastAsia="Arial" w:hAnsi="Arial"/>
                <w:sz w:val="16"/>
                <w:szCs w:val="16"/>
                <w:b w:val="1"/>
                <w:bCs w:val="1"/>
                <w:color w:val="auto"/>
              </w:rPr>
              <w:t>Year to Date</w:t>
            </w:r>
          </w:p>
        </w:tc>
        <w:tc>
          <w:tcPr>
            <w:tcW w:w="880" w:type="dxa"/>
            <w:vAlign w:val="bottom"/>
          </w:tcPr>
          <w:p>
            <w:pPr>
              <w:spacing w:after="0"/>
              <w:rPr>
                <w:sz w:val="14"/>
                <w:szCs w:val="14"/>
                <w:color w:val="auto"/>
              </w:rPr>
            </w:pPr>
          </w:p>
        </w:tc>
      </w:tr>
      <w:tr>
        <w:trPr>
          <w:trHeight w:val="210"/>
        </w:trPr>
        <w:tc>
          <w:tcPr>
            <w:tcW w:w="3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18"/>
                <w:szCs w:val="18"/>
                <w:color w:val="auto"/>
              </w:rPr>
            </w:pPr>
          </w:p>
        </w:tc>
      </w:tr>
      <w:tr>
        <w:trPr>
          <w:trHeight w:val="229"/>
        </w:trPr>
        <w:tc>
          <w:tcPr>
            <w:tcW w:w="33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w w:val="89"/>
              </w:rPr>
              <w:t>2022</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2021</w:t>
            </w:r>
          </w:p>
        </w:tc>
      </w:tr>
      <w:tr>
        <w:trPr>
          <w:trHeight w:val="186"/>
        </w:trPr>
        <w:tc>
          <w:tcPr>
            <w:tcW w:w="33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(millions)</w:t>
            </w: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9"/>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29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500.1</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438.7</w:t>
            </w:r>
          </w:p>
        </w:tc>
        <w:tc>
          <w:tcPr>
            <w:tcW w:w="640" w:type="dxa"/>
            <w:vAlign w:val="bottom"/>
            <w:shd w:val="clear" w:color="auto" w:fill="CCEEFF"/>
          </w:tcPr>
          <w:p>
            <w:pPr>
              <w:jc w:val="right"/>
              <w:ind w:right="261"/>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922.6</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954.9</w:t>
            </w:r>
          </w:p>
        </w:tc>
      </w:tr>
      <w:tr>
        <w:trPr>
          <w:trHeight w:val="207"/>
        </w:trPr>
        <w:tc>
          <w:tcPr>
            <w:tcW w:w="33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5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19"/>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2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158.9</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114.9</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291.4</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356.1</w:t>
            </w:r>
          </w:p>
        </w:tc>
      </w:tr>
      <w:tr>
        <w:trPr>
          <w:trHeight w:val="213"/>
        </w:trPr>
        <w:tc>
          <w:tcPr>
            <w:tcW w:w="3320" w:type="dxa"/>
            <w:vAlign w:val="bottom"/>
          </w:tcPr>
          <w:p>
            <w:pPr>
              <w:ind w:left="140"/>
              <w:spacing w:after="0"/>
              <w:rPr>
                <w:sz w:val="20"/>
                <w:szCs w:val="20"/>
                <w:color w:val="auto"/>
              </w:rPr>
            </w:pPr>
            <w:r>
              <w:rPr>
                <w:rFonts w:ascii="Arial" w:cs="Arial" w:eastAsia="Arial" w:hAnsi="Arial"/>
                <w:sz w:val="16"/>
                <w:szCs w:val="16"/>
                <w:color w:val="auto"/>
              </w:rPr>
              <w:t>Operating and maintenance</w:t>
            </w:r>
          </w:p>
        </w:tc>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86.7</w:t>
            </w:r>
          </w:p>
        </w:tc>
        <w:tc>
          <w:tcPr>
            <w:tcW w:w="36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81.7</w:t>
            </w:r>
          </w:p>
        </w:tc>
        <w:tc>
          <w:tcPr>
            <w:tcW w:w="64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b w:val="1"/>
                <w:bCs w:val="1"/>
                <w:color w:val="auto"/>
              </w:rPr>
              <w:t>164.8</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175.1</w:t>
            </w:r>
          </w:p>
        </w:tc>
      </w:tr>
      <w:tr>
        <w:trPr>
          <w:trHeight w:val="219"/>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2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84.5</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78.4</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167.4</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w:t>
            </w:r>
          </w:p>
        </w:tc>
      </w:tr>
      <w:tr>
        <w:trPr>
          <w:trHeight w:val="213"/>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Taxes other than income tax</w:t>
            </w:r>
          </w:p>
        </w:tc>
        <w:tc>
          <w:tcPr>
            <w:tcW w:w="25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33.7</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32.6</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67.1</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r>
      <w:tr>
        <w:trPr>
          <w:trHeight w:val="212"/>
        </w:trPr>
        <w:tc>
          <w:tcPr>
            <w:tcW w:w="3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25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363.8</w:t>
            </w: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307.6</w:t>
            </w:r>
          </w:p>
        </w:tc>
        <w:tc>
          <w:tcPr>
            <w:tcW w:w="6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690.7</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752.6</w:t>
            </w:r>
          </w:p>
        </w:tc>
      </w:tr>
      <w:tr>
        <w:trPr>
          <w:trHeight w:val="207"/>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FROM OPERATIONS</w:t>
            </w:r>
          </w:p>
        </w:tc>
        <w:tc>
          <w:tcPr>
            <w:tcW w:w="25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136.3</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131.1</w:t>
            </w:r>
          </w:p>
        </w:tc>
        <w:tc>
          <w:tcPr>
            <w:tcW w:w="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231.9</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r>
      <w:tr>
        <w:trPr>
          <w:trHeight w:val="199"/>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3320" w:type="dxa"/>
            <w:vAlign w:val="bottom"/>
          </w:tcPr>
          <w:p>
            <w:pPr>
              <w:ind w:left="140"/>
              <w:spacing w:after="0"/>
              <w:rPr>
                <w:sz w:val="20"/>
                <w:szCs w:val="20"/>
                <w:color w:val="auto"/>
              </w:rPr>
            </w:pPr>
            <w:r>
              <w:rPr>
                <w:rFonts w:ascii="Arial" w:cs="Arial" w:eastAsia="Arial" w:hAnsi="Arial"/>
                <w:sz w:val="16"/>
                <w:szCs w:val="16"/>
                <w:color w:val="auto"/>
              </w:rPr>
              <w:t>Investment earnings</w:t>
            </w:r>
          </w:p>
        </w:tc>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0.1</w:t>
            </w:r>
          </w:p>
        </w:tc>
        <w:tc>
          <w:tcPr>
            <w:tcW w:w="36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b w:val="1"/>
                <w:bCs w:val="1"/>
                <w:color w:val="auto"/>
              </w:rPr>
              <w:t>0.2</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w:t>
            </w:r>
          </w:p>
        </w:tc>
        <w:tc>
          <w:tcPr>
            <w:tcW w:w="2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3.2</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7.3</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3"/>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expense</w:t>
            </w:r>
          </w:p>
        </w:tc>
        <w:tc>
          <w:tcPr>
            <w:tcW w:w="25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(10.1)</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(20.6)</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r>
      <w:tr>
        <w:trPr>
          <w:trHeight w:val="212"/>
        </w:trPr>
        <w:tc>
          <w:tcPr>
            <w:tcW w:w="3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 Expense, Net</w:t>
            </w:r>
          </w:p>
        </w:tc>
        <w:tc>
          <w:tcPr>
            <w:tcW w:w="25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(6.8)</w:t>
            </w: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6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(13.1)</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07"/>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25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26.8</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27.1</w:t>
            </w:r>
          </w:p>
        </w:tc>
        <w:tc>
          <w:tcPr>
            <w:tcW w:w="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53.8</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w:t>
            </w:r>
          </w:p>
        </w:tc>
      </w:tr>
      <w:tr>
        <w:trPr>
          <w:trHeight w:val="212"/>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102.7</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100.2</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165.0</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w:t>
            </w:r>
          </w:p>
        </w:tc>
      </w:tr>
      <w:tr>
        <w:trPr>
          <w:trHeight w:val="21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5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14.3</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12.1</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22.0</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r>
      <w:tr>
        <w:trPr>
          <w:trHeight w:val="219"/>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5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88.4</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88.1</w:t>
            </w:r>
          </w:p>
        </w:tc>
        <w:tc>
          <w:tcPr>
            <w:tcW w:w="6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143.0</w:t>
            </w:r>
          </w:p>
        </w:tc>
        <w:tc>
          <w:tcPr>
            <w:tcW w:w="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121.6</w:t>
            </w:r>
          </w:p>
        </w:tc>
      </w:tr>
      <w:tr>
        <w:trPr>
          <w:trHeight w:val="213"/>
        </w:trPr>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9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88.4</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88.1</w:t>
            </w:r>
          </w:p>
        </w:tc>
        <w:tc>
          <w:tcPr>
            <w:tcW w:w="640" w:type="dxa"/>
            <w:vAlign w:val="bottom"/>
            <w:shd w:val="clear" w:color="auto" w:fill="CCEEFF"/>
          </w:tcPr>
          <w:p>
            <w:pPr>
              <w:jc w:val="right"/>
              <w:ind w:right="261"/>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143.0</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w:t>
            </w:r>
          </w:p>
        </w:tc>
      </w:tr>
      <w:tr>
        <w:trPr>
          <w:trHeight w:val="213"/>
        </w:trPr>
        <w:tc>
          <w:tcPr>
            <w:tcW w:w="332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hedging activity</w:t>
            </w:r>
          </w:p>
        </w:tc>
        <w:tc>
          <w:tcPr>
            <w:tcW w:w="2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3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Reclassification to expenses, net of tax</w:t>
            </w:r>
          </w:p>
        </w:tc>
        <w:tc>
          <w:tcPr>
            <w:tcW w:w="25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(0.1)</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(0.1)</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3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hedging activity, net of tax</w:t>
            </w:r>
          </w:p>
        </w:tc>
        <w:tc>
          <w:tcPr>
            <w:tcW w:w="25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(0.1)</w:t>
            </w: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(0.1)</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other comprehensive loss</w:t>
            </w:r>
          </w:p>
        </w:tc>
        <w:tc>
          <w:tcPr>
            <w:tcW w:w="25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(0.1)</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(0.1)</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25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88.3</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88.1</w:t>
            </w:r>
          </w:p>
        </w:tc>
        <w:tc>
          <w:tcPr>
            <w:tcW w:w="6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142.9</w:t>
            </w:r>
          </w:p>
        </w:tc>
        <w:tc>
          <w:tcPr>
            <w:tcW w:w="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121.6</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to Date June 30</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2021</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80" w:type="dxa"/>
            <w:vAlign w:val="bottom"/>
          </w:tcPr>
          <w:p>
            <w:pPr>
              <w:spacing w:after="0"/>
              <w:rPr>
                <w:sz w:val="18"/>
                <w:szCs w:val="18"/>
                <w:color w:val="auto"/>
              </w:rPr>
            </w:pPr>
          </w:p>
        </w:tc>
        <w:tc>
          <w:tcPr>
            <w:tcW w:w="1440" w:type="dxa"/>
            <w:vAlign w:val="bottom"/>
            <w:gridSpan w:val="2"/>
          </w:tcPr>
          <w:p>
            <w:pPr>
              <w:jc w:val="right"/>
              <w:ind w:right="39"/>
              <w:spacing w:after="0"/>
              <w:rPr>
                <w:sz w:val="20"/>
                <w:szCs w:val="20"/>
                <w:color w:val="auto"/>
              </w:rPr>
            </w:pPr>
            <w:r>
              <w:rPr>
                <w:rFonts w:ascii="Arial" w:cs="Arial" w:eastAsia="Arial" w:hAnsi="Arial"/>
                <w:sz w:val="14"/>
                <w:szCs w:val="14"/>
                <w:color w:val="auto"/>
              </w:rPr>
              <w:t>(millions)</w:t>
            </w: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143.0</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167.4</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16.0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6.3</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18.4</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(32.1)</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(1.4)</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(0.2)</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Changes in working capital items: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(33.6)</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2.0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 inventory and supplies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5.2</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(66.4)</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21.5</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34.5</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(20.5)</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Changes in other assets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25.5</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34.6</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2.6</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w:t>
            </w:r>
          </w:p>
        </w:tc>
      </w:tr>
      <w:tr>
        <w:trPr>
          <w:trHeight w:val="207"/>
        </w:trPr>
        <w:tc>
          <w:tcPr>
            <w:tcW w:w="8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266.8</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246.1</w:t>
            </w:r>
          </w:p>
        </w:tc>
      </w:tr>
      <w:tr>
        <w:trPr>
          <w:trHeight w:val="212"/>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(403.5)</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(295.2)</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securities - trusts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(13.7)</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Sale of securities - trusts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10.0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money pool lending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141.0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1.9</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10"/>
        </w:trPr>
        <w:tc>
          <w:tcPr>
            <w:tcW w:w="8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(264.3)</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(291.9)</w:t>
            </w:r>
          </w:p>
        </w:tc>
      </w:tr>
      <w:tr>
        <w:trPr>
          <w:trHeight w:val="209"/>
        </w:trPr>
        <w:tc>
          <w:tcPr>
            <w:tcW w:w="8600" w:type="dxa"/>
            <w:vAlign w:val="bottom"/>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Collateralized short-term debt,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10"/>
        </w:trPr>
        <w:tc>
          <w:tcPr>
            <w:tcW w:w="8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(0.5)</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09"/>
        </w:trPr>
        <w:tc>
          <w:tcPr>
            <w:tcW w:w="860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2.0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(54.9)</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Beginning of period</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2.1</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w:t>
            </w:r>
          </w:p>
        </w:tc>
      </w:tr>
      <w:tr>
        <w:trPr>
          <w:trHeight w:val="219"/>
        </w:trPr>
        <w:tc>
          <w:tcPr>
            <w:tcW w:w="8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4.1</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3"/>
              </w:rPr>
              <w:t>Common stock</w:t>
            </w: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16"/>
                <w:szCs w:val="16"/>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AOCI - Net</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Common Stock</w:t>
            </w:r>
          </w:p>
        </w:tc>
        <w:tc>
          <w:tcPr>
            <w:tcW w:w="2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2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88"/>
              </w:rPr>
              <w:t>gains (losses) on</w:t>
            </w:r>
          </w:p>
        </w:tc>
        <w:tc>
          <w:tcPr>
            <w:tcW w:w="160" w:type="dxa"/>
            <w:vAlign w:val="bottom"/>
          </w:tcPr>
          <w:p>
            <w:pPr>
              <w:spacing w:after="0"/>
              <w:rPr>
                <w:sz w:val="14"/>
                <w:szCs w:val="14"/>
                <w:color w:val="auto"/>
              </w:rPr>
            </w:pPr>
          </w:p>
        </w:tc>
        <w:tc>
          <w:tcPr>
            <w:tcW w:w="10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5"/>
              </w:rPr>
              <w:t>Total equity</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120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earnings</w:t>
            </w: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85"/>
              </w:rPr>
              <w:t>cash flow hedges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20" w:type="dxa"/>
            <w:vAlign w:val="bottom"/>
            <w:gridSpan w:val="5"/>
          </w:tcPr>
          <w:p>
            <w:pPr>
              <w:jc w:val="right"/>
              <w:ind w:right="719"/>
              <w:spacing w:after="0"/>
              <w:rPr>
                <w:sz w:val="20"/>
                <w:szCs w:val="20"/>
                <w:color w:val="auto"/>
              </w:rPr>
            </w:pPr>
            <w:r>
              <w:rPr>
                <w:rFonts w:ascii="Arial" w:cs="Arial" w:eastAsia="Arial" w:hAnsi="Arial"/>
                <w:sz w:val="14"/>
                <w:szCs w:val="14"/>
                <w:color w:val="auto"/>
              </w:rPr>
              <w:t>(millions, except share amounts)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1,191.5</w:t>
            </w: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2,759.2</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1,225.0</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2,792.7</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206"/>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1,313.1</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2,880.8</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1,453.8</w:t>
            </w: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3,021.2</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1,508.4</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3,075.8</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88.4</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1,596.8</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3,164.1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INC.</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INC.</w:t>
      </w:r>
    </w:p>
    <w:p>
      <w:pPr>
        <w:spacing w:after="0"/>
        <w:rPr>
          <w:sz w:val="20"/>
          <w:szCs w:val="20"/>
          <w:color w:val="auto"/>
        </w:rPr>
      </w:pPr>
      <w:r>
        <w:rPr>
          <w:rFonts w:ascii="Arial" w:cs="Arial" w:eastAsia="Arial" w:hAnsi="Arial"/>
          <w:sz w:val="20"/>
          <w:szCs w:val="20"/>
          <w:b w:val="1"/>
          <w:bCs w:val="1"/>
          <w:color w:val="auto"/>
        </w:rPr>
        <w:t>EVERGY METRO, INC.</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Combined Notes to Unaudited Consolidated Financial Statements</w:t>
      </w:r>
    </w:p>
    <w:p>
      <w:pPr>
        <w:spacing w:after="0" w:line="114"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The notes to unaudited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 AND BASIS OF PRESENTATION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Organization</w:t>
      </w:r>
    </w:p>
    <w:p>
      <w:pPr>
        <w:spacing w:after="0" w:line="22" w:lineRule="exact"/>
        <w:rPr>
          <w:sz w:val="20"/>
          <w:szCs w:val="20"/>
          <w:color w:val="auto"/>
        </w:rPr>
      </w:pPr>
    </w:p>
    <w:p>
      <w:pPr>
        <w:ind w:right="420"/>
        <w:spacing w:after="0" w:line="244" w:lineRule="auto"/>
        <w:rPr>
          <w:sz w:val="20"/>
          <w:szCs w:val="20"/>
          <w:color w:val="auto"/>
        </w:rPr>
      </w:pPr>
      <w:r>
        <w:rPr>
          <w:rFonts w:ascii="Arial" w:cs="Arial" w:eastAsia="Arial" w:hAnsi="Arial"/>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91" w:lineRule="exact"/>
        <w:rPr>
          <w:sz w:val="20"/>
          <w:szCs w:val="20"/>
          <w:color w:val="auto"/>
        </w:rPr>
      </w:pPr>
    </w:p>
    <w:p>
      <w:pPr>
        <w:ind w:left="660" w:right="100" w:hanging="328"/>
        <w:spacing w:after="0" w:line="25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77" w:lineRule="exact"/>
        <w:rPr>
          <w:rFonts w:ascii="Arial" w:cs="Arial" w:eastAsia="Arial" w:hAnsi="Arial"/>
          <w:sz w:val="20"/>
          <w:szCs w:val="20"/>
          <w:color w:val="auto"/>
        </w:rPr>
      </w:pPr>
    </w:p>
    <w:p>
      <w:pPr>
        <w:ind w:left="660" w:right="340" w:hanging="328"/>
        <w:spacing w:after="0" w:line="26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Metro, Inc. (Evergy Metro) is an integrated, regulated electric utility that provides electricity to customers in the states of Missouri and Kansas.</w:t>
      </w:r>
    </w:p>
    <w:p>
      <w:pPr>
        <w:spacing w:after="0" w:line="68"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Missouri West, Inc. (Evergy Missouri West) is an integrated, regulated electric utility that provides electricity to customers in the state of Missouri.</w:t>
      </w:r>
    </w:p>
    <w:p>
      <w:pPr>
        <w:spacing w:after="0" w:line="68" w:lineRule="exact"/>
        <w:rPr>
          <w:rFonts w:ascii="Arial" w:cs="Arial" w:eastAsia="Arial" w:hAnsi="Arial"/>
          <w:sz w:val="20"/>
          <w:szCs w:val="20"/>
          <w:color w:val="auto"/>
        </w:rPr>
      </w:pPr>
    </w:p>
    <w:p>
      <w:pPr>
        <w:ind w:left="660" w:right="20" w:hanging="328"/>
        <w:spacing w:after="0" w:line="246"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91"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Evergy Kansas Central also owns a 50% interest in Prairie Wind Transmission, LLC (Prairie Wind), which is a joint venture between Evergy Kansas Central and subsidiaries of AEP and Berkshire Hathaway Energy Company. Prairie Wind owns a 108-mile, 345 kV double-circuit transmission line that provides transmission service in the Southwest Power Pool, Inc. (SPP). Evergy Kansas Central accounts for its investment in Prairie Wind under the equity method.</w:t>
      </w:r>
    </w:p>
    <w:p>
      <w:pPr>
        <w:spacing w:after="0" w:line="218"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Evergy Kansas Central, Evergy Kansas South, Evergy Metro and Evergy Missouri West conduct business in their respective service territories using the name Evergy. Collectively, the Evergy Companies have approximately 15,400 MWs of owned generating capacity and renewable power purchase agreements and engage in the generation, transmission, distribution and sale of electricity to approximately 1.6 million customers in the states of Kansas and Missouri.</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2"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These unaudited consolidated financial statements have been prepared in accordance with generally accepted accounting principles (GAAP) for interim financial information and with the instructions to Form 10-Q and Regulation S-X. Accordingly, these unaudited consolidated financial statements do not include all of the information and notes required by GAAP for annual financial statements and should be read in conjunction with the consolidated financial statements in the Evergy Companies' combined 2021 Form 10-K.</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These unaudited consolidated financial statements, in the opinion of management, reflect all normal recurring adjustments necessary to fairly present the unaudited consolidated financial statements for each of the Evergy Companies for these interim periods. In preparing financial statements that conform to GAAP, management must make estimates and assumptions that affect the reported amounts of assets and liabilities, the reported amounts of revenues and expenses, and the disclosure of contingent assets and liabilities at the date of the financial statements.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2" w:lineRule="exact"/>
        <w:rPr>
          <w:sz w:val="20"/>
          <w:szCs w:val="20"/>
          <w:color w:val="auto"/>
        </w:rPr>
      </w:pPr>
    </w:p>
    <w:p>
      <w:pPr>
        <w:ind w:right="220"/>
        <w:spacing w:after="0" w:line="257" w:lineRule="auto"/>
        <w:rPr>
          <w:sz w:val="20"/>
          <w:szCs w:val="20"/>
          <w:color w:val="auto"/>
        </w:rPr>
      </w:pPr>
      <w:r>
        <w:rPr>
          <w:rFonts w:ascii="Arial" w:cs="Arial" w:eastAsia="Arial" w:hAnsi="Arial"/>
          <w:sz w:val="19"/>
          <w:szCs w:val="19"/>
          <w:color w:val="auto"/>
        </w:rPr>
        <w:t>Each of Evergy's, Evergy Kansas Central's and Evergy Metro's unaudited consolidated financial statements includes the accounts of their subsidiaries and variable interest entities (VIEs) of which they are the primary beneficiary.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Fuel Inventory and Supplies</w:t>
      </w:r>
    </w:p>
    <w:p>
      <w:pPr>
        <w:spacing w:after="0" w:line="22" w:lineRule="exact"/>
        <w:rPr>
          <w:sz w:val="20"/>
          <w:szCs w:val="20"/>
          <w:color w:val="auto"/>
        </w:rPr>
      </w:pPr>
    </w:p>
    <w:p>
      <w:pPr>
        <w:ind w:right="740"/>
        <w:spacing w:after="0" w:line="244" w:lineRule="auto"/>
        <w:rPr>
          <w:sz w:val="20"/>
          <w:szCs w:val="20"/>
          <w:color w:val="auto"/>
        </w:rPr>
      </w:pPr>
      <w:r>
        <w:rPr>
          <w:rFonts w:ascii="Arial" w:cs="Arial" w:eastAsia="Arial" w:hAnsi="Arial"/>
          <w:sz w:val="20"/>
          <w:szCs w:val="20"/>
          <w:color w:val="auto"/>
        </w:rPr>
        <w:t>The Evergy Companies record fuel inventory and supplies at average cost. The following table separately states the balances for fuel inventory and supplies.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June 30</w:t>
            </w:r>
          </w:p>
        </w:tc>
        <w:tc>
          <w:tcPr>
            <w:tcW w:w="7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230"/>
              <w:spacing w:after="0" w:line="202" w:lineRule="exact"/>
              <w:rPr>
                <w:sz w:val="20"/>
                <w:szCs w:val="20"/>
                <w:color w:val="auto"/>
              </w:rPr>
            </w:pPr>
            <w:r>
              <w:rPr>
                <w:rFonts w:ascii="Arial" w:cs="Arial" w:eastAsia="Arial" w:hAnsi="Arial"/>
                <w:sz w:val="18"/>
                <w:szCs w:val="18"/>
                <w:b w:val="1"/>
                <w:bCs w:val="1"/>
                <w:color w:val="auto"/>
                <w:w w:val="98"/>
              </w:rPr>
              <w:t>December 31</w:t>
            </w:r>
          </w:p>
        </w:tc>
      </w:tr>
      <w:tr>
        <w:trPr>
          <w:trHeight w:val="230"/>
        </w:trPr>
        <w:tc>
          <w:tcPr>
            <w:tcW w:w="7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1160" w:type="dxa"/>
            <w:vAlign w:val="bottom"/>
          </w:tcPr>
          <w:p>
            <w:pPr>
              <w:spacing w:after="0"/>
              <w:rPr>
                <w:sz w:val="19"/>
                <w:szCs w:val="19"/>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6"/>
                <w:szCs w:val="16"/>
                <w:color w:val="auto"/>
              </w:rPr>
              <w:t>(millions)</w:t>
            </w: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3"/>
              </w:rPr>
              <w:t>194.3</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r>
      <w:tr>
        <w:trPr>
          <w:trHeight w:val="229"/>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3"/>
              </w:rPr>
              <w:t>442.2</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w:t>
            </w:r>
          </w:p>
        </w:tc>
      </w:tr>
      <w:tr>
        <w:trPr>
          <w:trHeight w:val="223"/>
        </w:trPr>
        <w:tc>
          <w:tcPr>
            <w:tcW w:w="7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3"/>
              </w:rPr>
              <w:t>636.5</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3"/>
              </w:rPr>
              <w:t>103.7</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29"/>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3"/>
              </w:rPr>
              <w:t>230.0</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w:t>
            </w:r>
          </w:p>
        </w:tc>
      </w:tr>
      <w:tr>
        <w:trPr>
          <w:trHeight w:val="223"/>
        </w:trPr>
        <w:tc>
          <w:tcPr>
            <w:tcW w:w="7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3"/>
              </w:rPr>
              <w:t>333.7</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62.9</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30"/>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3"/>
              </w:rPr>
              <w:t>160.1</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r>
      <w:tr>
        <w:trPr>
          <w:trHeight w:val="230"/>
        </w:trPr>
        <w:tc>
          <w:tcPr>
            <w:tcW w:w="7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3"/>
              </w:rPr>
              <w:t>223.0</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Plant and Equipment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the property, plant and equipment of Evergy, Evergy Kansas Central and Evergy Metro.</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June 30, 2022</w:t>
            </w:r>
          </w:p>
        </w:tc>
        <w:tc>
          <w:tcPr>
            <w:tcW w:w="7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Arial" w:cs="Arial" w:eastAsia="Arial" w:hAnsi="Arial"/>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2"/>
              </w:rPr>
              <w:t>Evergy Metro</w:t>
            </w:r>
          </w:p>
        </w:tc>
      </w:tr>
      <w:tr>
        <w:trPr>
          <w:trHeight w:val="206"/>
        </w:trPr>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Arial" w:cs="Arial" w:eastAsia="Arial" w:hAnsi="Arial"/>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3"/>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 plant in service</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31,394.1</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14,994.0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12,114.8</w:t>
            </w: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Electric plant acquisition adjustment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724.3</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724.3</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(11,887.2)</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(5,743.3)</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(4,914.3)</w:t>
            </w:r>
          </w:p>
        </w:tc>
      </w:tr>
      <w:tr>
        <w:trPr>
          <w:trHeight w:val="223"/>
        </w:trPr>
        <w:tc>
          <w:tcPr>
            <w:tcW w:w="3800" w:type="dxa"/>
            <w:vAlign w:val="bottom"/>
          </w:tcPr>
          <w:p>
            <w:pPr>
              <w:ind w:left="340"/>
              <w:spacing w:after="0"/>
              <w:rPr>
                <w:sz w:val="20"/>
                <w:szCs w:val="20"/>
                <w:color w:val="auto"/>
              </w:rPr>
            </w:pPr>
            <w:r>
              <w:rPr>
                <w:rFonts w:ascii="Arial" w:cs="Arial" w:eastAsia="Arial" w:hAnsi="Arial"/>
                <w:sz w:val="18"/>
                <w:szCs w:val="18"/>
                <w:color w:val="auto"/>
              </w:rPr>
              <w:t>Plant in service,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20,231.2</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9,975.0</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7,200.5</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1,056.1</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661.2</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315.7</w:t>
            </w: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Nuclear fuel,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180.5</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89.8</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90.7</w:t>
            </w:r>
          </w:p>
        </w:tc>
      </w:tr>
      <w:tr>
        <w:trPr>
          <w:trHeight w:val="229"/>
        </w:trPr>
        <w:tc>
          <w:tcPr>
            <w:tcW w:w="3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Plant to be retired, net</w:t>
            </w:r>
            <w:r>
              <w:rPr>
                <w:rFonts w:ascii="Arial" w:cs="Arial" w:eastAsia="Arial" w:hAnsi="Arial"/>
                <w:sz w:val="23"/>
                <w:szCs w:val="23"/>
                <w:color w:val="auto"/>
                <w:vertAlign w:val="superscript"/>
              </w:rPr>
              <w:t>(a)</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0.8</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rPr>
              <w:t>0.8</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21,468.6</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10,726.8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7,606.9</w:t>
            </w:r>
          </w:p>
        </w:tc>
      </w:tr>
    </w:tbl>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2021</w:t>
            </w:r>
          </w:p>
        </w:tc>
        <w:tc>
          <w:tcPr>
            <w:tcW w:w="7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Arial" w:cs="Arial" w:eastAsia="Arial" w:hAnsi="Arial"/>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2"/>
              </w:rPr>
              <w:t>Evergy Metro</w:t>
            </w:r>
          </w:p>
        </w:tc>
      </w:tr>
      <w:tr>
        <w:trPr>
          <w:trHeight w:val="207"/>
        </w:trPr>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Arial" w:cs="Arial" w:eastAsia="Arial" w:hAnsi="Arial"/>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2"/>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 plant in service</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30,289.9</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14,686.3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11,656.9</w:t>
            </w: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Electric plant acquisition adjustment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724.3</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724.3</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(11,515.5)</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(5,590.8)</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(4,733.7)</w:t>
            </w:r>
          </w:p>
        </w:tc>
      </w:tr>
      <w:tr>
        <w:trPr>
          <w:trHeight w:val="223"/>
        </w:trPr>
        <w:tc>
          <w:tcPr>
            <w:tcW w:w="3800" w:type="dxa"/>
            <w:vAlign w:val="bottom"/>
          </w:tcPr>
          <w:p>
            <w:pPr>
              <w:ind w:left="340"/>
              <w:spacing w:after="0"/>
              <w:rPr>
                <w:sz w:val="20"/>
                <w:szCs w:val="20"/>
                <w:color w:val="auto"/>
              </w:rPr>
            </w:pPr>
            <w:r>
              <w:rPr>
                <w:rFonts w:ascii="Arial" w:cs="Arial" w:eastAsia="Arial" w:hAnsi="Arial"/>
                <w:sz w:val="18"/>
                <w:szCs w:val="18"/>
                <w:color w:val="auto"/>
              </w:rPr>
              <w:t>Plant in service,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19,498.7</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9,819.8</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6,923.2</w:t>
            </w: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1,350.6</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652.2</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475.3</w:t>
            </w: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Nuclear fuel,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152.5</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76.1</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76.4</w:t>
            </w:r>
          </w:p>
        </w:tc>
      </w:tr>
      <w:tr>
        <w:trPr>
          <w:trHeight w:val="230"/>
        </w:trPr>
        <w:tc>
          <w:tcPr>
            <w:tcW w:w="3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Plant to be retired, net</w:t>
            </w:r>
            <w:r>
              <w:rPr>
                <w:rFonts w:ascii="Arial" w:cs="Arial" w:eastAsia="Arial" w:hAnsi="Arial"/>
                <w:sz w:val="23"/>
                <w:szCs w:val="23"/>
                <w:color w:val="auto"/>
                <w:vertAlign w:val="superscript"/>
              </w:rPr>
              <w:t>(a)</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0.8</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rPr>
              <w:t>0.8</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21,002.6</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10,548.9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7,474.9</w:t>
            </w:r>
          </w:p>
        </w:tc>
      </w:tr>
    </w:tbl>
    <w:p>
      <w:pPr>
        <w:spacing w:after="0" w:line="84"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As of June 30, 2022 and December 31, 2021, represents the planned retirement of Evergy Kansas Central analog meters prior to the end of their remaining useful lives.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22"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color w:val="auto"/>
        </w:rPr>
        <w:t>For the three months ended and year to date June 30, 2022, Evergy's investment earnings (loss) included a pre-tax loss of $2.1 million and $16.3 million, respectively, related to Evergy's equity investment in an early-stage energy solutions company. See "Evergy Equity Investment" in this Note 1 for further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shows the detail of other expense for each of the Evergy Companies.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gridSpan w:val="3"/>
          </w:tcPr>
          <w:p>
            <w:pPr>
              <w:jc w:val="right"/>
              <w:ind w:right="70"/>
              <w:spacing w:after="0" w:line="202" w:lineRule="exact"/>
              <w:rPr>
                <w:sz w:val="20"/>
                <w:szCs w:val="20"/>
                <w:color w:val="auto"/>
              </w:rPr>
            </w:pPr>
            <w:r>
              <w:rPr>
                <w:rFonts w:ascii="Arial" w:cs="Arial" w:eastAsia="Arial" w:hAnsi="Arial"/>
                <w:sz w:val="18"/>
                <w:szCs w:val="18"/>
                <w:b w:val="1"/>
                <w:bCs w:val="1"/>
                <w:color w:val="auto"/>
              </w:rPr>
              <w:t>Three Months Ended</w:t>
            </w:r>
          </w:p>
        </w:tc>
        <w:tc>
          <w:tcPr>
            <w:tcW w:w="5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Year to Date</w:t>
            </w:r>
          </w:p>
        </w:tc>
        <w:tc>
          <w:tcPr>
            <w:tcW w:w="820" w:type="dxa"/>
            <w:vAlign w:val="bottom"/>
            <w:tcBorders>
              <w:top w:val="single" w:sz="8" w:color="auto"/>
            </w:tcBorders>
          </w:tcPr>
          <w:p>
            <w:pPr>
              <w:spacing w:after="0"/>
              <w:rPr>
                <w:sz w:val="17"/>
                <w:szCs w:val="17"/>
                <w:color w:val="auto"/>
              </w:rPr>
            </w:pPr>
          </w:p>
        </w:tc>
      </w:tr>
      <w:tr>
        <w:trPr>
          <w:trHeight w:val="225"/>
        </w:trPr>
        <w:tc>
          <w:tcPr>
            <w:tcW w:w="5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June 30</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19"/>
                <w:szCs w:val="19"/>
                <w:color w:val="auto"/>
              </w:rPr>
            </w:pPr>
          </w:p>
        </w:tc>
      </w:tr>
      <w:tr>
        <w:trPr>
          <w:trHeight w:val="234"/>
        </w:trPr>
        <w:tc>
          <w:tcPr>
            <w:tcW w:w="5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2021</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6"/>
                <w:szCs w:val="16"/>
                <w:color w:val="auto"/>
              </w:rPr>
              <w:t>(millions)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(17.9)</w:t>
            </w:r>
          </w:p>
        </w:tc>
        <w:tc>
          <w:tcPr>
            <w:tcW w:w="10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(13.8)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29"/>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(11.5)</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23"/>
        </w:trPr>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(22.9)</w:t>
            </w:r>
          </w:p>
        </w:tc>
        <w:tc>
          <w:tcPr>
            <w:tcW w:w="10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(18.8)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(47.8)</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w:t>
            </w:r>
          </w:p>
        </w:tc>
        <w:tc>
          <w:tcPr>
            <w:tcW w:w="10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(9.1)</w:t>
            </w:r>
          </w:p>
        </w:tc>
        <w:tc>
          <w:tcPr>
            <w:tcW w:w="10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(9.6)</w:t>
            </w:r>
          </w:p>
        </w:tc>
        <w:tc>
          <w:tcPr>
            <w:tcW w:w="10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(19.6)</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(0.5)</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5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(10.1)</w:t>
            </w:r>
          </w:p>
        </w:tc>
        <w:tc>
          <w:tcPr>
            <w:tcW w:w="100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(20.6)</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w:t>
      </w:r>
    </w:p>
    <w:p>
      <w:pPr>
        <w:spacing w:after="0" w:line="22"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To compute basic earnings per share (EPS), Evergy divides net income attributable to Evergy, Inc. by the weighted average number of common shares outstanding. Diluted EPS includes the effect of issuable common shares resulting from restricted share units (RSUs), restricted stock and a warrant. Evergy computes the dilutive effects of potential issuances of common shares using the treasury stock method or the contingently issuable share method, as applicable.</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reconciles Evergy's basic and diluted EPS.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gridSpan w:val="3"/>
          </w:tcPr>
          <w:p>
            <w:pPr>
              <w:jc w:val="right"/>
              <w:ind w:right="430"/>
              <w:spacing w:after="0" w:line="202" w:lineRule="exact"/>
              <w:rPr>
                <w:sz w:val="20"/>
                <w:szCs w:val="20"/>
                <w:color w:val="auto"/>
              </w:rPr>
            </w:pPr>
            <w:r>
              <w:rPr>
                <w:rFonts w:ascii="Arial" w:cs="Arial" w:eastAsia="Arial" w:hAnsi="Arial"/>
                <w:sz w:val="18"/>
                <w:szCs w:val="18"/>
                <w:b w:val="1"/>
                <w:bCs w:val="1"/>
                <w:color w:val="auto"/>
              </w:rPr>
              <w:t>Three Months Ended</w:t>
            </w:r>
          </w:p>
        </w:tc>
        <w:tc>
          <w:tcPr>
            <w:tcW w:w="3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Year to Date</w:t>
            </w:r>
          </w:p>
        </w:tc>
        <w:tc>
          <w:tcPr>
            <w:tcW w:w="800" w:type="dxa"/>
            <w:vAlign w:val="bottom"/>
            <w:tcBorders>
              <w:top w:val="single" w:sz="8" w:color="auto"/>
            </w:tcBorders>
          </w:tcPr>
          <w:p>
            <w:pPr>
              <w:spacing w:after="0"/>
              <w:rPr>
                <w:sz w:val="17"/>
                <w:szCs w:val="17"/>
                <w:color w:val="auto"/>
              </w:rPr>
            </w:pPr>
          </w:p>
        </w:tc>
      </w:tr>
      <w:tr>
        <w:trPr>
          <w:trHeight w:val="225"/>
        </w:trPr>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19"/>
                <w:szCs w:val="19"/>
                <w:color w:val="auto"/>
              </w:rPr>
            </w:pPr>
          </w:p>
        </w:tc>
      </w:tr>
      <w:tr>
        <w:trPr>
          <w:trHeight w:val="234"/>
        </w:trPr>
        <w:tc>
          <w:tcPr>
            <w:tcW w:w="59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740" w:type="dxa"/>
            <w:vAlign w:val="bottom"/>
            <w:gridSpan w:val="4"/>
          </w:tcPr>
          <w:p>
            <w:pPr>
              <w:jc w:val="right"/>
              <w:ind w:right="70"/>
              <w:spacing w:after="0"/>
              <w:rPr>
                <w:sz w:val="20"/>
                <w:szCs w:val="20"/>
                <w:color w:val="auto"/>
              </w:rPr>
            </w:pPr>
            <w:r>
              <w:rPr>
                <w:rFonts w:ascii="Arial" w:cs="Arial" w:eastAsia="Arial" w:hAnsi="Arial"/>
                <w:sz w:val="16"/>
                <w:szCs w:val="16"/>
                <w:color w:val="auto"/>
                <w:w w:val="99"/>
              </w:rPr>
              <w:t>(millions, except per share amounts)</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197.6</w:t>
            </w:r>
          </w:p>
        </w:tc>
        <w:tc>
          <w:tcPr>
            <w:tcW w:w="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323.2</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r>
      <w:tr>
        <w:trPr>
          <w:trHeight w:val="22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194.5</w:t>
            </w:r>
          </w:p>
        </w:tc>
        <w:tc>
          <w:tcPr>
            <w:tcW w:w="4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185.3</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317.0</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Common Shares Outstanding</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 basic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229.9</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229.3</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229.8</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r>
      <w:tr>
        <w:trPr>
          <w:trHeight w:val="22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effect of dilutive securities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0.6</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average number of common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230.4</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229.7</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230.4</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Basic EPS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0.85</w:t>
            </w:r>
          </w:p>
        </w:tc>
        <w:tc>
          <w:tcPr>
            <w:tcW w:w="4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0.81</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1.38</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37"/>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0.84</w:t>
            </w:r>
          </w:p>
        </w:tc>
        <w:tc>
          <w:tcPr>
            <w:tcW w:w="4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0.81</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1.38</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bl>
    <w:p>
      <w:pPr>
        <w:spacing w:after="0" w:line="280"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There were no anti-dilutive shares excluded from the computation of diluted EPS for the three months ended and year to date June 30, 2022. Anti-dilutive shares excluded from the computation of diluted EPS for the three months ended and year to date June 30, 2021, were 3,950,000 common shares issuable pursuant to a warrant.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 Declared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In August 2022, Evergy's Board of Directors (Evergy Board) declared a quarterly dividend of $0.5725 per share on Evergy's common stock.</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The common dividend is payable on September 20, 2022, to shareholders of record as of August 19, 2022.</w:t>
      </w:r>
    </w:p>
    <w:p>
      <w:pPr>
        <w:spacing w:after="0" w:line="200" w:lineRule="exact"/>
        <w:rPr>
          <w:sz w:val="20"/>
          <w:szCs w:val="20"/>
          <w:color w:val="auto"/>
        </w:rPr>
      </w:pPr>
    </w:p>
    <w:p>
      <w:pPr>
        <w:ind w:right="780"/>
        <w:spacing w:after="0" w:line="260" w:lineRule="auto"/>
        <w:rPr>
          <w:sz w:val="20"/>
          <w:szCs w:val="20"/>
          <w:color w:val="auto"/>
        </w:rPr>
      </w:pPr>
      <w:r>
        <w:rPr>
          <w:rFonts w:ascii="Arial" w:cs="Arial" w:eastAsia="Arial" w:hAnsi="Arial"/>
          <w:sz w:val="20"/>
          <w:szCs w:val="20"/>
          <w:color w:val="auto"/>
        </w:rPr>
        <w:t>In August 2022, Evergy Kansas Central's Board of Directors declared a cash dividend to Evergy of up to $160.0 million, payable on September 19,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August 2022, Evergy Metro's Board of Directors declared a dividend to Evergy of up to $140.0 million, payable on September 19, 2022.</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Cash Flow Information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7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18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Cash paid for (received from):</w:t>
            </w:r>
          </w:p>
        </w:tc>
        <w:tc>
          <w:tcPr>
            <w:tcW w:w="1820" w:type="dxa"/>
            <w:vAlign w:val="bottom"/>
          </w:tcPr>
          <w:p>
            <w:pPr>
              <w:spacing w:after="0"/>
              <w:rPr>
                <w:sz w:val="19"/>
                <w:szCs w:val="19"/>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900" w:type="dxa"/>
            <w:vAlign w:val="bottom"/>
          </w:tcPr>
          <w:p>
            <w:pPr>
              <w:spacing w:after="0"/>
              <w:rPr>
                <w:sz w:val="19"/>
                <w:szCs w:val="19"/>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net of amount capitalized</w:t>
            </w:r>
          </w:p>
        </w:tc>
        <w:tc>
          <w:tcPr>
            <w:tcW w:w="1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178.9</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Interest of VIEs</w:t>
            </w:r>
          </w:p>
        </w:tc>
        <w:tc>
          <w:tcPr>
            <w:tcW w:w="182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net of refunds</w:t>
            </w:r>
          </w:p>
        </w:tc>
        <w:tc>
          <w:tcPr>
            <w:tcW w:w="18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0.8</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2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Non-cash investing transactions:</w:t>
            </w:r>
          </w:p>
        </w:tc>
        <w:tc>
          <w:tcPr>
            <w:tcW w:w="1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additions</w:t>
            </w:r>
          </w:p>
        </w:tc>
        <w:tc>
          <w:tcPr>
            <w:tcW w:w="18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127.0</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Non-cash financing transactions:</w:t>
            </w:r>
          </w:p>
        </w:tc>
        <w:tc>
          <w:tcPr>
            <w:tcW w:w="1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7"/>
        </w:trPr>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Issuance of stock for compensation and reinvested dividends</w:t>
            </w:r>
          </w:p>
        </w:tc>
        <w:tc>
          <w:tcPr>
            <w:tcW w:w="18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Evergy Kansas Central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7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18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net of amount capitalized</w:t>
            </w: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80.0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Interest of VIEs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net of refunds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5.2</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6.0</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Non-cash investing transactions:</w:t>
            </w:r>
          </w:p>
        </w:tc>
        <w:tc>
          <w:tcPr>
            <w:tcW w:w="1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6"/>
        </w:trPr>
        <w:tc>
          <w:tcPr>
            <w:tcW w:w="40" w:type="dxa"/>
            <w:vAlign w:val="bottom"/>
          </w:tcPr>
          <w:p>
            <w:pPr>
              <w:spacing w:after="0"/>
              <w:rPr>
                <w:sz w:val="20"/>
                <w:szCs w:val="20"/>
                <w:color w:val="auto"/>
              </w:rPr>
            </w:pPr>
          </w:p>
        </w:tc>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Property, plant and equipment additions</w:t>
            </w:r>
          </w:p>
        </w:tc>
        <w:tc>
          <w:tcPr>
            <w:tcW w:w="18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49.4</w:t>
            </w: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0" w:type="dxa"/>
            <w:vAlign w:val="bottom"/>
          </w:tcPr>
          <w:p>
            <w:pPr>
              <w:spacing w:after="0"/>
              <w:rPr>
                <w:sz w:val="20"/>
                <w:szCs w:val="20"/>
                <w:color w:val="auto"/>
              </w:rPr>
            </w:pPr>
          </w:p>
        </w:tc>
      </w:tr>
      <w:tr>
        <w:trPr>
          <w:trHeight w:val="453"/>
        </w:trPr>
        <w:tc>
          <w:tcPr>
            <w:tcW w:w="7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Evergy Metro</w:t>
            </w:r>
          </w:p>
        </w:tc>
        <w:tc>
          <w:tcPr>
            <w:tcW w:w="1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0"/>
        </w:trPr>
        <w:tc>
          <w:tcPr>
            <w:tcW w:w="7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1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r>
      <w:tr>
        <w:trPr>
          <w:trHeight w:val="223"/>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net of amount capitalized</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52.3</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Income taxes, net of refunds</w:t>
            </w:r>
          </w:p>
        </w:tc>
        <w:tc>
          <w:tcPr>
            <w:tcW w:w="18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15.0</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9"/>
                <w:szCs w:val="19"/>
                <w:color w:val="auto"/>
              </w:rPr>
            </w:pPr>
          </w:p>
        </w:tc>
      </w:tr>
      <w:tr>
        <w:trPr>
          <w:trHeight w:val="22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9"/>
                <w:szCs w:val="19"/>
                <w:color w:val="auto"/>
              </w:rPr>
            </w:pPr>
          </w:p>
        </w:tc>
      </w:tr>
      <w:tr>
        <w:trPr>
          <w:trHeight w:val="230"/>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Non-cash investing transactions:</w:t>
            </w:r>
          </w:p>
        </w:tc>
        <w:tc>
          <w:tcPr>
            <w:tcW w:w="1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0" w:type="dxa"/>
            <w:vAlign w:val="bottom"/>
            <w:tcBorders>
              <w:bottom w:val="single" w:sz="8" w:color="auto"/>
            </w:tcBorders>
            <w:shd w:val="clear" w:color="auto" w:fill="CCEEFF"/>
          </w:tcPr>
          <w:p>
            <w:pPr>
              <w:spacing w:after="0"/>
              <w:rPr>
                <w:sz w:val="20"/>
                <w:szCs w:val="20"/>
                <w:color w:val="auto"/>
              </w:rPr>
            </w:pPr>
          </w:p>
        </w:tc>
        <w:tc>
          <w:tcPr>
            <w:tcW w:w="7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additions</w:t>
            </w:r>
          </w:p>
        </w:tc>
        <w:tc>
          <w:tcPr>
            <w:tcW w:w="18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45.0</w:t>
            </w: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 w:type="dxa"/>
            <w:vAlign w:val="bottom"/>
            <w:tcBorders>
              <w:bottom w:val="single" w:sz="8" w:color="auto"/>
            </w:tcBorders>
            <w:shd w:val="clear" w:color="auto" w:fill="CCEEFF"/>
          </w:tcPr>
          <w:p>
            <w:pPr>
              <w:spacing w:after="0"/>
              <w:rPr>
                <w:sz w:val="20"/>
                <w:szCs w:val="20"/>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February 2021 Winter Weather Event</w:t>
      </w:r>
    </w:p>
    <w:p>
      <w:pPr>
        <w:spacing w:after="0" w:line="22" w:lineRule="exact"/>
        <w:rPr>
          <w:sz w:val="20"/>
          <w:szCs w:val="20"/>
          <w:color w:val="auto"/>
        </w:rPr>
      </w:pPr>
    </w:p>
    <w:p>
      <w:pPr>
        <w:ind w:right="80"/>
        <w:spacing w:after="0"/>
        <w:rPr>
          <w:sz w:val="20"/>
          <w:szCs w:val="20"/>
          <w:color w:val="auto"/>
        </w:rPr>
      </w:pPr>
      <w:r>
        <w:rPr>
          <w:rFonts w:ascii="Arial" w:cs="Arial" w:eastAsia="Arial" w:hAnsi="Arial"/>
          <w:sz w:val="20"/>
          <w:szCs w:val="20"/>
          <w:color w:val="auto"/>
        </w:rPr>
        <w:t>In February 2021, much of the central and southern United States, including the service territories of the Evergy Companies, experienced a significant winter weather event that resulted in extremely cold temperatures over a multi-day period (February 2021 winter weather event). These circumstances resulted in higher than normal market prices within the SPP Integrated Marketplace for both natural gas and power for the duration of the February 2021 winter weather event. As part of the February 2021 winter weather event and inclusive of the aforementioned items, Evergy incurred natural gas and purchased power costs, net of wholesale revenues, of $349.5 million for year to date June 30, 2021. This $349.5 million of net fuel and purchased power costs incurred was primarily driven by $292.7 million of costs at Evergy Missouri West and $128.2 million of costs at Evergy Kansas Central, partially offset by $71.4 million of net wholesale revenues at Evergy Metro.</w:t>
      </w:r>
    </w:p>
    <w:p>
      <w:pPr>
        <w:spacing w:after="0" w:line="196"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The amount of purchased power costs incurred and wholesale revenues recorded by the Evergy Companies in the first quarter of 2021 during the February 2021 winter weather event have been subject to subsequent resettlement activity by the SPP that has resulted in net increases to the total cost of the February 2021 winter weather event from the amounts initially recorded. As of June 30, 2022, Evergy has incurred total natural gas and purchased power costs, net of wholesale revenues, of $367.9 million related to the February 2021 winter weather event and inclusive of these subsequent SPP resettlements. This $367.9 million of net fuel and purchased power costs was primarily driven by $296.6 million of costs at Evergy Missouri West and $134.3 million of costs at Evergy Kansas Central, partially offset by $63.0 million of net wholesale revenues at Evergy Metro.</w:t>
      </w:r>
    </w:p>
    <w:p>
      <w:pPr>
        <w:spacing w:after="0" w:line="185"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As of June 30, 2022 and December 31, 2021, the Evergy Companies had deferred substantially all of the fuel and purchased power costs, net of wholesale revenues, related to the February 2021 winter weather event to a regulatory asset or liability for recovery or refund through the respective fuel recovery mechanisms of Evergy Kansas Central and Evergy Metro and through a pending securitization request at Evergy Missouri West. See Note 4 for additional information regarding these regulatory proceedings.</w:t>
      </w:r>
    </w:p>
    <w:p>
      <w:pPr>
        <w:spacing w:after="0" w:line="176"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The Evergy Companies also engage in limited non-regulated energy marketing activities in various regional power markets that have historically not had a significant impact on the Evergy Companies' results of operations. These energy marketing margins are recorded net in operating revenues on the Evergy Companies' statements of income and comprehensive income. As a result of the elevated market prices experienced in regional power markets across the central and southern United States driven by the February 2021 winter weather event discussed above, Evergy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and Evergy Kansas Central recorded $95.0 million of energy marketing margins as of June 30, 2021 related to the February 2021 winter weather event, primarily driven by activities in the Electric Reliability Council of Texas (ERCOT).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Equity Investment</w:t>
      </w:r>
    </w:p>
    <w:p>
      <w:pPr>
        <w:spacing w:after="0" w:line="22" w:lineRule="exact"/>
        <w:rPr>
          <w:sz w:val="20"/>
          <w:szCs w:val="20"/>
          <w:color w:val="auto"/>
        </w:rPr>
      </w:pPr>
    </w:p>
    <w:p>
      <w:pPr>
        <w:ind w:right="20"/>
        <w:spacing w:after="0"/>
        <w:rPr>
          <w:sz w:val="20"/>
          <w:szCs w:val="20"/>
          <w:color w:val="auto"/>
        </w:rPr>
      </w:pPr>
      <w:r>
        <w:rPr>
          <w:rFonts w:ascii="Arial" w:cs="Arial" w:eastAsia="Arial" w:hAnsi="Arial"/>
          <w:sz w:val="20"/>
          <w:szCs w:val="20"/>
          <w:color w:val="auto"/>
        </w:rPr>
        <w:t>From time to time, Evergy makes limited equity investments in early-stage energy solution companies. These investments have historically not had a significant impact on Evergy's results of operations. In October 2021, an equity investment in which Evergy held a minority stake through an initial investment of $3.7 million was acquired through a transaction involving a special purpose acquisition company (SPAC). As a result of its equity investment in the company that was acquired in the SPAC transaction, Evergy received shares of the resulting public company upon the closing of the transaction, which were subject to a restriction on sale for 150 days. The equity investment had a fair value of $31.4 million as of December 31, 2021.</w:t>
      </w:r>
    </w:p>
    <w:p>
      <w:pPr>
        <w:spacing w:after="0" w:line="197"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In March 2022, Evergy sold its shares in the equity investment to a financial institution through a share forward agreement following the expiration of the restriction on sale. As part of the share forward agreement, Evergy delivered its shares to the financial institution in exchange for a series of cash settlements totaling $15.1 million based primarily on the volume-weighted average price (VWAP) of the shares over the term of the agreement, which was completed in June 2022. As a result of the completion of the share forward agreement, Evergy no longer has an equity investment in the company.</w:t>
      </w:r>
    </w:p>
    <w:p>
      <w:pPr>
        <w:spacing w:after="0" w:line="194"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For the three months ended and year to date June 30, 2022, Evergy recorded pre-tax losses of $2.1 million and $16.3 million, respectively, in investment earnings (loss) on its consolidated statements of comprehensive income related to the decrease in market value of its equity investment prior to sale and the settlement of the share forward agreement.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REVENUE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Evergy's, Evergy Kansas Central's and Evergy Metro's revenues disaggregated by customer class are summarized in the following tables.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gridSpan w:val="3"/>
          </w:tcPr>
          <w:p>
            <w:pPr>
              <w:jc w:val="right"/>
              <w:ind w:right="391"/>
              <w:spacing w:after="0" w:line="182" w:lineRule="exact"/>
              <w:rPr>
                <w:sz w:val="20"/>
                <w:szCs w:val="20"/>
                <w:color w:val="auto"/>
              </w:rPr>
            </w:pPr>
            <w:r>
              <w:rPr>
                <w:rFonts w:ascii="Arial" w:cs="Arial" w:eastAsia="Arial" w:hAnsi="Arial"/>
                <w:sz w:val="18"/>
                <w:szCs w:val="18"/>
                <w:b w:val="1"/>
                <w:bCs w:val="1"/>
                <w:color w:val="auto"/>
              </w:rPr>
              <w:t>Three Months Ended</w:t>
            </w:r>
          </w:p>
        </w:tc>
        <w:tc>
          <w:tcPr>
            <w:tcW w:w="4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right"/>
              <w:spacing w:after="0" w:line="182" w:lineRule="exact"/>
              <w:rPr>
                <w:sz w:val="20"/>
                <w:szCs w:val="20"/>
                <w:color w:val="auto"/>
              </w:rPr>
            </w:pPr>
            <w:r>
              <w:rPr>
                <w:rFonts w:ascii="Arial" w:cs="Arial" w:eastAsia="Arial" w:hAnsi="Arial"/>
                <w:sz w:val="18"/>
                <w:szCs w:val="18"/>
                <w:b w:val="1"/>
                <w:bCs w:val="1"/>
                <w:color w:val="auto"/>
              </w:rPr>
              <w:t>Year to Date</w:t>
            </w:r>
          </w:p>
        </w:tc>
        <w:tc>
          <w:tcPr>
            <w:tcW w:w="820" w:type="dxa"/>
            <w:vAlign w:val="bottom"/>
            <w:tcBorders>
              <w:top w:val="single" w:sz="8" w:color="auto"/>
            </w:tcBorders>
          </w:tcPr>
          <w:p>
            <w:pPr>
              <w:spacing w:after="0"/>
              <w:rPr>
                <w:sz w:val="15"/>
                <w:szCs w:val="15"/>
                <w:color w:val="auto"/>
              </w:rPr>
            </w:pPr>
          </w:p>
        </w:tc>
      </w:tr>
      <w:tr>
        <w:trPr>
          <w:trHeight w:val="225"/>
        </w:trPr>
        <w:tc>
          <w:tcPr>
            <w:tcW w:w="6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19"/>
                <w:szCs w:val="19"/>
                <w:color w:val="auto"/>
              </w:rPr>
            </w:pPr>
          </w:p>
        </w:tc>
      </w:tr>
      <w:tr>
        <w:trPr>
          <w:trHeight w:val="234"/>
        </w:trPr>
        <w:tc>
          <w:tcPr>
            <w:tcW w:w="6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2022</w:t>
            </w: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2021</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513.4</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965.2</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w:t>
            </w: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465.5</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422.5</w:t>
            </w:r>
          </w:p>
        </w:tc>
        <w:tc>
          <w:tcPr>
            <w:tcW w:w="4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868.6</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768.5</w:t>
            </w:r>
          </w:p>
        </w:tc>
      </w:tr>
      <w:tr>
        <w:trPr>
          <w:trHeight w:val="229"/>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170.1</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320.4</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r>
      <w:tr>
        <w:trPr>
          <w:trHeight w:val="230"/>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retail</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18.8</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23"/>
        </w:trPr>
        <w:tc>
          <w:tcPr>
            <w:tcW w:w="6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electric retail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1,158.8</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2,173.0</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1,925.5</w:t>
            </w: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2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79.5</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w:t>
            </w:r>
          </w:p>
        </w:tc>
        <w:tc>
          <w:tcPr>
            <w:tcW w:w="4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131.4</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557.5</w:t>
            </w:r>
          </w:p>
        </w:tc>
      </w:tr>
      <w:tr>
        <w:trPr>
          <w:trHeight w:val="230"/>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Transmission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101.0</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199.0</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r>
      <w:tr>
        <w:trPr>
          <w:trHeight w:val="229"/>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Industrial steam and 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7.4</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10.7</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1,346.7</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1,208.1</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2,514.1</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2,670.5</w:t>
            </w:r>
          </w:p>
        </w:tc>
      </w:tr>
      <w:tr>
        <w:trPr>
          <w:trHeight w:val="229"/>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99.8</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156.3</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w:t>
            </w:r>
          </w:p>
        </w:tc>
      </w:tr>
      <w:tr>
        <w:trPr>
          <w:trHeight w:val="230"/>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1,446.5</w:t>
            </w:r>
          </w:p>
        </w:tc>
        <w:tc>
          <w:tcPr>
            <w:tcW w:w="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1,236.2</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2,670.4</w:t>
            </w:r>
          </w:p>
        </w:tc>
        <w:tc>
          <w:tcPr>
            <w:tcW w:w="5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Kansas Central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8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gridSpan w:val="3"/>
          </w:tcPr>
          <w:p>
            <w:pPr>
              <w:jc w:val="center"/>
              <w:ind w:right="151"/>
              <w:spacing w:after="0" w:line="182" w:lineRule="exact"/>
              <w:rPr>
                <w:sz w:val="20"/>
                <w:szCs w:val="20"/>
                <w:color w:val="auto"/>
              </w:rPr>
            </w:pPr>
            <w:r>
              <w:rPr>
                <w:rFonts w:ascii="Arial" w:cs="Arial" w:eastAsia="Arial" w:hAnsi="Arial"/>
                <w:sz w:val="18"/>
                <w:szCs w:val="18"/>
                <w:b w:val="1"/>
                <w:bCs w:val="1"/>
                <w:color w:val="auto"/>
                <w:w w:val="90"/>
              </w:rPr>
              <w:t>Three Months Ended</w:t>
            </w:r>
          </w:p>
        </w:tc>
        <w:tc>
          <w:tcPr>
            <w:tcW w:w="4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center"/>
              <w:ind w:left="290"/>
              <w:spacing w:after="0" w:line="182" w:lineRule="exact"/>
              <w:rPr>
                <w:sz w:val="20"/>
                <w:szCs w:val="20"/>
                <w:color w:val="auto"/>
              </w:rPr>
            </w:pPr>
            <w:r>
              <w:rPr>
                <w:rFonts w:ascii="Arial" w:cs="Arial" w:eastAsia="Arial" w:hAnsi="Arial"/>
                <w:sz w:val="18"/>
                <w:szCs w:val="18"/>
                <w:b w:val="1"/>
                <w:bCs w:val="1"/>
                <w:color w:val="auto"/>
                <w:w w:val="91"/>
              </w:rPr>
              <w:t>Year to Date</w:t>
            </w:r>
          </w:p>
        </w:tc>
        <w:tc>
          <w:tcPr>
            <w:tcW w:w="820" w:type="dxa"/>
            <w:vAlign w:val="bottom"/>
            <w:tcBorders>
              <w:top w:val="single" w:sz="8" w:color="auto"/>
            </w:tcBorders>
          </w:tcPr>
          <w:p>
            <w:pPr>
              <w:spacing w:after="0"/>
              <w:rPr>
                <w:sz w:val="15"/>
                <w:szCs w:val="15"/>
                <w:color w:val="auto"/>
              </w:rPr>
            </w:pPr>
          </w:p>
        </w:tc>
      </w:tr>
      <w:tr>
        <w:trPr>
          <w:trHeight w:val="225"/>
        </w:trPr>
        <w:tc>
          <w:tcPr>
            <w:tcW w:w="4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6"/>
              </w:rPr>
              <w:t>June 30</w:t>
            </w: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86"/>
              </w:rPr>
              <w:t>June 30</w:t>
            </w:r>
          </w:p>
        </w:tc>
        <w:tc>
          <w:tcPr>
            <w:tcW w:w="820" w:type="dxa"/>
            <w:vAlign w:val="bottom"/>
          </w:tcPr>
          <w:p>
            <w:pPr>
              <w:spacing w:after="0"/>
              <w:rPr>
                <w:sz w:val="19"/>
                <w:szCs w:val="19"/>
                <w:color w:val="auto"/>
              </w:rPr>
            </w:pPr>
          </w:p>
        </w:tc>
      </w:tr>
      <w:tr>
        <w:trPr>
          <w:trHeight w:val="234"/>
        </w:trPr>
        <w:tc>
          <w:tcPr>
            <w:tcW w:w="43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2022</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2021</w:t>
            </w: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1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222.8</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418.9</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r>
      <w:tr>
        <w:trPr>
          <w:trHeight w:val="230"/>
        </w:trPr>
        <w:tc>
          <w:tcPr>
            <w:tcW w:w="43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193.7</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165.1</w:t>
            </w:r>
          </w:p>
        </w:tc>
        <w:tc>
          <w:tcPr>
            <w:tcW w:w="4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358.9</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318.8</w:t>
            </w:r>
          </w:p>
        </w:tc>
      </w:tr>
      <w:tr>
        <w:trPr>
          <w:trHeight w:val="229"/>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1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111.9</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212.7</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r>
      <w:tr>
        <w:trPr>
          <w:trHeight w:val="229"/>
        </w:trPr>
        <w:tc>
          <w:tcPr>
            <w:tcW w:w="4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retail</w:t>
            </w:r>
          </w:p>
        </w:tc>
        <w:tc>
          <w:tcPr>
            <w:tcW w:w="1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8.6</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4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electric retail</w:t>
            </w:r>
          </w:p>
        </w:tc>
        <w:tc>
          <w:tcPr>
            <w:tcW w:w="16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532.9</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999.1</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w:t>
            </w:r>
          </w:p>
        </w:tc>
      </w:tr>
      <w:tr>
        <w:trPr>
          <w:trHeight w:val="229"/>
        </w:trPr>
        <w:tc>
          <w:tcPr>
            <w:tcW w:w="438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81.4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53.5</w:t>
            </w:r>
          </w:p>
        </w:tc>
        <w:tc>
          <w:tcPr>
            <w:tcW w:w="4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131.5</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325.9</w:t>
            </w:r>
          </w:p>
        </w:tc>
      </w:tr>
      <w:tr>
        <w:trPr>
          <w:trHeight w:val="230"/>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Transmission</w:t>
            </w:r>
          </w:p>
        </w:tc>
        <w:tc>
          <w:tcPr>
            <w:tcW w:w="1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91.1</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178.6</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r>
      <w:tr>
        <w:trPr>
          <w:trHeight w:val="229"/>
        </w:trPr>
        <w:tc>
          <w:tcPr>
            <w:tcW w:w="4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0.6</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16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706.0</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1,310.4</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1,376.8</w:t>
            </w:r>
          </w:p>
        </w:tc>
      </w:tr>
      <w:tr>
        <w:trPr>
          <w:trHeight w:val="229"/>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18.0</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27.5</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r>
      <w:tr>
        <w:trPr>
          <w:trHeight w:val="230"/>
        </w:trPr>
        <w:tc>
          <w:tcPr>
            <w:tcW w:w="4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88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724.0</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598.5</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1,337.9</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1,499.6</w:t>
            </w:r>
          </w:p>
        </w:tc>
      </w:tr>
      <w:tr>
        <w:trPr>
          <w:trHeight w:val="561"/>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Metro</w:t>
            </w:r>
          </w:p>
        </w:tc>
        <w:tc>
          <w:tcPr>
            <w:tcW w:w="1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75"/>
        </w:trPr>
        <w:tc>
          <w:tcPr>
            <w:tcW w:w="43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3"/>
          </w:tcPr>
          <w:p>
            <w:pPr>
              <w:jc w:val="center"/>
              <w:ind w:right="151"/>
              <w:spacing w:after="0" w:line="176" w:lineRule="exact"/>
              <w:rPr>
                <w:sz w:val="20"/>
                <w:szCs w:val="20"/>
                <w:color w:val="auto"/>
              </w:rPr>
            </w:pPr>
            <w:r>
              <w:rPr>
                <w:rFonts w:ascii="Arial" w:cs="Arial" w:eastAsia="Arial" w:hAnsi="Arial"/>
                <w:sz w:val="18"/>
                <w:szCs w:val="18"/>
                <w:b w:val="1"/>
                <w:bCs w:val="1"/>
                <w:color w:val="auto"/>
                <w:w w:val="90"/>
              </w:rPr>
              <w:t>Three Months Ended</w:t>
            </w:r>
          </w:p>
        </w:tc>
        <w:tc>
          <w:tcPr>
            <w:tcW w:w="400" w:type="dxa"/>
            <w:vAlign w:val="bottom"/>
          </w:tcPr>
          <w:p>
            <w:pPr>
              <w:spacing w:after="0"/>
              <w:rPr>
                <w:sz w:val="15"/>
                <w:szCs w:val="15"/>
                <w:color w:val="auto"/>
              </w:rPr>
            </w:pPr>
          </w:p>
        </w:tc>
        <w:tc>
          <w:tcPr>
            <w:tcW w:w="1420" w:type="dxa"/>
            <w:vAlign w:val="bottom"/>
            <w:gridSpan w:val="2"/>
          </w:tcPr>
          <w:p>
            <w:pPr>
              <w:jc w:val="center"/>
              <w:ind w:left="290"/>
              <w:spacing w:after="0" w:line="176" w:lineRule="exact"/>
              <w:rPr>
                <w:sz w:val="20"/>
                <w:szCs w:val="20"/>
                <w:color w:val="auto"/>
              </w:rPr>
            </w:pPr>
            <w:r>
              <w:rPr>
                <w:rFonts w:ascii="Arial" w:cs="Arial" w:eastAsia="Arial" w:hAnsi="Arial"/>
                <w:sz w:val="18"/>
                <w:szCs w:val="18"/>
                <w:b w:val="1"/>
                <w:bCs w:val="1"/>
                <w:color w:val="auto"/>
                <w:w w:val="91"/>
              </w:rPr>
              <w:t>Year to Date</w:t>
            </w:r>
          </w:p>
        </w:tc>
        <w:tc>
          <w:tcPr>
            <w:tcW w:w="820" w:type="dxa"/>
            <w:vAlign w:val="bottom"/>
          </w:tcPr>
          <w:p>
            <w:pPr>
              <w:spacing w:after="0"/>
              <w:rPr>
                <w:sz w:val="15"/>
                <w:szCs w:val="15"/>
                <w:color w:val="auto"/>
              </w:rPr>
            </w:pPr>
          </w:p>
        </w:tc>
      </w:tr>
      <w:tr>
        <w:trPr>
          <w:trHeight w:val="225"/>
        </w:trPr>
        <w:tc>
          <w:tcPr>
            <w:tcW w:w="4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6"/>
              </w:rPr>
              <w:t>June 30</w:t>
            </w: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86"/>
              </w:rPr>
              <w:t>June 30</w:t>
            </w:r>
          </w:p>
        </w:tc>
        <w:tc>
          <w:tcPr>
            <w:tcW w:w="820" w:type="dxa"/>
            <w:vAlign w:val="bottom"/>
          </w:tcPr>
          <w:p>
            <w:pPr>
              <w:spacing w:after="0"/>
              <w:rPr>
                <w:sz w:val="19"/>
                <w:szCs w:val="19"/>
                <w:color w:val="auto"/>
              </w:rPr>
            </w:pPr>
          </w:p>
        </w:tc>
      </w:tr>
      <w:tr>
        <w:trPr>
          <w:trHeight w:val="234"/>
        </w:trPr>
        <w:tc>
          <w:tcPr>
            <w:tcW w:w="43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2022</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2021</w:t>
            </w: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1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184.9</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344.8</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r>
      <w:tr>
        <w:trPr>
          <w:trHeight w:val="229"/>
        </w:trPr>
        <w:tc>
          <w:tcPr>
            <w:tcW w:w="43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194.1</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188.1</w:t>
            </w:r>
          </w:p>
        </w:tc>
        <w:tc>
          <w:tcPr>
            <w:tcW w:w="4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367.7</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320.6</w:t>
            </w:r>
          </w:p>
        </w:tc>
      </w:tr>
      <w:tr>
        <w:trPr>
          <w:trHeight w:val="230"/>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1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33.4</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62.2</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30"/>
        </w:trPr>
        <w:tc>
          <w:tcPr>
            <w:tcW w:w="4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retail</w:t>
            </w:r>
          </w:p>
        </w:tc>
        <w:tc>
          <w:tcPr>
            <w:tcW w:w="1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5.6</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4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electric retail</w:t>
            </w:r>
          </w:p>
        </w:tc>
        <w:tc>
          <w:tcPr>
            <w:tcW w:w="16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415.4</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780.3</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w:t>
            </w:r>
          </w:p>
        </w:tc>
      </w:tr>
      <w:tr>
        <w:trPr>
          <w:trHeight w:val="230"/>
        </w:trPr>
        <w:tc>
          <w:tcPr>
            <w:tcW w:w="438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c>
          <w:tcPr>
            <w:tcW w:w="4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213.3</w:t>
            </w:r>
          </w:p>
        </w:tc>
      </w:tr>
      <w:tr>
        <w:trPr>
          <w:trHeight w:val="230"/>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Transmission</w:t>
            </w:r>
          </w:p>
        </w:tc>
        <w:tc>
          <w:tcPr>
            <w:tcW w:w="1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9.8</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4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16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418.5</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794.7</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r>
      <w:tr>
        <w:trPr>
          <w:trHeight w:val="229"/>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81.6</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127.9</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r>
      <w:tr>
        <w:trPr>
          <w:trHeight w:val="230"/>
        </w:trPr>
        <w:tc>
          <w:tcPr>
            <w:tcW w:w="4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88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500.1</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922.6</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954.9</w:t>
            </w:r>
          </w:p>
        </w:tc>
      </w:tr>
      <w:tr>
        <w:trPr>
          <w:trHeight w:val="1080"/>
        </w:trPr>
        <w:tc>
          <w:tcPr>
            <w:tcW w:w="4380" w:type="dxa"/>
            <w:vAlign w:val="bottom"/>
          </w:tcPr>
          <w:p>
            <w:pPr>
              <w:spacing w:after="0"/>
              <w:rPr>
                <w:sz w:val="24"/>
                <w:szCs w:val="24"/>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RECEIVABLES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The Evergy Companies' receivables are detailed in the following table.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5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6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75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13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60" w:type="dxa"/>
            <w:vAlign w:val="bottom"/>
          </w:tcPr>
          <w:p>
            <w:pPr>
              <w:spacing w:after="0"/>
              <w:rPr>
                <w:sz w:val="19"/>
                <w:szCs w:val="19"/>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13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1340" w:type="dxa"/>
            <w:vAlign w:val="bottom"/>
          </w:tcPr>
          <w:p>
            <w:pPr>
              <w:spacing w:after="0"/>
              <w:rPr>
                <w:sz w:val="19"/>
                <w:szCs w:val="19"/>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w w:val="93"/>
              </w:rPr>
              <w:t>199.5</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3"/>
              </w:rPr>
              <w:t>212.0</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r>
      <w:tr>
        <w:trPr>
          <w:trHeight w:val="230"/>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1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7"/>
              </w:rPr>
              <w:t>(27.1)</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r>
      <w:tr>
        <w:trPr>
          <w:trHeight w:val="223"/>
        </w:trPr>
        <w:tc>
          <w:tcPr>
            <w:tcW w:w="7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3"/>
              </w:rPr>
              <w:t>384.4</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13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1340" w:type="dxa"/>
            <w:vAlign w:val="bottom"/>
          </w:tcPr>
          <w:p>
            <w:pPr>
              <w:spacing w:after="0"/>
              <w:rPr>
                <w:sz w:val="19"/>
                <w:szCs w:val="19"/>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81.5</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3"/>
              </w:rPr>
              <w:t>220.0</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r>
      <w:tr>
        <w:trPr>
          <w:trHeight w:val="22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1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7"/>
              </w:rPr>
              <w:t>(10.7)</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7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3"/>
              </w:rPr>
              <w:t>290.8</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13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1340" w:type="dxa"/>
            <w:vAlign w:val="bottom"/>
          </w:tcPr>
          <w:p>
            <w:pPr>
              <w:spacing w:after="0"/>
              <w:rPr>
                <w:sz w:val="19"/>
                <w:szCs w:val="19"/>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72.1</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29.9</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1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7"/>
              </w:rPr>
              <w:t>(11.1)</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7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90.9</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bl>
    <w:p>
      <w:pPr>
        <w:spacing w:after="0" w:line="294" w:lineRule="exact"/>
        <w:rPr>
          <w:sz w:val="20"/>
          <w:szCs w:val="20"/>
          <w:color w:val="auto"/>
        </w:rPr>
      </w:pPr>
    </w:p>
    <w:p>
      <w:pPr>
        <w:ind w:right="560"/>
        <w:spacing w:after="0" w:line="291" w:lineRule="auto"/>
        <w:rPr>
          <w:sz w:val="20"/>
          <w:szCs w:val="20"/>
          <w:color w:val="auto"/>
        </w:rPr>
      </w:pPr>
      <w:r>
        <w:rPr>
          <w:rFonts w:ascii="Arial" w:cs="Arial" w:eastAsia="Arial" w:hAnsi="Arial"/>
          <w:sz w:val="18"/>
          <w:szCs w:val="18"/>
          <w:color w:val="auto"/>
        </w:rPr>
        <w:t>The Evergy Companies' other receivables at June 30, 2022 and December 31, 2021, consisted primarily of receivables from partners in jointly-owned electric utility plants, wholesale sales receivables and receivables related to alternative revenue programs. The Evergy Companies' other receivables also included receivables from contracts with customers as summarized in the following table.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740" w:type="dxa"/>
            <w:vAlign w:val="bottom"/>
            <w:tcBorders>
              <w:top w:val="single" w:sz="8" w:color="auto"/>
            </w:tcBorders>
          </w:tcPr>
          <w:p>
            <w:pPr>
              <w:spacing w:after="0"/>
              <w:rPr>
                <w:sz w:val="21"/>
                <w:szCs w:val="21"/>
                <w:color w:val="auto"/>
              </w:rPr>
            </w:pPr>
          </w:p>
        </w:tc>
        <w:tc>
          <w:tcPr>
            <w:tcW w:w="4160" w:type="dxa"/>
            <w:vAlign w:val="bottom"/>
            <w:tcBorders>
              <w:top w:val="single" w:sz="8" w:color="auto"/>
            </w:tcBorders>
          </w:tcPr>
          <w:p>
            <w:pPr>
              <w:jc w:val="center"/>
              <w:ind w:left="3430"/>
              <w:spacing w:after="0"/>
              <w:rPr>
                <w:sz w:val="20"/>
                <w:szCs w:val="20"/>
                <w:color w:val="auto"/>
              </w:rPr>
            </w:pPr>
            <w:r>
              <w:rPr>
                <w:rFonts w:ascii="Arial" w:cs="Arial" w:eastAsia="Arial" w:hAnsi="Arial"/>
                <w:sz w:val="18"/>
                <w:szCs w:val="18"/>
                <w:b w:val="1"/>
                <w:bCs w:val="1"/>
                <w:color w:val="auto"/>
                <w:w w:val="89"/>
              </w:rPr>
              <w:t>June 30</w:t>
            </w:r>
          </w:p>
        </w:tc>
        <w:tc>
          <w:tcPr>
            <w:tcW w:w="5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74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07"/>
        </w:trPr>
        <w:tc>
          <w:tcPr>
            <w:tcW w:w="47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60" w:type="dxa"/>
            <w:vAlign w:val="bottom"/>
          </w:tcPr>
          <w:p>
            <w:pPr>
              <w:spacing w:after="0"/>
              <w:rPr>
                <w:sz w:val="17"/>
                <w:szCs w:val="17"/>
                <w:color w:val="auto"/>
              </w:rPr>
            </w:pPr>
          </w:p>
        </w:tc>
      </w:tr>
      <w:tr>
        <w:trPr>
          <w:trHeight w:val="23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41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3"/>
              </w:rPr>
              <w:t>126.2</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416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w w:val="93"/>
              </w:rPr>
              <w:t>112.2</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36"/>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4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13.2</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The change in the Evergy Companies' allowance for credit losses is summarized in the following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5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1160" w:type="dxa"/>
            <w:vAlign w:val="bottom"/>
          </w:tcPr>
          <w:p>
            <w:pPr>
              <w:spacing w:after="0"/>
              <w:rPr>
                <w:sz w:val="19"/>
                <w:szCs w:val="19"/>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6"/>
                <w:szCs w:val="16"/>
                <w:color w:val="auto"/>
              </w:rPr>
              <w:t>(millions)</w:t>
            </w: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32.9</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6.0</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June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27.1</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13.0</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2.3</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June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10.7</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13.3</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0.3</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June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11.1</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 of Accounts Receivable</w:t>
      </w:r>
    </w:p>
    <w:p>
      <w:pPr>
        <w:spacing w:after="0" w:line="22"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Evergy Kansas Central, Evergy Metro and Evergy Missouri West sell an undivided percentage ownership interest in their retail electric accounts receivable to independent outside investors. These sales are accounted for as secured borrowings with accounts receivable pledged as collateral and a corresponding short-term collateralized note payable recognized on the balance sheets. The Evergy Companies' accounts receivable pledged as collateral and the corresponding short-term collateralized note payable are summarized in the following table.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00" w:type="dxa"/>
            <w:vAlign w:val="bottom"/>
            <w:tcBorders>
              <w:top w:val="single" w:sz="8" w:color="auto"/>
            </w:tcBorders>
          </w:tcPr>
          <w:p>
            <w:pPr>
              <w:spacing w:after="0"/>
              <w:rPr>
                <w:sz w:val="21"/>
                <w:szCs w:val="21"/>
                <w:color w:val="auto"/>
              </w:rPr>
            </w:pPr>
          </w:p>
        </w:tc>
        <w:tc>
          <w:tcPr>
            <w:tcW w:w="4140" w:type="dxa"/>
            <w:vAlign w:val="bottom"/>
            <w:tcBorders>
              <w:top w:val="single" w:sz="8" w:color="auto"/>
            </w:tcBorders>
          </w:tcPr>
          <w:p>
            <w:pPr>
              <w:jc w:val="center"/>
              <w:ind w:left="3350"/>
              <w:spacing w:after="0"/>
              <w:rPr>
                <w:sz w:val="20"/>
                <w:szCs w:val="20"/>
                <w:color w:val="auto"/>
              </w:rPr>
            </w:pPr>
            <w:r>
              <w:rPr>
                <w:rFonts w:ascii="Arial" w:cs="Arial" w:eastAsia="Arial" w:hAnsi="Arial"/>
                <w:sz w:val="18"/>
                <w:szCs w:val="18"/>
                <w:b w:val="1"/>
                <w:bCs w:val="1"/>
                <w:color w:val="auto"/>
                <w:w w:val="86"/>
              </w:rPr>
              <w:t>June 30</w:t>
            </w:r>
          </w:p>
        </w:tc>
        <w:tc>
          <w:tcPr>
            <w:tcW w:w="6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December 31</w:t>
            </w:r>
          </w:p>
        </w:tc>
      </w:tr>
      <w:tr>
        <w:trPr>
          <w:trHeight w:val="234"/>
        </w:trPr>
        <w:tc>
          <w:tcPr>
            <w:tcW w:w="460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06"/>
        </w:trPr>
        <w:tc>
          <w:tcPr>
            <w:tcW w:w="46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460" w:type="dxa"/>
            <w:vAlign w:val="bottom"/>
          </w:tcPr>
          <w:p>
            <w:pPr>
              <w:spacing w:after="0"/>
              <w:rPr>
                <w:sz w:val="17"/>
                <w:szCs w:val="17"/>
                <w:color w:val="auto"/>
              </w:rPr>
            </w:pPr>
          </w:p>
        </w:tc>
      </w:tr>
      <w:tr>
        <w:trPr>
          <w:trHeight w:val="23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41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347.0</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4140" w:type="dxa"/>
            <w:vAlign w:val="bottom"/>
          </w:tcPr>
          <w:p>
            <w:pPr>
              <w:spacing w:after="0"/>
              <w:rPr>
                <w:sz w:val="19"/>
                <w:szCs w:val="19"/>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w w:val="97"/>
              </w:rPr>
              <w:t>168.0</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153.0</w:t>
            </w:r>
          </w:p>
        </w:tc>
      </w:tr>
      <w:tr>
        <w:trPr>
          <w:trHeight w:val="237"/>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4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7"/>
              </w:rPr>
              <w:t>114.0</w:t>
            </w:r>
          </w:p>
        </w:tc>
        <w:tc>
          <w:tcPr>
            <w:tcW w:w="4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r>
    </w:tbl>
    <w:p>
      <w:pPr>
        <w:spacing w:after="0" w:line="280" w:lineRule="exact"/>
        <w:rPr>
          <w:sz w:val="20"/>
          <w:szCs w:val="20"/>
          <w:color w:val="auto"/>
        </w:rPr>
      </w:pPr>
    </w:p>
    <w:p>
      <w:pPr>
        <w:ind w:right="280"/>
        <w:spacing w:after="0" w:line="244" w:lineRule="auto"/>
        <w:rPr>
          <w:sz w:val="20"/>
          <w:szCs w:val="20"/>
          <w:color w:val="auto"/>
        </w:rPr>
      </w:pPr>
      <w:r>
        <w:rPr>
          <w:rFonts w:ascii="Arial" w:cs="Arial" w:eastAsia="Arial" w:hAnsi="Arial"/>
          <w:sz w:val="20"/>
          <w:szCs w:val="20"/>
          <w:color w:val="auto"/>
        </w:rPr>
        <w:t>Each receivable sale facility expires in 2024. Evergy Kansas Central's facility allows for $185.0 million in aggregate outstanding principal amount of borrowings from mid-October through mid-June and then $200.0 million from mid-June through mid-October. Evergy Metro's facility allows for $130.0 million in aggregate outstanding principal amount of borrowings at any time. Evergy Missouri West's facility allows for $50.0 million in aggregate outstanding principal amount of borrowings from mid-November through mid-June and then $65.0 million from mid-June through mid-November.</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RATE MATTERS AND REGULATION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KCC Proceedings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2022 Transmission Delivery Charge (TDC)</w:t>
      </w:r>
    </w:p>
    <w:p>
      <w:pPr>
        <w:ind w:right="120"/>
        <w:spacing w:after="0" w:line="260" w:lineRule="auto"/>
        <w:rPr>
          <w:sz w:val="20"/>
          <w:szCs w:val="20"/>
          <w:color w:val="auto"/>
        </w:rPr>
      </w:pPr>
      <w:r>
        <w:rPr>
          <w:rFonts w:ascii="Arial" w:cs="Arial" w:eastAsia="Arial" w:hAnsi="Arial"/>
          <w:sz w:val="19"/>
          <w:szCs w:val="19"/>
          <w:color w:val="auto"/>
        </w:rPr>
        <w:t>In March 2022, the KCC issued an order adjusting Evergy Kansas Central's retail prices to include updated transmission costs as reflected in the Federal Energy Regulatory Commission (FERC) transmission formula rate (TFR). The new prices were effective in April 2022 and are expected to increase Evergy Kansas Central's annual retail revenues by $20.4 million when compared to 2021.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2022 TDC</w:t>
      </w:r>
    </w:p>
    <w:p>
      <w:pPr>
        <w:spacing w:after="0" w:line="16"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In April 2022, the KCC issued an order adjusting Evergy Metro's retail prices to include updated transmission costs as reflected in the FERC TFR. The new prices were effective in May 2022 and are expected to increase Evergy Metro's annual retail revenues by $7.9 million when compared to 2021.</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and Evergy Metro Earnings Review and Sharing Plan (ERSP)</w:t>
      </w:r>
    </w:p>
    <w:p>
      <w:pPr>
        <w:spacing w:after="0" w:line="16"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As part of their merger settlement agreement with the KCC, Evergy Kansas Central and Evergy Metro agreed to participate in an ERSP for the years 2019 through 2022. Under the ERSP, Evergy Kansas Central's and Evergy Metro's Kansas jurisdiction are required to refund to customers 50% of annual earnings in excess of their authorized return on equity of 9.3% to the extent the excess earnings exceed the amount of annual bill credits that Evergy Kansas Central and Evergy Metro agreed to provide in connection with the merger that resulted in the formation of Evergy.</w:t>
      </w:r>
    </w:p>
    <w:p>
      <w:pPr>
        <w:spacing w:after="0" w:line="198"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Evergy Kansas Central's and Evergy Metro's 2021 calculations of annual earnings did not result in a refund obligation. These calculations were filed with the KCC in March 2022. As of June 30, 2022, Evergy Kansas Central and Evergy Metro estimate their 2022 annual earnings will not result in a significant refund obligation. The final refund obligations for 2021 and 2022 will be decided by the KCC and could vary from the current estimates.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and Evergy Metro February 2021 Winter Weather Event AAO</w:t>
      </w:r>
    </w:p>
    <w:p>
      <w:pPr>
        <w:spacing w:after="0" w:line="16"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In February 2021, the KCC issued an emergency accounting authority order (AAO) directing all Kansas-jurisdictional natural gas and electric utilities, including Evergy Kansas Central and Evergy Metro, to defer to a regulatory asset or regulatory liability any extraordinary costs or revenues, including carrying costs, to provide electric service during the February 2021 winter weather event for consideration in future rate proceedings.</w:t>
      </w:r>
    </w:p>
    <w:p>
      <w:pPr>
        <w:spacing w:after="0" w:line="194"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Evergy Kansas Central recognized a regulatory asset pursuant to the AAO of approximately $120 million related to its costs incurred during the February 2021 winter weather event, primarily consisting of increased fuel, purchased power, and associated carrying costs. Evergy Metro's Kansas jurisdiction recognized a regulatory liability of approximately $40 million related to its increased wholesale revenues during the February 2021 winter weather event and associated carrying costs.</w:t>
      </w:r>
    </w:p>
    <w:p>
      <w:pPr>
        <w:spacing w:after="0" w:line="191" w:lineRule="exact"/>
        <w:rPr>
          <w:sz w:val="20"/>
          <w:szCs w:val="20"/>
          <w:color w:val="auto"/>
        </w:rPr>
      </w:pPr>
    </w:p>
    <w:p>
      <w:pPr>
        <w:ind w:right="280"/>
        <w:spacing w:after="0" w:line="243" w:lineRule="auto"/>
        <w:rPr>
          <w:sz w:val="20"/>
          <w:szCs w:val="20"/>
          <w:color w:val="auto"/>
        </w:rPr>
      </w:pPr>
      <w:r>
        <w:rPr>
          <w:rFonts w:ascii="Arial" w:cs="Arial" w:eastAsia="Arial" w:hAnsi="Arial"/>
          <w:sz w:val="20"/>
          <w:szCs w:val="20"/>
          <w:color w:val="auto"/>
        </w:rPr>
        <w:t>In July 2021, Evergy Kansas Central and Evergy Metro made a joint filing with the KCC regarding the timing and method of recovery or refund for costs and revenues deferred pursuant to the February 2021 winter weather event AAO. In the filing, Evergy Kansas Central and Evergy Metro requested to recover or refund, as appropriate, their deferred February 2021 winter weather event amounts to customers through their fuel recovery mechanisms over two years and one year, respectively, beginning in April 2023. As part of the filing, Evergy Metro also requested a decrease to its February 2021 winter weather event refund to Kansas customers, not currently reflected in its regulatory liability for the February 2021 winter weather event, for jurisdictional allocation differences in its Kansas and Missouri fuel recovery mechanisms.</w:t>
      </w:r>
    </w:p>
    <w:p>
      <w:pPr>
        <w:spacing w:after="0" w:line="193"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In April 2022, Evergy Kansas Central, Evergy Metro, KCC staff and other intervenors filed a non-unanimous stipulation and agreement with the KCC that resolved all issues regarding the timing and method of recovery for costs and revenues deferred pursuant to the February 2021 winter weather event AAO. As part of the non-unanimous stipulation and agreement, Evergy Kansas Central and Evergy Metro agreed to recover or refund, as appropriate, their deferred February 2021 winter weather amounts to customers through their fuel recovery mechanisms over two years and one year, respectively, beginning in April 2023, and to use the rate of 1.00% to apply carrying charges to these deferred amounts. The non-unanimous stipulation and agreement also permitted Evergy Metro to request the future recovery in its next Kansas rate case of an approximately $5 million under-recovery related to its February 2021 winter weather event refund to Kansas customers for jurisdictional allocation differences in its Kansas and Missouri fuel recovery mechanisms.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In June 2022, the KCC issued an order approving the non-unanimous stipulation and agreement.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Missouri Public Service Commission (MPSC) Proceedings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2022 Rate Case Proceeding</w:t>
      </w:r>
    </w:p>
    <w:p>
      <w:pPr>
        <w:ind w:right="20"/>
        <w:spacing w:after="0" w:line="254" w:lineRule="auto"/>
        <w:rPr>
          <w:sz w:val="20"/>
          <w:szCs w:val="20"/>
          <w:color w:val="auto"/>
        </w:rPr>
      </w:pPr>
      <w:r>
        <w:rPr>
          <w:rFonts w:ascii="Arial" w:cs="Arial" w:eastAsia="Arial" w:hAnsi="Arial"/>
          <w:sz w:val="19"/>
          <w:szCs w:val="19"/>
          <w:color w:val="auto"/>
        </w:rPr>
        <w:t>In January 2022, Evergy Metro filed an application with the MPSC to request an increase to its retail revenues of $43.9 million before rebasing fuel and purchased power expense, with a return on equity of 10% and a rate-making equity ratio of 51.19%. The request reflects increases related to higher property taxes and the recovery of infrastructure investments made to improve reliability and enhance customer service and were also partially offset by significant customer savings and cost reductions created since the Great Plains Energy and Evergy Kansas Central merger in 2018. Evergy Metro also requested an additional $3.8 million increase associated with rebasing fuel and purchased power expense as well as the implementation of tracking mechanisms for both property tax expense and credit loss expense and the creation of a storm reserve as part of its application with the MPSC.</w:t>
      </w:r>
    </w:p>
    <w:p>
      <w:pPr>
        <w:spacing w:after="0" w:line="188"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Testimony from MPSC staff and other parties regarding the case was filed in June 2022. The MPSC staff’s testimony recommended a return on equity range from 9.37% to 9.87% and an increase to retail revenues of $28.1 million. The outcome of the Evergy Metro Missouri rate case will likely be different from either of the positions of Evergy Metro or MPSC staff, though the decision of the MPSC cannot be predicted.</w:t>
      </w:r>
    </w:p>
    <w:p>
      <w:pPr>
        <w:spacing w:after="0" w:line="178" w:lineRule="exact"/>
        <w:rPr>
          <w:sz w:val="20"/>
          <w:szCs w:val="20"/>
          <w:color w:val="auto"/>
        </w:rPr>
      </w:pPr>
    </w:p>
    <w:p>
      <w:pPr>
        <w:ind w:right="740"/>
        <w:spacing w:after="0" w:line="236" w:lineRule="auto"/>
        <w:rPr>
          <w:sz w:val="20"/>
          <w:szCs w:val="20"/>
          <w:color w:val="auto"/>
        </w:rPr>
      </w:pPr>
      <w:r>
        <w:rPr>
          <w:rFonts w:ascii="Arial" w:cs="Arial" w:eastAsia="Arial" w:hAnsi="Arial"/>
          <w:sz w:val="20"/>
          <w:szCs w:val="20"/>
          <w:color w:val="auto"/>
        </w:rPr>
        <w:t>An evidentiary hearing in the case is scheduled to occur beginning in late August 2022 and new rates are expected to be effective in December 2022.</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Missouri West 2022 Rate Case Proceeding</w:t>
      </w:r>
    </w:p>
    <w:p>
      <w:pPr>
        <w:spacing w:after="0" w:line="16"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In January 2022, Evergy Missouri West filed an application with the MPSC to request an increase to its retail revenues of $27.7 million before rebasing fuel and purchased power expense, with a return on equity of 10% and a rate-making equity ratio of 51.81%. The request reflects increases related to higher property taxes and the recovery of infrastructure investments made to improve reliability and enhance customer service and were also partially offset by significant customer savings and cost reductions created since the Great Plains Energy and Evergy Kansas Central merger in 2018. Evergy Missouri West also requested an additional $32.1 million increase associated with rebasing fuel and purchased power expense, the implementation of tracking mechanisms for both property tax expense and credit loss expense, the creation of a storm reserve, and the full return of and return on its unrecovered investment related to the 2018 retirement of Sibley Station as part of its application with the MPSC.</w:t>
      </w:r>
    </w:p>
    <w:p>
      <w:pPr>
        <w:spacing w:after="0" w:line="186"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Testimony from MPSC staff and other parties regarding the case was filed in June 2022. The MPSC staff’s testimony recommended a return on equity range from 9.37% to 9.87% and an increase to retail revenues of $6.2 million. The outcome of the Evergy Missouri West rate case will likely be different from either of the positions of Evergy Missouri West or MPSC staff, though the decision of the MPSC cannot be predicted.</w:t>
      </w:r>
    </w:p>
    <w:p>
      <w:pPr>
        <w:spacing w:after="0" w:line="178" w:lineRule="exact"/>
        <w:rPr>
          <w:sz w:val="20"/>
          <w:szCs w:val="20"/>
          <w:color w:val="auto"/>
        </w:rPr>
      </w:pPr>
    </w:p>
    <w:p>
      <w:pPr>
        <w:ind w:right="740"/>
        <w:spacing w:after="0" w:line="236" w:lineRule="auto"/>
        <w:rPr>
          <w:sz w:val="20"/>
          <w:szCs w:val="20"/>
          <w:color w:val="auto"/>
        </w:rPr>
      </w:pPr>
      <w:r>
        <w:rPr>
          <w:rFonts w:ascii="Arial" w:cs="Arial" w:eastAsia="Arial" w:hAnsi="Arial"/>
          <w:sz w:val="20"/>
          <w:szCs w:val="20"/>
          <w:color w:val="auto"/>
        </w:rPr>
        <w:t>An evidentiary hearing in the case is scheduled to occur beginning in late August 2022 and new rates are expected to be effective in December 2022.</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Missouri West Other Proceedings</w:t>
      </w:r>
    </w:p>
    <w:p>
      <w:pPr>
        <w:spacing w:after="0" w:line="16"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In December 2018, the Office of the Public Counsel (OPC) and the Midwest Energy Consumers Group (MECG) filed a petition with the MPSC requesting an AAO that would require Evergy Missouri West to record a regulatory liability for all revenues collected from customers for return on investment, non-fuel operations and maintenance costs, taxes including accumulated deferred income taxes, and all other costs associated with Sibley Station following the station’s retirement in November 2018.</w:t>
      </w:r>
    </w:p>
    <w:p>
      <w:pPr>
        <w:spacing w:after="0" w:line="194"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In October 2019, the MPSC granted OPC's and MECG's request for an AAO and required Evergy Missouri West to record a regulatory liability for the revenues discussed above for consideration in Evergy Missouri West's current rate case. Depending on the MPSC's decision in the current rate case, Evergy Missouri West could be required to refund to customers all or a portion of amounts collected in revenue for Sibley Station since December 2018 or, alternatively, could be required to make no refunds. As part of its current rate case, Evergy Missouri West is proposing to refund to customers the revenues collected from customers for non-fuel operations and maintenance costs and other costs associated with Sibley Station following the station's retirement but not the related return on investment.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As a result of the MPSC order, Evergy has recorded a regulatory liability of $34.7 million and $29.3 million as of June 30, 2022 and December 31, 2021, respectively, for the estimated amount of revenues that Evergy Missouri West has collected from customers for Sibley Station since December 2018 that Evergy has determined is probable of refund. Evergy expects that it will continue to defer such amounts as collected from customers until new rates become effective in Evergy Missouri West's current rate case.</w:t>
      </w:r>
    </w:p>
    <w:p>
      <w:pPr>
        <w:spacing w:after="0" w:line="176"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accrual for this estimated amount does not include certain revenues collected related to Sibley Station that Evergy has determined to not be probable of refund in the current rate case based on the relevant facts and circumstances. Although Evergy has determined these additional revenues to not be probable of refund, the ultimate resolution of this matter in Evergy Missouri West's current rate case is uncertain and could result in an estimated loss of approximately $50 million when new rates are expected to become effective in December 2022. Evergy's regulatory liability for probable refunds as of June 30, 2022 and estimated loss in excess of the amount accrued represent estimates that could change significantly based on ongoing developments including decisions in other regulatory proceedings that establish precedent applicable to this matter and positions of parties on this issue in Evergy Missouri West's 2022 rate case.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and Evergy Missouri West February 2021 Winter Weather Event AAO</w:t>
      </w:r>
    </w:p>
    <w:p>
      <w:pPr>
        <w:spacing w:after="0" w:line="16"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In June 2021, Evergy Metro and Evergy Missouri West filed a joint request for an AAO with the MPSC that would allow Evergy Metro and Evergy Missouri West to defer to a regulatory asset or regulatory liability any extraordinary costs or revenues, including carrying costs, to provide electric service during the February 2021 winter weather event for consideration in future proceedings.</w:t>
      </w:r>
    </w:p>
    <w:p>
      <w:pPr>
        <w:spacing w:after="0" w:line="178"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Evergy Metro and Evergy Missouri West have currently deferred substantially all of their fuel and purchased power costs, net of wholesale revenues, related to the February 2021 winter weather event to a regulatory asset or liability pursuant to their ability to recover or refund these amounts through their fuel recovery mechanisms, which allow for the recovery or refund of 95% of increases in fuel and purchased power costs, net of wholesale revenues, above the amount included in base rates to customers. This AAO request is intended to address the recovery or refund of the February 2021 winter weather event amounts separate from the normal fuel recovery mechanism process given the extraordinary nature of the February 2021 winter weather event and to help moderate customer bill impacts. Evergy Metro's Missouri jurisdiction recognized a regulatory liability of approximately $25 million related to its increased wholesale revenues during the February 2021 winter weather event. Evergy Missouri West recognized a regulatory asset of approximately $280 million related to its costs incurred during the February 2021 winter weather event, primarily consisting of increased fuel and purchased power costs.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In the AAO filing, Evergy Metro requested to refund its deferred February 2021 winter weather event amounts to customers through its fuel recovery mechanism over one year, beginning in April 2022. In the same AAO filing, Evergy Missouri West requested to exclude its deferred February 2021 winter weather event amounts from recovery through its fuel recovery mechanism and indicated its intent to recover them through issuing securitized bonds pursuant to the securitization legislation signed into law in Missouri in July 2021. As part of the filing, Evergy Metro also requested an approximately $5 million decrease to its February 2021 winter weather refund to Missouri customers, which is not currently reflected in its regulatory liability for the February 2021 winter weather event, for jurisdictional allocation differences in its Kansas and Missouri fuel recovery mechanisms and for the portion of net wholesale revenues not traditionally refundable because of the 5% sharing provision of its fuel recovery mechanism. Evergy Missouri West requested an approximately $15 million increase to its February 2021 winter weather event recovery from Missouri customers, which is not currently reflected in its regulatory asset for the February 2021 winter weather event, for the portion of net fuel and purchased power costs not traditionally recoverable because of the 5% sharing provision of its fuel recovery mechanism.</w:t>
      </w:r>
    </w:p>
    <w:p>
      <w:pPr>
        <w:spacing w:after="0" w:line="187"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In March 2022, the MPSC ordered Evergy Metro in a separate regulatory proceeding to file an adjustment to its fuel recovery mechanism in order to allow its wholesale revenues from the February 2021 winter weather event to be refunded to customers beginning in April 2022. The approximately $5 million decrease to the refund of February 2021 winter weather amounts requested by Evergy Metro due to jurisdictional allocation differences in its Kansas and Missouri fuel recovery mechanisms was not included in the adjustment and will be addressed in Evergy Metro's current rate case.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In April 2022, the MPSC staff filed a motion to suspend the February 2021 winter weather event AAO procedural schedule for Evergy Metro and Evergy Missouri West pending the resolution of Evergy Missouri West's petition for a securitization financing order discussed below. The MPSC granted the motion to suspend the AAO procedural schedule in April 2022. Evergy Metro began refunding the Missouri portion of its wholesale revenues from the February 2021 winter weather event to customers through its fuel recovery mechanism in April 2022.</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Missouri West February 2021 Winter Weather Event Securitization</w:t>
      </w:r>
    </w:p>
    <w:p>
      <w:pPr>
        <w:spacing w:after="0" w:line="16"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In March 2022, Evergy Missouri West filed a petition for financing order with the MPSC requesting authorization to finance its extraordinary fuel and purchased power costs incurred as part of the February 2021 winter weather event, including carrying costs, through the issuance of securitized bonds. Evergy Missouri West has requested to repay the securitized bonds and collect the related amounts from customers over a period of approximately 15 years from the date of issuance of the securitized bonds.</w:t>
      </w:r>
    </w:p>
    <w:p>
      <w:pPr>
        <w:spacing w:after="0" w:line="182"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On August 1, 2022, Evergy Missouri West, MPSC staff and other intervenors filed a non-unanimous stipulation and agreement with the MPSC resolving certain issues in the case. As part of the stipulation and agreement, the parties agreed that the amount that Evergy Missouri West would be allowed to recover through securitization would be $306.1 million. This amount is inclusive of Evergy Missouri West’s fuel and purchased power expenses incurred during the February 2021 winter weather event, expected upfront financing costs associated with the securitization and carrying costs expected to be accrued until the estimated securitization bond issuance in early 2023. The $306.1 million is subject to change pending the resolution of certain intervenor issues in the case and for the accrual of additional carrying charges in the event that the timing of the securitization bond issuance occurs beyond early 2023. The non-unanimous stipulation and agreement is subject to the approval of the MPSC.</w:t>
      </w:r>
    </w:p>
    <w:p>
      <w:pPr>
        <w:spacing w:after="0" w:line="180"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An order from the MPSC regarding Evergy Missouri West's petition and the non-unanimous stipulation and agreement is expected no later than October 2022.</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FERC Proceedings</w:t>
      </w:r>
    </w:p>
    <w:p>
      <w:pPr>
        <w:spacing w:after="0" w:line="22"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color w:val="auto"/>
        </w:rPr>
        <w:t>In October of each year, Evergy Kansas Central and Evergy Metro post an updated TFR that includes projected transmission capital expenditures and operating costs for the following year. This rate is the most significant component in the retail rate calculation for Evergy Kansas Central's and Evergy Metro's annual request with the KCC to adjust retail prices to include updated transmission costs through the TDC.</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TFR</w:t>
      </w:r>
    </w:p>
    <w:p>
      <w:pPr>
        <w:spacing w:after="0" w:line="16" w:lineRule="exact"/>
        <w:rPr>
          <w:sz w:val="20"/>
          <w:szCs w:val="20"/>
          <w:color w:val="auto"/>
        </w:rPr>
      </w:pPr>
    </w:p>
    <w:p>
      <w:pPr>
        <w:ind w:right="1100"/>
        <w:spacing w:after="0" w:line="244" w:lineRule="auto"/>
        <w:rPr>
          <w:sz w:val="20"/>
          <w:szCs w:val="20"/>
          <w:color w:val="auto"/>
        </w:rPr>
      </w:pPr>
      <w:r>
        <w:rPr>
          <w:rFonts w:ascii="Arial" w:cs="Arial" w:eastAsia="Arial" w:hAnsi="Arial"/>
          <w:sz w:val="20"/>
          <w:szCs w:val="20"/>
          <w:color w:val="auto"/>
        </w:rPr>
        <w:t>In the most recent two years, the updated TFR was expected to adjust Evergy Kansas Central's annual transmission revenues by approximately:</w:t>
      </w:r>
    </w:p>
    <w:p>
      <w:pPr>
        <w:spacing w:after="0" w:line="83"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$33.2 million increase effective in January 2022;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$32.4 million increase effective in January 2021.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TFR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 the most recent two years, the updated TFR was expected to adjust Evergy Metro's annual transmission revenues by approximately:</w:t>
      </w:r>
    </w:p>
    <w:p>
      <w:pPr>
        <w:spacing w:after="0" w:line="115" w:lineRule="exact"/>
        <w:rPr>
          <w:sz w:val="20"/>
          <w:szCs w:val="20"/>
          <w:color w:val="auto"/>
        </w:rPr>
      </w:pPr>
    </w:p>
    <w:p>
      <w:pPr>
        <w:ind w:left="640" w:hanging="308"/>
        <w:spacing w:after="0"/>
        <w:tabs>
          <w:tab w:leader="none" w:pos="640" w:val="left"/>
        </w:tabs>
        <w:numPr>
          <w:ilvl w:val="1"/>
          <w:numId w:val="6"/>
        </w:numPr>
        <w:rPr>
          <w:rFonts w:ascii="Arial" w:cs="Arial" w:eastAsia="Arial" w:hAnsi="Arial"/>
          <w:sz w:val="20"/>
          <w:szCs w:val="20"/>
          <w:color w:val="auto"/>
        </w:rPr>
      </w:pPr>
      <w:r>
        <w:rPr>
          <w:rFonts w:ascii="Arial" w:cs="Arial" w:eastAsia="Arial" w:hAnsi="Arial"/>
          <w:sz w:val="20"/>
          <w:szCs w:val="20"/>
          <w:color w:val="auto"/>
        </w:rPr>
        <w:t>$18.1 million increase effective in January 2022;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1"/>
          <w:numId w:val="6"/>
        </w:numPr>
        <w:rPr>
          <w:rFonts w:ascii="Arial" w:cs="Arial" w:eastAsia="Arial" w:hAnsi="Arial"/>
          <w:sz w:val="20"/>
          <w:szCs w:val="20"/>
          <w:color w:val="auto"/>
        </w:rPr>
      </w:pPr>
      <w:r>
        <w:rPr>
          <w:rFonts w:ascii="Arial" w:cs="Arial" w:eastAsia="Arial" w:hAnsi="Arial"/>
          <w:sz w:val="20"/>
          <w:szCs w:val="20"/>
          <w:color w:val="auto"/>
        </w:rPr>
        <w:t>$3.9 million decrease effective in January 2021.</w:t>
      </w:r>
    </w:p>
    <w:p>
      <w:pPr>
        <w:spacing w:after="0" w:line="209" w:lineRule="exact"/>
        <w:rPr>
          <w:rFonts w:ascii="Arial" w:cs="Arial" w:eastAsia="Arial" w:hAnsi="Arial"/>
          <w:sz w:val="20"/>
          <w:szCs w:val="20"/>
          <w:color w:val="auto"/>
        </w:rPr>
      </w:pPr>
    </w:p>
    <w:p>
      <w:pPr>
        <w:ind w:left="200" w:hanging="192"/>
        <w:spacing w:after="0"/>
        <w:tabs>
          <w:tab w:leader="none" w:pos="2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GOODWILL</w:t>
      </w:r>
    </w:p>
    <w:p>
      <w:pPr>
        <w:spacing w:after="0" w:line="114"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GAAP requires goodwill to be tested for impairment annually and when an event occurs indicating the possibility that an impairment exists. Evergy's impairment test for the $2,336.6 million of goodwill that was recorded as a result of the Great Plains Energy and Evergy Kansas Central merger was conducted as of May 1, 2022.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as management assesses financial performance and allocates resources on a consolidated basis. The determination of fair value of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 were evaluated and weighted to determine a point within the range that management considered representative of fair value for the reporting unit. The fair value of the reporting unit exceeded the carrying amount, including goodwill. As a result, there was no impairment of goodwill.</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PENSION PLANS AND POST-RETIREMENT BENEFITS</w:t>
      </w:r>
    </w:p>
    <w:p>
      <w:pPr>
        <w:spacing w:after="0" w:line="114"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 Evergy is also responsible for its indirect 94% ownership share of Wolf Creek Generating Station's (Wolf Creek) defined benefit plans, consisting of Evergy Kansas South's and Evergy Metro's respective 47% ownership shares.</w:t>
      </w:r>
    </w:p>
    <w:p>
      <w:pPr>
        <w:spacing w:after="0" w:line="194"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spacing w:after="0" w:line="165"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Evergy and its subsidiaries also provide certain post-retirement health care and life insurance benefits for substantially all retired employees of Evergy Kansas Central and Evergy Metro and their respective shares of Wolf Creek's post-retirement benefit plans.</w:t>
      </w:r>
    </w:p>
    <w:p>
      <w:pPr>
        <w:spacing w:after="0" w:line="152"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The Evergy Companies record pension and post-retirement expense in accordance with rate orders from the KCC and MPSC that allow the difference between pension and post-retirement costs under GAAP and costs for ratemaking to be recognized as a regulatory asset or liability. This difference between financial and regulatory accounting methods is due to timing and will be eliminated over the life of the plans.</w:t>
      </w:r>
    </w:p>
    <w:p>
      <w:pPr>
        <w:spacing w:after="0" w:line="191"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The following tables provide the components of net periodic benefit costs prior to the effects of capitalization and sharing with joint owners of power plants.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4"/>
          </w:tcPr>
          <w:p>
            <w:pPr>
              <w:jc w:val="center"/>
              <w:ind w:left="250"/>
              <w:spacing w:after="0"/>
              <w:rPr>
                <w:sz w:val="20"/>
                <w:szCs w:val="20"/>
                <w:color w:val="auto"/>
              </w:rPr>
            </w:pPr>
            <w:r>
              <w:rPr>
                <w:rFonts w:ascii="Arial" w:cs="Arial" w:eastAsia="Arial" w:hAnsi="Arial"/>
                <w:sz w:val="18"/>
                <w:szCs w:val="18"/>
                <w:b w:val="1"/>
                <w:bCs w:val="1"/>
                <w:color w:val="auto"/>
                <w:w w:val="89"/>
              </w:rPr>
              <w:t>Post-Retirement Benefits</w:t>
            </w:r>
          </w:p>
        </w:tc>
        <w:tc>
          <w:tcPr>
            <w:tcW w:w="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center"/>
              <w:ind w:right="210"/>
              <w:spacing w:after="0" w:line="181" w:lineRule="exact"/>
              <w:rPr>
                <w:sz w:val="20"/>
                <w:szCs w:val="20"/>
                <w:color w:val="auto"/>
              </w:rPr>
            </w:pPr>
            <w:r>
              <w:rPr>
                <w:rFonts w:ascii="Arial" w:cs="Arial" w:eastAsia="Arial" w:hAnsi="Arial"/>
                <w:sz w:val="18"/>
                <w:szCs w:val="18"/>
                <w:b w:val="1"/>
                <w:bCs w:val="1"/>
                <w:color w:val="auto"/>
                <w:w w:val="93"/>
              </w:rPr>
              <w:t>Evergy</w:t>
            </w:r>
          </w:p>
        </w:tc>
        <w:tc>
          <w:tcPr>
            <w:tcW w:w="220" w:type="dxa"/>
            <w:vAlign w:val="bottom"/>
          </w:tcPr>
          <w:p>
            <w:pPr>
              <w:spacing w:after="0"/>
              <w:rPr>
                <w:sz w:val="15"/>
                <w:szCs w:val="15"/>
                <w:color w:val="auto"/>
              </w:rPr>
            </w:pPr>
          </w:p>
        </w:tc>
        <w:tc>
          <w:tcPr>
            <w:tcW w:w="98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w w:val="99"/>
              </w:rPr>
              <w:t>Evergy</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89"/>
              </w:rPr>
              <w:t>Evergy</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June 30, 2022</w:t>
            </w:r>
          </w:p>
        </w:tc>
        <w:tc>
          <w:tcPr>
            <w:tcW w:w="180" w:type="dxa"/>
            <w:vAlign w:val="bottom"/>
          </w:tcPr>
          <w:p>
            <w:pPr>
              <w:spacing w:after="0"/>
              <w:rPr>
                <w:sz w:val="15"/>
                <w:szCs w:val="15"/>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Evergy</w:t>
            </w:r>
          </w:p>
        </w:tc>
        <w:tc>
          <w:tcPr>
            <w:tcW w:w="300" w:type="dxa"/>
            <w:vAlign w:val="bottom"/>
          </w:tcPr>
          <w:p>
            <w:pPr>
              <w:spacing w:after="0"/>
              <w:rPr>
                <w:sz w:val="15"/>
                <w:szCs w:val="15"/>
                <w:color w:val="auto"/>
              </w:rPr>
            </w:pPr>
          </w:p>
        </w:tc>
        <w:tc>
          <w:tcPr>
            <w:tcW w:w="102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w w:val="87"/>
              </w:rPr>
              <w:t>Kansas</w:t>
            </w: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7"/>
              </w:rPr>
              <w:t>Kansas</w:t>
            </w:r>
          </w:p>
        </w:tc>
        <w:tc>
          <w:tcPr>
            <w:tcW w:w="11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2"/>
              </w:rPr>
              <w:t>Evergy Metro</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6"/>
              </w:rPr>
              <w:t>Central</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Metro</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Central</w:t>
            </w:r>
          </w:p>
        </w:tc>
        <w:tc>
          <w:tcPr>
            <w:tcW w:w="11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loss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9.6</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980" w:type="dxa"/>
            <w:vAlign w:val="bottom"/>
          </w:tcPr>
          <w:p>
            <w:pPr>
              <w:ind w:left="20"/>
              <w:spacing w:after="0" w:line="156" w:lineRule="exact"/>
              <w:rPr>
                <w:sz w:val="20"/>
                <w:szCs w:val="20"/>
                <w:color w:val="auto"/>
              </w:rPr>
            </w:pPr>
            <w:r>
              <w:rPr>
                <w:rFonts w:ascii="Arial" w:cs="Arial" w:eastAsia="Arial" w:hAnsi="Arial"/>
                <w:sz w:val="18"/>
                <w:szCs w:val="18"/>
                <w:color w:val="auto"/>
              </w:rPr>
              <w:t>Net periodic benefit costs before regulatory</w:t>
            </w:r>
          </w:p>
        </w:tc>
        <w:tc>
          <w:tcPr>
            <w:tcW w:w="180" w:type="dxa"/>
            <w:vAlign w:val="bottom"/>
          </w:tcPr>
          <w:p>
            <w:pPr>
              <w:spacing w:after="0"/>
              <w:rPr>
                <w:sz w:val="13"/>
                <w:szCs w:val="13"/>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23.0</w:t>
            </w:r>
          </w:p>
        </w:tc>
        <w:tc>
          <w:tcPr>
            <w:tcW w:w="300" w:type="dxa"/>
            <w:vAlign w:val="bottom"/>
          </w:tcPr>
          <w:p>
            <w:pPr>
              <w:spacing w:after="0"/>
              <w:rPr>
                <w:sz w:val="13"/>
                <w:szCs w:val="13"/>
                <w:color w:val="auto"/>
              </w:rPr>
            </w:pPr>
          </w:p>
        </w:tc>
        <w:tc>
          <w:tcPr>
            <w:tcW w:w="1020" w:type="dxa"/>
            <w:vAlign w:val="bottom"/>
            <w:vMerge w:val="restart"/>
          </w:tcPr>
          <w:p>
            <w:pPr>
              <w:jc w:val="right"/>
              <w:ind w:right="9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3"/>
                <w:szCs w:val="13"/>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8"/>
                <w:szCs w:val="18"/>
                <w:color w:val="auto"/>
              </w:rPr>
              <w:t>17.8</w:t>
            </w:r>
          </w:p>
        </w:tc>
        <w:tc>
          <w:tcPr>
            <w:tcW w:w="340" w:type="dxa"/>
            <w:vAlign w:val="bottom"/>
          </w:tcPr>
          <w:p>
            <w:pPr>
              <w:spacing w:after="0"/>
              <w:rPr>
                <w:sz w:val="13"/>
                <w:szCs w:val="13"/>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980" w:type="dxa"/>
            <w:vAlign w:val="bottom"/>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adjustment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Intercompany allocations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costs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19.6</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3"/>
          </w:tcPr>
          <w:p>
            <w:pPr>
              <w:jc w:val="center"/>
              <w:ind w:right="50"/>
              <w:spacing w:after="0"/>
              <w:rPr>
                <w:sz w:val="20"/>
                <w:szCs w:val="20"/>
                <w:color w:val="auto"/>
              </w:rPr>
            </w:pPr>
            <w:r>
              <w:rPr>
                <w:rFonts w:ascii="Arial" w:cs="Arial" w:eastAsia="Arial" w:hAnsi="Arial"/>
                <w:sz w:val="18"/>
                <w:szCs w:val="18"/>
                <w:b w:val="1"/>
                <w:bCs w:val="1"/>
                <w:color w:val="auto"/>
                <w:w w:val="86"/>
              </w:rPr>
              <w:t>Pension Benefits</w:t>
            </w:r>
          </w:p>
        </w:tc>
        <w:tc>
          <w:tcPr>
            <w:tcW w:w="9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320" w:type="dxa"/>
            <w:vAlign w:val="bottom"/>
            <w:tcBorders>
              <w:top w:val="single" w:sz="8" w:color="auto"/>
            </w:tcBorders>
            <w:gridSpan w:val="5"/>
          </w:tcPr>
          <w:p>
            <w:pPr>
              <w:jc w:val="right"/>
              <w:ind w:right="710"/>
              <w:spacing w:after="0"/>
              <w:rPr>
                <w:sz w:val="20"/>
                <w:szCs w:val="20"/>
                <w:color w:val="auto"/>
              </w:rPr>
            </w:pPr>
            <w:r>
              <w:rPr>
                <w:rFonts w:ascii="Arial" w:cs="Arial" w:eastAsia="Arial" w:hAnsi="Arial"/>
                <w:sz w:val="18"/>
                <w:szCs w:val="18"/>
                <w:b w:val="1"/>
                <w:bCs w:val="1"/>
                <w:color w:val="auto"/>
              </w:rPr>
              <w:t>Post-Retirement Benefits</w:t>
            </w: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Evergy</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93"/>
              </w:rPr>
              <w:t>Evergy</w:t>
            </w:r>
          </w:p>
        </w:tc>
        <w:tc>
          <w:tcPr>
            <w:tcW w:w="360" w:type="dxa"/>
            <w:vAlign w:val="bottom"/>
          </w:tcPr>
          <w:p>
            <w:pPr>
              <w:spacing w:after="0"/>
              <w:rPr>
                <w:sz w:val="15"/>
                <w:szCs w:val="15"/>
                <w:color w:val="auto"/>
              </w:rPr>
            </w:pPr>
          </w:p>
        </w:tc>
        <w:tc>
          <w:tcPr>
            <w:tcW w:w="8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86"/>
              </w:rPr>
              <w:t>Evergy</w:t>
            </w:r>
          </w:p>
        </w:tc>
        <w:tc>
          <w:tcPr>
            <w:tcW w:w="0" w:type="dxa"/>
            <w:vAlign w:val="bottom"/>
          </w:tcPr>
          <w:p>
            <w:pPr>
              <w:spacing w:after="0"/>
              <w:rPr>
                <w:sz w:val="1"/>
                <w:szCs w:val="1"/>
                <w:color w:val="auto"/>
              </w:rPr>
            </w:pPr>
          </w:p>
        </w:tc>
      </w:tr>
      <w:tr>
        <w:trPr>
          <w:trHeight w:val="176"/>
        </w:trPr>
        <w:tc>
          <w:tcPr>
            <w:tcW w:w="3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Year to Date June 30, 2022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Evergy</w:t>
            </w:r>
          </w:p>
        </w:tc>
        <w:tc>
          <w:tcPr>
            <w:tcW w:w="280" w:type="dxa"/>
            <w:vAlign w:val="bottom"/>
          </w:tcPr>
          <w:p>
            <w:pPr>
              <w:spacing w:after="0"/>
              <w:rPr>
                <w:sz w:val="15"/>
                <w:szCs w:val="15"/>
                <w:color w:val="auto"/>
              </w:rPr>
            </w:pPr>
          </w:p>
        </w:tc>
        <w:tc>
          <w:tcPr>
            <w:tcW w:w="10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7"/>
              </w:rPr>
              <w:t>Kansas</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6"/>
              </w:rPr>
              <w:t>Evergy</w:t>
            </w:r>
          </w:p>
        </w:tc>
        <w:tc>
          <w:tcPr>
            <w:tcW w:w="240" w:type="dxa"/>
            <w:vAlign w:val="bottom"/>
          </w:tcPr>
          <w:p>
            <w:pPr>
              <w:spacing w:after="0"/>
              <w:rPr>
                <w:sz w:val="15"/>
                <w:szCs w:val="15"/>
                <w:color w:val="auto"/>
              </w:rPr>
            </w:pPr>
          </w:p>
        </w:tc>
        <w:tc>
          <w:tcPr>
            <w:tcW w:w="98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7"/>
              </w:rPr>
              <w:t>Kansas</w:t>
            </w:r>
          </w:p>
        </w:tc>
        <w:tc>
          <w:tcPr>
            <w:tcW w:w="3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Central</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Metro</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Central</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Metro</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3"/>
          </w:tcPr>
          <w:p>
            <w:pPr>
              <w:jc w:val="right"/>
              <w:ind w:right="790"/>
              <w:spacing w:after="0"/>
              <w:rPr>
                <w:sz w:val="20"/>
                <w:szCs w:val="20"/>
                <w:color w:val="auto"/>
              </w:rPr>
            </w:pPr>
            <w:r>
              <w:rPr>
                <w:rFonts w:ascii="Arial" w:cs="Arial" w:eastAsia="Arial" w:hAnsi="Arial"/>
                <w:sz w:val="16"/>
                <w:szCs w:val="16"/>
                <w:color w:val="auto"/>
              </w:rPr>
              <w:t>(millions)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19.9</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(gain)/loss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55"/>
        </w:trPr>
        <w:tc>
          <w:tcPr>
            <w:tcW w:w="4060" w:type="dxa"/>
            <w:vAlign w:val="bottom"/>
            <w:gridSpan w:val="3"/>
          </w:tcPr>
          <w:p>
            <w:pPr>
              <w:ind w:left="20"/>
              <w:spacing w:after="0" w:line="156" w:lineRule="exact"/>
              <w:rPr>
                <w:sz w:val="20"/>
                <w:szCs w:val="20"/>
                <w:color w:val="auto"/>
              </w:rPr>
            </w:pPr>
            <w:r>
              <w:rPr>
                <w:rFonts w:ascii="Arial" w:cs="Arial" w:eastAsia="Arial" w:hAnsi="Arial"/>
                <w:sz w:val="18"/>
                <w:szCs w:val="18"/>
                <w:color w:val="auto"/>
                <w:w w:val="92"/>
              </w:rPr>
              <w:t>Net periodic benefit costs before regulatory adjustment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45.9</w:t>
            </w:r>
          </w:p>
        </w:tc>
        <w:tc>
          <w:tcPr>
            <w:tcW w:w="280" w:type="dxa"/>
            <w:vAlign w:val="bottom"/>
          </w:tcPr>
          <w:p>
            <w:pPr>
              <w:spacing w:after="0"/>
              <w:rPr>
                <w:sz w:val="13"/>
                <w:szCs w:val="13"/>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13"/>
                <w:szCs w:val="13"/>
                <w:color w:val="auto"/>
              </w:rPr>
            </w:pPr>
          </w:p>
        </w:tc>
        <w:tc>
          <w:tcPr>
            <w:tcW w:w="980" w:type="dxa"/>
            <w:vAlign w:val="bottom"/>
            <w:vMerge w:val="restart"/>
          </w:tcPr>
          <w:p>
            <w:pPr>
              <w:jc w:val="right"/>
              <w:ind w:right="31"/>
              <w:spacing w:after="0"/>
              <w:rPr>
                <w:sz w:val="20"/>
                <w:szCs w:val="20"/>
                <w:color w:val="auto"/>
              </w:rPr>
            </w:pPr>
            <w:r>
              <w:rPr>
                <w:rFonts w:ascii="Arial" w:cs="Arial" w:eastAsia="Arial" w:hAnsi="Arial"/>
                <w:sz w:val="18"/>
                <w:szCs w:val="18"/>
                <w:color w:val="auto"/>
              </w:rPr>
              <w:t>35.5</w:t>
            </w:r>
          </w:p>
        </w:tc>
        <w:tc>
          <w:tcPr>
            <w:tcW w:w="300" w:type="dxa"/>
            <w:vAlign w:val="bottom"/>
          </w:tcPr>
          <w:p>
            <w:pPr>
              <w:spacing w:after="0"/>
              <w:rPr>
                <w:sz w:val="13"/>
                <w:szCs w:val="13"/>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and intercompany allocations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adjustment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Intercompany allocations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costs (income)</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39.3</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345"/>
        </w:trPr>
        <w:tc>
          <w:tcPr>
            <w:tcW w:w="3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6"/>
              </w:rPr>
              <w:t>Pension Benefits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9"/>
              </w:rPr>
              <w:t>Post-Retirement Benefits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ind w:right="250"/>
              <w:spacing w:after="0" w:line="181" w:lineRule="exact"/>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w w:val="93"/>
              </w:rPr>
              <w:t>Evergy</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70"/>
              <w:spacing w:after="0" w:line="181" w:lineRule="exact"/>
              <w:rPr>
                <w:sz w:val="20"/>
                <w:szCs w:val="20"/>
                <w:color w:val="auto"/>
              </w:rPr>
            </w:pPr>
            <w:r>
              <w:rPr>
                <w:rFonts w:ascii="Arial" w:cs="Arial" w:eastAsia="Arial" w:hAnsi="Arial"/>
                <w:sz w:val="18"/>
                <w:szCs w:val="18"/>
                <w:b w:val="1"/>
                <w:bCs w:val="1"/>
                <w:color w:val="auto"/>
                <w:w w:val="93"/>
              </w:rPr>
              <w:t>Evergy</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June 30, 2021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3"/>
              </w:rPr>
              <w:t>Evergy</w:t>
            </w:r>
          </w:p>
        </w:tc>
        <w:tc>
          <w:tcPr>
            <w:tcW w:w="280" w:type="dxa"/>
            <w:vAlign w:val="bottom"/>
          </w:tcPr>
          <w:p>
            <w:pPr>
              <w:spacing w:after="0"/>
              <w:rPr>
                <w:sz w:val="15"/>
                <w:szCs w:val="15"/>
                <w:color w:val="auto"/>
              </w:rPr>
            </w:pPr>
          </w:p>
        </w:tc>
        <w:tc>
          <w:tcPr>
            <w:tcW w:w="1000" w:type="dxa"/>
            <w:vAlign w:val="bottom"/>
          </w:tcPr>
          <w:p>
            <w:pPr>
              <w:jc w:val="center"/>
              <w:ind w:right="270"/>
              <w:spacing w:after="0" w:line="176" w:lineRule="exact"/>
              <w:rPr>
                <w:sz w:val="20"/>
                <w:szCs w:val="20"/>
                <w:color w:val="auto"/>
              </w:rPr>
            </w:pPr>
            <w:r>
              <w:rPr>
                <w:rFonts w:ascii="Arial" w:cs="Arial" w:eastAsia="Arial" w:hAnsi="Arial"/>
                <w:sz w:val="18"/>
                <w:szCs w:val="18"/>
                <w:b w:val="1"/>
                <w:bCs w:val="1"/>
                <w:color w:val="auto"/>
                <w:w w:val="87"/>
              </w:rPr>
              <w:t>Kansas</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Kansas</w:t>
            </w:r>
          </w:p>
        </w:tc>
        <w:tc>
          <w:tcPr>
            <w:tcW w:w="11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2"/>
              </w:rPr>
              <w:t>Evergy Metro</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3"/>
              </w:rPr>
              <w:t>Central</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Metro</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6"/>
              </w:rPr>
              <w:t>Central</w:t>
            </w:r>
          </w:p>
        </w:tc>
        <w:tc>
          <w:tcPr>
            <w:tcW w:w="11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21.2</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21.3</w:t>
            </w:r>
          </w:p>
        </w:tc>
        <w:tc>
          <w:tcPr>
            <w:tcW w:w="28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(gain)/loss</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14.7</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11.1</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55"/>
        </w:trPr>
        <w:tc>
          <w:tcPr>
            <w:tcW w:w="3940" w:type="dxa"/>
            <w:vAlign w:val="bottom"/>
          </w:tcPr>
          <w:p>
            <w:pPr>
              <w:ind w:left="20"/>
              <w:spacing w:after="0" w:line="156" w:lineRule="exact"/>
              <w:rPr>
                <w:sz w:val="20"/>
                <w:szCs w:val="20"/>
                <w:color w:val="auto"/>
              </w:rPr>
            </w:pPr>
            <w:r>
              <w:rPr>
                <w:rFonts w:ascii="Arial" w:cs="Arial" w:eastAsia="Arial" w:hAnsi="Arial"/>
                <w:sz w:val="18"/>
                <w:szCs w:val="18"/>
                <w:color w:val="auto"/>
              </w:rPr>
              <w:t>Net periodic benefit costs before regulatory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30.9</w:t>
            </w:r>
          </w:p>
        </w:tc>
        <w:tc>
          <w:tcPr>
            <w:tcW w:w="280" w:type="dxa"/>
            <w:vAlign w:val="bottom"/>
          </w:tcPr>
          <w:p>
            <w:pPr>
              <w:spacing w:after="0"/>
              <w:rPr>
                <w:sz w:val="13"/>
                <w:szCs w:val="13"/>
                <w:color w:val="auto"/>
              </w:rPr>
            </w:pPr>
          </w:p>
        </w:tc>
        <w:tc>
          <w:tcPr>
            <w:tcW w:w="1000" w:type="dxa"/>
            <w:vAlign w:val="bottom"/>
            <w:vMerge w:val="restart"/>
          </w:tcPr>
          <w:p>
            <w:pPr>
              <w:jc w:val="right"/>
              <w:ind w:right="110"/>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3"/>
                <w:szCs w:val="13"/>
                <w:color w:val="auto"/>
              </w:rPr>
            </w:pPr>
          </w:p>
        </w:tc>
        <w:tc>
          <w:tcPr>
            <w:tcW w:w="980" w:type="dxa"/>
            <w:vAlign w:val="bottom"/>
            <w:vMerge w:val="restart"/>
          </w:tcPr>
          <w:p>
            <w:pPr>
              <w:jc w:val="right"/>
              <w:ind w:right="111"/>
              <w:spacing w:after="0"/>
              <w:rPr>
                <w:sz w:val="20"/>
                <w:szCs w:val="20"/>
                <w:color w:val="auto"/>
              </w:rPr>
            </w:pPr>
            <w:r>
              <w:rPr>
                <w:rFonts w:ascii="Arial" w:cs="Arial" w:eastAsia="Arial" w:hAnsi="Arial"/>
                <w:sz w:val="18"/>
                <w:szCs w:val="18"/>
                <w:color w:val="auto"/>
              </w:rPr>
              <w:t>21.2</w:t>
            </w:r>
          </w:p>
        </w:tc>
        <w:tc>
          <w:tcPr>
            <w:tcW w:w="300" w:type="dxa"/>
            <w:vAlign w:val="bottom"/>
          </w:tcPr>
          <w:p>
            <w:pPr>
              <w:spacing w:after="0"/>
              <w:rPr>
                <w:sz w:val="13"/>
                <w:szCs w:val="13"/>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3"/>
                <w:szCs w:val="13"/>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3940" w:type="dxa"/>
            <w:vAlign w:val="bottom"/>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adjustment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Intercompany allocations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0.8</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costs (income)</w:t>
            </w:r>
          </w:p>
        </w:tc>
        <w:tc>
          <w:tcPr>
            <w:tcW w:w="1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37.5</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16.5</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331"/>
        </w:trPr>
        <w:tc>
          <w:tcPr>
            <w:tcW w:w="3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Pension Benefits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9"/>
              </w:rPr>
              <w:t>Post-Retirement Benefits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ind w:right="210"/>
              <w:spacing w:after="0" w:line="181" w:lineRule="exact"/>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w w:val="99"/>
              </w:rPr>
              <w:t>Evergy</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70"/>
              <w:spacing w:after="0" w:line="181" w:lineRule="exact"/>
              <w:rPr>
                <w:sz w:val="20"/>
                <w:szCs w:val="20"/>
                <w:color w:val="auto"/>
              </w:rPr>
            </w:pPr>
            <w:r>
              <w:rPr>
                <w:rFonts w:ascii="Arial" w:cs="Arial" w:eastAsia="Arial" w:hAnsi="Arial"/>
                <w:sz w:val="18"/>
                <w:szCs w:val="18"/>
                <w:b w:val="1"/>
                <w:bCs w:val="1"/>
                <w:color w:val="auto"/>
                <w:w w:val="93"/>
              </w:rPr>
              <w:t>Evergy</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Year to Date June 30, 2021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3"/>
              </w:rPr>
              <w:t>Evergy</w:t>
            </w:r>
          </w:p>
        </w:tc>
        <w:tc>
          <w:tcPr>
            <w:tcW w:w="280" w:type="dxa"/>
            <w:vAlign w:val="bottom"/>
          </w:tcPr>
          <w:p>
            <w:pPr>
              <w:spacing w:after="0"/>
              <w:rPr>
                <w:sz w:val="15"/>
                <w:szCs w:val="15"/>
                <w:color w:val="auto"/>
              </w:rPr>
            </w:pPr>
          </w:p>
        </w:tc>
        <w:tc>
          <w:tcPr>
            <w:tcW w:w="100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87"/>
              </w:rPr>
              <w:t>Kansas</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Kansas</w:t>
            </w:r>
          </w:p>
        </w:tc>
        <w:tc>
          <w:tcPr>
            <w:tcW w:w="11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2"/>
              </w:rPr>
              <w:t>Evergy Metro</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3"/>
              </w:rPr>
              <w:t>Central</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Metro</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6"/>
              </w:rPr>
              <w:t>Central</w:t>
            </w:r>
          </w:p>
        </w:tc>
        <w:tc>
          <w:tcPr>
            <w:tcW w:w="11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42.6</w:t>
            </w:r>
          </w:p>
        </w:tc>
        <w:tc>
          <w:tcPr>
            <w:tcW w:w="2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(gain)/loss</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29.5</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19.3</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22.3</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55"/>
        </w:trPr>
        <w:tc>
          <w:tcPr>
            <w:tcW w:w="3940" w:type="dxa"/>
            <w:vAlign w:val="bottom"/>
          </w:tcPr>
          <w:p>
            <w:pPr>
              <w:ind w:left="20"/>
              <w:spacing w:after="0" w:line="156" w:lineRule="exact"/>
              <w:rPr>
                <w:sz w:val="20"/>
                <w:szCs w:val="20"/>
                <w:color w:val="auto"/>
              </w:rPr>
            </w:pPr>
            <w:r>
              <w:rPr>
                <w:rFonts w:ascii="Arial" w:cs="Arial" w:eastAsia="Arial" w:hAnsi="Arial"/>
                <w:sz w:val="18"/>
                <w:szCs w:val="18"/>
                <w:color w:val="auto"/>
              </w:rPr>
              <w:t>Net periodic benefit costs before regulatory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13"/>
                <w:szCs w:val="13"/>
                <w:color w:val="auto"/>
              </w:rPr>
            </w:pPr>
          </w:p>
        </w:tc>
        <w:tc>
          <w:tcPr>
            <w:tcW w:w="1000" w:type="dxa"/>
            <w:vAlign w:val="bottom"/>
            <w:vMerge w:val="restart"/>
          </w:tcPr>
          <w:p>
            <w:pPr>
              <w:jc w:val="right"/>
              <w:ind w:right="90"/>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3"/>
                <w:szCs w:val="13"/>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8"/>
                <w:szCs w:val="18"/>
                <w:color w:val="auto"/>
              </w:rPr>
              <w:t>42.4</w:t>
            </w:r>
          </w:p>
        </w:tc>
        <w:tc>
          <w:tcPr>
            <w:tcW w:w="300" w:type="dxa"/>
            <w:vAlign w:val="bottom"/>
          </w:tcPr>
          <w:p>
            <w:pPr>
              <w:spacing w:after="0"/>
              <w:rPr>
                <w:sz w:val="13"/>
                <w:szCs w:val="13"/>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3"/>
                <w:szCs w:val="13"/>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adjustment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Intercompany allocations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costs (income)</w:t>
            </w:r>
          </w:p>
        </w:tc>
        <w:tc>
          <w:tcPr>
            <w:tcW w:w="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75.5</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29.2</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34.8</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components of net periodic benefit costs other than the service cost component are included in other expense on the Evergy Companies' consolidated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Year to date June 30, 2022, Evergy, Evergy Kansas Central and Evergy Metro made pension contributions of $19.9 million, $11.8 million and $8.1 million, respectively. Evergy expects to make additional pension contributions of $78.8 million in 2022 to satisfy the Employee Retirement Income Security Act of 1974, as amended (ERISA) funding requirements and KCC and MPSC rate orders, of which $14.4 million is expected to be paid by Evergy Kansas Central and $64.4 million is expected to be paid by Evergy Metro.</w:t>
      </w:r>
    </w:p>
    <w:p>
      <w:pPr>
        <w:spacing w:after="0" w:line="176" w:lineRule="exact"/>
        <w:rPr>
          <w:sz w:val="20"/>
          <w:szCs w:val="20"/>
          <w:color w:val="auto"/>
        </w:rPr>
      </w:pPr>
    </w:p>
    <w:p>
      <w:pPr>
        <w:jc w:val="both"/>
        <w:ind w:right="340"/>
        <w:spacing w:after="0" w:line="269" w:lineRule="auto"/>
        <w:rPr>
          <w:sz w:val="20"/>
          <w:szCs w:val="20"/>
          <w:color w:val="auto"/>
        </w:rPr>
      </w:pPr>
      <w:r>
        <w:rPr>
          <w:rFonts w:ascii="Arial" w:cs="Arial" w:eastAsia="Arial" w:hAnsi="Arial"/>
          <w:sz w:val="19"/>
          <w:szCs w:val="19"/>
          <w:color w:val="auto"/>
        </w:rPr>
        <w:t>Year to date June 30, 2022, Evergy, Evergy Kansas Central and Evergy Metro made post-retirement benefit contributions of $0.2 million, $0.1 million and $0.1 million, respectively. Evergy, Evergy Kansas Central and Evergy Metro expect to make additional contributions in 2022 of $2.0 million, $0.4 million and $1.6 million, respectively, to the post-retirement benefit plans.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SHORT-TERM BORROWINGS AND SHORT-TERM BANK LINES OF CREDIT</w:t>
      </w:r>
    </w:p>
    <w:p>
      <w:pPr>
        <w:spacing w:after="0" w:line="114"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Evergy's $2.5 billion master credit facility expires in 2026. Evergy, Evergy Kansas Central, Evergy Metro and Evergy Missouri West have borrowing capacity under the master credit facility with specific sublimits for each borrower. These sublimits can be unilaterally adjusted by Evergy for each borrower provided the sublimits remain within minimum and maximum sublimits as specified in the facility. The applicable interest rates and commitment fees of the facility are subject to upward or downward adjustments, within certain limitations, if Evergy achieves, or fails to achieve, certain sustainability-linked targets based on two key performance indicator metrics: (i) Non-Emitting Generation Capacity and (ii) Diverse Supplier Spend (as defined in the facility).</w:t>
      </w:r>
    </w:p>
    <w:p>
      <w:pPr>
        <w:spacing w:after="0" w:line="178"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A default by any borrower under the facility or one of its significant subsidiaries on other indebtedness totaling more than $100.0 million constitutes a default by that borrower under the facility. Under the terms of this facility, each of Evergy, Evergy Kansas Central, Evergy Metro and Evergy Missouri West is required to maintain a total indebtedness to total capitalization ratio, as defined in the facility, of not greater than 0.65 to 1.00 at all times. As of June 30, 2022, Evergy, Evergy Kansas Central, Evergy Metro and Evergy Missouri West were in compliance with this covenant.</w:t>
      </w:r>
    </w:p>
    <w:p>
      <w:pPr>
        <w:spacing w:after="0" w:line="194"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The following table summarizes the committed credit facilities (excluding receivable sale facilities discussed in Note 3) available to the Evergy Companies as of June 30, 2022 and December 31, 2021.</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2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2"/>
              </w:rPr>
              <w:t>Amounts Drawn</w:t>
            </w:r>
          </w:p>
        </w:tc>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080" w:type="dxa"/>
            <w:vAlign w:val="bottom"/>
            <w:tcBorders>
              <w:top w:val="single" w:sz="8" w:color="auto"/>
              <w:bottom w:val="single" w:sz="8" w:color="auto"/>
            </w:tcBorders>
            <w:vMerge w:val="restart"/>
          </w:tcPr>
          <w:p>
            <w:pPr>
              <w:jc w:val="center"/>
              <w:ind w:left="11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56"/>
        </w:trPr>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2"/>
              </w:rPr>
              <w:t>Master Credit</w:t>
            </w:r>
          </w:p>
        </w:tc>
        <w:tc>
          <w:tcPr>
            <w:tcW w:w="160" w:type="dxa"/>
            <w:vAlign w:val="bottom"/>
          </w:tcPr>
          <w:p>
            <w:pPr>
              <w:spacing w:after="0"/>
              <w:rPr>
                <w:sz w:val="13"/>
                <w:szCs w:val="13"/>
                <w:color w:val="auto"/>
              </w:rPr>
            </w:pPr>
          </w:p>
        </w:tc>
        <w:tc>
          <w:tcPr>
            <w:tcW w:w="11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3"/>
              </w:rPr>
              <w:t>Commercial</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Cash</w:t>
            </w: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Available</w:t>
            </w: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2"/>
              </w:rPr>
              <w:t>Letters of Credit</w:t>
            </w: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2080" w:type="dxa"/>
            <w:vAlign w:val="bottom"/>
          </w:tcPr>
          <w:p>
            <w:pPr>
              <w:jc w:val="center"/>
              <w:ind w:left="110"/>
              <w:spacing w:after="0" w:line="176" w:lineRule="exact"/>
              <w:rPr>
                <w:sz w:val="20"/>
                <w:szCs w:val="20"/>
                <w:color w:val="auto"/>
              </w:rPr>
            </w:pPr>
            <w:r>
              <w:rPr>
                <w:rFonts w:ascii="Arial" w:cs="Arial" w:eastAsia="Arial" w:hAnsi="Arial"/>
                <w:sz w:val="18"/>
                <w:szCs w:val="18"/>
                <w:b w:val="1"/>
                <w:bCs w:val="1"/>
                <w:color w:val="auto"/>
                <w:w w:val="90"/>
              </w:rPr>
              <w:t>Interest Rate on Short-</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Facility</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Paper</w:t>
            </w:r>
          </w:p>
        </w:tc>
        <w:tc>
          <w:tcPr>
            <w:tcW w:w="134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Borrowings</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Borrowings</w:t>
            </w:r>
          </w:p>
        </w:tc>
        <w:tc>
          <w:tcPr>
            <w:tcW w:w="20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1"/>
              </w:rPr>
              <w:t>Term Borrowings</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251"/>
              <w:spacing w:after="0"/>
              <w:rPr>
                <w:sz w:val="20"/>
                <w:szCs w:val="20"/>
                <w:color w:val="auto"/>
              </w:rPr>
            </w:pPr>
            <w:r>
              <w:rPr>
                <w:rFonts w:ascii="Arial" w:cs="Arial" w:eastAsia="Arial" w:hAnsi="Arial"/>
                <w:sz w:val="16"/>
                <w:szCs w:val="16"/>
                <w:color w:val="auto"/>
              </w:rPr>
              <w:t>(millions)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1.87%</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728.5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271.4</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1.91%</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Evergy Missouri West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080" w:type="dxa"/>
            <w:vAlign w:val="bottom"/>
            <w:tcBorders>
              <w:bottom w:val="single" w:sz="8" w:color="CCEEFF"/>
            </w:tcBorders>
          </w:tcPr>
          <w:p>
            <w:pPr>
              <w:jc w:val="center"/>
              <w:ind w:left="110"/>
              <w:spacing w:after="0"/>
              <w:rPr>
                <w:sz w:val="20"/>
                <w:szCs w:val="20"/>
                <w:color w:val="auto"/>
              </w:rPr>
            </w:pPr>
            <w:r>
              <w:rPr>
                <w:rFonts w:ascii="Arial" w:cs="Arial" w:eastAsia="Arial" w:hAnsi="Arial"/>
                <w:sz w:val="18"/>
                <w:szCs w:val="18"/>
                <w:color w:val="auto"/>
                <w:w w:val="93"/>
              </w:rPr>
              <w:t>1.92%</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970.7</w:t>
            </w: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Evergy,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358.0</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341.3</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0.34%</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0.41%</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Evergy Metro</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350.0</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Missouri West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0.40%</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Evergy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1,159.3</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1,339.9</w:t>
            </w:r>
          </w:p>
        </w:tc>
        <w:tc>
          <w:tcPr>
            <w:tcW w:w="2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In February 2022, Evergy, Inc. entered into a $500.0 million unsecured Term Loan Credit Agreement (Term Loan Facility) that expires in February 2023. As of June 30, 2022, Evergy had borrowed $500.0 million under the Term Loan Facility. The weighted average interest rate for borrowings under the Term Loan Facility as of June 30, 2022,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was 2.33%. Evergy's borrowings under the Term Loan Facility were used for, among other things, working capital, capital expenditures and general corporate purposes. The Term Loan Facility contains customary covenants, including one that sets the ratio of maximum allowed total indebtedness to total capitalization of not greater than 0.65 to 1.00, for Evergy and its subsidiaries on a consolidated basis. As of June 30, 2022, Evergy was in compliance with this covenant.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LONG-TERM DEBT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Mortgage Bonds</w:t>
      </w:r>
    </w:p>
    <w:p>
      <w:pPr>
        <w:spacing w:after="0" w:line="22"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In March 2022, Evergy Missouri West entered into a First Mortgage Indenture and Deed of Trust, dated as of March 1, 2022 (Evergy Missouri West Mortgage Indenture), establishing a first mortgage lien on substantially all of its present properties and certain after-acquired properties, subject to certain exceptions. In connection with the establishment of the Evergy Missouri West Mortgage Indenture, Evergy Missouri West issued collateral mortgage bonds secured by the Evergy Missouri West Mortgage Indenture to serve as collateral for Evergy Missouri West's obligations under the following outstanding unsecured senior notes:</w:t>
      </w:r>
    </w:p>
    <w:p>
      <w:pPr>
        <w:spacing w:after="0" w:line="74"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$36.0 million of 3.49% Series A, maturing in 2025;</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$60.0 million of 4.06% Series B, maturing in 2033;</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$150.0 million of 4.74% Series C, maturing in 2043;</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$350.0 million of 2.86% Series A, maturing in 2031;</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$75.0 million of 3.01% Series B, maturing in 2033;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$75.0 million of 3.21% Series C, maturing in 2036.</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collateral mortgage bonds were issued to the holders of the unsecured senior notes, are only payable if Evergy Missouri West defaults on the underlying unsecured senior notes and do not increase the amount of outstanding debt for Evergy Missouri West.</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As a result of the above transactions, Evergy Missouri West's outstanding senior notes have effectively become secured by the mortgage lien of the Evergy Missouri West Mortgage Indenture and rank equally and ratably with all of Evergy Missouri West's mortgage bonds, regardless of series, from time to time issued and outstanding under the Evergy Missouri West Mortgage Indenture.</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Also in March 2022, Evergy Missouri West issued, at a discount, $250.0 million of 3.75% First Mortgage Bonds, maturing in 2032.</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Notes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In March 2022, Evergy Missouri West repaid its $100.0 million of 3.74% Senior Notes at maturity.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In June 2022, Evergy repaid its $287.5 million of 5.292% Senior Notes at maturity.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Pollution Control Bonds</w:t>
      </w:r>
    </w:p>
    <w:p>
      <w:pPr>
        <w:spacing w:after="0" w:line="22"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In July 2022, Evergy Metro remarketed its unsecured Series 2008 Environmental Improvement Revenue Refunding (EIRR) bonds maturing in 2038 totaling $23.4 million at a fixed rate of 3.50% through June 30, 2025.</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FAIR VALUE MEASUREMENTS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Values of Financial Instruments</w:t>
      </w:r>
    </w:p>
    <w:p>
      <w:pPr>
        <w:spacing w:after="0" w:line="22" w:lineRule="exact"/>
        <w:rPr>
          <w:sz w:val="20"/>
          <w:szCs w:val="20"/>
          <w:color w:val="auto"/>
        </w:rPr>
      </w:pPr>
    </w:p>
    <w:p>
      <w:pPr>
        <w:ind w:right="60"/>
        <w:spacing w:after="0"/>
        <w:rPr>
          <w:sz w:val="20"/>
          <w:szCs w:val="20"/>
          <w:color w:val="auto"/>
        </w:rPr>
      </w:pPr>
      <w:r>
        <w:rPr>
          <w:rFonts w:ascii="Arial" w:cs="Arial" w:eastAsia="Arial" w:hAnsi="Arial"/>
          <w:sz w:val="20"/>
          <w:szCs w:val="20"/>
          <w:color w:val="auto"/>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net asset value (NAV), which are not included in the fair value hierarchy. Further explanation of these levels and NAV is summarized below.</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0" w:name="page41"/>
    <w:bookmarkEnd w:id="4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Level 1 – Quoted prices are available in active markets for identical assets or liabilities. The types of assets and liabilities included in Level 1 are highly liquid and actively traded instruments with quoted prices, such as equities listed on public exchanges.</w:t>
      </w:r>
    </w:p>
    <w:p>
      <w:pPr>
        <w:spacing w:after="0" w:line="152"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Level 2 – Pricing inputs are not quoted prices in active markets but are either directly or indirectly observable. The types of assets and liabilities included in Level 2 are certain marketable debt securities, financial instruments traded in less than active markets or other financial instruments priced with models using highly observable inputs.</w:t>
      </w:r>
    </w:p>
    <w:p>
      <w:pPr>
        <w:spacing w:after="0" w:line="186"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Level 3 – Significant inputs to pricing have little or no transparency. The types of assets and liabilities included in Level 3 are those with inputs requiring significant management judgment or estimation.</w:t>
      </w:r>
    </w:p>
    <w:p>
      <w:pPr>
        <w:spacing w:after="0" w:line="17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spacing w:after="0" w:line="16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Evergy Companies record cash and cash equivalents, accounts receivable and short-term borrowings on their consolidated balance sheets at cost, which approximates fair value due to the short-term nature of these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Long-Term Debt</w:t>
      </w:r>
    </w:p>
    <w:p>
      <w:pPr>
        <w:spacing w:after="0" w:line="2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 Evergy Companies measure the fair value of long-term debt using Level 2 measurements available as of the measurement date. The book value and fair value of the Evergy Companies' long-term debt and long-term debt of variable interest entities is summarized in the following table.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960" w:type="dxa"/>
            <w:vAlign w:val="bottom"/>
            <w:tcBorders>
              <w:top w:val="single" w:sz="8" w:color="auto"/>
            </w:tcBorders>
            <w:gridSpan w:val="4"/>
          </w:tcPr>
          <w:p>
            <w:pPr>
              <w:ind w:left="760"/>
              <w:spacing w:after="0"/>
              <w:rPr>
                <w:sz w:val="20"/>
                <w:szCs w:val="20"/>
                <w:color w:val="auto"/>
              </w:rPr>
            </w:pPr>
            <w:r>
              <w:rPr>
                <w:rFonts w:ascii="Arial" w:cs="Arial" w:eastAsia="Arial" w:hAnsi="Arial"/>
                <w:sz w:val="18"/>
                <w:szCs w:val="18"/>
                <w:b w:val="1"/>
                <w:bCs w:val="1"/>
                <w:color w:val="auto"/>
              </w:rPr>
              <w:t>June 30, 2022</w:t>
            </w:r>
          </w:p>
        </w:tc>
        <w:tc>
          <w:tcPr>
            <w:tcW w:w="22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51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18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Long-term debt</w:t>
            </w:r>
            <w:r>
              <w:rPr>
                <w:rFonts w:ascii="Arial" w:cs="Arial" w:eastAsia="Arial" w:hAnsi="Arial"/>
                <w:sz w:val="23"/>
                <w:szCs w:val="23"/>
                <w:b w:val="1"/>
                <w:bCs w:val="1"/>
                <w:color w:val="auto"/>
                <w:vertAlign w:val="superscript"/>
              </w:rPr>
              <w:t>(a)</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(millions)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Evergy</w:t>
            </w:r>
            <w:r>
              <w:rPr>
                <w:rFonts w:ascii="Arial" w:cs="Arial" w:eastAsia="Arial" w:hAnsi="Arial"/>
                <w:sz w:val="23"/>
                <w:szCs w:val="23"/>
                <w:color w:val="auto"/>
                <w:vertAlign w:val="superscript"/>
              </w:rPr>
              <w:t>(b)</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9,546.2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9,687.2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10,758.5</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1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3,935.6</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3,632.8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ind w:left="520"/>
              <w:spacing w:after="0"/>
              <w:rPr>
                <w:sz w:val="20"/>
                <w:szCs w:val="20"/>
                <w:color w:val="auto"/>
              </w:rPr>
            </w:pPr>
            <w:r>
              <w:rPr>
                <w:rFonts w:ascii="Arial" w:cs="Arial" w:eastAsia="Arial" w:hAnsi="Arial"/>
                <w:sz w:val="18"/>
                <w:szCs w:val="18"/>
                <w:color w:val="auto"/>
              </w:rPr>
              <w:t>3,934.2</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4,522.5</w:t>
            </w:r>
          </w:p>
        </w:tc>
      </w:tr>
      <w:tr>
        <w:trPr>
          <w:trHeight w:val="236"/>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2,925.8</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2,843.2</w:t>
            </w:r>
          </w:p>
        </w:tc>
        <w:tc>
          <w:tcPr>
            <w:tcW w:w="2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2,925.0</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3,400.8</w:t>
            </w:r>
          </w:p>
        </w:tc>
      </w:tr>
    </w:tbl>
    <w:p>
      <w:pPr>
        <w:spacing w:after="0" w:line="67"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Includes current maturities.</w:t>
      </w:r>
    </w:p>
    <w:p>
      <w:pPr>
        <w:ind w:left="180" w:right="60" w:hanging="172"/>
        <w:spacing w:after="0" w:line="244" w:lineRule="auto"/>
        <w:tabs>
          <w:tab w:leader="none" w:pos="167"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Book value as of June 30, 2022 and December 31, 2021, includes $94.3 million and $97.9 million, respectively, of fair value adjustments recorded in connection with purchase accounting for the Great Plains Energy and Evergy Kansas Central merger, which are not part of future principal payments and will amortize over the remaining life of the associated debt instrument.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Recurring Fair Value Measurements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include the Evergy Companies' balances of financial assets and liabilities measured at fair value on a recurring basis.</w:t>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40"/>
        </w:trPr>
        <w:tc>
          <w:tcPr>
            <w:tcW w:w="3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2060" w:type="dxa"/>
            <w:vAlign w:val="bottom"/>
            <w:tcBorders>
              <w:top w:val="single" w:sz="8" w:color="auto"/>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June 30, 2022</w:t>
            </w:r>
          </w:p>
        </w:tc>
        <w:tc>
          <w:tcPr>
            <w:tcW w:w="4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5"/>
              </w:rPr>
              <w:t>Level 1</w:t>
            </w:r>
          </w:p>
        </w:tc>
        <w:tc>
          <w:tcPr>
            <w:tcW w:w="3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2</w:t>
            </w:r>
          </w:p>
        </w:tc>
        <w:tc>
          <w:tcPr>
            <w:tcW w:w="3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Level 3</w:t>
            </w:r>
          </w:p>
        </w:tc>
        <w:tc>
          <w:tcPr>
            <w:tcW w:w="4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NAV</w:t>
            </w:r>
          </w:p>
        </w:tc>
      </w:tr>
      <w:tr>
        <w:trPr>
          <w:trHeight w:val="207"/>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Evergy Kansas Central</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w w:val="99"/>
              </w:rPr>
              <w:t>(millions)</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6"/>
                <w:szCs w:val="16"/>
                <w:color w:val="auto"/>
              </w:rPr>
              <w:t>Assets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3600" w:type="dxa"/>
            <w:vAlign w:val="bottom"/>
          </w:tcPr>
          <w:p>
            <w:pPr>
              <w:ind w:left="180"/>
              <w:spacing w:after="0" w:line="222"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equity funds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120.4</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106.1</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14.3</w:t>
            </w:r>
          </w:p>
        </w:tc>
      </w:tr>
      <w:tr>
        <w:trPr>
          <w:trHeight w:val="213"/>
        </w:trPr>
        <w:tc>
          <w:tcPr>
            <w:tcW w:w="3600" w:type="dxa"/>
            <w:vAlign w:val="bottom"/>
          </w:tcPr>
          <w:p>
            <w:pPr>
              <w:ind w:left="220"/>
              <w:spacing w:after="0"/>
              <w:rPr>
                <w:sz w:val="20"/>
                <w:szCs w:val="20"/>
                <w:color w:val="auto"/>
              </w:rPr>
            </w:pPr>
            <w:r>
              <w:rPr>
                <w:rFonts w:ascii="Arial" w:cs="Arial" w:eastAsia="Arial" w:hAnsi="Arial"/>
                <w:sz w:val="16"/>
                <w:szCs w:val="16"/>
                <w:color w:val="auto"/>
              </w:rPr>
              <w:t>International equity funds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65.8</w:t>
            </w:r>
          </w:p>
        </w:tc>
        <w:tc>
          <w:tcPr>
            <w:tcW w:w="46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65.8</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bond fund</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53.9</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53.9</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00" w:type="dxa"/>
            <w:vAlign w:val="bottom"/>
          </w:tcPr>
          <w:p>
            <w:pPr>
              <w:ind w:left="220"/>
              <w:spacing w:after="0"/>
              <w:rPr>
                <w:sz w:val="20"/>
                <w:szCs w:val="20"/>
                <w:color w:val="auto"/>
              </w:rPr>
            </w:pPr>
            <w:r>
              <w:rPr>
                <w:rFonts w:ascii="Arial" w:cs="Arial" w:eastAsia="Arial" w:hAnsi="Arial"/>
                <w:sz w:val="16"/>
                <w:szCs w:val="16"/>
                <w:color w:val="auto"/>
              </w:rPr>
              <w:t>High-yield bond fund</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26.5</w:t>
            </w:r>
          </w:p>
        </w:tc>
        <w:tc>
          <w:tcPr>
            <w:tcW w:w="46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26.5</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 bond fund</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16.3</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16.3</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00" w:type="dxa"/>
            <w:vAlign w:val="bottom"/>
          </w:tcPr>
          <w:p>
            <w:pPr>
              <w:ind w:left="220"/>
              <w:spacing w:after="0"/>
              <w:rPr>
                <w:sz w:val="20"/>
                <w:szCs w:val="20"/>
                <w:color w:val="auto"/>
              </w:rPr>
            </w:pPr>
            <w:r>
              <w:rPr>
                <w:rFonts w:ascii="Arial" w:cs="Arial" w:eastAsia="Arial" w:hAnsi="Arial"/>
                <w:sz w:val="16"/>
                <w:szCs w:val="16"/>
                <w:color w:val="auto"/>
              </w:rPr>
              <w:t>Alternative investments fund</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33.4</w:t>
            </w:r>
          </w:p>
        </w:tc>
        <w:tc>
          <w:tcPr>
            <w:tcW w:w="46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33.4</w:t>
            </w:r>
          </w:p>
        </w:tc>
      </w:tr>
      <w:tr>
        <w:trPr>
          <w:trHeight w:val="219"/>
        </w:trPr>
        <w:tc>
          <w:tcPr>
            <w:tcW w:w="3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Real estate securities fund</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17.7</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17.7</w:t>
            </w:r>
          </w:p>
        </w:tc>
      </w:tr>
      <w:tr>
        <w:trPr>
          <w:trHeight w:val="213"/>
        </w:trPr>
        <w:tc>
          <w:tcPr>
            <w:tcW w:w="3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8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0.5</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0.5</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nuclear decommissioning trust</w:t>
            </w:r>
          </w:p>
        </w:tc>
        <w:tc>
          <w:tcPr>
            <w:tcW w:w="8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334.5</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269.1</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65.4</w:t>
            </w:r>
          </w:p>
        </w:tc>
      </w:tr>
      <w:tr>
        <w:trPr>
          <w:trHeight w:val="193"/>
        </w:trPr>
        <w:tc>
          <w:tcPr>
            <w:tcW w:w="3600" w:type="dxa"/>
            <w:vAlign w:val="bottom"/>
          </w:tcPr>
          <w:p>
            <w:pPr>
              <w:ind w:left="180"/>
              <w:spacing w:after="0"/>
              <w:rPr>
                <w:sz w:val="20"/>
                <w:szCs w:val="20"/>
                <w:color w:val="auto"/>
              </w:rPr>
            </w:pPr>
            <w:r>
              <w:rPr>
                <w:rFonts w:ascii="Arial" w:cs="Arial" w:eastAsia="Arial" w:hAnsi="Arial"/>
                <w:sz w:val="16"/>
                <w:szCs w:val="16"/>
                <w:color w:val="auto"/>
              </w:rPr>
              <w:t>Rabbi trust</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Fixed income funds</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16.6</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16.6</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00" w:type="dxa"/>
            <w:vAlign w:val="bottom"/>
          </w:tcPr>
          <w:p>
            <w:pPr>
              <w:ind w:left="220"/>
              <w:spacing w:after="0"/>
              <w:rPr>
                <w:sz w:val="20"/>
                <w:szCs w:val="20"/>
                <w:color w:val="auto"/>
              </w:rPr>
            </w:pPr>
            <w:r>
              <w:rPr>
                <w:rFonts w:ascii="Arial" w:cs="Arial" w:eastAsia="Arial" w:hAnsi="Arial"/>
                <w:sz w:val="16"/>
                <w:szCs w:val="16"/>
                <w:color w:val="auto"/>
              </w:rPr>
              <w:t>Equity funds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7.2</w:t>
            </w:r>
          </w:p>
        </w:tc>
        <w:tc>
          <w:tcPr>
            <w:tcW w:w="46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7.2</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Combination debt/equity/other fund</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2.0</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8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0.2</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0.2</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2"/>
        </w:trPr>
        <w:tc>
          <w:tcPr>
            <w:tcW w:w="3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rabbi trust</w:t>
            </w:r>
          </w:p>
        </w:tc>
        <w:tc>
          <w:tcPr>
            <w:tcW w:w="8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26.0</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26.0</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07"/>
        </w:trPr>
        <w:tc>
          <w:tcPr>
            <w:tcW w:w="36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360.5</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295.1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65.4</w:t>
            </w:r>
          </w:p>
        </w:tc>
      </w:tr>
      <w:tr>
        <w:trPr>
          <w:trHeight w:val="213"/>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 Metro</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3600" w:type="dxa"/>
            <w:vAlign w:val="bottom"/>
          </w:tcPr>
          <w:p>
            <w:pPr>
              <w:ind w:left="20"/>
              <w:spacing w:after="0"/>
              <w:rPr>
                <w:sz w:val="20"/>
                <w:szCs w:val="20"/>
                <w:color w:val="auto"/>
              </w:rPr>
            </w:pPr>
            <w:r>
              <w:rPr>
                <w:rFonts w:ascii="Arial" w:cs="Arial" w:eastAsia="Arial" w:hAnsi="Arial"/>
                <w:sz w:val="16"/>
                <w:szCs w:val="16"/>
                <w:color w:val="auto"/>
              </w:rPr>
              <w:t>Assets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600" w:type="dxa"/>
            <w:vAlign w:val="bottom"/>
            <w:shd w:val="clear" w:color="auto" w:fill="CCEEFF"/>
          </w:tcPr>
          <w:p>
            <w:pPr>
              <w:ind w:left="18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360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260.4</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260.4</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3600" w:type="dxa"/>
            <w:vAlign w:val="bottom"/>
          </w:tcPr>
          <w:p>
            <w:pPr>
              <w:ind w:left="340"/>
              <w:spacing w:after="0"/>
              <w:rPr>
                <w:sz w:val="20"/>
                <w:szCs w:val="20"/>
                <w:color w:val="auto"/>
              </w:rPr>
            </w:pPr>
            <w:r>
              <w:rPr>
                <w:rFonts w:ascii="Arial" w:cs="Arial" w:eastAsia="Arial" w:hAnsi="Arial"/>
                <w:sz w:val="16"/>
                <w:szCs w:val="16"/>
                <w:color w:val="auto"/>
              </w:rPr>
              <w:t>U.S. Treasury</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43.8</w:t>
            </w:r>
          </w:p>
        </w:tc>
        <w:tc>
          <w:tcPr>
            <w:tcW w:w="46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43.8</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U.S. Agency</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0.4</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0.4</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00" w:type="dxa"/>
            <w:vAlign w:val="bottom"/>
          </w:tcPr>
          <w:p>
            <w:pPr>
              <w:ind w:left="340"/>
              <w:spacing w:after="0"/>
              <w:rPr>
                <w:sz w:val="20"/>
                <w:szCs w:val="20"/>
                <w:color w:val="auto"/>
              </w:rPr>
            </w:pPr>
            <w:r>
              <w:rPr>
                <w:rFonts w:ascii="Arial" w:cs="Arial" w:eastAsia="Arial" w:hAnsi="Arial"/>
                <w:sz w:val="16"/>
                <w:szCs w:val="16"/>
                <w:color w:val="auto"/>
              </w:rPr>
              <w:t>State and local obligations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5.2</w:t>
            </w:r>
          </w:p>
        </w:tc>
        <w:tc>
          <w:tcPr>
            <w:tcW w:w="46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5.2</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Corporate bonds</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40.2</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40.2</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00" w:type="dxa"/>
            <w:vAlign w:val="bottom"/>
          </w:tcPr>
          <w:p>
            <w:pPr>
              <w:ind w:left="340"/>
              <w:spacing w:after="0"/>
              <w:rPr>
                <w:sz w:val="20"/>
                <w:szCs w:val="20"/>
                <w:color w:val="auto"/>
              </w:rPr>
            </w:pPr>
            <w:r>
              <w:rPr>
                <w:rFonts w:ascii="Arial" w:cs="Arial" w:eastAsia="Arial" w:hAnsi="Arial"/>
                <w:sz w:val="16"/>
                <w:szCs w:val="16"/>
                <w:color w:val="auto"/>
              </w:rPr>
              <w:t>Foreign governments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0.1</w:t>
            </w:r>
          </w:p>
        </w:tc>
        <w:tc>
          <w:tcPr>
            <w:tcW w:w="46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0.1</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equivalents</w:t>
            </w:r>
          </w:p>
        </w:tc>
        <w:tc>
          <w:tcPr>
            <w:tcW w:w="8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3.0</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3.0</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06"/>
        </w:trPr>
        <w:tc>
          <w:tcPr>
            <w:tcW w:w="36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nuclear decommissioning trust</w:t>
            </w:r>
          </w:p>
        </w:tc>
        <w:tc>
          <w:tcPr>
            <w:tcW w:w="8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353.1</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307.2</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45.9</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199"/>
        </w:trPr>
        <w:tc>
          <w:tcPr>
            <w:tcW w:w="3600" w:type="dxa"/>
            <w:vAlign w:val="bottom"/>
            <w:shd w:val="clear" w:color="auto" w:fill="CCEEFF"/>
          </w:tcPr>
          <w:p>
            <w:pPr>
              <w:ind w:left="180"/>
              <w:spacing w:after="0" w:line="19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360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1.6</w:t>
            </w:r>
          </w:p>
        </w:tc>
        <w:tc>
          <w:tcPr>
            <w:tcW w:w="46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1.6</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7.7</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2.3</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5.4</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and cash equivalents</w:t>
            </w:r>
          </w:p>
        </w:tc>
        <w:tc>
          <w:tcPr>
            <w:tcW w:w="8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2.9</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2.9</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self-insured health plan trust</w:t>
            </w:r>
          </w:p>
        </w:tc>
        <w:tc>
          <w:tcPr>
            <w:tcW w:w="8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12.2</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6.8</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5.4</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07"/>
        </w:trPr>
        <w:tc>
          <w:tcPr>
            <w:tcW w:w="36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365.3</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314.0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51.3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2"/>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Evergy</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3600" w:type="dxa"/>
            <w:vAlign w:val="bottom"/>
          </w:tcPr>
          <w:p>
            <w:pPr>
              <w:ind w:left="20"/>
              <w:spacing w:after="0"/>
              <w:rPr>
                <w:sz w:val="20"/>
                <w:szCs w:val="20"/>
                <w:color w:val="auto"/>
              </w:rPr>
            </w:pPr>
            <w:r>
              <w:rPr>
                <w:rFonts w:ascii="Arial" w:cs="Arial" w:eastAsia="Arial" w:hAnsi="Arial"/>
                <w:sz w:val="16"/>
                <w:szCs w:val="16"/>
                <w:color w:val="auto"/>
              </w:rPr>
              <w:t>Assets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Evergy investments</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3600" w:type="dxa"/>
            <w:vAlign w:val="bottom"/>
          </w:tcPr>
          <w:p>
            <w:pPr>
              <w:ind w:left="180"/>
              <w:spacing w:after="0"/>
              <w:rPr>
                <w:sz w:val="20"/>
                <w:szCs w:val="20"/>
                <w:color w:val="auto"/>
              </w:rPr>
            </w:pPr>
            <w:r>
              <w:rPr>
                <w:rFonts w:ascii="Arial" w:cs="Arial" w:eastAsia="Arial" w:hAnsi="Arial"/>
                <w:sz w:val="16"/>
                <w:szCs w:val="16"/>
                <w:color w:val="auto"/>
              </w:rPr>
              <w:t>Rabbi trusts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Core bond fund</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11.1</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11.1</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and cash equivalents</w:t>
            </w:r>
          </w:p>
        </w:tc>
        <w:tc>
          <w:tcPr>
            <w:tcW w:w="8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0.1</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09"/>
        </w:trPr>
        <w:tc>
          <w:tcPr>
            <w:tcW w:w="36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Total rabbi trusts</w:t>
            </w:r>
          </w:p>
        </w:tc>
        <w:tc>
          <w:tcPr>
            <w:tcW w:w="11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11.2</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11.2</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0"/>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Evergy</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6"/>
        </w:trPr>
        <w:tc>
          <w:tcPr>
            <w:tcW w:w="3600" w:type="dxa"/>
            <w:vAlign w:val="bottom"/>
          </w:tcPr>
          <w:p>
            <w:pPr>
              <w:ind w:left="140"/>
              <w:spacing w:after="0" w:line="216"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687.6</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576.3</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45.9</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65.4</w:t>
            </w:r>
          </w:p>
        </w:tc>
      </w:tr>
      <w:tr>
        <w:trPr>
          <w:trHeight w:val="216"/>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Rabbi trusts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37.2</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37.2</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6"/>
        </w:trPr>
        <w:tc>
          <w:tcPr>
            <w:tcW w:w="3600" w:type="dxa"/>
            <w:vAlign w:val="bottom"/>
            <w:tcBorders>
              <w:bottom w:val="single" w:sz="8" w:color="CCEEFF"/>
            </w:tcBorders>
          </w:tcPr>
          <w:p>
            <w:pPr>
              <w:ind w:left="120"/>
              <w:spacing w:after="0" w:line="216"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8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12.2</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6.8</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5.4</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6"/>
        </w:trPr>
        <w:tc>
          <w:tcPr>
            <w:tcW w:w="3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737.0</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620.3</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51.3</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65.4</w:t>
            </w:r>
          </w:p>
        </w:tc>
      </w:tr>
    </w:tbl>
    <w:p>
      <w:pPr>
        <w:spacing w:after="0" w:line="200" w:lineRule="exact"/>
        <w:rPr>
          <w:sz w:val="20"/>
          <w:szCs w:val="20"/>
          <w:color w:val="auto"/>
        </w:rPr>
      </w:pP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2" w:name="page43"/>
    <w:bookmarkEnd w:id="4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2220" w:type="dxa"/>
            <w:vAlign w:val="bottom"/>
            <w:tcBorders>
              <w:top w:val="single" w:sz="8" w:color="auto"/>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December 31, 2021</w:t>
            </w:r>
          </w:p>
        </w:tc>
        <w:tc>
          <w:tcPr>
            <w:tcW w:w="3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5"/>
              </w:rPr>
              <w:t>Level 1</w:t>
            </w:r>
          </w:p>
        </w:tc>
        <w:tc>
          <w:tcPr>
            <w:tcW w:w="3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2</w:t>
            </w:r>
          </w:p>
        </w:tc>
        <w:tc>
          <w:tcPr>
            <w:tcW w:w="3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Level 3</w:t>
            </w:r>
          </w:p>
        </w:tc>
        <w:tc>
          <w:tcPr>
            <w:tcW w:w="4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NAV</w:t>
            </w:r>
          </w:p>
        </w:tc>
      </w:tr>
      <w:tr>
        <w:trPr>
          <w:trHeight w:val="207"/>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Evergy Kansas Central</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w w:val="96"/>
              </w:rPr>
              <w:t>(millions)</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3500" w:type="dxa"/>
            <w:vAlign w:val="bottom"/>
          </w:tcPr>
          <w:p>
            <w:pPr>
              <w:ind w:left="180"/>
              <w:spacing w:after="0" w:line="222"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equity funds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140.4</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126.5</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13.9</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International equity funds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74.0</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74.0</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bond fund</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58.1</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58.1</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High-yield bond fund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29.6</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29.6</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 bond fund</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18.0</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18.0</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Alternative investments fund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32.7</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32.7</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Real estate securities fund</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15.2</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15.2</w:t>
            </w:r>
          </w:p>
        </w:tc>
      </w:tr>
      <w:tr>
        <w:trPr>
          <w:trHeight w:val="213"/>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8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0.4</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0.4</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r>
      <w:tr>
        <w:trPr>
          <w:trHeight w:val="212"/>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nuclear decommissioning trust</w:t>
            </w:r>
          </w:p>
        </w:tc>
        <w:tc>
          <w:tcPr>
            <w:tcW w:w="8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368.4</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306.6</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61.8</w:t>
            </w:r>
          </w:p>
        </w:tc>
      </w:tr>
      <w:tr>
        <w:trPr>
          <w:trHeight w:val="193"/>
        </w:trPr>
        <w:tc>
          <w:tcPr>
            <w:tcW w:w="3500" w:type="dxa"/>
            <w:vAlign w:val="bottom"/>
          </w:tcPr>
          <w:p>
            <w:pPr>
              <w:ind w:left="180"/>
              <w:spacing w:after="0"/>
              <w:rPr>
                <w:sz w:val="20"/>
                <w:szCs w:val="20"/>
                <w:color w:val="auto"/>
              </w:rPr>
            </w:pPr>
            <w:r>
              <w:rPr>
                <w:rFonts w:ascii="Arial" w:cs="Arial" w:eastAsia="Arial" w:hAnsi="Arial"/>
                <w:sz w:val="16"/>
                <w:szCs w:val="16"/>
                <w:color w:val="auto"/>
              </w:rPr>
              <w:t>Rabbi trust</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Fixed income funds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19.6</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19.6</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Equity funds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9.5</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9.5</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Combination debt/equity/other fund</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2.4</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8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0.2</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0.2</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rabbi trust</w:t>
            </w:r>
          </w:p>
        </w:tc>
        <w:tc>
          <w:tcPr>
            <w:tcW w:w="8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31.7</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31.7</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06"/>
        </w:trPr>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400.1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338.3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61.8</w:t>
            </w: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 Metro</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5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299.2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299.2</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3500" w:type="dxa"/>
            <w:vAlign w:val="bottom"/>
          </w:tcPr>
          <w:p>
            <w:pPr>
              <w:ind w:left="360"/>
              <w:spacing w:after="0"/>
              <w:rPr>
                <w:sz w:val="20"/>
                <w:szCs w:val="20"/>
                <w:color w:val="auto"/>
              </w:rPr>
            </w:pPr>
            <w:r>
              <w:rPr>
                <w:rFonts w:ascii="Arial" w:cs="Arial" w:eastAsia="Arial" w:hAnsi="Arial"/>
                <w:sz w:val="16"/>
                <w:szCs w:val="16"/>
                <w:color w:val="auto"/>
              </w:rPr>
              <w:t>U.S. Treasury</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46.1</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46.1</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Agency</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0.4</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0.4</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360"/>
              <w:spacing w:after="0"/>
              <w:rPr>
                <w:sz w:val="20"/>
                <w:szCs w:val="20"/>
                <w:color w:val="auto"/>
              </w:rPr>
            </w:pPr>
            <w:r>
              <w:rPr>
                <w:rFonts w:ascii="Arial" w:cs="Arial" w:eastAsia="Arial" w:hAnsi="Arial"/>
                <w:sz w:val="16"/>
                <w:szCs w:val="16"/>
                <w:color w:val="auto"/>
              </w:rPr>
              <w:t>State and local obligations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4.0</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4.0</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 bonds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43.7</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43.7</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360"/>
              <w:spacing w:after="0"/>
              <w:rPr>
                <w:sz w:val="20"/>
                <w:szCs w:val="20"/>
                <w:color w:val="auto"/>
              </w:rPr>
            </w:pPr>
            <w:r>
              <w:rPr>
                <w:rFonts w:ascii="Arial" w:cs="Arial" w:eastAsia="Arial" w:hAnsi="Arial"/>
                <w:sz w:val="16"/>
                <w:szCs w:val="16"/>
                <w:color w:val="auto"/>
              </w:rPr>
              <w:t>Foreign governments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0.1</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0.1</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equivalents</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6.8</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6.8</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07"/>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nuclear decommissioning trust</w:t>
            </w:r>
          </w:p>
        </w:tc>
        <w:tc>
          <w:tcPr>
            <w:tcW w:w="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400.3</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352.1</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48.2</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r>
      <w:tr>
        <w:trPr>
          <w:trHeight w:val="199"/>
        </w:trPr>
        <w:tc>
          <w:tcPr>
            <w:tcW w:w="3500" w:type="dxa"/>
            <w:vAlign w:val="bottom"/>
            <w:shd w:val="clear" w:color="auto" w:fill="CCEEFF"/>
          </w:tcPr>
          <w:p>
            <w:pPr>
              <w:ind w:left="180"/>
              <w:spacing w:after="0" w:line="19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2.0</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2.0</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8.7</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2.7</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6.0</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and cash equivalents</w:t>
            </w:r>
          </w:p>
        </w:tc>
        <w:tc>
          <w:tcPr>
            <w:tcW w:w="8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1.8</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self-insured health plan trust</w:t>
            </w:r>
          </w:p>
        </w:tc>
        <w:tc>
          <w:tcPr>
            <w:tcW w:w="8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12.5</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6.5</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6.0</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06"/>
        </w:trPr>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412.8</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358.6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54.2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Evergy</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Evergy investments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3500" w:type="dxa"/>
            <w:vAlign w:val="bottom"/>
          </w:tcPr>
          <w:p>
            <w:pPr>
              <w:ind w:left="240"/>
              <w:spacing w:after="0" w:line="216" w:lineRule="exact"/>
              <w:rPr>
                <w:sz w:val="20"/>
                <w:szCs w:val="20"/>
                <w:color w:val="auto"/>
              </w:rPr>
            </w:pPr>
            <w:r>
              <w:rPr>
                <w:rFonts w:ascii="Arial" w:cs="Arial" w:eastAsia="Arial" w:hAnsi="Arial"/>
                <w:sz w:val="16"/>
                <w:szCs w:val="16"/>
                <w:color w:val="auto"/>
              </w:rPr>
              <w:t>Equity securities</w:t>
            </w:r>
            <w:r>
              <w:rPr>
                <w:rFonts w:ascii="Arial" w:cs="Arial" w:eastAsia="Arial" w:hAnsi="Arial"/>
                <w:sz w:val="21"/>
                <w:szCs w:val="21"/>
                <w:color w:val="auto"/>
                <w:vertAlign w:val="superscript"/>
              </w:rPr>
              <w:t>(c)</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31.4</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31.4</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0"/>
        </w:trPr>
        <w:tc>
          <w:tcPr>
            <w:tcW w:w="350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other Evergy investments</w:t>
            </w:r>
          </w:p>
        </w:tc>
        <w:tc>
          <w:tcPr>
            <w:tcW w:w="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31.4</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31.4</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193"/>
        </w:trPr>
        <w:tc>
          <w:tcPr>
            <w:tcW w:w="3500" w:type="dxa"/>
            <w:vAlign w:val="bottom"/>
          </w:tcPr>
          <w:p>
            <w:pPr>
              <w:ind w:left="180"/>
              <w:spacing w:after="0"/>
              <w:rPr>
                <w:sz w:val="20"/>
                <w:szCs w:val="20"/>
                <w:color w:val="auto"/>
              </w:rPr>
            </w:pPr>
            <w:r>
              <w:rPr>
                <w:rFonts w:ascii="Arial" w:cs="Arial" w:eastAsia="Arial" w:hAnsi="Arial"/>
                <w:sz w:val="16"/>
                <w:szCs w:val="16"/>
                <w:color w:val="auto"/>
              </w:rPr>
              <w:t>Rabbi trusts</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3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Core bond fund</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12.5</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12.5</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06"/>
        </w:trPr>
        <w:tc>
          <w:tcPr>
            <w:tcW w:w="35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rabbi trusts</w:t>
            </w:r>
          </w:p>
        </w:tc>
        <w:tc>
          <w:tcPr>
            <w:tcW w:w="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12.5</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12.5</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r>
      <w:tr>
        <w:trPr>
          <w:trHeight w:val="210"/>
        </w:trPr>
        <w:tc>
          <w:tcPr>
            <w:tcW w:w="3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43.9</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Evergy</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3500" w:type="dxa"/>
            <w:vAlign w:val="bottom"/>
          </w:tcPr>
          <w:p>
            <w:pPr>
              <w:ind w:left="140"/>
              <w:spacing w:after="0" w:line="216"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768.7</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658.7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48.2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61.8</w:t>
            </w:r>
          </w:p>
        </w:tc>
      </w:tr>
      <w:tr>
        <w:trPr>
          <w:trHeight w:val="216"/>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Rabbi trusts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44.2</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44.2</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6"/>
        </w:trPr>
        <w:tc>
          <w:tcPr>
            <w:tcW w:w="3500" w:type="dxa"/>
            <w:vAlign w:val="bottom"/>
          </w:tcPr>
          <w:p>
            <w:pPr>
              <w:ind w:left="140"/>
              <w:spacing w:after="0" w:line="216"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12.5</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6.5</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6.0</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6"/>
        </w:trPr>
        <w:tc>
          <w:tcPr>
            <w:tcW w:w="350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Other Evergy investments</w:t>
            </w:r>
            <w:r>
              <w:rPr>
                <w:rFonts w:ascii="Arial" w:cs="Arial" w:eastAsia="Arial" w:hAnsi="Arial"/>
                <w:sz w:val="21"/>
                <w:szCs w:val="21"/>
                <w:color w:val="auto"/>
                <w:vertAlign w:val="superscript"/>
              </w:rPr>
              <w:t>(c)</w:t>
            </w:r>
          </w:p>
        </w:tc>
        <w:tc>
          <w:tcPr>
            <w:tcW w:w="8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31.4</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31.4</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6"/>
        </w:trPr>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856.8</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709.4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85.6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61.8</w:t>
            </w:r>
          </w:p>
        </w:tc>
      </w:tr>
    </w:tbl>
    <w:p>
      <w:pPr>
        <w:spacing w:after="0" w:line="67"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With the exception of investments measured at NAV, fair value is based on quoted market prices of the investments held by the trust and/or valuation models.</w:t>
      </w:r>
    </w:p>
    <w:p>
      <w:pPr>
        <w:ind w:left="180" w:right="440" w:hanging="172"/>
        <w:spacing w:after="0" w:line="234" w:lineRule="auto"/>
        <w:tabs>
          <w:tab w:leader="none" w:pos="168"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ind w:left="160" w:hanging="152"/>
        <w:spacing w:after="0" w:line="222" w:lineRule="auto"/>
        <w:tabs>
          <w:tab w:leader="none" w:pos="16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Fair value was based on quoted market prices adjusted for a discount for lack of marketability based on a valuation model due to a restriction on the sale of the stock.</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740"/>
        <w:spacing w:after="0" w:line="260" w:lineRule="auto"/>
        <w:rPr>
          <w:sz w:val="20"/>
          <w:szCs w:val="20"/>
          <w:color w:val="auto"/>
        </w:rPr>
      </w:pPr>
      <w:r>
        <w:rPr>
          <w:rFonts w:ascii="Arial" w:cs="Arial" w:eastAsia="Arial" w:hAnsi="Arial"/>
          <w:sz w:val="20"/>
          <w:szCs w:val="20"/>
          <w:color w:val="auto"/>
        </w:rPr>
        <w:t>Certain Evergy and Evergy Kansas Central investments included in the table above are measured at NAV as they do not have readily determinable fair values. In certain situations, these investments may have redemption restrictions.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additional information on these Evergy and Evergy Kansas Central investments.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0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2460" w:type="dxa"/>
            <w:vAlign w:val="bottom"/>
            <w:tcBorders>
              <w:top w:val="single" w:sz="8" w:color="auto"/>
              <w:bottom w:val="single" w:sz="8" w:color="auto"/>
            </w:tcBorders>
            <w:gridSpan w:val="3"/>
          </w:tcPr>
          <w:p>
            <w:pPr>
              <w:jc w:val="right"/>
              <w:ind w:right="731"/>
              <w:spacing w:after="0"/>
              <w:rPr>
                <w:sz w:val="20"/>
                <w:szCs w:val="20"/>
                <w:color w:val="auto"/>
              </w:rPr>
            </w:pPr>
            <w:r>
              <w:rPr>
                <w:rFonts w:ascii="Arial" w:cs="Arial" w:eastAsia="Arial" w:hAnsi="Arial"/>
                <w:sz w:val="18"/>
                <w:szCs w:val="18"/>
                <w:b w:val="1"/>
                <w:bCs w:val="1"/>
                <w:color w:val="auto"/>
              </w:rPr>
              <w:t>June 30, 2022</w:t>
            </w:r>
          </w:p>
        </w:tc>
        <w:tc>
          <w:tcPr>
            <w:tcW w:w="380" w:type="dxa"/>
            <w:vAlign w:val="bottom"/>
            <w:tcBorders>
              <w:top w:val="single" w:sz="8" w:color="auto"/>
              <w:bottom w:val="single" w:sz="8" w:color="auto"/>
            </w:tcBorders>
          </w:tcPr>
          <w:p>
            <w:pPr>
              <w:spacing w:after="0"/>
              <w:rPr>
                <w:sz w:val="22"/>
                <w:szCs w:val="22"/>
                <w:color w:val="auto"/>
              </w:rPr>
            </w:pPr>
          </w:p>
        </w:tc>
        <w:tc>
          <w:tcPr>
            <w:tcW w:w="2500" w:type="dxa"/>
            <w:vAlign w:val="bottom"/>
            <w:tcBorders>
              <w:top w:val="single" w:sz="8" w:color="auto"/>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December 31, 2021</w:t>
            </w:r>
          </w:p>
        </w:tc>
        <w:tc>
          <w:tcPr>
            <w:tcW w:w="266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8"/>
                <w:szCs w:val="18"/>
                <w:b w:val="1"/>
                <w:bCs w:val="1"/>
                <w:color w:val="auto"/>
              </w:rPr>
              <w:t>June 30, 2022</w:t>
            </w:r>
          </w:p>
        </w:tc>
      </w:tr>
      <w:tr>
        <w:trPr>
          <w:trHeight w:val="218"/>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18"/>
                <w:szCs w:val="18"/>
                <w:color w:val="auto"/>
              </w:rPr>
            </w:pPr>
          </w:p>
        </w:tc>
        <w:tc>
          <w:tcPr>
            <w:tcW w:w="1360" w:type="dxa"/>
            <w:vAlign w:val="bottom"/>
          </w:tcPr>
          <w:p>
            <w:pPr>
              <w:jc w:val="right"/>
              <w:ind w:right="311"/>
              <w:spacing w:after="0"/>
              <w:rPr>
                <w:sz w:val="20"/>
                <w:szCs w:val="20"/>
                <w:color w:val="auto"/>
              </w:rPr>
            </w:pPr>
            <w:r>
              <w:rPr>
                <w:rFonts w:ascii="Arial" w:cs="Arial" w:eastAsia="Arial" w:hAnsi="Arial"/>
                <w:sz w:val="18"/>
                <w:szCs w:val="18"/>
                <w:b w:val="1"/>
                <w:bCs w:val="1"/>
                <w:color w:val="auto"/>
              </w:rPr>
              <w:t>Unfunded</w:t>
            </w:r>
          </w:p>
        </w:tc>
        <w:tc>
          <w:tcPr>
            <w:tcW w:w="38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8"/>
                <w:szCs w:val="18"/>
                <w:b w:val="1"/>
                <w:bCs w:val="1"/>
                <w:color w:val="auto"/>
              </w:rPr>
              <w:t>Fair</w:t>
            </w:r>
          </w:p>
        </w:tc>
        <w:tc>
          <w:tcPr>
            <w:tcW w:w="240" w:type="dxa"/>
            <w:vAlign w:val="bottom"/>
          </w:tcPr>
          <w:p>
            <w:pPr>
              <w:spacing w:after="0"/>
              <w:rPr>
                <w:sz w:val="18"/>
                <w:szCs w:val="18"/>
                <w:color w:val="auto"/>
              </w:rPr>
            </w:pP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Unfunded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Length of</w:t>
            </w:r>
          </w:p>
        </w:tc>
      </w:tr>
      <w:tr>
        <w:trPr>
          <w:trHeight w:val="234"/>
        </w:trPr>
        <w:tc>
          <w:tcPr>
            <w:tcW w:w="3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Value</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1"/>
              </w:rPr>
              <w:t>Commitments</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Value</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Commitments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Frequency</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Settlement</w:t>
            </w:r>
          </w:p>
        </w:tc>
      </w:tr>
      <w:tr>
        <w:trPr>
          <w:trHeight w:val="222"/>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Nuclear decommissioning trust: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equity funds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r>
      <w:tr>
        <w:trPr>
          <w:trHeight w:val="230"/>
        </w:trPr>
        <w:tc>
          <w:tcPr>
            <w:tcW w:w="3040" w:type="dxa"/>
            <w:vAlign w:val="bottom"/>
          </w:tcPr>
          <w:p>
            <w:pPr>
              <w:ind w:left="140"/>
              <w:spacing w:after="0"/>
              <w:rPr>
                <w:sz w:val="20"/>
                <w:szCs w:val="20"/>
                <w:color w:val="auto"/>
              </w:rPr>
            </w:pPr>
            <w:r>
              <w:rPr>
                <w:rFonts w:ascii="Arial" w:cs="Arial" w:eastAsia="Arial" w:hAnsi="Arial"/>
                <w:sz w:val="18"/>
                <w:szCs w:val="18"/>
                <w:color w:val="auto"/>
              </w:rPr>
              <w:t>Alternative investments fund</w:t>
            </w:r>
            <w:r>
              <w:rPr>
                <w:rFonts w:ascii="Arial" w:cs="Arial" w:eastAsia="Arial" w:hAnsi="Arial"/>
                <w:sz w:val="10"/>
                <w:szCs w:val="10"/>
                <w:color w:val="auto"/>
              </w:rPr>
              <w:t>(b)</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2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Quarterly</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65 days</w:t>
            </w:r>
          </w:p>
        </w:tc>
      </w:tr>
      <w:tr>
        <w:trPr>
          <w:trHeight w:val="229"/>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 estate securities fund</w:t>
            </w:r>
            <w:r>
              <w:rPr>
                <w:rFonts w:ascii="Arial" w:cs="Arial" w:eastAsia="Arial" w:hAnsi="Arial"/>
                <w:sz w:val="10"/>
                <w:szCs w:val="10"/>
                <w:color w:val="auto"/>
              </w:rPr>
              <w:t>(b)</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15.2</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Quarterly</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 days</w:t>
            </w:r>
          </w:p>
        </w:tc>
      </w:tr>
      <w:tr>
        <w:trPr>
          <w:trHeight w:val="23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Evergy investments at NAV</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61.8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w:t>
            </w:r>
          </w:p>
        </w:tc>
        <w:tc>
          <w:tcPr>
            <w:tcW w:w="1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bl>
    <w:p>
      <w:pPr>
        <w:spacing w:after="0" w:line="85" w:lineRule="exact"/>
        <w:rPr>
          <w:sz w:val="20"/>
          <w:szCs w:val="20"/>
          <w:color w:val="auto"/>
        </w:rPr>
      </w:pPr>
    </w:p>
    <w:p>
      <w:pPr>
        <w:ind w:left="180" w:right="40" w:hanging="172"/>
        <w:spacing w:after="0" w:line="250" w:lineRule="auto"/>
        <w:tabs>
          <w:tab w:leader="none" w:pos="175"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This investment is in five long-term private equity funds that do not permit early withdrawal. Investments in these funds cannot be distributed until the underlying investments have been liquidated, which may take years from the date of initial liquidation. Three funds have begun to make distributions. The initial investment in the fourth and fifth funds occurred in 2016 and 2018, respectively. The fourth fund's term is 15 years, subject to the general partner's right to extend the term for up to three additional one-year periods. The fifth fund's term is 15 years, subject to additional extensions approved by a fund advisory committee to provide for an orderly liquidation of fund investments and dissolution of the fund.</w:t>
      </w:r>
    </w:p>
    <w:p>
      <w:pPr>
        <w:ind w:left="160" w:hanging="152"/>
        <w:spacing w:after="0" w:line="223"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There is a holdback on final redemptions.</w:t>
      </w:r>
    </w:p>
    <w:p>
      <w:pPr>
        <w:spacing w:after="0" w:line="192"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net unrealized gains (losses) for the Evergy Companies' nuclear decommissioning trusts and rabbi trusts.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gridSpan w:val="3"/>
          </w:tcPr>
          <w:p>
            <w:pPr>
              <w:jc w:val="right"/>
              <w:ind w:right="210"/>
              <w:spacing w:after="0" w:line="202" w:lineRule="exact"/>
              <w:rPr>
                <w:sz w:val="20"/>
                <w:szCs w:val="20"/>
                <w:color w:val="auto"/>
              </w:rPr>
            </w:pPr>
            <w:r>
              <w:rPr>
                <w:rFonts w:ascii="Arial" w:cs="Arial" w:eastAsia="Arial" w:hAnsi="Arial"/>
                <w:sz w:val="18"/>
                <w:szCs w:val="18"/>
                <w:b w:val="1"/>
                <w:bCs w:val="1"/>
                <w:color w:val="auto"/>
              </w:rPr>
              <w:t>Three Months Ended</w:t>
            </w:r>
          </w:p>
        </w:tc>
        <w:tc>
          <w:tcPr>
            <w:tcW w:w="5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Year to Date</w:t>
            </w:r>
          </w:p>
        </w:tc>
        <w:tc>
          <w:tcPr>
            <w:tcW w:w="1000" w:type="dxa"/>
            <w:vAlign w:val="bottom"/>
            <w:tcBorders>
              <w:top w:val="single" w:sz="8" w:color="auto"/>
            </w:tcBorders>
          </w:tcPr>
          <w:p>
            <w:pPr>
              <w:spacing w:after="0"/>
              <w:rPr>
                <w:sz w:val="17"/>
                <w:szCs w:val="17"/>
                <w:color w:val="auto"/>
              </w:rPr>
            </w:pPr>
          </w:p>
        </w:tc>
      </w:tr>
      <w:tr>
        <w:trPr>
          <w:trHeight w:val="225"/>
        </w:trPr>
        <w:tc>
          <w:tcPr>
            <w:tcW w:w="4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4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19"/>
                <w:szCs w:val="19"/>
                <w:color w:val="auto"/>
              </w:rPr>
            </w:pPr>
          </w:p>
        </w:tc>
      </w:tr>
      <w:tr>
        <w:trPr>
          <w:trHeight w:val="234"/>
        </w:trPr>
        <w:tc>
          <w:tcPr>
            <w:tcW w:w="48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6"/>
                <w:szCs w:val="16"/>
                <w:color w:val="auto"/>
              </w:rPr>
              <w:t>(millions)</w:t>
            </w: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11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34.7</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Nuclear decommissioning trust - debt securities</w:t>
            </w:r>
          </w:p>
        </w:tc>
        <w:tc>
          <w:tcPr>
            <w:tcW w:w="9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140" w:type="dxa"/>
            <w:vAlign w:val="bottom"/>
          </w:tcPr>
          <w:p>
            <w:pPr>
              <w:spacing w:after="0"/>
              <w:rPr>
                <w:sz w:val="19"/>
                <w:szCs w:val="19"/>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Rabbi trusts - equity securities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4820" w:type="dxa"/>
            <w:vAlign w:val="bottom"/>
          </w:tcPr>
          <w:p>
            <w:pPr>
              <w:ind w:left="14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(43.7)</w:t>
            </w:r>
          </w:p>
        </w:tc>
        <w:tc>
          <w:tcPr>
            <w:tcW w:w="11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37.4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(87.4)</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64.1</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1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17.3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(30.1)</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Rabbi trust - equity securities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0.8</w:t>
            </w: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20" w:type="dxa"/>
            <w:vAlign w:val="bottom"/>
          </w:tcPr>
          <w:p>
            <w:pPr>
              <w:ind w:left="14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1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18.1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(34.3)</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1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17.4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(41.5)</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Nuclear decommissioning trust - debt securities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1.7</w:t>
            </w:r>
          </w:p>
        </w:tc>
        <w:tc>
          <w:tcPr>
            <w:tcW w:w="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4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(27.0)</w:t>
            </w:r>
          </w:p>
        </w:tc>
        <w:tc>
          <w:tcPr>
            <w:tcW w:w="11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19.1</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 evolved over time. These laws, regulations, interpretations and actions can also change, restrict or otherwise impact the Evergy Companies' operations or financial results. The failure to comply with these laws, regulations, interpretations and actions could result in the assessment of administrative, civil and criminal penalties and the imposition of remedial requirements. The Evergy Companies believe that all their operations are in substantial compliance with current federal, state and local environmental standards.</w:t>
      </w:r>
    </w:p>
    <w:p>
      <w:pPr>
        <w:spacing w:after="0" w:line="19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There are a variety of final and proposed laws and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Clean Air Act - Startup, Shutdown and Malfunction (SSM) Regulation</w:t>
      </w:r>
    </w:p>
    <w:p>
      <w:pPr>
        <w:spacing w:after="0" w:line="16"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auto"/>
        </w:rPr>
        <w:t>In 2015, the Environmental Protection Agency (EPA) issued a final rule addressing how state implementation plans (SIPs) can treat excess emissions during SSM events. This rule was referred to as the 2015 SIP Call Rule. The rule required 36 states to submit SIP revisions by November 2016 to remove certain exemptions and other discretionary enforcement provisions that apply to excess emissions during SSM events. Legal challenges ensued and the case was eventually placed in abeyance. In December 2021, the U.S. Court of Appeals for the D.C. Circuit (D.C. Circuit) restarted the litigation and oral arguments were held in March 2022. An additional case was also taking place in the U.S. District Court for the Northern District of California (District Court of Northern California) and in June 2022, the District Court of Northern California entered a final consent decree establishing deadlines for the EPA to take final action on SIP revisions that were submitted in response to the 2015 SIP Call Rule. Deadlines for 26 states and air districts, including Kansas, Missouri and Oklahoma, are listed in the final consent decree. Final action from the EPA could result in required SIP revisions in Oklahoma, Kansas and Missouri which could have a material impact on the Evergy Companies. If the D.C. Circuit overturns the EPA's 2015 SIP Call Rule, the final consent decree's deadlines will no longer be valid.</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Ozone Interstate Transport State Implementation Plans</w:t>
      </w:r>
    </w:p>
    <w:p>
      <w:pPr>
        <w:spacing w:after="0" w:line="16"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In 2015, the EPA lowered the Ozone National Ambient Air Quality Standards (NAAQS) from 75 ppb to 70 ppb. Impacted states were required to submit Interstate Transport State Implementation Plans (ITSIPs) in 2018 to comply with the "Good Neighbor Provisions" of the Clean Air Act (CAA). The EPA did not act on these ITSIP submissions and was challenged in a court filing in May 2021 to address them. In February 2022, the EPA published proposed disapprovals of ITSIPs for nineteen states including Missouri and Oklahoma. In April 2022, the EPA published a final approval of the Kansas ITSIP in the Federal Register. In June 2022, the Missouri Department of Natural Resources (MDNR) announced they intended to submit a supplemental SIP to the EPA and placed the document on public notice until August 18, 2022.</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April 2022, the EPA published in the Federal Register the proposed federal implementation plan (FIP) to resolve outstanding "Good Neighbor" obligations with respect to the 2015 Ozone NAAQS for 26 states including Missouri and Oklahoma. This FIP would establish a revised Cross-State Air Pollution Rule (CSAPR) ozone season nitrogen oxide (NOx) emissions trading program for electric generating units (EGUs), and limit ozone season NOx emissions from certain industrial stationary sources. The proposed rule would also establish a new daily backstop NOx emissions rate limit for applicable coal-fired units larger than 100MW, as well as unit-specific NOx emission rate limits for certain industrial emission units, and would feature "dynamic" adjustments of emission budgets for EGUs beginning with ozone season 2025. The proposed FIP includes reductions to the state ozone season NOx budgets for Missouri and Oklahoma beginning in 2023 with additional reductions in future years. The Evergy Companies are in the process of reviewing the proposed FIP and provided formal comments as part of the rulemaking process. The EPA is also in the process of reconsidering its December 2020 decisions to retain the Ozone NAAQS at the level set in 2015 and the annual and 24-hour PM2.5 NAAQS at the levels set in 2012. Due to uncertainty regarding</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the proposed FIP and potential lowering of the ozone and PM2.5 NAAQS, the Evergy Companies are unable to accurately assess the impacts of these potential EPA actions on their operations or consolidated financial results, but the cost to comply with the FIP and/or a lower future ozone or PM2.5 NAAQS could be material.</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Regional Haze Rule</w:t>
      </w:r>
    </w:p>
    <w:p>
      <w:pPr>
        <w:spacing w:after="0" w:line="16"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In 1999, the EPA finalized the Regional Haze Rule which aims to restore national parks and wilderness areas to pristine conditions. The rule requires states in coordination with the EPA, the National Park Service, the U.S. Fish and Wildlife Service, the U.S. Forest Service, and other interested parties to develop and implement air quality protection plans to reduce the pollution that causes visibility impairment. There are 156 "Class I" areas across the U.S. that must be restored to pristine conditions by the year 2064. There are no Class I areas in Kansas, whereas Missouri has two: the Hercules-Glades Wilderness Area and the Mingo Wilderness Area. States must submit revisions to their Regional Haze Rule SIPs every ten years and the first round was due in 2007. For the second ten-year implementation period, the EPA issued a final rule revision in 2017 that allowed states to submit their SIP revisions by July 31, 2021. The Evergy Companies have been in contact with the Kansas Department of Health and Environmental (KDHE) and MDNR as they worked to draft their SIP revisions. The Missouri SIP revision does not require any additional reductions from the Evergy Companies' generating units in the state. MDNR intended to submit the Missouri SIP revision to the EPA by August 15, 2022. However, in July 2022, the Missouri Air Conservation Commission (MACC) denied adoption of the SIP revision. At this time, it is unknown when or if the MACC will adopt the proposed SIP revision and the submittal timeline to the EPA is unclear. The Kansas SIP revision was placed on public notice in June 2021 and requested no additional emission reductions by electric utilities based on the significant reductions that were achieved during the first implementation period. The EPA provided comments on the Kansas SIP revision in June 2021 that each state is statutorily required to conduct a "four-factor analysis" on at least two sources within the state to help determine if further emission reductions are necessary. The EPA also stated it would be difficult to approve the Kansas SIP revision if at least two four-factor analyses are not conducted on Kansas emission sources. KDHE submitted the Kansas SIP revision in July 2021. If a Kansas generating unit of the Evergy Companies is selected for analysis, the possibility exists that the state or EPA, through a FIP, could determine that additional operational or physical modifications are required on the generating unit to further reduce emissions. The overall cost of those modifications could be material to the Evergy Companies.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Greenhouse Gases</w:t>
      </w:r>
    </w:p>
    <w:p>
      <w:pPr>
        <w:spacing w:after="0" w:line="16" w:lineRule="exact"/>
        <w:rPr>
          <w:sz w:val="20"/>
          <w:szCs w:val="20"/>
          <w:color w:val="auto"/>
        </w:rPr>
      </w:pPr>
    </w:p>
    <w:p>
      <w:pPr>
        <w:ind w:right="20"/>
        <w:spacing w:after="0" w:line="206" w:lineRule="auto"/>
        <w:rPr>
          <w:sz w:val="20"/>
          <w:szCs w:val="20"/>
          <w:color w:val="auto"/>
        </w:rPr>
      </w:pPr>
      <w:r>
        <w:rPr>
          <w:rFonts w:ascii="Arial" w:cs="Arial" w:eastAsia="Arial" w:hAnsi="Arial"/>
          <w:sz w:val="20"/>
          <w:szCs w:val="20"/>
          <w:color w:val="auto"/>
        </w:rPr>
        <w:t>Burning coal and other fossil fuels releases carbon dioxide (CO</w:t>
      </w:r>
      <w:r>
        <w:rPr>
          <w:rFonts w:ascii="Arial" w:cs="Arial" w:eastAsia="Arial" w:hAnsi="Arial"/>
          <w:sz w:val="25"/>
          <w:szCs w:val="25"/>
          <w:color w:val="auto"/>
          <w:vertAlign w:val="subscript"/>
        </w:rPr>
        <w:t>2</w:t>
      </w:r>
      <w:r>
        <w:rPr>
          <w:rFonts w:ascii="Arial" w:cs="Arial" w:eastAsia="Arial" w:hAnsi="Arial"/>
          <w:sz w:val="20"/>
          <w:szCs w:val="20"/>
          <w:color w:val="auto"/>
        </w:rPr>
        <w:t>) and other gases referred to as greenhouse gases (GHG). Various regulations under the CAA limit CO</w:t>
      </w:r>
      <w:r>
        <w:rPr>
          <w:rFonts w:ascii="Arial" w:cs="Arial" w:eastAsia="Arial" w:hAnsi="Arial"/>
          <w:sz w:val="25"/>
          <w:szCs w:val="25"/>
          <w:color w:val="auto"/>
          <w:vertAlign w:val="subscript"/>
        </w:rPr>
        <w:t>2</w:t>
      </w:r>
      <w:r>
        <w:rPr>
          <w:rFonts w:ascii="Arial" w:cs="Arial" w:eastAsia="Arial" w:hAnsi="Arial"/>
          <w:sz w:val="20"/>
          <w:szCs w:val="20"/>
          <w:color w:val="auto"/>
        </w:rPr>
        <w:t xml:space="preserve"> and other GHG emissions, and in addition, other measures are being imposed or offered by individual states, municipalities and regional agreements with the goal of reducing GHG emissions.</w:t>
      </w:r>
    </w:p>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In July 2019, the EPA published the final Affordable Clean Energy (ACE) rule in the Federal Register. This rule contained emission guidelines for GHG emissions from existing electric utility generating units (EGUs) and revisions to emission guideline implementing regulations. The rule defined the "best system of emission reduction" (BSER) for GHG emissions from existing coal-fired EGUs as on-site, heat-rate efficiency improvements. In conjunction with the finalization of the ACE rule, the EPA repealed its previously adopted Clean Power Plan (CPP) on the basis that the EPA had exceeded its statutory authority under CAA section 111(d) by defining BSER through generation shifting. A number of states and industry parties filed petitions for review in the D.C. Circuit, challenging the EPA's repeal of the CPP and its enactment of the ACE rule, and in January 2021, the D.C. Circuit issued a decision holding that CAA section 111(d) could be read in a manner that allows the EPA to define BSER as including generation shifting. The D.C. Circuit therefore vacated both the EPA's repeal of the CPP and its replacement of that rule with the ACE rule, and remanded them to the EPA for further consideration. In October 2021, the Supreme Court granted petitions for certiorari to review the D.C. Circuit decision. The Supreme Court issued its decision in June 2022, reversing the D.C. Circuit's decisions and holding that, absent specific authorization from Congress, the EPA lacks authority to define BSER through generation shifting. Given that the Supreme Court found the CPP to be unlawful and that the deadlines established in the ACE rule have passed, neither rule is in effect following the Supreme Court's ruling. In June 2022, the EPA announced its intent to propose GHG regulations that would apply to EGUs by March 2023.</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760"/>
        <w:spacing w:after="0" w:line="287" w:lineRule="auto"/>
        <w:rPr>
          <w:sz w:val="20"/>
          <w:szCs w:val="20"/>
          <w:color w:val="auto"/>
        </w:rPr>
      </w:pPr>
      <w:r>
        <w:rPr>
          <w:rFonts w:ascii="Arial" w:cs="Arial" w:eastAsia="Arial" w:hAnsi="Arial"/>
          <w:sz w:val="19"/>
          <w:szCs w:val="19"/>
          <w:color w:val="auto"/>
        </w:rPr>
        <w:t>Due to uncertainty regarding the future of the EPA's GHG regulations, the Evergy Companies cannot determine the impacts on their operations or consolidated financial results, but the cost to comply with potential GHG rules could be material.</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Water</w:t>
      </w:r>
    </w:p>
    <w:p>
      <w:pPr>
        <w:spacing w:after="0" w:line="16"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The Evergy Companies discharge some of the water used in generation and other operations containing substances deemed to be pollutants. A November 2015 EPA rule applicable to steam-electric power generating plants establishes effluent limitations guidelines (ELG) and standards for wastewater discharges, including limits on the amount of toxic metals and other pollutants that can be discharged. Implementation timelines for this 2015 rule vary from 2018 to 2023. In April 2019, the U.S. Court of Appeals for the 5th Circuit (5th Circuit) issued a ruling that vacated and remanded portions of the original ELG rule. Due to this ruling, the EPA announced a plan in July 2021 to release a proposed rulemaking in September 2022 to address the vacated limitations for legacy wastewater and landfill leachate. Future ELG modifications for the best available technology economically achievable for the discharge of legacy wastewater and landfill leachate are likely and could be material to the Evergy Companies.</w:t>
      </w:r>
    </w:p>
    <w:p>
      <w:pPr>
        <w:spacing w:after="0" w:line="186"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In October 2020, the EPA published the final ELG reconsideration rule. This rule adjusts numeric limits for flue gas desulfurization (FGD) wastewater and adds a 10% volumetric purge limit for bottom ash transport water. The timeline for final FGD wastewater compliance is as soon as possible on or after one year following publication of the final rule in the Federal Register but no later than December 31, 2025. In August 2021, the EPA published notice in the Federal Register that it is initiating a supplemental rulemaking to revise the ELG regulations after completing review of the reconsideration rule as a result of an executive order from President Biden. As part of the rulemaking process, the EPA will determine if more stringent limitations and standards are appropriate. The 2020 ELG reconsideration rule will remain in effect while the EPA undertakes this new rulemaking.</w:t>
      </w:r>
    </w:p>
    <w:p>
      <w:pPr>
        <w:spacing w:after="0" w:line="18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Evergy Companies have reviewed the 2020 ELG reconsideration regulation, and the costs to comply with these changes are not expected to be material. However, the Evergy Companies cannot predict what revisions the EPA may make under its supplemental rulemaking to revise the ELG regulations, and compliance costs associated with any revisions could be material.</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In August 2021, based on an order issued by the U.S. District Court for the District of Arizona, which vacated and remanded the EPA's Navigable Waters Protection Rule (NWPR), which was promulgated in 2020, the EPA and the U.S. Army Corps of Engineers announced that they had halted implementation of the NWPR nationwide, and were interpreting "Waters of the United States" consistent with the regulatory regime that was in place prior to 2015. In December 2021, the EPA and the Department of the Army published a proposed rule that would formally repeal the NWPR and revise the definition of “Waters of the United States” to restore the definitions of "Waters of the United States" that were in place prior to 2015. A final rule is expected in August 2022. The Evergy Companies have reviewed the proposed rule and the impact on their operations or consolidated financial results are not expected to be material. A second rulemaking is expected in the future which will replace the Navigable Waters Protection Rule. The cost to comply with any future rulemaking that replaces the Navigable Waters Protection Rule could be material to the Evergy Companies.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 of Coal Combustion Residuals</w:t>
      </w:r>
    </w:p>
    <w:p>
      <w:pPr>
        <w:spacing w:after="0" w:line="16"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In the course of operating their coal generation plants, the Evergy Companies produce coal combustion residuals (CCRs), including fly ash, gypsum and bottom ash. The EPA published a rule to regulate CCRs in April 2015 that requires additional CCR handling, processing and storage equipment and closure of certain ash disposal units. In January 2022, the EPA published proposed determinations for facilities that filed closure extensions for unlined or clay-lined CCR units. These proposed determinations include various interpretations of the CCR regulations and compliance expectations that may impact all owners of CCR units. These interpretations could require modified compliance plans such as different methods of CCR unit closure. Additionally, more stringent remediation requirements for units that are in corrective action or forced to go into corrective action are possible. In April 2022, the Utility Solid Waste Activities Group (USWAG) and other interested parties filed similar petitions in the D.C. Circuit challenging the EPA's legal positions regarding the CCR rule determinations proposed in January 2022. Some CCR units at Lawrence Energy Center and Sibley Generating Station have moved into corrective action. The cost to comply with these proposed determinations by the EPA could be material.</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The Evergy Companies have recorded Asset Retirement Obligations (AROs) for their current estimates for the closure of ash disposal ponds and landfills, but the revision of these AROs may be required in the future due to changes in existing CCR regulations, the results of groundwater monitoring of CCR units or changes in interpretation of existing CCR regulations or changes in the timing or cost to close ash disposal ponds and landfills. If revisions to these AROs are necessary, the impact on the Evergy Companies' operations or consolidated financial results could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RELATED PARTY TRANSACTIONS AND RELATIONSHIPS</w:t>
      </w:r>
    </w:p>
    <w:p>
      <w:pPr>
        <w:spacing w:after="0" w:line="114"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In the normal course of business, Evergy Kansas Central, Evergy Metro and Evergy Missouri West engage in related party transactions with one another. A summary of these transactions and the amounts associated with them is provided below.</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Jointly-Owned Plants and Shared Services</w:t>
      </w:r>
    </w:p>
    <w:p>
      <w:pPr>
        <w:spacing w:after="0" w:line="22" w:lineRule="exact"/>
        <w:rPr>
          <w:sz w:val="20"/>
          <w:szCs w:val="20"/>
          <w:color w:val="auto"/>
        </w:rPr>
      </w:pPr>
    </w:p>
    <w:p>
      <w:pPr>
        <w:jc w:val="both"/>
        <w:ind w:right="100"/>
        <w:spacing w:after="0" w:line="299" w:lineRule="auto"/>
        <w:rPr>
          <w:sz w:val="20"/>
          <w:szCs w:val="20"/>
          <w:color w:val="auto"/>
        </w:rPr>
      </w:pPr>
      <w:r>
        <w:rPr>
          <w:rFonts w:ascii="Arial" w:cs="Arial" w:eastAsia="Arial" w:hAnsi="Arial"/>
          <w:sz w:val="16"/>
          <w:szCs w:val="16"/>
          <w:color w:val="auto"/>
        </w:rPr>
        <w:t>Employees of Evergy Kansas Central and Evergy Metro manage Evergy Missouri West's business and operate its facilities at cost, including Evergy Missouri West's 18% ownership interest in Evergy Metro's Iatan Nos. 1 and 2. Employees of Evergy Kansas Central manage Jeffrey Energy Center (JEC) and operate its facilities at cost, including Evergy Missouri West's 8% ownership interest in JEC. Employees of Evergy Metro manage La Cygne Station and operate its facilities at cost, including Evergy Kansas Central's 50% interest in La Cygne Station.</w:t>
      </w:r>
    </w:p>
    <w:p>
      <w:pPr>
        <w:spacing w:after="0" w:line="1" w:lineRule="exact"/>
        <w:rPr>
          <w:sz w:val="20"/>
          <w:szCs w:val="20"/>
          <w:color w:val="auto"/>
        </w:rPr>
      </w:pPr>
    </w:p>
    <w:p>
      <w:pPr>
        <w:ind w:right="480"/>
        <w:spacing w:after="0" w:line="244" w:lineRule="auto"/>
        <w:rPr>
          <w:sz w:val="20"/>
          <w:szCs w:val="20"/>
          <w:color w:val="auto"/>
        </w:rPr>
      </w:pPr>
      <w:r>
        <w:rPr>
          <w:rFonts w:ascii="Arial" w:cs="Arial" w:eastAsia="Arial" w:hAnsi="Arial"/>
          <w:sz w:val="20"/>
          <w:szCs w:val="20"/>
          <w:color w:val="auto"/>
        </w:rPr>
        <w:t>Employees of Evergy Metro and Evergy Kansas Central also provide one another with shared service support, including costs related to human resources, information technology, accounting and legal services.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operating expenses and capital costs billed for jointly-owned plants and shared services are detailed in the following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top w:val="single" w:sz="8" w:color="auto"/>
            </w:tcBorders>
          </w:tcPr>
          <w:p>
            <w:pPr>
              <w:spacing w:after="0"/>
              <w:rPr>
                <w:sz w:val="17"/>
                <w:szCs w:val="17"/>
                <w:color w:val="auto"/>
              </w:rPr>
            </w:pPr>
          </w:p>
        </w:tc>
        <w:tc>
          <w:tcPr>
            <w:tcW w:w="3060" w:type="dxa"/>
            <w:vAlign w:val="bottom"/>
            <w:tcBorders>
              <w:top w:val="single" w:sz="8" w:color="auto"/>
            </w:tcBorders>
            <w:gridSpan w:val="3"/>
          </w:tcPr>
          <w:p>
            <w:pPr>
              <w:jc w:val="center"/>
              <w:ind w:left="1090"/>
              <w:spacing w:after="0" w:line="202" w:lineRule="exact"/>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center"/>
              <w:ind w:left="390"/>
              <w:spacing w:after="0" w:line="202" w:lineRule="exact"/>
              <w:rPr>
                <w:sz w:val="20"/>
                <w:szCs w:val="20"/>
                <w:color w:val="auto"/>
              </w:rPr>
            </w:pPr>
            <w:r>
              <w:rPr>
                <w:rFonts w:ascii="Arial" w:cs="Arial" w:eastAsia="Arial" w:hAnsi="Arial"/>
                <w:sz w:val="18"/>
                <w:szCs w:val="18"/>
                <w:b w:val="1"/>
                <w:bCs w:val="1"/>
                <w:color w:val="auto"/>
                <w:w w:val="91"/>
              </w:rPr>
              <w:t>Year to Date</w:t>
            </w:r>
          </w:p>
        </w:tc>
        <w:tc>
          <w:tcPr>
            <w:tcW w:w="860" w:type="dxa"/>
            <w:vAlign w:val="bottom"/>
            <w:tcBorders>
              <w:top w:val="single" w:sz="8" w:color="auto"/>
            </w:tcBorders>
          </w:tcPr>
          <w:p>
            <w:pPr>
              <w:spacing w:after="0"/>
              <w:rPr>
                <w:sz w:val="17"/>
                <w:szCs w:val="17"/>
                <w:color w:val="auto"/>
              </w:rPr>
            </w:pPr>
          </w:p>
        </w:tc>
      </w:tr>
      <w:tr>
        <w:trPr>
          <w:trHeight w:val="225"/>
        </w:trPr>
        <w:tc>
          <w:tcPr>
            <w:tcW w:w="48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4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89"/>
              </w:rPr>
              <w:t>June 30</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89"/>
              </w:rPr>
              <w:t>June 30</w:t>
            </w:r>
          </w:p>
        </w:tc>
        <w:tc>
          <w:tcPr>
            <w:tcW w:w="860" w:type="dxa"/>
            <w:vAlign w:val="bottom"/>
          </w:tcPr>
          <w:p>
            <w:pPr>
              <w:spacing w:after="0"/>
              <w:rPr>
                <w:sz w:val="19"/>
                <w:szCs w:val="19"/>
                <w:color w:val="auto"/>
              </w:rPr>
            </w:pPr>
          </w:p>
        </w:tc>
      </w:tr>
      <w:tr>
        <w:trPr>
          <w:trHeight w:val="234"/>
        </w:trPr>
        <w:tc>
          <w:tcPr>
            <w:tcW w:w="48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2021</w:t>
            </w:r>
          </w:p>
        </w:tc>
      </w:tr>
      <w:tr>
        <w:trPr>
          <w:trHeight w:val="206"/>
        </w:trPr>
        <w:tc>
          <w:tcPr>
            <w:tcW w:w="48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 billings to Evergy Missouri West</w:t>
            </w:r>
          </w:p>
        </w:tc>
        <w:tc>
          <w:tcPr>
            <w:tcW w:w="16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9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7.3</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Evergy Metro billings to Evergy Missouri West</w:t>
            </w:r>
          </w:p>
        </w:tc>
        <w:tc>
          <w:tcPr>
            <w:tcW w:w="162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32.3</w:t>
            </w:r>
          </w:p>
        </w:tc>
        <w:tc>
          <w:tcPr>
            <w:tcW w:w="980" w:type="dxa"/>
            <w:vAlign w:val="bottom"/>
          </w:tcPr>
          <w:p>
            <w:pPr>
              <w:spacing w:after="0"/>
              <w:rPr>
                <w:sz w:val="19"/>
                <w:szCs w:val="19"/>
                <w:color w:val="auto"/>
              </w:rPr>
            </w:pPr>
          </w:p>
        </w:tc>
        <w:tc>
          <w:tcPr>
            <w:tcW w:w="480" w:type="dxa"/>
            <w:vAlign w:val="bottom"/>
          </w:tcPr>
          <w:p>
            <w:pPr>
              <w:jc w:val="right"/>
              <w:ind w:right="52"/>
              <w:spacing w:after="0"/>
              <w:rPr>
                <w:sz w:val="20"/>
                <w:szCs w:val="20"/>
                <w:color w:val="auto"/>
              </w:rPr>
            </w:pPr>
            <w:r>
              <w:rPr>
                <w:rFonts w:ascii="Arial" w:cs="Arial" w:eastAsia="Arial" w:hAnsi="Arial"/>
                <w:sz w:val="18"/>
                <w:szCs w:val="18"/>
                <w:color w:val="auto"/>
                <w:w w:val="91"/>
              </w:rPr>
              <w:t>33.1</w:t>
            </w:r>
          </w:p>
        </w:tc>
        <w:tc>
          <w:tcPr>
            <w:tcW w:w="4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 billings to Evergy Metro</w:t>
            </w: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7.1</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3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Evergy Metro billings to Evergy Kansas Central</w:t>
            </w:r>
          </w:p>
        </w:tc>
        <w:tc>
          <w:tcPr>
            <w:tcW w:w="16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31.3</w:t>
            </w:r>
          </w:p>
        </w:tc>
        <w:tc>
          <w:tcPr>
            <w:tcW w:w="9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1"/>
              </w:rPr>
              <w:t>28.2</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Money Pool</w:t>
      </w:r>
    </w:p>
    <w:p>
      <w:pPr>
        <w:spacing w:after="0" w:line="22" w:lineRule="exact"/>
        <w:rPr>
          <w:sz w:val="20"/>
          <w:szCs w:val="20"/>
          <w:color w:val="auto"/>
        </w:rPr>
      </w:pPr>
    </w:p>
    <w:p>
      <w:pPr>
        <w:ind w:right="320"/>
        <w:spacing w:after="0" w:line="241" w:lineRule="auto"/>
        <w:rPr>
          <w:sz w:val="20"/>
          <w:szCs w:val="20"/>
          <w:color w:val="auto"/>
        </w:rPr>
      </w:pPr>
      <w:r>
        <w:rPr>
          <w:rFonts w:ascii="Arial" w:cs="Arial" w:eastAsia="Arial" w:hAnsi="Arial"/>
          <w:sz w:val="20"/>
          <w:szCs w:val="20"/>
          <w:color w:val="auto"/>
        </w:rPr>
        <w:t>Evergy Kansas Central, Evergy Metro and Evergy Missouri West are authorized to participate in the Evergy, Inc. money pool, which is an internal financing arrangement in which funds may be lent on a short-term basis between Evergy Kansas Central, Evergy Metro, Evergy Missouri West and Evergy, Inc. Evergy, Inc. can lend but not borrow under the money pool.</w:t>
      </w:r>
    </w:p>
    <w:p>
      <w:pPr>
        <w:spacing w:after="0" w:line="196" w:lineRule="exact"/>
        <w:rPr>
          <w:sz w:val="20"/>
          <w:szCs w:val="20"/>
          <w:color w:val="auto"/>
        </w:rPr>
      </w:pPr>
    </w:p>
    <w:p>
      <w:pPr>
        <w:jc w:val="both"/>
        <w:ind w:right="880"/>
        <w:spacing w:after="0" w:line="316" w:lineRule="auto"/>
        <w:rPr>
          <w:sz w:val="20"/>
          <w:szCs w:val="20"/>
          <w:color w:val="auto"/>
        </w:rPr>
      </w:pPr>
      <w:r>
        <w:rPr>
          <w:rFonts w:ascii="Arial" w:cs="Arial" w:eastAsia="Arial" w:hAnsi="Arial"/>
          <w:sz w:val="18"/>
          <w:szCs w:val="18"/>
          <w:color w:val="auto"/>
        </w:rPr>
        <w:t>At June 30, 2022, Evergy Metro had a $14.0 million outstanding receivable from Evergy Missouri West under the money pool. At December 31, 2021, Evergy Metro had a $155.0 million outstanding receivable from Evergy Missouri West under the money pool.</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Party Net Receivables and Payables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Kansas Central's and Evergy Metro's related party net receivables and payables.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520" w:type="dxa"/>
            <w:vAlign w:val="bottom"/>
            <w:tcBorders>
              <w:top w:val="single" w:sz="8" w:color="auto"/>
            </w:tcBorders>
          </w:tcPr>
          <w:p>
            <w:pPr>
              <w:spacing w:after="0"/>
              <w:rPr>
                <w:sz w:val="21"/>
                <w:szCs w:val="21"/>
                <w:color w:val="auto"/>
              </w:rPr>
            </w:pPr>
          </w:p>
        </w:tc>
        <w:tc>
          <w:tcPr>
            <w:tcW w:w="3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5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4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4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payable to Evergy</w:t>
            </w:r>
          </w:p>
        </w:tc>
        <w:tc>
          <w:tcPr>
            <w:tcW w:w="34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3"/>
              </w:rPr>
              <w:t>(13.5)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Net payable to Evergy Metro</w:t>
            </w:r>
          </w:p>
        </w:tc>
        <w:tc>
          <w:tcPr>
            <w:tcW w:w="3460" w:type="dxa"/>
            <w:vAlign w:val="bottom"/>
          </w:tcPr>
          <w:p>
            <w:pPr>
              <w:spacing w:after="0"/>
              <w:rPr>
                <w:sz w:val="19"/>
                <w:szCs w:val="19"/>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3"/>
              </w:rPr>
              <w:t>(14.9)</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receivable from Evergy Missouri West</w:t>
            </w:r>
          </w:p>
        </w:tc>
        <w:tc>
          <w:tcPr>
            <w:tcW w:w="34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57"/>
        </w:trPr>
        <w:tc>
          <w:tcPr>
            <w:tcW w:w="55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34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Net receivable from Evergy</w:t>
            </w:r>
          </w:p>
        </w:tc>
        <w:tc>
          <w:tcPr>
            <w:tcW w:w="346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16.6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receivable from Evergy Kansas Central</w:t>
            </w:r>
          </w:p>
        </w:tc>
        <w:tc>
          <w:tcPr>
            <w:tcW w:w="34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14.9</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37"/>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receivable from Evergy Missouri West</w:t>
            </w:r>
          </w:p>
        </w:tc>
        <w:tc>
          <w:tcPr>
            <w:tcW w:w="34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90.5</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Allocation Agreement</w:t>
      </w:r>
    </w:p>
    <w:p>
      <w:pPr>
        <w:spacing w:after="0" w:line="22"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The following table summarizes Evergy Kansas Central's and Evergy Metro's income taxes receivable from (payable to) Evergy.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74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7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4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receivable from (payable to) Evergy</w:t>
            </w:r>
          </w:p>
        </w:tc>
        <w:tc>
          <w:tcPr>
            <w:tcW w:w="32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3"/>
              </w:rPr>
              <w:t>(21.2)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56"/>
        </w:trPr>
        <w:tc>
          <w:tcPr>
            <w:tcW w:w="57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3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taxes receivable from (payable to) Evergy</w:t>
            </w:r>
          </w:p>
        </w:tc>
        <w:tc>
          <w:tcPr>
            <w:tcW w:w="32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9.0</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TAXES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Components of income tax expense are detailed in the following tables.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00" w:type="dxa"/>
            <w:vAlign w:val="bottom"/>
            <w:tcBorders>
              <w:top w:val="single" w:sz="8" w:color="auto"/>
            </w:tcBorders>
          </w:tcPr>
          <w:p>
            <w:pPr>
              <w:spacing w:after="0"/>
              <w:rPr>
                <w:sz w:val="15"/>
                <w:szCs w:val="15"/>
                <w:color w:val="auto"/>
              </w:rPr>
            </w:pPr>
          </w:p>
        </w:tc>
        <w:tc>
          <w:tcPr>
            <w:tcW w:w="2560" w:type="dxa"/>
            <w:vAlign w:val="bottom"/>
            <w:tcBorders>
              <w:top w:val="single" w:sz="8" w:color="auto"/>
            </w:tcBorders>
            <w:gridSpan w:val="3"/>
          </w:tcPr>
          <w:p>
            <w:pPr>
              <w:jc w:val="right"/>
              <w:ind w:right="150"/>
              <w:spacing w:after="0" w:line="182" w:lineRule="exact"/>
              <w:rPr>
                <w:sz w:val="20"/>
                <w:szCs w:val="20"/>
                <w:color w:val="auto"/>
              </w:rPr>
            </w:pPr>
            <w:r>
              <w:rPr>
                <w:rFonts w:ascii="Arial" w:cs="Arial" w:eastAsia="Arial" w:hAnsi="Arial"/>
                <w:sz w:val="18"/>
                <w:szCs w:val="18"/>
                <w:b w:val="1"/>
                <w:bCs w:val="1"/>
                <w:color w:val="auto"/>
              </w:rPr>
              <w:t>Three Months Ended</w:t>
            </w:r>
          </w:p>
        </w:tc>
        <w:tc>
          <w:tcPr>
            <w:tcW w:w="4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2"/>
          </w:tcPr>
          <w:p>
            <w:pPr>
              <w:jc w:val="right"/>
              <w:ind w:right="10"/>
              <w:spacing w:after="0" w:line="182" w:lineRule="exact"/>
              <w:rPr>
                <w:sz w:val="20"/>
                <w:szCs w:val="20"/>
                <w:color w:val="auto"/>
              </w:rPr>
            </w:pPr>
            <w:r>
              <w:rPr>
                <w:rFonts w:ascii="Arial" w:cs="Arial" w:eastAsia="Arial" w:hAnsi="Arial"/>
                <w:sz w:val="18"/>
                <w:szCs w:val="18"/>
                <w:b w:val="1"/>
                <w:bCs w:val="1"/>
                <w:color w:val="auto"/>
              </w:rPr>
              <w:t>Year to Date</w:t>
            </w:r>
          </w:p>
        </w:tc>
        <w:tc>
          <w:tcPr>
            <w:tcW w:w="960" w:type="dxa"/>
            <w:vAlign w:val="bottom"/>
            <w:tcBorders>
              <w:top w:val="single" w:sz="8" w:color="auto"/>
            </w:tcBorders>
          </w:tcPr>
          <w:p>
            <w:pPr>
              <w:spacing w:after="0"/>
              <w:rPr>
                <w:sz w:val="15"/>
                <w:szCs w:val="15"/>
                <w:color w:val="auto"/>
              </w:rPr>
            </w:pPr>
          </w:p>
        </w:tc>
      </w:tr>
      <w:tr>
        <w:trPr>
          <w:trHeight w:val="225"/>
        </w:trPr>
        <w:tc>
          <w:tcPr>
            <w:tcW w:w="5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2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19"/>
                <w:szCs w:val="19"/>
                <w:color w:val="auto"/>
              </w:rPr>
            </w:pPr>
          </w:p>
        </w:tc>
      </w:tr>
      <w:tr>
        <w:trPr>
          <w:trHeight w:val="234"/>
        </w:trPr>
        <w:tc>
          <w:tcPr>
            <w:tcW w:w="5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13.5</w:t>
            </w:r>
          </w:p>
        </w:tc>
        <w:tc>
          <w:tcPr>
            <w:tcW w:w="10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25.0</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15.6</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26.7</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8.4</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3.0</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8.2</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Investment tax credit</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Deferral</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expense</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22.1</w:t>
            </w:r>
          </w:p>
        </w:tc>
        <w:tc>
          <w:tcPr>
            <w:tcW w:w="10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33.6</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Kansas Central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Borders>
              <w:top w:val="single" w:sz="8" w:color="auto"/>
            </w:tcBorders>
          </w:tcPr>
          <w:p>
            <w:pPr>
              <w:spacing w:after="0"/>
              <w:rPr>
                <w:sz w:val="15"/>
                <w:szCs w:val="15"/>
                <w:color w:val="auto"/>
              </w:rPr>
            </w:pPr>
          </w:p>
        </w:tc>
        <w:tc>
          <w:tcPr>
            <w:tcW w:w="2560" w:type="dxa"/>
            <w:vAlign w:val="bottom"/>
            <w:tcBorders>
              <w:top w:val="single" w:sz="8" w:color="auto"/>
            </w:tcBorders>
            <w:gridSpan w:val="3"/>
          </w:tcPr>
          <w:p>
            <w:pPr>
              <w:jc w:val="center"/>
              <w:ind w:left="370"/>
              <w:spacing w:after="0" w:line="182" w:lineRule="exact"/>
              <w:rPr>
                <w:sz w:val="20"/>
                <w:szCs w:val="20"/>
                <w:color w:val="auto"/>
              </w:rPr>
            </w:pPr>
            <w:r>
              <w:rPr>
                <w:rFonts w:ascii="Arial" w:cs="Arial" w:eastAsia="Arial" w:hAnsi="Arial"/>
                <w:sz w:val="18"/>
                <w:szCs w:val="18"/>
                <w:b w:val="1"/>
                <w:bCs w:val="1"/>
                <w:color w:val="auto"/>
                <w:w w:val="90"/>
              </w:rPr>
              <w:t>Three Months Ended</w:t>
            </w:r>
          </w:p>
        </w:tc>
        <w:tc>
          <w:tcPr>
            <w:tcW w:w="4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2"/>
          </w:tcPr>
          <w:p>
            <w:pPr>
              <w:jc w:val="center"/>
              <w:ind w:left="390"/>
              <w:spacing w:after="0" w:line="182" w:lineRule="exact"/>
              <w:rPr>
                <w:sz w:val="20"/>
                <w:szCs w:val="20"/>
                <w:color w:val="auto"/>
              </w:rPr>
            </w:pPr>
            <w:r>
              <w:rPr>
                <w:rFonts w:ascii="Arial" w:cs="Arial" w:eastAsia="Arial" w:hAnsi="Arial"/>
                <w:sz w:val="18"/>
                <w:szCs w:val="18"/>
                <w:b w:val="1"/>
                <w:bCs w:val="1"/>
                <w:color w:val="auto"/>
                <w:w w:val="91"/>
              </w:rPr>
              <w:t>Year to Date</w:t>
            </w:r>
          </w:p>
        </w:tc>
        <w:tc>
          <w:tcPr>
            <w:tcW w:w="960" w:type="dxa"/>
            <w:vAlign w:val="bottom"/>
            <w:tcBorders>
              <w:top w:val="single" w:sz="8" w:color="auto"/>
            </w:tcBorders>
          </w:tcPr>
          <w:p>
            <w:pPr>
              <w:spacing w:after="0"/>
              <w:rPr>
                <w:sz w:val="15"/>
                <w:szCs w:val="15"/>
                <w:color w:val="auto"/>
              </w:rPr>
            </w:pPr>
          </w:p>
        </w:tc>
      </w:tr>
      <w:tr>
        <w:trPr>
          <w:trHeight w:val="225"/>
        </w:trPr>
        <w:tc>
          <w:tcPr>
            <w:tcW w:w="5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6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86"/>
              </w:rPr>
              <w:t>June 30</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86"/>
              </w:rPr>
              <w:t>June 30</w:t>
            </w:r>
          </w:p>
        </w:tc>
        <w:tc>
          <w:tcPr>
            <w:tcW w:w="960" w:type="dxa"/>
            <w:vAlign w:val="bottom"/>
          </w:tcPr>
          <w:p>
            <w:pPr>
              <w:spacing w:after="0"/>
              <w:rPr>
                <w:sz w:val="19"/>
                <w:szCs w:val="19"/>
                <w:color w:val="auto"/>
              </w:rPr>
            </w:pPr>
          </w:p>
        </w:tc>
      </w:tr>
      <w:tr>
        <w:trPr>
          <w:trHeight w:val="234"/>
        </w:trPr>
        <w:tc>
          <w:tcPr>
            <w:tcW w:w="5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28.9</w:t>
            </w:r>
          </w:p>
        </w:tc>
        <w:tc>
          <w:tcPr>
            <w:tcW w:w="10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36.8</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27.8</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35.9</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(21.9)</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(30.4)</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(0.5)</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(22.4)</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Investment tax credit</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Deferral</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expense</w:t>
            </w:r>
          </w:p>
        </w:tc>
        <w:tc>
          <w:tcPr>
            <w:tcW w:w="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w:t>
            </w:r>
          </w:p>
        </w:tc>
        <w:tc>
          <w:tcPr>
            <w:tcW w:w="10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8.0</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r>
      <w:tr>
        <w:trPr>
          <w:trHeight w:val="47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Metro</w:t>
            </w:r>
          </w:p>
        </w:tc>
        <w:tc>
          <w:tcPr>
            <w:tcW w:w="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76"/>
        </w:trPr>
        <w:tc>
          <w:tcPr>
            <w:tcW w:w="5200" w:type="dxa"/>
            <w:vAlign w:val="bottom"/>
          </w:tcPr>
          <w:p>
            <w:pPr>
              <w:spacing w:after="0"/>
              <w:rPr>
                <w:sz w:val="15"/>
                <w:szCs w:val="15"/>
                <w:color w:val="auto"/>
              </w:rPr>
            </w:pPr>
          </w:p>
        </w:tc>
        <w:tc>
          <w:tcPr>
            <w:tcW w:w="2560" w:type="dxa"/>
            <w:vAlign w:val="bottom"/>
            <w:gridSpan w:val="3"/>
          </w:tcPr>
          <w:p>
            <w:pPr>
              <w:jc w:val="center"/>
              <w:ind w:left="370"/>
              <w:spacing w:after="0" w:line="176" w:lineRule="exact"/>
              <w:rPr>
                <w:sz w:val="20"/>
                <w:szCs w:val="20"/>
                <w:color w:val="auto"/>
              </w:rPr>
            </w:pPr>
            <w:r>
              <w:rPr>
                <w:rFonts w:ascii="Arial" w:cs="Arial" w:eastAsia="Arial" w:hAnsi="Arial"/>
                <w:sz w:val="18"/>
                <w:szCs w:val="18"/>
                <w:b w:val="1"/>
                <w:bCs w:val="1"/>
                <w:color w:val="auto"/>
                <w:w w:val="90"/>
              </w:rPr>
              <w:t>Three Months Ended</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gridSpan w:val="2"/>
          </w:tcPr>
          <w:p>
            <w:pPr>
              <w:jc w:val="center"/>
              <w:ind w:left="390"/>
              <w:spacing w:after="0" w:line="176" w:lineRule="exact"/>
              <w:rPr>
                <w:sz w:val="20"/>
                <w:szCs w:val="20"/>
                <w:color w:val="auto"/>
              </w:rPr>
            </w:pPr>
            <w:r>
              <w:rPr>
                <w:rFonts w:ascii="Arial" w:cs="Arial" w:eastAsia="Arial" w:hAnsi="Arial"/>
                <w:sz w:val="18"/>
                <w:szCs w:val="18"/>
                <w:b w:val="1"/>
                <w:bCs w:val="1"/>
                <w:color w:val="auto"/>
                <w:w w:val="91"/>
              </w:rPr>
              <w:t>Year to Date</w:t>
            </w:r>
          </w:p>
        </w:tc>
        <w:tc>
          <w:tcPr>
            <w:tcW w:w="960" w:type="dxa"/>
            <w:vAlign w:val="bottom"/>
          </w:tcPr>
          <w:p>
            <w:pPr>
              <w:spacing w:after="0"/>
              <w:rPr>
                <w:sz w:val="15"/>
                <w:szCs w:val="15"/>
                <w:color w:val="auto"/>
              </w:rPr>
            </w:pPr>
          </w:p>
        </w:tc>
      </w:tr>
      <w:tr>
        <w:trPr>
          <w:trHeight w:val="225"/>
        </w:trPr>
        <w:tc>
          <w:tcPr>
            <w:tcW w:w="5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6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86"/>
              </w:rPr>
              <w:t>June 30</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86"/>
              </w:rPr>
              <w:t>June 30</w:t>
            </w:r>
          </w:p>
        </w:tc>
        <w:tc>
          <w:tcPr>
            <w:tcW w:w="960" w:type="dxa"/>
            <w:vAlign w:val="bottom"/>
          </w:tcPr>
          <w:p>
            <w:pPr>
              <w:spacing w:after="0"/>
              <w:rPr>
                <w:sz w:val="19"/>
                <w:szCs w:val="19"/>
                <w:color w:val="auto"/>
              </w:rPr>
            </w:pPr>
          </w:p>
        </w:tc>
      </w:tr>
      <w:tr>
        <w:trPr>
          <w:trHeight w:val="234"/>
        </w:trPr>
        <w:tc>
          <w:tcPr>
            <w:tcW w:w="5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c>
          <w:tcPr>
            <w:tcW w:w="10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21.2</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19.6</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(0.4)</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20.8</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19.6</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2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 tax credit amortization</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(0.6)</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5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14.3</w:t>
            </w:r>
          </w:p>
        </w:tc>
        <w:tc>
          <w:tcPr>
            <w:tcW w:w="10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22.0</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972"/>
        </w:trPr>
        <w:tc>
          <w:tcPr>
            <w:tcW w:w="5200" w:type="dxa"/>
            <w:vAlign w:val="bottom"/>
          </w:tcPr>
          <w:p>
            <w:pPr>
              <w:spacing w:after="0"/>
              <w:rPr>
                <w:sz w:val="24"/>
                <w:szCs w:val="24"/>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50</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Income Tax Rates</w:t>
      </w:r>
    </w:p>
    <w:p>
      <w:pPr>
        <w:spacing w:after="0" w:line="22" w:lineRule="exact"/>
        <w:rPr>
          <w:sz w:val="20"/>
          <w:szCs w:val="20"/>
          <w:color w:val="auto"/>
        </w:rPr>
      </w:pPr>
    </w:p>
    <w:p>
      <w:pPr>
        <w:ind w:right="640"/>
        <w:spacing w:after="0" w:line="244" w:lineRule="auto"/>
        <w:rPr>
          <w:sz w:val="20"/>
          <w:szCs w:val="20"/>
          <w:color w:val="auto"/>
        </w:rPr>
      </w:pPr>
      <w:r>
        <w:rPr>
          <w:rFonts w:ascii="Arial" w:cs="Arial" w:eastAsia="Arial" w:hAnsi="Arial"/>
          <w:sz w:val="20"/>
          <w:szCs w:val="20"/>
          <w:color w:val="auto"/>
        </w:rPr>
        <w:t>Effective income tax rates reflected in the financial statements and the reasons for their differences from the statutory federal rates are detailed in the following tables.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00" w:type="dxa"/>
            <w:vAlign w:val="bottom"/>
            <w:tcBorders>
              <w:top w:val="single" w:sz="8" w:color="auto"/>
            </w:tcBorders>
            <w:gridSpan w:val="2"/>
          </w:tcPr>
          <w:p>
            <w:pPr>
              <w:jc w:val="center"/>
              <w:ind w:left="5330"/>
              <w:spacing w:after="0" w:line="182" w:lineRule="exact"/>
              <w:rPr>
                <w:sz w:val="20"/>
                <w:szCs w:val="20"/>
                <w:color w:val="auto"/>
              </w:rPr>
            </w:pPr>
            <w:r>
              <w:rPr>
                <w:rFonts w:ascii="Arial" w:cs="Arial" w:eastAsia="Arial" w:hAnsi="Arial"/>
                <w:sz w:val="18"/>
                <w:szCs w:val="18"/>
                <w:b w:val="1"/>
                <w:bCs w:val="1"/>
                <w:color w:val="auto"/>
                <w:w w:val="92"/>
              </w:rPr>
              <w:t>Three Months Ended</w:t>
            </w:r>
          </w:p>
        </w:tc>
        <w:tc>
          <w:tcPr>
            <w:tcW w:w="82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center"/>
              <w:ind w:left="610"/>
              <w:spacing w:after="0" w:line="182" w:lineRule="exact"/>
              <w:rPr>
                <w:sz w:val="20"/>
                <w:szCs w:val="20"/>
                <w:color w:val="auto"/>
              </w:rPr>
            </w:pPr>
            <w:r>
              <w:rPr>
                <w:rFonts w:ascii="Arial" w:cs="Arial" w:eastAsia="Arial" w:hAnsi="Arial"/>
                <w:sz w:val="18"/>
                <w:szCs w:val="18"/>
                <w:b w:val="1"/>
                <w:bCs w:val="1"/>
                <w:color w:val="auto"/>
                <w:w w:val="91"/>
              </w:rPr>
              <w:t>Year to Date</w:t>
            </w:r>
          </w:p>
        </w:tc>
        <w:tc>
          <w:tcPr>
            <w:tcW w:w="1020" w:type="dxa"/>
            <w:vAlign w:val="bottom"/>
            <w:tcBorders>
              <w:top w:val="single" w:sz="8" w:color="auto"/>
            </w:tcBorders>
          </w:tcPr>
          <w:p>
            <w:pPr>
              <w:spacing w:after="0"/>
              <w:rPr>
                <w:sz w:val="15"/>
                <w:szCs w:val="15"/>
                <w:color w:val="auto"/>
              </w:rPr>
            </w:pPr>
          </w:p>
        </w:tc>
      </w:tr>
      <w:tr>
        <w:trPr>
          <w:trHeight w:val="225"/>
        </w:trPr>
        <w:tc>
          <w:tcPr>
            <w:tcW w:w="5800" w:type="dxa"/>
            <w:vAlign w:val="bottom"/>
          </w:tcPr>
          <w:p>
            <w:pPr>
              <w:spacing w:after="0"/>
              <w:rPr>
                <w:sz w:val="19"/>
                <w:szCs w:val="19"/>
                <w:color w:val="auto"/>
              </w:rPr>
            </w:pPr>
          </w:p>
        </w:tc>
        <w:tc>
          <w:tcPr>
            <w:tcW w:w="1700" w:type="dxa"/>
            <w:vAlign w:val="bottom"/>
          </w:tcPr>
          <w:p>
            <w:pPr>
              <w:jc w:val="center"/>
              <w:ind w:right="270"/>
              <w:spacing w:after="0"/>
              <w:rPr>
                <w:sz w:val="20"/>
                <w:szCs w:val="20"/>
                <w:color w:val="auto"/>
              </w:rPr>
            </w:pPr>
            <w:r>
              <w:rPr>
                <w:rFonts w:ascii="Arial" w:cs="Arial" w:eastAsia="Arial" w:hAnsi="Arial"/>
                <w:sz w:val="18"/>
                <w:szCs w:val="18"/>
                <w:b w:val="1"/>
                <w:bCs w:val="1"/>
                <w:color w:val="auto"/>
                <w:w w:val="86"/>
              </w:rPr>
              <w:t>June 30</w:t>
            </w:r>
          </w:p>
        </w:tc>
        <w:tc>
          <w:tcPr>
            <w:tcW w:w="820" w:type="dxa"/>
            <w:vAlign w:val="bottom"/>
          </w:tcPr>
          <w:p>
            <w:pPr>
              <w:spacing w:after="0"/>
              <w:rPr>
                <w:sz w:val="19"/>
                <w:szCs w:val="19"/>
                <w:color w:val="auto"/>
              </w:rPr>
            </w:pPr>
          </w:p>
        </w:tc>
        <w:tc>
          <w:tcPr>
            <w:tcW w:w="1900" w:type="dxa"/>
            <w:vAlign w:val="bottom"/>
          </w:tcPr>
          <w:p>
            <w:pPr>
              <w:jc w:val="center"/>
              <w:ind w:left="650"/>
              <w:spacing w:after="0"/>
              <w:rPr>
                <w:sz w:val="20"/>
                <w:szCs w:val="20"/>
                <w:color w:val="auto"/>
              </w:rPr>
            </w:pPr>
            <w:r>
              <w:rPr>
                <w:rFonts w:ascii="Arial" w:cs="Arial" w:eastAsia="Arial" w:hAnsi="Arial"/>
                <w:sz w:val="18"/>
                <w:szCs w:val="18"/>
                <w:b w:val="1"/>
                <w:bCs w:val="1"/>
                <w:color w:val="auto"/>
                <w:w w:val="89"/>
              </w:rPr>
              <w:t>June 30</w:t>
            </w:r>
          </w:p>
        </w:tc>
        <w:tc>
          <w:tcPr>
            <w:tcW w:w="1020" w:type="dxa"/>
            <w:vAlign w:val="bottom"/>
          </w:tcPr>
          <w:p>
            <w:pPr>
              <w:spacing w:after="0"/>
              <w:rPr>
                <w:sz w:val="19"/>
                <w:szCs w:val="19"/>
                <w:color w:val="auto"/>
              </w:rPr>
            </w:pPr>
          </w:p>
        </w:tc>
      </w:tr>
      <w:tr>
        <w:trPr>
          <w:trHeight w:val="234"/>
        </w:trPr>
        <w:tc>
          <w:tcPr>
            <w:tcW w:w="5800" w:type="dxa"/>
            <w:vAlign w:val="bottom"/>
            <w:tcBorders>
              <w:bottom w:val="single" w:sz="8" w:color="auto"/>
            </w:tcBorders>
          </w:tcPr>
          <w:p>
            <w:pPr>
              <w:ind w:left="5440"/>
              <w:spacing w:after="0"/>
              <w:rPr>
                <w:sz w:val="20"/>
                <w:szCs w:val="20"/>
                <w:color w:val="auto"/>
              </w:rPr>
            </w:pPr>
            <w:r>
              <w:rPr>
                <w:rFonts w:ascii="Arial" w:cs="Arial" w:eastAsia="Arial" w:hAnsi="Arial"/>
                <w:sz w:val="18"/>
                <w:szCs w:val="18"/>
                <w:b w:val="1"/>
                <w:bCs w:val="1"/>
                <w:color w:val="auto"/>
                <w:w w:val="84"/>
              </w:rPr>
              <w:t>2022</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170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2"/>
              </w:rPr>
              <w:t>21.0 %</w:t>
            </w:r>
          </w:p>
        </w:tc>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2"/>
              </w:rPr>
              <w:t>21.0 %</w:t>
            </w:r>
          </w:p>
        </w:tc>
        <w:tc>
          <w:tcPr>
            <w:tcW w:w="19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21.0 %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Effect of:</w:t>
            </w:r>
          </w:p>
        </w:tc>
        <w:tc>
          <w:tcPr>
            <w:tcW w:w="1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COLI policies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(0.5)</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(1.1)</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(0.5)</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1700" w:type="dxa"/>
            <w:vAlign w:val="bottom"/>
          </w:tcPr>
          <w:p>
            <w:pPr>
              <w:jc w:val="right"/>
              <w:ind w:right="1270"/>
              <w:spacing w:after="0"/>
              <w:rPr>
                <w:sz w:val="20"/>
                <w:szCs w:val="20"/>
                <w:color w:val="auto"/>
              </w:rPr>
            </w:pPr>
            <w:r>
              <w:rPr>
                <w:rFonts w:ascii="Arial" w:cs="Arial" w:eastAsia="Arial" w:hAnsi="Arial"/>
                <w:sz w:val="18"/>
                <w:szCs w:val="18"/>
                <w:color w:val="auto"/>
              </w:rPr>
              <w:t>0.5</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0.1</w:t>
            </w:r>
          </w:p>
        </w:tc>
        <w:tc>
          <w:tcPr>
            <w:tcW w:w="1900" w:type="dxa"/>
            <w:vAlign w:val="bottom"/>
          </w:tcPr>
          <w:p>
            <w:pPr>
              <w:jc w:val="right"/>
              <w:ind w:right="810"/>
              <w:spacing w:after="0"/>
              <w:rPr>
                <w:sz w:val="20"/>
                <w:szCs w:val="20"/>
                <w:color w:val="auto"/>
              </w:rPr>
            </w:pPr>
            <w:r>
              <w:rPr>
                <w:rFonts w:ascii="Arial" w:cs="Arial" w:eastAsia="Arial" w:hAnsi="Arial"/>
                <w:sz w:val="18"/>
                <w:szCs w:val="18"/>
                <w:color w:val="auto"/>
              </w:rPr>
              <w:t>0.8</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1.0</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(6.0)</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(6.4)</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(6.1)</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Federal tax credits</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(4.0)</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97"/>
              </w:rPr>
              <w:t>(3.1)</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(3.9)</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(3.1)</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(0.3)</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(0.3)</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(0.3)</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AFUDC equity</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(0.5)</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97"/>
              </w:rPr>
              <w:t>(0.6)</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(0.5)</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(0.7)</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(0.2)</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(0.5)</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(0.2)</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(0.1)</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97"/>
              </w:rPr>
              <w:t>(0.1)</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(0.4)</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 compensation limitation</w:t>
            </w:r>
          </w:p>
        </w:tc>
        <w:tc>
          <w:tcPr>
            <w:tcW w:w="170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0.3</w:t>
            </w:r>
          </w:p>
        </w:tc>
        <w:tc>
          <w:tcPr>
            <w:tcW w:w="8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0.5</w:t>
            </w:r>
          </w:p>
        </w:tc>
        <w:tc>
          <w:tcPr>
            <w:tcW w:w="19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0.3</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r>
      <w:tr>
        <w:trPr>
          <w:trHeight w:val="229"/>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w w:val="97"/>
              </w:rPr>
              <w:t>(0.1)</w:t>
            </w: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7"/>
              </w:rPr>
              <w:t>(0.1)</w:t>
            </w:r>
          </w:p>
        </w:tc>
        <w:tc>
          <w:tcPr>
            <w:tcW w:w="19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(0.8)</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(0.8)</w:t>
            </w:r>
          </w:p>
        </w:tc>
      </w:tr>
      <w:tr>
        <w:trPr>
          <w:trHeight w:val="230"/>
        </w:trPr>
        <w:tc>
          <w:tcPr>
            <w:tcW w:w="5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Effective income tax rate</w:t>
            </w:r>
          </w:p>
        </w:tc>
        <w:tc>
          <w:tcPr>
            <w:tcW w:w="170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2"/>
              </w:rPr>
              <w:t>10.1 %</w:t>
            </w:r>
          </w:p>
        </w:tc>
        <w:tc>
          <w:tcPr>
            <w:tcW w:w="8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9.4 %</w:t>
            </w:r>
          </w:p>
        </w:tc>
        <w:tc>
          <w:tcPr>
            <w:tcW w:w="19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9.4 %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466"/>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7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75"/>
        </w:trPr>
        <w:tc>
          <w:tcPr>
            <w:tcW w:w="7500" w:type="dxa"/>
            <w:vAlign w:val="bottom"/>
            <w:gridSpan w:val="2"/>
          </w:tcPr>
          <w:p>
            <w:pPr>
              <w:jc w:val="center"/>
              <w:ind w:left="5330"/>
              <w:spacing w:after="0" w:line="176" w:lineRule="exact"/>
              <w:rPr>
                <w:sz w:val="20"/>
                <w:szCs w:val="20"/>
                <w:color w:val="auto"/>
              </w:rPr>
            </w:pPr>
            <w:r>
              <w:rPr>
                <w:rFonts w:ascii="Arial" w:cs="Arial" w:eastAsia="Arial" w:hAnsi="Arial"/>
                <w:sz w:val="18"/>
                <w:szCs w:val="18"/>
                <w:b w:val="1"/>
                <w:bCs w:val="1"/>
                <w:color w:val="auto"/>
                <w:w w:val="92"/>
              </w:rPr>
              <w:t>Three Months Ended</w:t>
            </w:r>
          </w:p>
        </w:tc>
        <w:tc>
          <w:tcPr>
            <w:tcW w:w="820" w:type="dxa"/>
            <w:vAlign w:val="bottom"/>
          </w:tcPr>
          <w:p>
            <w:pPr>
              <w:spacing w:after="0"/>
              <w:rPr>
                <w:sz w:val="15"/>
                <w:szCs w:val="15"/>
                <w:color w:val="auto"/>
              </w:rPr>
            </w:pPr>
          </w:p>
        </w:tc>
        <w:tc>
          <w:tcPr>
            <w:tcW w:w="1900" w:type="dxa"/>
            <w:vAlign w:val="bottom"/>
          </w:tcPr>
          <w:p>
            <w:pPr>
              <w:jc w:val="center"/>
              <w:ind w:left="610"/>
              <w:spacing w:after="0" w:line="176" w:lineRule="exact"/>
              <w:rPr>
                <w:sz w:val="20"/>
                <w:szCs w:val="20"/>
                <w:color w:val="auto"/>
              </w:rPr>
            </w:pPr>
            <w:r>
              <w:rPr>
                <w:rFonts w:ascii="Arial" w:cs="Arial" w:eastAsia="Arial" w:hAnsi="Arial"/>
                <w:sz w:val="18"/>
                <w:szCs w:val="18"/>
                <w:b w:val="1"/>
                <w:bCs w:val="1"/>
                <w:color w:val="auto"/>
                <w:w w:val="91"/>
              </w:rPr>
              <w:t>Year to Date</w:t>
            </w:r>
          </w:p>
        </w:tc>
        <w:tc>
          <w:tcPr>
            <w:tcW w:w="1020" w:type="dxa"/>
            <w:vAlign w:val="bottom"/>
          </w:tcPr>
          <w:p>
            <w:pPr>
              <w:spacing w:after="0"/>
              <w:rPr>
                <w:sz w:val="15"/>
                <w:szCs w:val="15"/>
                <w:color w:val="auto"/>
              </w:rPr>
            </w:pPr>
          </w:p>
        </w:tc>
      </w:tr>
      <w:tr>
        <w:trPr>
          <w:trHeight w:val="225"/>
        </w:trPr>
        <w:tc>
          <w:tcPr>
            <w:tcW w:w="5800" w:type="dxa"/>
            <w:vAlign w:val="bottom"/>
          </w:tcPr>
          <w:p>
            <w:pPr>
              <w:spacing w:after="0"/>
              <w:rPr>
                <w:sz w:val="19"/>
                <w:szCs w:val="19"/>
                <w:color w:val="auto"/>
              </w:rPr>
            </w:pPr>
          </w:p>
        </w:tc>
        <w:tc>
          <w:tcPr>
            <w:tcW w:w="1700" w:type="dxa"/>
            <w:vAlign w:val="bottom"/>
          </w:tcPr>
          <w:p>
            <w:pPr>
              <w:jc w:val="center"/>
              <w:ind w:right="270"/>
              <w:spacing w:after="0"/>
              <w:rPr>
                <w:sz w:val="20"/>
                <w:szCs w:val="20"/>
                <w:color w:val="auto"/>
              </w:rPr>
            </w:pPr>
            <w:r>
              <w:rPr>
                <w:rFonts w:ascii="Arial" w:cs="Arial" w:eastAsia="Arial" w:hAnsi="Arial"/>
                <w:sz w:val="18"/>
                <w:szCs w:val="18"/>
                <w:b w:val="1"/>
                <w:bCs w:val="1"/>
                <w:color w:val="auto"/>
                <w:w w:val="86"/>
              </w:rPr>
              <w:t>June 30</w:t>
            </w:r>
          </w:p>
        </w:tc>
        <w:tc>
          <w:tcPr>
            <w:tcW w:w="820" w:type="dxa"/>
            <w:vAlign w:val="bottom"/>
          </w:tcPr>
          <w:p>
            <w:pPr>
              <w:spacing w:after="0"/>
              <w:rPr>
                <w:sz w:val="19"/>
                <w:szCs w:val="19"/>
                <w:color w:val="auto"/>
              </w:rPr>
            </w:pPr>
          </w:p>
        </w:tc>
        <w:tc>
          <w:tcPr>
            <w:tcW w:w="1900" w:type="dxa"/>
            <w:vAlign w:val="bottom"/>
          </w:tcPr>
          <w:p>
            <w:pPr>
              <w:jc w:val="center"/>
              <w:ind w:left="650"/>
              <w:spacing w:after="0"/>
              <w:rPr>
                <w:sz w:val="20"/>
                <w:szCs w:val="20"/>
                <w:color w:val="auto"/>
              </w:rPr>
            </w:pPr>
            <w:r>
              <w:rPr>
                <w:rFonts w:ascii="Arial" w:cs="Arial" w:eastAsia="Arial" w:hAnsi="Arial"/>
                <w:sz w:val="18"/>
                <w:szCs w:val="18"/>
                <w:b w:val="1"/>
                <w:bCs w:val="1"/>
                <w:color w:val="auto"/>
                <w:w w:val="89"/>
              </w:rPr>
              <w:t>June 30</w:t>
            </w:r>
          </w:p>
        </w:tc>
        <w:tc>
          <w:tcPr>
            <w:tcW w:w="1020" w:type="dxa"/>
            <w:vAlign w:val="bottom"/>
          </w:tcPr>
          <w:p>
            <w:pPr>
              <w:spacing w:after="0"/>
              <w:rPr>
                <w:sz w:val="19"/>
                <w:szCs w:val="19"/>
                <w:color w:val="auto"/>
              </w:rPr>
            </w:pPr>
          </w:p>
        </w:tc>
      </w:tr>
      <w:tr>
        <w:trPr>
          <w:trHeight w:val="234"/>
        </w:trPr>
        <w:tc>
          <w:tcPr>
            <w:tcW w:w="5800" w:type="dxa"/>
            <w:vAlign w:val="bottom"/>
            <w:tcBorders>
              <w:bottom w:val="single" w:sz="8" w:color="auto"/>
            </w:tcBorders>
          </w:tcPr>
          <w:p>
            <w:pPr>
              <w:ind w:left="5440"/>
              <w:spacing w:after="0"/>
              <w:rPr>
                <w:sz w:val="20"/>
                <w:szCs w:val="20"/>
                <w:color w:val="auto"/>
              </w:rPr>
            </w:pPr>
            <w:r>
              <w:rPr>
                <w:rFonts w:ascii="Arial" w:cs="Arial" w:eastAsia="Arial" w:hAnsi="Arial"/>
                <w:sz w:val="18"/>
                <w:szCs w:val="18"/>
                <w:b w:val="1"/>
                <w:bCs w:val="1"/>
                <w:color w:val="auto"/>
                <w:w w:val="84"/>
              </w:rPr>
              <w:t>2022</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170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2"/>
              </w:rPr>
              <w:t>21.0 %</w:t>
            </w:r>
          </w:p>
        </w:tc>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2"/>
              </w:rPr>
              <w:t>21.0 %</w:t>
            </w:r>
          </w:p>
        </w:tc>
        <w:tc>
          <w:tcPr>
            <w:tcW w:w="19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21.0 %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Effect of:</w:t>
            </w:r>
          </w:p>
        </w:tc>
        <w:tc>
          <w:tcPr>
            <w:tcW w:w="1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COLI policies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(1.0)</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(1.6)</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(1.0)</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(1.5)</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0.4</w:t>
            </w:r>
          </w:p>
        </w:tc>
        <w:tc>
          <w:tcPr>
            <w:tcW w:w="1900" w:type="dxa"/>
            <w:vAlign w:val="bottom"/>
          </w:tcPr>
          <w:p>
            <w:pPr>
              <w:jc w:val="right"/>
              <w:ind w:right="810"/>
              <w:spacing w:after="0"/>
              <w:rPr>
                <w:sz w:val="20"/>
                <w:szCs w:val="20"/>
                <w:color w:val="auto"/>
              </w:rPr>
            </w:pPr>
            <w:r>
              <w:rPr>
                <w:rFonts w:ascii="Arial" w:cs="Arial" w:eastAsia="Arial" w:hAnsi="Arial"/>
                <w:sz w:val="18"/>
                <w:szCs w:val="18"/>
                <w:color w:val="auto"/>
              </w:rPr>
              <w:t>0.1</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1.0</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(3.5)</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(5.2)</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(4.2)</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Federal tax credits</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(8.8)</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97"/>
              </w:rPr>
              <w:t>(5.1)</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(8.3)</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(5.3)</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(0.6)</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(0.5)</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(0.6)</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AFUDC equity</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(0.7)</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97"/>
              </w:rPr>
              <w:t>(0.6)</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(0.7)</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(0.7)</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170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0.1</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(0.5)</w:t>
            </w:r>
          </w:p>
        </w:tc>
        <w:tc>
          <w:tcPr>
            <w:tcW w:w="19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0.1</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(0.2)</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97"/>
              </w:rPr>
              <w:t>(0.3)</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(0.4)</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 compensation limitation</w:t>
            </w:r>
          </w:p>
        </w:tc>
        <w:tc>
          <w:tcPr>
            <w:tcW w:w="170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0.1</w:t>
            </w:r>
          </w:p>
        </w:tc>
        <w:tc>
          <w:tcPr>
            <w:tcW w:w="8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0.2</w:t>
            </w:r>
          </w:p>
        </w:tc>
        <w:tc>
          <w:tcPr>
            <w:tcW w:w="19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30"/>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w w:val="97"/>
              </w:rPr>
              <w:t>(0.2)</w:t>
            </w: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7"/>
              </w:rPr>
              <w:t>(0.4)</w:t>
            </w:r>
          </w:p>
        </w:tc>
        <w:tc>
          <w:tcPr>
            <w:tcW w:w="19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(1.4)</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w:t>
            </w:r>
          </w:p>
        </w:tc>
      </w:tr>
      <w:tr>
        <w:trPr>
          <w:trHeight w:val="230"/>
        </w:trPr>
        <w:tc>
          <w:tcPr>
            <w:tcW w:w="5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Effective income tax rate</w:t>
            </w:r>
          </w:p>
        </w:tc>
        <w:tc>
          <w:tcPr>
            <w:tcW w:w="170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4.7 %</w:t>
            </w:r>
          </w:p>
        </w:tc>
        <w:tc>
          <w:tcPr>
            <w:tcW w:w="8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7.4 %</w:t>
            </w:r>
          </w:p>
        </w:tc>
        <w:tc>
          <w:tcPr>
            <w:tcW w:w="19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4.6 %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Metro</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00" w:type="dxa"/>
            <w:vAlign w:val="bottom"/>
            <w:tcBorders>
              <w:top w:val="single" w:sz="8" w:color="auto"/>
            </w:tcBorders>
            <w:gridSpan w:val="2"/>
          </w:tcPr>
          <w:p>
            <w:pPr>
              <w:jc w:val="right"/>
              <w:ind w:right="130"/>
              <w:spacing w:after="0" w:line="182" w:lineRule="exact"/>
              <w:rPr>
                <w:sz w:val="20"/>
                <w:szCs w:val="20"/>
                <w:color w:val="auto"/>
              </w:rPr>
            </w:pPr>
            <w:r>
              <w:rPr>
                <w:rFonts w:ascii="Arial" w:cs="Arial" w:eastAsia="Arial" w:hAnsi="Arial"/>
                <w:sz w:val="18"/>
                <w:szCs w:val="18"/>
                <w:b w:val="1"/>
                <w:bCs w:val="1"/>
                <w:color w:val="auto"/>
              </w:rPr>
              <w:t>Three Months Ended</w:t>
            </w:r>
          </w:p>
        </w:tc>
        <w:tc>
          <w:tcPr>
            <w:tcW w:w="82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right"/>
              <w:ind w:right="30"/>
              <w:spacing w:after="0" w:line="182" w:lineRule="exact"/>
              <w:rPr>
                <w:sz w:val="20"/>
                <w:szCs w:val="20"/>
                <w:color w:val="auto"/>
              </w:rPr>
            </w:pPr>
            <w:r>
              <w:rPr>
                <w:rFonts w:ascii="Arial" w:cs="Arial" w:eastAsia="Arial" w:hAnsi="Arial"/>
                <w:sz w:val="18"/>
                <w:szCs w:val="18"/>
                <w:b w:val="1"/>
                <w:bCs w:val="1"/>
                <w:color w:val="auto"/>
              </w:rPr>
              <w:t>Year to Date</w:t>
            </w:r>
          </w:p>
        </w:tc>
        <w:tc>
          <w:tcPr>
            <w:tcW w:w="1020" w:type="dxa"/>
            <w:vAlign w:val="bottom"/>
            <w:tcBorders>
              <w:top w:val="single" w:sz="8" w:color="auto"/>
            </w:tcBorders>
          </w:tcPr>
          <w:p>
            <w:pPr>
              <w:spacing w:after="0"/>
              <w:rPr>
                <w:sz w:val="15"/>
                <w:szCs w:val="15"/>
                <w:color w:val="auto"/>
              </w:rPr>
            </w:pPr>
          </w:p>
        </w:tc>
      </w:tr>
      <w:tr>
        <w:trPr>
          <w:trHeight w:val="225"/>
        </w:trPr>
        <w:tc>
          <w:tcPr>
            <w:tcW w:w="5800" w:type="dxa"/>
            <w:vAlign w:val="bottom"/>
          </w:tcPr>
          <w:p>
            <w:pPr>
              <w:spacing w:after="0"/>
              <w:rPr>
                <w:sz w:val="19"/>
                <w:szCs w:val="19"/>
                <w:color w:val="auto"/>
              </w:rPr>
            </w:pPr>
          </w:p>
        </w:tc>
        <w:tc>
          <w:tcPr>
            <w:tcW w:w="1700" w:type="dxa"/>
            <w:vAlign w:val="bottom"/>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19"/>
                <w:szCs w:val="19"/>
                <w:color w:val="auto"/>
              </w:rPr>
            </w:pPr>
          </w:p>
        </w:tc>
        <w:tc>
          <w:tcPr>
            <w:tcW w:w="190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19"/>
                <w:szCs w:val="19"/>
                <w:color w:val="auto"/>
              </w:rPr>
            </w:pPr>
          </w:p>
        </w:tc>
      </w:tr>
      <w:tr>
        <w:trPr>
          <w:trHeight w:val="234"/>
        </w:trPr>
        <w:tc>
          <w:tcPr>
            <w:tcW w:w="5800" w:type="dxa"/>
            <w:vAlign w:val="bottom"/>
            <w:tcBorders>
              <w:bottom w:val="single" w:sz="8" w:color="auto"/>
            </w:tcBorders>
          </w:tcPr>
          <w:p>
            <w:pPr>
              <w:ind w:left="5440"/>
              <w:spacing w:after="0"/>
              <w:rPr>
                <w:sz w:val="20"/>
                <w:szCs w:val="20"/>
                <w:color w:val="auto"/>
              </w:rPr>
            </w:pPr>
            <w:r>
              <w:rPr>
                <w:rFonts w:ascii="Arial" w:cs="Arial" w:eastAsia="Arial" w:hAnsi="Arial"/>
                <w:sz w:val="18"/>
                <w:szCs w:val="18"/>
                <w:b w:val="1"/>
                <w:bCs w:val="1"/>
                <w:color w:val="auto"/>
                <w:w w:val="84"/>
              </w:rPr>
              <w:t>2022</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170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2"/>
              </w:rPr>
              <w:t>21.0 %</w:t>
            </w:r>
          </w:p>
        </w:tc>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2"/>
              </w:rPr>
              <w:t>21.0 %</w:t>
            </w:r>
          </w:p>
        </w:tc>
        <w:tc>
          <w:tcPr>
            <w:tcW w:w="19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21.0 %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Effect of:</w:t>
            </w:r>
          </w:p>
        </w:tc>
        <w:tc>
          <w:tcPr>
            <w:tcW w:w="1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COLI policies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(0.1)</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(0.3)</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(0.1)</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1700" w:type="dxa"/>
            <w:vAlign w:val="bottom"/>
          </w:tcPr>
          <w:p>
            <w:pPr>
              <w:jc w:val="right"/>
              <w:ind w:right="1270"/>
              <w:spacing w:after="0"/>
              <w:rPr>
                <w:sz w:val="20"/>
                <w:szCs w:val="20"/>
                <w:color w:val="auto"/>
              </w:rPr>
            </w:pPr>
            <w:r>
              <w:rPr>
                <w:rFonts w:ascii="Arial" w:cs="Arial" w:eastAsia="Arial" w:hAnsi="Arial"/>
                <w:sz w:val="18"/>
                <w:szCs w:val="18"/>
                <w:color w:val="auto"/>
              </w:rPr>
              <w:t>0.5</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0.4</w:t>
            </w:r>
          </w:p>
        </w:tc>
        <w:tc>
          <w:tcPr>
            <w:tcW w:w="1900" w:type="dxa"/>
            <w:vAlign w:val="bottom"/>
          </w:tcPr>
          <w:p>
            <w:pPr>
              <w:jc w:val="right"/>
              <w:ind w:right="810"/>
              <w:spacing w:after="0"/>
              <w:rPr>
                <w:sz w:val="20"/>
                <w:szCs w:val="20"/>
                <w:color w:val="auto"/>
              </w:rPr>
            </w:pPr>
            <w:r>
              <w:rPr>
                <w:rFonts w:ascii="Arial" w:cs="Arial" w:eastAsia="Arial" w:hAnsi="Arial"/>
                <w:sz w:val="18"/>
                <w:szCs w:val="18"/>
                <w:color w:val="auto"/>
              </w:rPr>
              <w:t>0.5</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0.4</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(6.8)</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(8.3)</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(6.9)</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(8.2)</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Federal tax credits</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(0.2)</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97"/>
              </w:rPr>
              <w:t>(0.7)</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(0.2)</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(0.6)</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equity</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(0.4)</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(0.6)</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(0.4)</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(0.6)</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97"/>
              </w:rPr>
              <w:t>(0.4)</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(0.6)</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(0.4)</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70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(0.5)</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Officer compensation limitation</w:t>
            </w:r>
          </w:p>
        </w:tc>
        <w:tc>
          <w:tcPr>
            <w:tcW w:w="1700" w:type="dxa"/>
            <w:vAlign w:val="bottom"/>
          </w:tcPr>
          <w:p>
            <w:pPr>
              <w:jc w:val="right"/>
              <w:ind w:right="1270"/>
              <w:spacing w:after="0"/>
              <w:rPr>
                <w:sz w:val="20"/>
                <w:szCs w:val="20"/>
                <w:color w:val="auto"/>
              </w:rPr>
            </w:pPr>
            <w:r>
              <w:rPr>
                <w:rFonts w:ascii="Arial" w:cs="Arial" w:eastAsia="Arial" w:hAnsi="Arial"/>
                <w:sz w:val="18"/>
                <w:szCs w:val="18"/>
                <w:color w:val="auto"/>
              </w:rPr>
              <w:t>0.5</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1.0</w:t>
            </w:r>
          </w:p>
        </w:tc>
        <w:tc>
          <w:tcPr>
            <w:tcW w:w="1900" w:type="dxa"/>
            <w:vAlign w:val="bottom"/>
          </w:tcPr>
          <w:p>
            <w:pPr>
              <w:jc w:val="right"/>
              <w:ind w:right="810"/>
              <w:spacing w:after="0"/>
              <w:rPr>
                <w:sz w:val="20"/>
                <w:szCs w:val="20"/>
                <w:color w:val="auto"/>
              </w:rPr>
            </w:pPr>
            <w:r>
              <w:rPr>
                <w:rFonts w:ascii="Arial" w:cs="Arial" w:eastAsia="Arial" w:hAnsi="Arial"/>
                <w:sz w:val="18"/>
                <w:szCs w:val="18"/>
                <w:color w:val="auto"/>
              </w:rPr>
              <w:t>0.5</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0.9</w:t>
            </w:r>
          </w:p>
        </w:tc>
      </w:tr>
      <w:tr>
        <w:trPr>
          <w:trHeight w:val="230"/>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97"/>
              </w:rPr>
              <w:t>(0.1)</w:t>
            </w:r>
          </w:p>
        </w:tc>
        <w:tc>
          <w:tcPr>
            <w:tcW w:w="8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7"/>
              </w:rPr>
              <w:t>(0.1)</w:t>
            </w:r>
          </w:p>
        </w:tc>
        <w:tc>
          <w:tcPr>
            <w:tcW w:w="19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30"/>
        </w:trPr>
        <w:tc>
          <w:tcPr>
            <w:tcW w:w="5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Effective income tax rate</w:t>
            </w:r>
          </w:p>
        </w:tc>
        <w:tc>
          <w:tcPr>
            <w:tcW w:w="170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92"/>
              </w:rPr>
              <w:t>13.8 %</w:t>
            </w: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2"/>
              </w:rPr>
              <w:t>12.0 %</w:t>
            </w:r>
          </w:p>
        </w:tc>
        <w:tc>
          <w:tcPr>
            <w:tcW w:w="19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13.3 %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12.4 %</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2" w:lineRule="exact"/>
        <w:rPr>
          <w:sz w:val="20"/>
          <w:szCs w:val="20"/>
          <w:color w:val="auto"/>
        </w:rPr>
      </w:pPr>
    </w:p>
    <w:p>
      <w:pPr>
        <w:jc w:val="both"/>
        <w:ind w:right="140"/>
        <w:spacing w:after="0" w:line="246" w:lineRule="auto"/>
        <w:rPr>
          <w:sz w:val="20"/>
          <w:szCs w:val="20"/>
          <w:color w:val="auto"/>
        </w:rPr>
      </w:pPr>
      <w:r>
        <w:rPr>
          <w:rFonts w:ascii="Arial" w:cs="Arial" w:eastAsia="Arial" w:hAnsi="Arial"/>
          <w:sz w:val="20"/>
          <w:szCs w:val="20"/>
          <w:color w:val="auto"/>
        </w:rPr>
        <w:t>The following combined Management's Discussion and Analysis of Financial Condition and Results of Operations (MD&amp;A) should be read in conjunction with the consolidated financial statements and accompanying notes in this combined Quarterly Report on Form 10-Q and the Evergy Companies' combined 2021 Form 10-K. None of the registrants make any representation as to information related solely to Evergy, Evergy Kansas Central or Evergy Metro other than itself.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EVERGY,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EXECUTIVE SUMMARY</w:t>
      </w:r>
    </w:p>
    <w:p>
      <w:pPr>
        <w:spacing w:after="0" w:line="222"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77" w:lineRule="exact"/>
        <w:rPr>
          <w:sz w:val="20"/>
          <w:szCs w:val="20"/>
          <w:color w:val="auto"/>
        </w:rPr>
      </w:pPr>
    </w:p>
    <w:p>
      <w:pPr>
        <w:ind w:left="660" w:right="140" w:hanging="328"/>
        <w:spacing w:after="0" w:line="287" w:lineRule="auto"/>
        <w:tabs>
          <w:tab w:leader="none" w:pos="648" w:val="left"/>
        </w:tabs>
        <w:numPr>
          <w:ilvl w:val="0"/>
          <w:numId w:val="11"/>
        </w:numPr>
        <w:rPr>
          <w:rFonts w:ascii="Arial" w:cs="Arial" w:eastAsia="Arial" w:hAnsi="Arial"/>
          <w:sz w:val="19"/>
          <w:szCs w:val="19"/>
          <w:color w:val="auto"/>
        </w:rPr>
      </w:pPr>
      <w:r>
        <w:rPr>
          <w:rFonts w:ascii="Arial" w:cs="Arial" w:eastAsia="Arial" w:hAnsi="Arial"/>
          <w:sz w:val="19"/>
          <w:szCs w:val="19"/>
          <w:color w:val="auto"/>
        </w:rPr>
        <w:t>Evergy Kansas Central is an integrated, regulated electric utility that provides electricity to customers in the state of Kansas. Evergy Kansas Central has one active wholly-owned subsidiary with significant operations, Evergy Kansas South.</w:t>
      </w:r>
    </w:p>
    <w:p>
      <w:pPr>
        <w:spacing w:after="0" w:line="44" w:lineRule="exact"/>
        <w:rPr>
          <w:rFonts w:ascii="Arial" w:cs="Arial" w:eastAsia="Arial" w:hAnsi="Arial"/>
          <w:sz w:val="19"/>
          <w:szCs w:val="19"/>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Evergy Metro is an integrated, regulated electric utility that provides electricity to customers in the states of Missouri and Kansas.</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Evergy Missouri West is an integrated, regulated electric utility that provides electricity to customers in the state of Missouri.</w:t>
      </w:r>
    </w:p>
    <w:p>
      <w:pPr>
        <w:spacing w:after="0" w:line="119" w:lineRule="exact"/>
        <w:rPr>
          <w:rFonts w:ascii="Arial" w:cs="Arial" w:eastAsia="Arial" w:hAnsi="Arial"/>
          <w:sz w:val="19"/>
          <w:szCs w:val="19"/>
          <w:color w:val="auto"/>
        </w:rPr>
      </w:pPr>
    </w:p>
    <w:p>
      <w:pPr>
        <w:ind w:left="660" w:right="40" w:hanging="328"/>
        <w:spacing w:after="0" w:line="269" w:lineRule="auto"/>
        <w:tabs>
          <w:tab w:leader="none" w:pos="648" w:val="left"/>
        </w:tabs>
        <w:numPr>
          <w:ilvl w:val="0"/>
          <w:numId w:val="11"/>
        </w:numPr>
        <w:rPr>
          <w:rFonts w:ascii="Arial" w:cs="Arial" w:eastAsia="Arial" w:hAnsi="Arial"/>
          <w:sz w:val="19"/>
          <w:szCs w:val="19"/>
          <w:color w:val="auto"/>
        </w:rPr>
      </w:pPr>
      <w:r>
        <w:rPr>
          <w:rFonts w:ascii="Arial" w:cs="Arial" w:eastAsia="Arial" w:hAnsi="Arial"/>
          <w:sz w:val="19"/>
          <w:szCs w:val="19"/>
          <w:color w:val="auto"/>
        </w:rPr>
        <w:t>Evergy Transmission Company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color w:val="auto"/>
        </w:rPr>
        <w:t>Evergy Kansas Central, Evergy Kansas South, Evergy Metro and Evergy Missouri West conduct business in their respective service territories using the name Evergy. Collectively, the Evergy Companies have approximately 15,400 MWs of owned generating capacity and renewable power purchase agreements and engage in the generation, transmission, distribution and sale of electricity to approximately 1.6 million customers in the states of Kansas and Missouri. The Evergy Companies assess financial performance and allocate resources on a consolidated basis (i.e., operate in one segment).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Equity Investment</w:t>
      </w:r>
    </w:p>
    <w:p>
      <w:pPr>
        <w:spacing w:after="0" w:line="22" w:lineRule="exact"/>
        <w:rPr>
          <w:sz w:val="20"/>
          <w:szCs w:val="20"/>
          <w:color w:val="auto"/>
        </w:rPr>
      </w:pPr>
    </w:p>
    <w:p>
      <w:pPr>
        <w:ind w:right="20"/>
        <w:spacing w:after="0"/>
        <w:rPr>
          <w:sz w:val="20"/>
          <w:szCs w:val="20"/>
          <w:color w:val="auto"/>
        </w:rPr>
      </w:pPr>
      <w:r>
        <w:rPr>
          <w:rFonts w:ascii="Arial" w:cs="Arial" w:eastAsia="Arial" w:hAnsi="Arial"/>
          <w:sz w:val="20"/>
          <w:szCs w:val="20"/>
          <w:color w:val="auto"/>
        </w:rPr>
        <w:t>From time to time, Evergy makes limited equity investments in early-stage energy solution companies. These investments have historically not had a significant impact on Evergy's results of operations. In October 2021, an equity investment in which Evergy held a minority stake through an initial investment of $3.7 million was acquired through a transaction involving a special purpose acquisition company (SPAC). As a result of its equity investment in the company that was acquired in the SPAC transaction, Evergy received shares of the resulting public company upon the closing of the transaction, which were subject to a restriction on sale for 150 days. The equity investment had a fair value of $31.4 million as of December 31, 2021.</w:t>
      </w:r>
    </w:p>
    <w:p>
      <w:pPr>
        <w:spacing w:after="0" w:line="197"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In March 2022, Evergy sold its shares in the equity investment to a financial institution through a share forward agreement following the expiration of the restriction on sale. As part of the share forward agreement, Evergy delivered its shares to the financial institution in exchange for a series of cash settlements totaling $15.1 million based primarily on the volume-weighted average price (VWAP) of the shares over the term of the agreement, which was completed in June 2022. As a result of the completion of the share forward agreement, Evergy no longer has an equity investment in the company.</w:t>
      </w:r>
    </w:p>
    <w:p>
      <w:pPr>
        <w:spacing w:after="0" w:line="194"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For the three months ended and year to date June 30, 2022, Evergy recorded pre-tax losses of $2.1 million and $16.3 million, respectively, in investment earnings (loss) on its consolidated statements of comprehensive income related to the decrease in market value of its equity investment prior to sale and the settlement of the share forward agreement. Evergy uses adjusted earnings (non-GAAP) and adjusted EPS (non-GAAP) to evaluate earnings and EPS without the gains or losses related to equity investments subject to a restriction on sale that can create period to period volatility, among other items. See "Non-GAAP Measures" within this Executive Summary for additional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Missouri Property Tax Tracker</w:t>
      </w:r>
    </w:p>
    <w:p>
      <w:pPr>
        <w:spacing w:after="0" w:line="22" w:lineRule="exact"/>
        <w:rPr>
          <w:sz w:val="20"/>
          <w:szCs w:val="20"/>
          <w:color w:val="auto"/>
        </w:rPr>
      </w:pPr>
    </w:p>
    <w:p>
      <w:pPr>
        <w:ind w:right="60"/>
        <w:spacing w:after="0"/>
        <w:rPr>
          <w:sz w:val="20"/>
          <w:szCs w:val="20"/>
          <w:color w:val="auto"/>
        </w:rPr>
      </w:pPr>
      <w:r>
        <w:rPr>
          <w:rFonts w:ascii="Arial" w:cs="Arial" w:eastAsia="Arial" w:hAnsi="Arial"/>
          <w:sz w:val="20"/>
          <w:szCs w:val="20"/>
          <w:color w:val="auto"/>
        </w:rPr>
        <w:t>On June 29, 2022, Missouri Senate Bill (S.B.) 745 was signed into law by the Governor of Missouri. Among other items, S.B. 745 includes a provision requiring Missouri electric utilities to defer to a regulatory asset or regulatory liability, as appropriate, any difference between state or local property tax expenses incurred and the amounts included in rates. Any amounts deferred to a regulatory asset or liability under this provision would be included in the electric utility's revenue requirement in subsequent rate cases and recovered over a reasonable period of time to be determined by the MPSC. Evergy Metro and Evergy Missouri West will begin deferring amounts associated with S.B. 745 in the third quarter of 2022.</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Proceedings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See Note 4 to the consolidated financial statements for information regarding regulatory proceedings.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Overview</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Evergy's net income and diluted EPS.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93"/>
              </w:rPr>
              <w:t>Three Months Ended</w:t>
            </w:r>
          </w:p>
        </w:tc>
        <w:tc>
          <w:tcPr>
            <w:tcW w:w="8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spacing w:after="0" w:line="202" w:lineRule="exact"/>
              <w:rPr>
                <w:sz w:val="20"/>
                <w:szCs w:val="20"/>
                <w:color w:val="auto"/>
              </w:rPr>
            </w:pPr>
            <w:r>
              <w:rPr>
                <w:rFonts w:ascii="Arial" w:cs="Arial" w:eastAsia="Arial" w:hAnsi="Arial"/>
                <w:sz w:val="18"/>
                <w:szCs w:val="18"/>
                <w:b w:val="1"/>
                <w:bCs w:val="1"/>
                <w:color w:val="auto"/>
                <w:w w:val="91"/>
              </w:rPr>
              <w:t>Year to Date</w:t>
            </w: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25"/>
        </w:trPr>
        <w:tc>
          <w:tcPr>
            <w:tcW w:w="3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June 30</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4"/>
        </w:trPr>
        <w:tc>
          <w:tcPr>
            <w:tcW w:w="3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Change</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2021</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Change</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r>
      <w:tr>
        <w:trPr>
          <w:trHeight w:val="207"/>
        </w:trPr>
        <w:tc>
          <w:tcPr>
            <w:tcW w:w="3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80" w:type="dxa"/>
            <w:vAlign w:val="bottom"/>
            <w:gridSpan w:val="4"/>
          </w:tcPr>
          <w:p>
            <w:pPr>
              <w:jc w:val="right"/>
              <w:ind w:right="10"/>
              <w:spacing w:after="0"/>
              <w:rPr>
                <w:sz w:val="20"/>
                <w:szCs w:val="20"/>
                <w:color w:val="auto"/>
              </w:rPr>
            </w:pPr>
            <w:r>
              <w:rPr>
                <w:rFonts w:ascii="Arial" w:cs="Arial" w:eastAsia="Arial" w:hAnsi="Arial"/>
                <w:sz w:val="16"/>
                <w:szCs w:val="16"/>
                <w:color w:val="auto"/>
                <w:w w:val="95"/>
              </w:rPr>
              <w:t>(millions, except per share amounts)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w:t>
            </w:r>
          </w:p>
        </w:tc>
        <w:tc>
          <w:tcPr>
            <w:tcW w:w="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185.3</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(59.9)</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r>
      <w:tr>
        <w:trPr>
          <w:trHeight w:val="236"/>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common share, diluted</w:t>
            </w: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0.03</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0.81</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1.38</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(0.27)</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Net income attributable to Evergy, Inc. increased for the three months ended June 30, 2022, compared to the same period in 2021, primarily due to higher retail sales in 2022 driven by higher weather-normalized demand and favorable weather, higher transmission revenue and increases from TDC riders; partially offset by higher operating and maintenance expenses, higher depreciation expense, lower investment earnings and lower corporate-owned life insurance (COLI) proceeds.</w:t>
      </w:r>
    </w:p>
    <w:p>
      <w:pPr>
        <w:spacing w:after="0" w:line="191"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Diluted EPS increased for the three months ended June 30, 2022, compared to the same period in 2021, primarily due to the increase in net income attributable to Evergy, Inc. discussed above.</w:t>
      </w:r>
    </w:p>
    <w:p>
      <w:pPr>
        <w:spacing w:after="0" w:line="177" w:lineRule="exact"/>
        <w:rPr>
          <w:sz w:val="20"/>
          <w:szCs w:val="20"/>
          <w:color w:val="auto"/>
        </w:rPr>
      </w:pPr>
    </w:p>
    <w:p>
      <w:pPr>
        <w:ind w:right="120"/>
        <w:spacing w:after="0" w:line="328" w:lineRule="auto"/>
        <w:rPr>
          <w:sz w:val="20"/>
          <w:szCs w:val="20"/>
          <w:color w:val="auto"/>
        </w:rPr>
      </w:pPr>
      <w:r>
        <w:rPr>
          <w:rFonts w:ascii="Arial" w:cs="Arial" w:eastAsia="Arial" w:hAnsi="Arial"/>
          <w:sz w:val="16"/>
          <w:szCs w:val="16"/>
          <w:color w:val="auto"/>
        </w:rPr>
        <w:t>Net income attributable to Evergy, Inc. decreased year to date June 30, 2022, compared to the same period in 2021, primarily due to non-regulated energy marketing margins recognized in 2021 related to the February 2021 winter weather event, higher depreciation expense, higher property taxes, lower investment earnings and lower COLI proceeds; partially offset by higher retail sales in 2022 driven by higher weather-normalized demand and favorable weather, higher transmission revenue, increases from TDC riders and lower income tax expense.</w:t>
      </w:r>
    </w:p>
    <w:p>
      <w:pPr>
        <w:spacing w:after="0" w:line="128" w:lineRule="exact"/>
        <w:rPr>
          <w:sz w:val="20"/>
          <w:szCs w:val="20"/>
          <w:color w:val="auto"/>
        </w:rPr>
      </w:pPr>
    </w:p>
    <w:p>
      <w:pPr>
        <w:ind w:right="700"/>
        <w:spacing w:after="0" w:line="260" w:lineRule="auto"/>
        <w:rPr>
          <w:sz w:val="20"/>
          <w:szCs w:val="20"/>
          <w:color w:val="auto"/>
        </w:rPr>
      </w:pPr>
      <w:r>
        <w:rPr>
          <w:rFonts w:ascii="Arial" w:cs="Arial" w:eastAsia="Arial" w:hAnsi="Arial"/>
          <w:sz w:val="20"/>
          <w:szCs w:val="20"/>
          <w:color w:val="auto"/>
        </w:rPr>
        <w:t>Diluted EPS decreased year to date June 30, 2022, compared to the same period in 2021, primarily due to the decrease in net income attributable to Evergy discussed above.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For additional information regarding the change in net income, refer to the Evergy Results of Operations section within this MD&amp;A.</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Earnings (non-GAAP) and Adjusted EPS (non-GAAP)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Evergy's adjusted earnings (non-GAAP) and adjusted EPS (non-GAAP) for the three months ended and year to date June 30, 2022, were $198.4 million or $0.86 per share and $332.2 million or $1.44 per share, respectively. For the three months ended and year to date June 30, 2021, Evergy's adjusted earnings (non-GAAP) and adjusted EPS (non-GAAP) were $195.1 million or $0.85 per share and $320.5 million or $1.40 per share, respectively. In addition to net income attributable to Evergy, Inc. and diluted EPS, Evergy's management uses adjusted earnings (non-GAAP) and adjusted EPS (non-GAAP) to evaluate earnings and EPS without the income or costs resulting from non-regulated energy marketing margins from the February 2021 winter weather event and gains or losses related to equity investments subject to a restriction on sale that can create period to period volatility, as well as costs resulting from executive transition, severance and advisor expenses.</w:t>
      </w:r>
    </w:p>
    <w:p>
      <w:pPr>
        <w:spacing w:after="0" w:line="196" w:lineRule="exact"/>
        <w:rPr>
          <w:sz w:val="20"/>
          <w:szCs w:val="20"/>
          <w:color w:val="auto"/>
        </w:rPr>
      </w:pPr>
    </w:p>
    <w:p>
      <w:pPr>
        <w:ind w:right="400"/>
        <w:spacing w:after="0" w:line="291" w:lineRule="auto"/>
        <w:rPr>
          <w:sz w:val="20"/>
          <w:szCs w:val="20"/>
          <w:color w:val="auto"/>
        </w:rPr>
      </w:pPr>
      <w:r>
        <w:rPr>
          <w:rFonts w:ascii="Arial" w:cs="Arial" w:eastAsia="Arial" w:hAnsi="Arial"/>
          <w:sz w:val="18"/>
          <w:szCs w:val="18"/>
          <w:color w:val="auto"/>
        </w:rPr>
        <w:t>Adjusted earnings (non-GAAP) and adjusted EPS (non-GAAP) are intended to enhance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performance.</w:t>
      </w:r>
    </w:p>
    <w:p>
      <w:pPr>
        <w:spacing w:after="0" w:line="152"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4" w:name="page55"/>
    <w:bookmarkEnd w:id="5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following tables provide a reconciliation between net income attributable to Evergy, Inc. and diluted EPS as determined in accordance with GAAP and adjusted earnings (non-GAAP) and adjusted EPS (non-GAAP), respectively.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10"/>
              <w:spacing w:after="0" w:line="202" w:lineRule="exact"/>
              <w:rPr>
                <w:sz w:val="20"/>
                <w:szCs w:val="20"/>
                <w:color w:val="auto"/>
              </w:rPr>
            </w:pPr>
            <w:r>
              <w:rPr>
                <w:rFonts w:ascii="Arial" w:cs="Arial" w:eastAsia="Arial" w:hAnsi="Arial"/>
                <w:sz w:val="18"/>
                <w:szCs w:val="18"/>
                <w:b w:val="1"/>
                <w:bCs w:val="1"/>
                <w:color w:val="auto"/>
                <w:w w:val="90"/>
              </w:rPr>
              <w:t>Earnings</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0"/>
              <w:spacing w:after="0" w:line="202" w:lineRule="exact"/>
              <w:rPr>
                <w:sz w:val="20"/>
                <w:szCs w:val="20"/>
                <w:color w:val="auto"/>
              </w:rPr>
            </w:pPr>
            <w:r>
              <w:rPr>
                <w:rFonts w:ascii="Arial" w:cs="Arial" w:eastAsia="Arial" w:hAnsi="Arial"/>
                <w:sz w:val="18"/>
                <w:szCs w:val="18"/>
                <w:b w:val="1"/>
                <w:bCs w:val="1"/>
                <w:color w:val="auto"/>
                <w:w w:val="90"/>
              </w:rPr>
              <w:t>Earnings</w:t>
            </w: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0"/>
              </w:rPr>
              <w:t>Earnings</w:t>
            </w: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(Loss) per</w:t>
            </w:r>
          </w:p>
        </w:tc>
        <w:tc>
          <w:tcPr>
            <w:tcW w:w="240" w:type="dxa"/>
            <w:vAlign w:val="bottom"/>
          </w:tcPr>
          <w:p>
            <w:pPr>
              <w:spacing w:after="0"/>
              <w:rPr>
                <w:sz w:val="15"/>
                <w:szCs w:val="15"/>
                <w:color w:val="auto"/>
              </w:rPr>
            </w:pPr>
          </w:p>
        </w:tc>
        <w:tc>
          <w:tcPr>
            <w:tcW w:w="102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9"/>
              </w:rPr>
              <w:t>(Loss) per</w:t>
            </w: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4"/>
              </w:rPr>
              <w:t>Diluted</w:t>
            </w: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(Loss)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Share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Share</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8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color w:val="auto"/>
                <w:w w:val="93"/>
              </w:rPr>
              <w:t>(millions, except per share amounts)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0.84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Non-GAAP reconciling items: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Non-regulated energy marketing margin related to February 2021</w:t>
            </w:r>
          </w:p>
        </w:tc>
        <w:tc>
          <w:tcPr>
            <w:tcW w:w="8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winter weather event, pre-tax</w:t>
            </w:r>
            <w:r>
              <w:rPr>
                <w:rFonts w:ascii="Arial" w:cs="Arial" w:eastAsia="Arial" w:hAnsi="Arial"/>
                <w:sz w:val="23"/>
                <w:szCs w:val="23"/>
                <w:color w:val="auto"/>
                <w:vertAlign w:val="superscript"/>
              </w:rPr>
              <w:t>(a)</w:t>
            </w:r>
          </w:p>
        </w:tc>
        <w:tc>
          <w:tcPr>
            <w:tcW w:w="8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360"/>
              <w:spacing w:after="0" w:line="176" w:lineRule="exact"/>
              <w:rPr>
                <w:sz w:val="20"/>
                <w:szCs w:val="20"/>
                <w:color w:val="auto"/>
              </w:rPr>
            </w:pPr>
            <w:r>
              <w:rPr>
                <w:rFonts w:ascii="Arial" w:cs="Arial" w:eastAsia="Arial" w:hAnsi="Arial"/>
                <w:sz w:val="18"/>
                <w:szCs w:val="18"/>
                <w:color w:val="auto"/>
              </w:rPr>
              <w:t>Non-regulated energy marketing costs related to February 2021</w:t>
            </w:r>
          </w:p>
        </w:tc>
        <w:tc>
          <w:tcPr>
            <w:tcW w:w="860" w:type="dxa"/>
            <w:vAlign w:val="bottom"/>
          </w:tcPr>
          <w:p>
            <w:pPr>
              <w:spacing w:after="0"/>
              <w:rPr>
                <w:sz w:val="15"/>
                <w:szCs w:val="15"/>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5"/>
                <w:szCs w:val="15"/>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vMerge w:val="restart"/>
          </w:tcPr>
          <w:p>
            <w:pPr>
              <w:jc w:val="right"/>
              <w:ind w:right="9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5780" w:type="dxa"/>
            <w:vAlign w:val="bottom"/>
          </w:tcPr>
          <w:p>
            <w:pPr>
              <w:ind w:left="480"/>
              <w:spacing w:after="0" w:line="230" w:lineRule="exact"/>
              <w:rPr>
                <w:sz w:val="20"/>
                <w:szCs w:val="20"/>
                <w:color w:val="auto"/>
              </w:rPr>
            </w:pPr>
            <w:r>
              <w:rPr>
                <w:rFonts w:ascii="Arial" w:cs="Arial" w:eastAsia="Arial" w:hAnsi="Arial"/>
                <w:sz w:val="18"/>
                <w:szCs w:val="18"/>
                <w:color w:val="auto"/>
              </w:rPr>
              <w:t>winter weather event, pre-tax</w:t>
            </w:r>
            <w:r>
              <w:rPr>
                <w:rFonts w:ascii="Arial" w:cs="Arial" w:eastAsia="Arial" w:hAnsi="Arial"/>
                <w:sz w:val="23"/>
                <w:szCs w:val="23"/>
                <w:color w:val="auto"/>
                <w:vertAlign w:val="superscript"/>
              </w:rPr>
              <w:t>(b)</w:t>
            </w:r>
          </w:p>
        </w:tc>
        <w:tc>
          <w:tcPr>
            <w:tcW w:w="8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Executive transition costs, pre-tax</w:t>
            </w:r>
            <w:r>
              <w:rPr>
                <w:rFonts w:ascii="Arial" w:cs="Arial" w:eastAsia="Arial" w:hAnsi="Arial"/>
                <w:sz w:val="23"/>
                <w:szCs w:val="23"/>
                <w:color w:val="auto"/>
                <w:vertAlign w:val="superscript"/>
              </w:rPr>
              <w:t>(c)</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line="230" w:lineRule="exact"/>
              <w:rPr>
                <w:sz w:val="20"/>
                <w:szCs w:val="20"/>
                <w:color w:val="auto"/>
              </w:rPr>
            </w:pPr>
            <w:r>
              <w:rPr>
                <w:rFonts w:ascii="Arial" w:cs="Arial" w:eastAsia="Arial" w:hAnsi="Arial"/>
                <w:sz w:val="18"/>
                <w:szCs w:val="18"/>
                <w:color w:val="auto"/>
              </w:rPr>
              <w:t>Severance costs, pre-tax</w:t>
            </w:r>
            <w:r>
              <w:rPr>
                <w:rFonts w:ascii="Arial" w:cs="Arial" w:eastAsia="Arial" w:hAnsi="Arial"/>
                <w:sz w:val="23"/>
                <w:szCs w:val="23"/>
                <w:color w:val="auto"/>
                <w:vertAlign w:val="superscript"/>
              </w:rPr>
              <w:t>(d)</w:t>
            </w:r>
          </w:p>
        </w:tc>
        <w:tc>
          <w:tcPr>
            <w:tcW w:w="8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Advisor expenses, pre-tax</w:t>
            </w:r>
            <w:r>
              <w:rPr>
                <w:rFonts w:ascii="Arial" w:cs="Arial" w:eastAsia="Arial" w:hAnsi="Arial"/>
                <w:sz w:val="23"/>
                <w:szCs w:val="23"/>
                <w:color w:val="auto"/>
                <w:vertAlign w:val="superscript"/>
              </w:rPr>
              <w:t>(e)</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line="230" w:lineRule="exact"/>
              <w:rPr>
                <w:sz w:val="20"/>
                <w:szCs w:val="20"/>
                <w:color w:val="auto"/>
              </w:rPr>
            </w:pPr>
            <w:r>
              <w:rPr>
                <w:rFonts w:ascii="Arial" w:cs="Arial" w:eastAsia="Arial" w:hAnsi="Arial"/>
                <w:sz w:val="18"/>
                <w:szCs w:val="18"/>
                <w:color w:val="auto"/>
              </w:rPr>
              <w:t>Restricted equity investment losses, pre-tax</w:t>
            </w:r>
            <w:r>
              <w:rPr>
                <w:rFonts w:ascii="Arial" w:cs="Arial" w:eastAsia="Arial" w:hAnsi="Arial"/>
                <w:sz w:val="23"/>
                <w:szCs w:val="23"/>
                <w:color w:val="auto"/>
                <w:vertAlign w:val="superscript"/>
              </w:rPr>
              <w:t>(f)</w:t>
            </w:r>
          </w:p>
        </w:tc>
        <w:tc>
          <w:tcPr>
            <w:tcW w:w="8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auto"/>
            </w:tcBorders>
            <w:shd w:val="clear" w:color="auto" w:fill="CCEEFF"/>
          </w:tcPr>
          <w:p>
            <w:pPr>
              <w:ind w:left="360"/>
              <w:spacing w:after="0" w:line="230" w:lineRule="exact"/>
              <w:rPr>
                <w:sz w:val="20"/>
                <w:szCs w:val="20"/>
                <w:color w:val="auto"/>
              </w:rPr>
            </w:pPr>
            <w:r>
              <w:rPr>
                <w:rFonts w:ascii="Arial" w:cs="Arial" w:eastAsia="Arial" w:hAnsi="Arial"/>
                <w:sz w:val="18"/>
                <w:szCs w:val="18"/>
                <w:color w:val="auto"/>
              </w:rPr>
              <w:t>Income tax benefit</w:t>
            </w:r>
            <w:r>
              <w:rPr>
                <w:rFonts w:ascii="Arial" w:cs="Arial" w:eastAsia="Arial" w:hAnsi="Arial"/>
                <w:sz w:val="23"/>
                <w:szCs w:val="23"/>
                <w:color w:val="auto"/>
                <w:vertAlign w:val="superscript"/>
              </w:rPr>
              <w:t>(g)</w:t>
            </w:r>
          </w:p>
        </w:tc>
        <w:tc>
          <w:tcPr>
            <w:tcW w:w="8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earnings (non-GAAP)</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198.4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0.86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195.1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345"/>
        </w:trPr>
        <w:tc>
          <w:tcPr>
            <w:tcW w:w="57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0"/>
              </w:rPr>
              <w:t>Earnings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0"/>
              </w:rPr>
              <w:t>Earnings</w:t>
            </w: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0"/>
              </w:rPr>
              <w:t>Earnings</w:t>
            </w: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(Loss) per</w:t>
            </w:r>
          </w:p>
        </w:tc>
        <w:tc>
          <w:tcPr>
            <w:tcW w:w="240" w:type="dxa"/>
            <w:vAlign w:val="bottom"/>
          </w:tcPr>
          <w:p>
            <w:pPr>
              <w:spacing w:after="0"/>
              <w:rPr>
                <w:sz w:val="15"/>
                <w:szCs w:val="15"/>
                <w:color w:val="auto"/>
              </w:rPr>
            </w:pPr>
          </w:p>
        </w:tc>
        <w:tc>
          <w:tcPr>
            <w:tcW w:w="102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9"/>
              </w:rPr>
              <w:t>(Loss) per</w:t>
            </w: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4"/>
              </w:rPr>
              <w:t>Diluted</w:t>
            </w: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(Loss)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Share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Share</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8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color w:val="auto"/>
                <w:w w:val="93"/>
              </w:rPr>
              <w:t>(millions, except per share amounts)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Non-GAAP reconciling items: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Non-regulated energy marketing margin related to February 2021</w:t>
            </w:r>
          </w:p>
        </w:tc>
        <w:tc>
          <w:tcPr>
            <w:tcW w:w="8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(95.0)</w:t>
            </w: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winter weather event, pre-tax</w:t>
            </w:r>
            <w:r>
              <w:rPr>
                <w:rFonts w:ascii="Arial" w:cs="Arial" w:eastAsia="Arial" w:hAnsi="Arial"/>
                <w:sz w:val="23"/>
                <w:szCs w:val="23"/>
                <w:color w:val="auto"/>
                <w:vertAlign w:val="superscript"/>
              </w:rPr>
              <w:t>(a)</w:t>
            </w:r>
          </w:p>
        </w:tc>
        <w:tc>
          <w:tcPr>
            <w:tcW w:w="8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360"/>
              <w:spacing w:after="0" w:line="176" w:lineRule="exact"/>
              <w:rPr>
                <w:sz w:val="20"/>
                <w:szCs w:val="20"/>
                <w:color w:val="auto"/>
              </w:rPr>
            </w:pPr>
            <w:r>
              <w:rPr>
                <w:rFonts w:ascii="Arial" w:cs="Arial" w:eastAsia="Arial" w:hAnsi="Arial"/>
                <w:sz w:val="18"/>
                <w:szCs w:val="18"/>
                <w:color w:val="auto"/>
              </w:rPr>
              <w:t>Non-regulated energy marketing costs related to February 2021</w:t>
            </w:r>
          </w:p>
        </w:tc>
        <w:tc>
          <w:tcPr>
            <w:tcW w:w="860" w:type="dxa"/>
            <w:vAlign w:val="bottom"/>
          </w:tcPr>
          <w:p>
            <w:pPr>
              <w:spacing w:after="0"/>
              <w:rPr>
                <w:sz w:val="15"/>
                <w:szCs w:val="15"/>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5"/>
                <w:szCs w:val="15"/>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vMerge w:val="restart"/>
          </w:tcPr>
          <w:p>
            <w:pPr>
              <w:jc w:val="right"/>
              <w:ind w:right="9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780" w:type="dxa"/>
            <w:vAlign w:val="bottom"/>
          </w:tcPr>
          <w:p>
            <w:pPr>
              <w:ind w:left="480"/>
              <w:spacing w:after="0" w:line="230" w:lineRule="exact"/>
              <w:rPr>
                <w:sz w:val="20"/>
                <w:szCs w:val="20"/>
                <w:color w:val="auto"/>
              </w:rPr>
            </w:pPr>
            <w:r>
              <w:rPr>
                <w:rFonts w:ascii="Arial" w:cs="Arial" w:eastAsia="Arial" w:hAnsi="Arial"/>
                <w:sz w:val="18"/>
                <w:szCs w:val="18"/>
                <w:color w:val="auto"/>
              </w:rPr>
              <w:t>winter weather event, pre-tax</w:t>
            </w:r>
            <w:r>
              <w:rPr>
                <w:rFonts w:ascii="Arial" w:cs="Arial" w:eastAsia="Arial" w:hAnsi="Arial"/>
                <w:sz w:val="23"/>
                <w:szCs w:val="23"/>
                <w:color w:val="auto"/>
                <w:vertAlign w:val="superscript"/>
              </w:rPr>
              <w:t>(b)</w:t>
            </w:r>
          </w:p>
        </w:tc>
        <w:tc>
          <w:tcPr>
            <w:tcW w:w="8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Executive transition costs, pre-tax</w:t>
            </w:r>
            <w:r>
              <w:rPr>
                <w:rFonts w:ascii="Arial" w:cs="Arial" w:eastAsia="Arial" w:hAnsi="Arial"/>
                <w:sz w:val="23"/>
                <w:szCs w:val="23"/>
                <w:color w:val="auto"/>
                <w:vertAlign w:val="superscript"/>
              </w:rPr>
              <w:t>(c)</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line="230" w:lineRule="exact"/>
              <w:rPr>
                <w:sz w:val="20"/>
                <w:szCs w:val="20"/>
                <w:color w:val="auto"/>
              </w:rPr>
            </w:pPr>
            <w:r>
              <w:rPr>
                <w:rFonts w:ascii="Arial" w:cs="Arial" w:eastAsia="Arial" w:hAnsi="Arial"/>
                <w:sz w:val="18"/>
                <w:szCs w:val="18"/>
                <w:color w:val="auto"/>
              </w:rPr>
              <w:t>Severance costs, pre-tax</w:t>
            </w:r>
            <w:r>
              <w:rPr>
                <w:rFonts w:ascii="Arial" w:cs="Arial" w:eastAsia="Arial" w:hAnsi="Arial"/>
                <w:sz w:val="23"/>
                <w:szCs w:val="23"/>
                <w:color w:val="auto"/>
                <w:vertAlign w:val="superscript"/>
              </w:rPr>
              <w:t>(d)</w:t>
            </w:r>
          </w:p>
        </w:tc>
        <w:tc>
          <w:tcPr>
            <w:tcW w:w="8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Advisor expenses, pre-tax</w:t>
            </w:r>
            <w:r>
              <w:rPr>
                <w:rFonts w:ascii="Arial" w:cs="Arial" w:eastAsia="Arial" w:hAnsi="Arial"/>
                <w:sz w:val="23"/>
                <w:szCs w:val="23"/>
                <w:color w:val="auto"/>
                <w:vertAlign w:val="superscript"/>
              </w:rPr>
              <w:t>(e)</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line="230" w:lineRule="exact"/>
              <w:rPr>
                <w:sz w:val="20"/>
                <w:szCs w:val="20"/>
                <w:color w:val="auto"/>
              </w:rPr>
            </w:pPr>
            <w:r>
              <w:rPr>
                <w:rFonts w:ascii="Arial" w:cs="Arial" w:eastAsia="Arial" w:hAnsi="Arial"/>
                <w:sz w:val="18"/>
                <w:szCs w:val="18"/>
                <w:color w:val="auto"/>
              </w:rPr>
              <w:t>Restricted equity investment losses, pre-tax</w:t>
            </w:r>
            <w:r>
              <w:rPr>
                <w:rFonts w:ascii="Arial" w:cs="Arial" w:eastAsia="Arial" w:hAnsi="Arial"/>
                <w:sz w:val="23"/>
                <w:szCs w:val="23"/>
                <w:color w:val="auto"/>
                <w:vertAlign w:val="superscript"/>
              </w:rPr>
              <w:t>(f)</w:t>
            </w:r>
          </w:p>
        </w:tc>
        <w:tc>
          <w:tcPr>
            <w:tcW w:w="8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auto"/>
            </w:tcBorders>
            <w:shd w:val="clear" w:color="auto" w:fill="CCEEFF"/>
          </w:tcPr>
          <w:p>
            <w:pPr>
              <w:ind w:left="360"/>
              <w:spacing w:after="0" w:line="230" w:lineRule="exact"/>
              <w:rPr>
                <w:sz w:val="20"/>
                <w:szCs w:val="20"/>
                <w:color w:val="auto"/>
              </w:rPr>
            </w:pPr>
            <w:r>
              <w:rPr>
                <w:rFonts w:ascii="Arial" w:cs="Arial" w:eastAsia="Arial" w:hAnsi="Arial"/>
                <w:sz w:val="18"/>
                <w:szCs w:val="18"/>
                <w:color w:val="auto"/>
              </w:rPr>
              <w:t>Income tax expense (benefit)</w:t>
            </w:r>
            <w:r>
              <w:rPr>
                <w:rFonts w:ascii="Arial" w:cs="Arial" w:eastAsia="Arial" w:hAnsi="Arial"/>
                <w:sz w:val="23"/>
                <w:szCs w:val="23"/>
                <w:color w:val="auto"/>
                <w:vertAlign w:val="superscript"/>
              </w:rPr>
              <w:t>(g)</w:t>
            </w:r>
          </w:p>
        </w:tc>
        <w:tc>
          <w:tcPr>
            <w:tcW w:w="8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17.3</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earnings (non-GAAP)</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332.2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320.5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80" w:right="20" w:hanging="172"/>
        <w:spacing w:after="0" w:line="233" w:lineRule="auto"/>
        <w:tabs>
          <w:tab w:leader="none" w:pos="175"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Reflects non-regulated energy marketing margins related to the February 2021 winter weather event and are included in operating revenues on the consolidated statements of comprehensive income.</w:t>
      </w:r>
    </w:p>
    <w:p>
      <w:pPr>
        <w:spacing w:after="0" w:line="1" w:lineRule="exact"/>
        <w:rPr>
          <w:rFonts w:ascii="Arial" w:cs="Arial" w:eastAsia="Arial" w:hAnsi="Arial"/>
          <w:sz w:val="20"/>
          <w:szCs w:val="20"/>
          <w:color w:val="auto"/>
          <w:vertAlign w:val="superscript"/>
        </w:rPr>
      </w:pPr>
    </w:p>
    <w:p>
      <w:pPr>
        <w:ind w:left="180" w:right="160" w:hanging="172"/>
        <w:spacing w:after="0" w:line="232" w:lineRule="auto"/>
        <w:tabs>
          <w:tab w:leader="none" w:pos="168"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Reflects non-regulated energy marketing incentive compensation costs related to the February 2021 winter weather event and are included in operating and maintenance expense on the consolidated statements of comprehensive income.</w:t>
      </w:r>
    </w:p>
    <w:p>
      <w:pPr>
        <w:ind w:left="180" w:right="200" w:hanging="172"/>
        <w:spacing w:after="0" w:line="213" w:lineRule="auto"/>
        <w:tabs>
          <w:tab w:leader="none" w:pos="175"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Reflects costs associated with executive transition including inducement bonuses, severance agreements and other transition expenses and are included in operating and maintenance expense on the consolidated statements of comprehensive income.</w:t>
      </w:r>
    </w:p>
    <w:p>
      <w:pPr>
        <w:ind w:left="180" w:right="120" w:hanging="172"/>
        <w:spacing w:after="0" w:line="232" w:lineRule="auto"/>
        <w:tabs>
          <w:tab w:leader="none" w:pos="168"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Reflects severance costs incurred associated with certain voluntary severance programs at the Evergy Companies and are included in operating and maintenance expense on the consolidated statements of comprehensive income.</w:t>
      </w:r>
    </w:p>
    <w:p>
      <w:pPr>
        <w:ind w:left="180" w:right="760" w:hanging="172"/>
        <w:spacing w:after="0" w:line="225" w:lineRule="auto"/>
        <w:tabs>
          <w:tab w:leader="none" w:pos="175"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Reflects advisor expenses incurred associated with strategic planning and are included in operating and maintenance expense on the consolidated statements of comprehensive income.</w:t>
      </w:r>
    </w:p>
    <w:p>
      <w:pPr>
        <w:ind w:left="180" w:right="220" w:hanging="172"/>
        <w:spacing w:after="0" w:line="213" w:lineRule="auto"/>
        <w:tabs>
          <w:tab w:leader="none" w:pos="177"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Reflects losses related to equity investments which were subject to a restriction on sale and are included in investment earnings (loss) on the consolidated statements of comprehensive income.</w:t>
      </w:r>
    </w:p>
    <w:p>
      <w:pPr>
        <w:ind w:left="160" w:hanging="152"/>
        <w:spacing w:after="0" w:line="223"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Reflects an income tax effect calculated at a statutory rate of approximately 22%, with the exception of certain non-deductible items.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Wolf Creek Refueling Outage</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Wolf Creek's most recent refueling outage began in March 2021 and the unit returned to service in May 2021. Wolf Creek's next refueling outage is planned to begin in the fourth quarter of 2022.</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ENVIRONMENTAL MATTERS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Note 10 to the consolidated financial statements for information regarding environmental matters.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RELATED PARTY TRANSACTIONS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Note 11 to the consolidated financial statements for information regarding related party transactions.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EVERGY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Evergy's comparative results of operations.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gridSpan w:val="4"/>
          </w:tcPr>
          <w:p>
            <w:pPr>
              <w:jc w:val="right"/>
              <w:ind w:right="30"/>
              <w:spacing w:after="0" w:line="202" w:lineRule="exact"/>
              <w:rPr>
                <w:sz w:val="20"/>
                <w:szCs w:val="20"/>
                <w:color w:val="auto"/>
              </w:rPr>
            </w:pPr>
            <w:r>
              <w:rPr>
                <w:rFonts w:ascii="Arial" w:cs="Arial" w:eastAsia="Arial" w:hAnsi="Arial"/>
                <w:sz w:val="18"/>
                <w:szCs w:val="18"/>
                <w:b w:val="1"/>
                <w:bCs w:val="1"/>
                <w:color w:val="auto"/>
              </w:rPr>
              <w:t>Three Months Ended</w:t>
            </w:r>
          </w:p>
        </w:tc>
        <w:tc>
          <w:tcPr>
            <w:tcW w:w="8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100"/>
              <w:spacing w:after="0" w:line="202" w:lineRule="exact"/>
              <w:rPr>
                <w:sz w:val="20"/>
                <w:szCs w:val="20"/>
                <w:color w:val="auto"/>
              </w:rPr>
            </w:pPr>
            <w:r>
              <w:rPr>
                <w:rFonts w:ascii="Arial" w:cs="Arial" w:eastAsia="Arial" w:hAnsi="Arial"/>
                <w:sz w:val="18"/>
                <w:szCs w:val="18"/>
                <w:b w:val="1"/>
                <w:bCs w:val="1"/>
                <w:color w:val="auto"/>
              </w:rPr>
              <w:t>Year to Date</w:t>
            </w: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June 30</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June 30</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Change</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Change</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0"/>
        </w:trPr>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1,446.5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210.3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1,236.2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2,670.4</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2,848.1</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414.3</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130.2</w:t>
            </w:r>
          </w:p>
        </w:tc>
        <w:tc>
          <w:tcPr>
            <w:tcW w:w="34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284.1</w:t>
            </w:r>
          </w:p>
        </w:tc>
        <w:tc>
          <w:tcPr>
            <w:tcW w:w="40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723.3</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(195.9)</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919.2</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81.5</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73.8</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160.2</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282.8</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22.9</w:t>
            </w:r>
          </w:p>
        </w:tc>
        <w:tc>
          <w:tcPr>
            <w:tcW w:w="34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259.9</w:t>
            </w:r>
          </w:p>
        </w:tc>
        <w:tc>
          <w:tcPr>
            <w:tcW w:w="40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535.0</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232.1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225.2</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461.1</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100.3</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97.9</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9.4</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335.5</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40.2</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295.3</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588.6</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2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34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93.8</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191.1</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22.1</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19.6</w:t>
            </w:r>
          </w:p>
        </w:tc>
        <w:tc>
          <w:tcPr>
            <w:tcW w:w="40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33.6</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Equity in earnings of equity method investees, net of</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197.6</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188.3</w:t>
            </w:r>
          </w:p>
        </w:tc>
        <w:tc>
          <w:tcPr>
            <w:tcW w:w="40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323.2</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Net income attributable to noncontrolling</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Evergy, Inc.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194.5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185.3</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317.0</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(59.9)</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Utility Gross Margin and MWh Sales</w:t>
      </w:r>
    </w:p>
    <w:p>
      <w:pPr>
        <w:spacing w:after="0" w:line="22" w:lineRule="exact"/>
        <w:rPr>
          <w:sz w:val="20"/>
          <w:szCs w:val="20"/>
          <w:color w:val="auto"/>
        </w:rPr>
      </w:pPr>
    </w:p>
    <w:p>
      <w:pPr>
        <w:ind w:right="120"/>
        <w:spacing w:after="0" w:line="254" w:lineRule="auto"/>
        <w:rPr>
          <w:sz w:val="20"/>
          <w:szCs w:val="20"/>
          <w:color w:val="auto"/>
        </w:rPr>
      </w:pPr>
      <w:r>
        <w:rPr>
          <w:rFonts w:ascii="Arial" w:cs="Arial" w:eastAsia="Arial" w:hAnsi="Arial"/>
          <w:sz w:val="19"/>
          <w:szCs w:val="19"/>
          <w:color w:val="auto"/>
        </w:rPr>
        <w:t>Utility gross margin is a financial measure that is not calculated in accordance with GAAP. Utility gross margin,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w:t>
      </w:r>
    </w:p>
    <w:p>
      <w:pPr>
        <w:spacing w:after="0" w:line="188" w:lineRule="exact"/>
        <w:rPr>
          <w:sz w:val="20"/>
          <w:szCs w:val="20"/>
          <w:color w:val="auto"/>
        </w:rPr>
      </w:pPr>
    </w:p>
    <w:p>
      <w:pPr>
        <w:jc w:val="both"/>
        <w:ind w:right="40"/>
        <w:spacing w:after="0" w:line="282" w:lineRule="auto"/>
        <w:rPr>
          <w:sz w:val="20"/>
          <w:szCs w:val="20"/>
          <w:color w:val="auto"/>
        </w:rPr>
      </w:pPr>
      <w:r>
        <w:rPr>
          <w:rFonts w:ascii="Arial" w:cs="Arial" w:eastAsia="Arial" w:hAnsi="Arial"/>
          <w:sz w:val="18"/>
          <w:szCs w:val="18"/>
          <w:color w:val="auto"/>
        </w:rPr>
        <w:t>Management believes that utility gross margin provides a meaningful basis for evaluating the Evergy Companies' operations across periods because utility gross margin excludes the revenue effect of fluctuations in these expenses. Utility gross margin is used internally to measure performance against budget and in reports for management and the Evergy Board. Utility gross margin should be viewed as a supplement to, and not a substitute for, income from operations, which is the most directly comparable financial measure prepared in accordance with</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ind w:left="1"/>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left="1"/>
        <w:spacing w:after="0"/>
        <w:rPr>
          <w:sz w:val="20"/>
          <w:szCs w:val="20"/>
          <w:color w:val="auto"/>
        </w:rPr>
      </w:pPr>
      <w:r>
        <w:rPr>
          <w:rFonts w:ascii="Arial" w:cs="Arial" w:eastAsia="Arial" w:hAnsi="Arial"/>
          <w:sz w:val="20"/>
          <w:szCs w:val="20"/>
          <w:color w:val="auto"/>
        </w:rPr>
        <w:t>GAAP. The Evergy Companies' definition of utility gross margin may differ from similar terms used by other companies.</w:t>
      </w:r>
    </w:p>
    <w:p>
      <w:pPr>
        <w:spacing w:after="0" w:line="216" w:lineRule="exact"/>
        <w:rPr>
          <w:sz w:val="20"/>
          <w:szCs w:val="20"/>
          <w:color w:val="auto"/>
        </w:rPr>
      </w:pPr>
    </w:p>
    <w:p>
      <w:pPr>
        <w:ind w:left="1" w:right="80"/>
        <w:spacing w:after="0" w:line="260" w:lineRule="auto"/>
        <w:rPr>
          <w:sz w:val="20"/>
          <w:szCs w:val="20"/>
          <w:color w:val="auto"/>
        </w:rPr>
      </w:pPr>
      <w:r>
        <w:rPr>
          <w:rFonts w:ascii="Arial" w:cs="Arial" w:eastAsia="Arial" w:hAnsi="Arial"/>
          <w:sz w:val="20"/>
          <w:szCs w:val="20"/>
          <w:color w:val="auto"/>
        </w:rPr>
        <w:t>The following tables summarize Evergy's utility gross margin and MWhs sold and provide a reconciliation of utility gross margin to income from operations.</w:t>
      </w:r>
    </w:p>
    <w:p>
      <w:pPr>
        <w:spacing w:after="0" w:line="93"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5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5"/>
          </w:tcPr>
          <w:p>
            <w:pPr>
              <w:jc w:val="center"/>
              <w:ind w:right="110"/>
              <w:spacing w:after="0"/>
              <w:rPr>
                <w:sz w:val="20"/>
                <w:szCs w:val="20"/>
                <w:color w:val="auto"/>
              </w:rPr>
            </w:pPr>
            <w:r>
              <w:rPr>
                <w:rFonts w:ascii="Arial" w:cs="Arial" w:eastAsia="Arial" w:hAnsi="Arial"/>
                <w:sz w:val="18"/>
                <w:szCs w:val="18"/>
                <w:b w:val="1"/>
                <w:bCs w:val="1"/>
                <w:color w:val="auto"/>
                <w:w w:val="86"/>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2"/>
              </w:rPr>
              <w:t>MWhs Sold</w:t>
            </w:r>
          </w:p>
        </w:tc>
        <w:tc>
          <w:tcPr>
            <w:tcW w:w="840" w:type="dxa"/>
            <w:vAlign w:val="bottom"/>
            <w:tcBorders>
              <w:top w:val="single" w:sz="8" w:color="auto"/>
            </w:tcBorders>
          </w:tcPr>
          <w:p>
            <w:pPr>
              <w:spacing w:after="0"/>
              <w:rPr>
                <w:sz w:val="21"/>
                <w:szCs w:val="21"/>
                <w:color w:val="auto"/>
              </w:rPr>
            </w:pPr>
          </w:p>
        </w:tc>
      </w:tr>
      <w:tr>
        <w:trPr>
          <w:trHeight w:val="23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7"/>
              </w:rPr>
              <w:t>Change</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Change</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91"/>
              <w:spacing w:after="0"/>
              <w:rPr>
                <w:sz w:val="20"/>
                <w:szCs w:val="20"/>
                <w:color w:val="auto"/>
              </w:rPr>
            </w:pPr>
            <w:r>
              <w:rPr>
                <w:rFonts w:ascii="Arial" w:cs="Arial" w:eastAsia="Arial" w:hAnsi="Arial"/>
                <w:sz w:val="16"/>
                <w:szCs w:val="16"/>
                <w:color w:val="auto"/>
                <w:w w:val="96"/>
              </w:rPr>
              <w:t>(millions)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Arial" w:cs="Arial" w:eastAsia="Arial" w:hAnsi="Arial"/>
                <w:sz w:val="16"/>
                <w:szCs w:val="16"/>
                <w:color w:val="auto"/>
                <w:w w:val="89"/>
              </w:rPr>
              <w:t>(thousands)</w:t>
            </w: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53.6</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3,754</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295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465.5</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43.0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422.5</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4,388</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218</w:t>
            </w:r>
          </w:p>
        </w:tc>
        <w:tc>
          <w:tcPr>
            <w:tcW w:w="840" w:type="dxa"/>
            <w:vAlign w:val="bottom"/>
          </w:tcPr>
          <w:p>
            <w:pPr>
              <w:jc w:val="right"/>
              <w:spacing w:after="0"/>
              <w:rPr>
                <w:sz w:val="20"/>
                <w:szCs w:val="20"/>
                <w:color w:val="auto"/>
              </w:rPr>
            </w:pPr>
            <w:r>
              <w:rPr>
                <w:rFonts w:ascii="Arial" w:cs="Arial" w:eastAsia="Arial" w:hAnsi="Arial"/>
                <w:sz w:val="18"/>
                <w:szCs w:val="18"/>
                <w:color w:val="auto"/>
              </w:rPr>
              <w:t>4,170</w:t>
            </w: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2,207</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134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33</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1,158.8</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117.0</w:t>
            </w: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1,041.8</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10,382</w:t>
            </w:r>
          </w:p>
        </w:tc>
        <w:tc>
          <w:tcPr>
            <w:tcW w:w="116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645</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9,737</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79.5</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70.0</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4,372</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886</w:t>
            </w:r>
          </w:p>
        </w:tc>
        <w:tc>
          <w:tcPr>
            <w:tcW w:w="840" w:type="dxa"/>
            <w:vAlign w:val="bottom"/>
          </w:tcPr>
          <w:p>
            <w:pPr>
              <w:jc w:val="right"/>
              <w:spacing w:after="0"/>
              <w:rPr>
                <w:sz w:val="20"/>
                <w:szCs w:val="20"/>
                <w:color w:val="auto"/>
              </w:rPr>
            </w:pPr>
            <w:r>
              <w:rPr>
                <w:rFonts w:ascii="Arial" w:cs="Arial" w:eastAsia="Arial" w:hAnsi="Arial"/>
                <w:sz w:val="18"/>
                <w:szCs w:val="18"/>
                <w:color w:val="auto"/>
              </w:rPr>
              <w:t>3,486</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107.2</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73.2</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1,446.5</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210.3</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14,754</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1,531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(414.3)</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512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Utility gross margin </w:t>
            </w:r>
            <w:r>
              <w:rPr>
                <w:rFonts w:ascii="Arial" w:cs="Arial" w:eastAsia="Arial" w:hAnsi="Arial"/>
                <w:sz w:val="23"/>
                <w:szCs w:val="23"/>
                <w:b w:val="1"/>
                <w:bCs w:val="1"/>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950.7</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72.4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878.3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8"/>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335.5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40.2</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295.3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709803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ind w:left="161" w:hanging="161"/>
        <w:spacing w:after="0"/>
        <w:tabs>
          <w:tab w:leader="none" w:pos="161"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Utility gross margin is a non-GAAP financial measure. See explanation of utility gross margin above.</w:t>
      </w:r>
    </w:p>
    <w:p>
      <w:pPr>
        <w:spacing w:after="0" w:line="323"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5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5"/>
          </w:tcPr>
          <w:p>
            <w:pPr>
              <w:jc w:val="center"/>
              <w:ind w:right="110"/>
              <w:spacing w:after="0"/>
              <w:rPr>
                <w:sz w:val="20"/>
                <w:szCs w:val="20"/>
                <w:color w:val="auto"/>
              </w:rPr>
            </w:pPr>
            <w:r>
              <w:rPr>
                <w:rFonts w:ascii="Arial" w:cs="Arial" w:eastAsia="Arial" w:hAnsi="Arial"/>
                <w:sz w:val="18"/>
                <w:szCs w:val="18"/>
                <w:b w:val="1"/>
                <w:bCs w:val="1"/>
                <w:color w:val="auto"/>
                <w:w w:val="86"/>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2"/>
              </w:rPr>
              <w:t>MWhs Sold</w:t>
            </w:r>
          </w:p>
        </w:tc>
        <w:tc>
          <w:tcPr>
            <w:tcW w:w="840" w:type="dxa"/>
            <w:vAlign w:val="bottom"/>
            <w:tcBorders>
              <w:top w:val="single" w:sz="8" w:color="auto"/>
            </w:tcBorders>
          </w:tcPr>
          <w:p>
            <w:pPr>
              <w:spacing w:after="0"/>
              <w:rPr>
                <w:sz w:val="21"/>
                <w:szCs w:val="21"/>
                <w:color w:val="auto"/>
              </w:rPr>
            </w:pPr>
          </w:p>
        </w:tc>
      </w:tr>
      <w:tr>
        <w:trPr>
          <w:trHeight w:val="23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7"/>
              </w:rPr>
              <w:t>Change</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Change</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91"/>
              <w:spacing w:after="0"/>
              <w:rPr>
                <w:sz w:val="20"/>
                <w:szCs w:val="20"/>
                <w:color w:val="auto"/>
              </w:rPr>
            </w:pPr>
            <w:r>
              <w:rPr>
                <w:rFonts w:ascii="Arial" w:cs="Arial" w:eastAsia="Arial" w:hAnsi="Arial"/>
                <w:sz w:val="16"/>
                <w:szCs w:val="16"/>
                <w:color w:val="auto"/>
                <w:w w:val="96"/>
              </w:rPr>
              <w:t>(millions)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Arial" w:cs="Arial" w:eastAsia="Arial" w:hAnsi="Arial"/>
                <w:sz w:val="16"/>
                <w:szCs w:val="16"/>
                <w:color w:val="auto"/>
                <w:w w:val="89"/>
              </w:rPr>
              <w:t>(thousands)</w:t>
            </w: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7,689</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268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w:t>
            </w: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868.6</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100.1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768.5</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8,644</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252</w:t>
            </w:r>
          </w:p>
        </w:tc>
        <w:tc>
          <w:tcPr>
            <w:tcW w:w="840" w:type="dxa"/>
            <w:vAlign w:val="bottom"/>
          </w:tcPr>
          <w:p>
            <w:pPr>
              <w:jc w:val="right"/>
              <w:spacing w:after="0"/>
              <w:rPr>
                <w:sz w:val="20"/>
                <w:szCs w:val="20"/>
                <w:color w:val="auto"/>
              </w:rPr>
            </w:pPr>
            <w:r>
              <w:rPr>
                <w:rFonts w:ascii="Arial" w:cs="Arial" w:eastAsia="Arial" w:hAnsi="Arial"/>
                <w:sz w:val="18"/>
                <w:szCs w:val="18"/>
                <w:color w:val="auto"/>
              </w:rPr>
              <w:t>8,392</w:t>
            </w: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320.4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36.8</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4,320</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189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65</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2,173.0</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247.5</w:t>
            </w: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1,925.5</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20,718</w:t>
            </w:r>
          </w:p>
        </w:tc>
        <w:tc>
          <w:tcPr>
            <w:tcW w:w="116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708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20,010</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131.4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(426.1)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557.5</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8,272</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473</w:t>
            </w:r>
          </w:p>
        </w:tc>
        <w:tc>
          <w:tcPr>
            <w:tcW w:w="840" w:type="dxa"/>
            <w:vAlign w:val="bottom"/>
          </w:tcPr>
          <w:p>
            <w:pPr>
              <w:jc w:val="right"/>
              <w:spacing w:after="0"/>
              <w:rPr>
                <w:sz w:val="20"/>
                <w:szCs w:val="20"/>
                <w:color w:val="auto"/>
              </w:rPr>
            </w:pPr>
            <w:r>
              <w:rPr>
                <w:rFonts w:ascii="Arial" w:cs="Arial" w:eastAsia="Arial" w:hAnsi="Arial"/>
                <w:sz w:val="18"/>
                <w:szCs w:val="18"/>
                <w:color w:val="auto"/>
              </w:rPr>
              <w:t>7,799</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167.0</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2,670.4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28,990</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1,181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27,809</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(723.3)</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195.9</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(919.2)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512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Utility gross margin </w:t>
            </w:r>
            <w:r>
              <w:rPr>
                <w:rFonts w:ascii="Arial" w:cs="Arial" w:eastAsia="Arial" w:hAnsi="Arial"/>
                <w:sz w:val="23"/>
                <w:szCs w:val="23"/>
                <w:b w:val="1"/>
                <w:bCs w:val="1"/>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1,786.9</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1.2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1,785.7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(461.1)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8"/>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588.6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(24.4)</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613.0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709803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ind w:left="161" w:hanging="161"/>
        <w:spacing w:after="0"/>
        <w:tabs>
          <w:tab w:leader="none" w:pos="161"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Utility gross margin is a non-GAAP financial measure. See explanation of utility gross margin above.</w:t>
      </w:r>
    </w:p>
    <w:p>
      <w:pPr>
        <w:spacing w:after="0" w:line="200" w:lineRule="exact"/>
        <w:rPr>
          <w:rFonts w:ascii="Arial" w:cs="Arial" w:eastAsia="Arial" w:hAnsi="Arial"/>
          <w:sz w:val="19"/>
          <w:szCs w:val="19"/>
          <w:color w:val="auto"/>
          <w:vertAlign w:val="superscript"/>
        </w:rPr>
      </w:pPr>
    </w:p>
    <w:p>
      <w:pPr>
        <w:spacing w:after="0" w:line="200" w:lineRule="exact"/>
        <w:rPr>
          <w:rFonts w:ascii="Arial" w:cs="Arial" w:eastAsia="Arial" w:hAnsi="Arial"/>
          <w:sz w:val="19"/>
          <w:szCs w:val="19"/>
          <w:color w:val="auto"/>
          <w:vertAlign w:val="superscript"/>
        </w:rPr>
      </w:pPr>
    </w:p>
    <w:p>
      <w:pPr>
        <w:spacing w:after="0" w:line="200" w:lineRule="exact"/>
        <w:rPr>
          <w:rFonts w:ascii="Arial" w:cs="Arial" w:eastAsia="Arial" w:hAnsi="Arial"/>
          <w:sz w:val="19"/>
          <w:szCs w:val="19"/>
          <w:color w:val="auto"/>
          <w:vertAlign w:val="superscript"/>
        </w:rPr>
      </w:pPr>
    </w:p>
    <w:p>
      <w:pPr>
        <w:spacing w:after="0" w:line="242" w:lineRule="exact"/>
        <w:rPr>
          <w:rFonts w:ascii="Arial" w:cs="Arial" w:eastAsia="Arial" w:hAnsi="Arial"/>
          <w:sz w:val="19"/>
          <w:szCs w:val="19"/>
          <w:color w:val="auto"/>
          <w:vertAlign w:val="superscript"/>
        </w:rPr>
      </w:pPr>
    </w:p>
    <w:p>
      <w:pPr>
        <w:ind w:left="5541"/>
        <w:spacing w:after="0"/>
        <w:rPr>
          <w:rFonts w:ascii="Arial" w:cs="Arial" w:eastAsia="Arial" w:hAnsi="Arial"/>
          <w:sz w:val="19"/>
          <w:szCs w:val="19"/>
          <w:color w:val="auto"/>
          <w:vertAlign w:val="superscript"/>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1"/>
          </w:cols>
          <w:pgMar w:left="319" w:top="122" w:right="399" w:bottom="1440" w:gutter="0" w:footer="0" w:header="0"/>
        </w:sectPr>
      </w:pPr>
    </w:p>
    <w:bookmarkStart w:id="57" w:name="page58"/>
    <w:bookmarkEnd w:id="5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Evergy's utility gross margin increased $72.4 million for the three months ended June 30, 2022, compared to the same period in 2021, driven by:</w:t>
      </w:r>
    </w:p>
    <w:p>
      <w:pPr>
        <w:spacing w:after="0" w:line="69" w:lineRule="exact"/>
        <w:rPr>
          <w:sz w:val="20"/>
          <w:szCs w:val="20"/>
          <w:color w:val="auto"/>
        </w:rPr>
      </w:pPr>
    </w:p>
    <w:p>
      <w:pPr>
        <w:ind w:left="660" w:right="520" w:hanging="328"/>
        <w:spacing w:after="0" w:line="260"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$53.2 million increase due to higher retail sales driven by higher weather-normalized demand and favorable weather (cooling degree days increased by 16%);</w:t>
      </w:r>
    </w:p>
    <w:p>
      <w:pPr>
        <w:spacing w:after="0" w:line="68" w:lineRule="exact"/>
        <w:rPr>
          <w:rFonts w:ascii="Arial" w:cs="Arial" w:eastAsia="Arial" w:hAnsi="Arial"/>
          <w:sz w:val="20"/>
          <w:szCs w:val="20"/>
          <w:color w:val="auto"/>
        </w:rPr>
      </w:pPr>
    </w:p>
    <w:p>
      <w:pPr>
        <w:ind w:left="660" w:right="320" w:hanging="328"/>
        <w:spacing w:after="0" w:line="260"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$10.6 million increase in transmission revenue primarily due to updated transmission costs reflected in Evergy Kansas Central's FERC TFR effective in January 2022; and</w:t>
      </w:r>
    </w:p>
    <w:p>
      <w:pPr>
        <w:spacing w:after="0" w:line="68" w:lineRule="exact"/>
        <w:rPr>
          <w:rFonts w:ascii="Arial" w:cs="Arial" w:eastAsia="Arial" w:hAnsi="Arial"/>
          <w:sz w:val="20"/>
          <w:szCs w:val="20"/>
          <w:color w:val="auto"/>
        </w:rPr>
      </w:pPr>
    </w:p>
    <w:p>
      <w:pPr>
        <w:jc w:val="both"/>
        <w:ind w:left="660" w:right="80" w:hanging="328"/>
        <w:spacing w:after="0" w:line="250"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 $8.6 million increase related to TDC riders at Evergy Kansas Central and Evergy Metro in 2022, which included higher revenues driven by updated transmission costs as reflected in Evergy Kansas Central's and Evergy Metro's TFRs with the new prices effective in April 2022 and May 2022,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Evergy's utility gross margin increased $1.2 million year to date June 30, 2022, compared to the same period in 2021, driven by:</w:t>
      </w:r>
    </w:p>
    <w:p>
      <w:pPr>
        <w:spacing w:after="0" w:line="119" w:lineRule="exact"/>
        <w:rPr>
          <w:sz w:val="20"/>
          <w:szCs w:val="20"/>
          <w:color w:val="auto"/>
        </w:rPr>
      </w:pPr>
    </w:p>
    <w:p>
      <w:pPr>
        <w:ind w:left="660" w:right="520" w:hanging="328"/>
        <w:spacing w:after="0" w:line="26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$64.0 million increase due to higher retail sales driven by higher weather-normalized demand and favorable weather (cooling degree days increased by 16% and heating degree days increased by 2%);</w:t>
      </w:r>
    </w:p>
    <w:p>
      <w:pPr>
        <w:spacing w:after="0" w:line="68" w:lineRule="exact"/>
        <w:rPr>
          <w:rFonts w:ascii="Arial" w:cs="Arial" w:eastAsia="Arial" w:hAnsi="Arial"/>
          <w:sz w:val="20"/>
          <w:szCs w:val="20"/>
          <w:color w:val="auto"/>
        </w:rPr>
      </w:pPr>
    </w:p>
    <w:p>
      <w:pPr>
        <w:ind w:left="660" w:right="320" w:hanging="328"/>
        <w:spacing w:after="0" w:line="26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$22.6 million increase in transmission revenue primarily due to updated transmission costs reflected in Evergy Kansas Central's FERC TFR effective in January 2022; and</w:t>
      </w:r>
    </w:p>
    <w:p>
      <w:pPr>
        <w:spacing w:after="0" w:line="68"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an $11.2 million increase related to Evergy Kansas Central's and Evergy Metro's TDC riders in 2022, which included higher revenues driven by updated transmission costs as reflected in Evergy Kansas Central's and Evergy Metro's TFRs with the new prices effective in April 2022 and May 2022, respectively; partially offset by</w:t>
      </w:r>
    </w:p>
    <w:p>
      <w:pPr>
        <w:spacing w:after="0" w:line="77" w:lineRule="exact"/>
        <w:rPr>
          <w:rFonts w:ascii="Arial" w:cs="Arial" w:eastAsia="Arial" w:hAnsi="Arial"/>
          <w:sz w:val="20"/>
          <w:szCs w:val="20"/>
          <w:color w:val="auto"/>
        </w:rPr>
      </w:pPr>
    </w:p>
    <w:p>
      <w:pPr>
        <w:ind w:left="660" w:right="100" w:hanging="328"/>
        <w:spacing w:after="0" w:line="26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$95.0 million of non-regulated energy marketing margins recognized at Evergy Kansas Central in 2021 related to the February 2021 winter weather event; and</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$1.6 million net decrease due to other impacts from the February 2021 winter weather event driven by:</w:t>
      </w:r>
    </w:p>
    <w:p>
      <w:pPr>
        <w:spacing w:after="0" w:line="107" w:lineRule="exact"/>
        <w:rPr>
          <w:rFonts w:ascii="Arial" w:cs="Arial" w:eastAsia="Arial" w:hAnsi="Arial"/>
          <w:sz w:val="20"/>
          <w:szCs w:val="20"/>
          <w:color w:val="auto"/>
        </w:rPr>
      </w:pPr>
    </w:p>
    <w:p>
      <w:pPr>
        <w:ind w:left="1300" w:right="220" w:hanging="320"/>
        <w:spacing w:after="0" w:line="287" w:lineRule="auto"/>
        <w:tabs>
          <w:tab w:leader="none" w:pos="1289" w:val="left"/>
        </w:tabs>
        <w:numPr>
          <w:ilvl w:val="1"/>
          <w:numId w:val="16"/>
        </w:numPr>
        <w:rPr>
          <w:rFonts w:ascii="Arial" w:cs="Arial" w:eastAsia="Arial" w:hAnsi="Arial"/>
          <w:sz w:val="19"/>
          <w:szCs w:val="19"/>
          <w:color w:val="auto"/>
        </w:rPr>
      </w:pPr>
      <w:r>
        <w:rPr>
          <w:rFonts w:ascii="Arial" w:cs="Arial" w:eastAsia="Arial" w:hAnsi="Arial"/>
          <w:sz w:val="19"/>
          <w:szCs w:val="19"/>
          <w:color w:val="auto"/>
        </w:rPr>
        <w:t>a $33.9 million decrease at Evergy Kansas Central driven by higher utility gross margin at its non-regulated 8% ownership share of JEC due to higher wholesale sale prices and MWhs sold in February 2021; partially offset by</w:t>
      </w:r>
    </w:p>
    <w:p>
      <w:pPr>
        <w:spacing w:after="0" w:line="44" w:lineRule="exact"/>
        <w:rPr>
          <w:rFonts w:ascii="Arial" w:cs="Arial" w:eastAsia="Arial" w:hAnsi="Arial"/>
          <w:sz w:val="19"/>
          <w:szCs w:val="19"/>
          <w:color w:val="auto"/>
        </w:rPr>
      </w:pPr>
    </w:p>
    <w:p>
      <w:pPr>
        <w:ind w:left="1300" w:right="360" w:hanging="320"/>
        <w:spacing w:after="0" w:line="250" w:lineRule="auto"/>
        <w:tabs>
          <w:tab w:leader="none" w:pos="1289" w:val="left"/>
        </w:tabs>
        <w:numPr>
          <w:ilvl w:val="1"/>
          <w:numId w:val="16"/>
        </w:numPr>
        <w:rPr>
          <w:rFonts w:ascii="Arial" w:cs="Arial" w:eastAsia="Arial" w:hAnsi="Arial"/>
          <w:sz w:val="20"/>
          <w:szCs w:val="20"/>
          <w:color w:val="auto"/>
        </w:rPr>
      </w:pPr>
      <w:r>
        <w:rPr>
          <w:rFonts w:ascii="Arial" w:cs="Arial" w:eastAsia="Arial" w:hAnsi="Arial"/>
          <w:sz w:val="20"/>
          <w:szCs w:val="20"/>
          <w:color w:val="auto"/>
        </w:rPr>
        <w:t>a $20.9 million increase at Evergy Missouri West driven by $14.6 million of increased fuel and purchased power costs in February 2021 that are not currently recoverable from customers through its fuel recovery mechanism and $6.2 million related to a special requirements contract with an industrial customer; and</w:t>
      </w:r>
    </w:p>
    <w:p>
      <w:pPr>
        <w:spacing w:after="0" w:line="77" w:lineRule="exact"/>
        <w:rPr>
          <w:rFonts w:ascii="Arial" w:cs="Arial" w:eastAsia="Arial" w:hAnsi="Arial"/>
          <w:sz w:val="20"/>
          <w:szCs w:val="20"/>
          <w:color w:val="auto"/>
        </w:rPr>
      </w:pPr>
    </w:p>
    <w:p>
      <w:pPr>
        <w:ind w:left="1300" w:right="60" w:hanging="320"/>
        <w:spacing w:after="0" w:line="250" w:lineRule="auto"/>
        <w:tabs>
          <w:tab w:leader="none" w:pos="1289" w:val="left"/>
        </w:tabs>
        <w:numPr>
          <w:ilvl w:val="1"/>
          <w:numId w:val="16"/>
        </w:numPr>
        <w:rPr>
          <w:rFonts w:ascii="Arial" w:cs="Arial" w:eastAsia="Arial" w:hAnsi="Arial"/>
          <w:sz w:val="20"/>
          <w:szCs w:val="20"/>
          <w:color w:val="auto"/>
        </w:rPr>
      </w:pPr>
      <w:r>
        <w:rPr>
          <w:rFonts w:ascii="Arial" w:cs="Arial" w:eastAsia="Arial" w:hAnsi="Arial"/>
          <w:sz w:val="20"/>
          <w:szCs w:val="20"/>
          <w:color w:val="auto"/>
        </w:rPr>
        <w:t>an $11.4 million increase at Evergy Metro primarily driven by jurisdictional allocation differences currently present between its fuel recovery mechanisms in Missouri and Kansas regarding its refund to customers for the net increase in wholesale revenues in February 2021.</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and Maintenance</w:t>
      </w:r>
    </w:p>
    <w:p>
      <w:pPr>
        <w:spacing w:after="0" w:line="22"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Evergy's operating and maintenance expense increased $22.9 million for the three months ended June 30, 2022, compared to the same period in 2021, primarily driven by:</w:t>
      </w:r>
    </w:p>
    <w:p>
      <w:pPr>
        <w:spacing w:after="0" w:line="83" w:lineRule="exact"/>
        <w:rPr>
          <w:sz w:val="20"/>
          <w:szCs w:val="20"/>
          <w:color w:val="auto"/>
        </w:rPr>
      </w:pPr>
    </w:p>
    <w:p>
      <w:pPr>
        <w:ind w:left="660" w:right="420" w:hanging="328"/>
        <w:spacing w:after="0" w:line="269" w:lineRule="auto"/>
        <w:tabs>
          <w:tab w:leader="none" w:pos="648" w:val="left"/>
        </w:tabs>
        <w:numPr>
          <w:ilvl w:val="0"/>
          <w:numId w:val="17"/>
        </w:numPr>
        <w:rPr>
          <w:rFonts w:ascii="Arial" w:cs="Arial" w:eastAsia="Arial" w:hAnsi="Arial"/>
          <w:sz w:val="19"/>
          <w:szCs w:val="19"/>
          <w:color w:val="auto"/>
        </w:rPr>
      </w:pPr>
      <w:r>
        <w:rPr>
          <w:rFonts w:ascii="Arial" w:cs="Arial" w:eastAsia="Arial" w:hAnsi="Arial"/>
          <w:sz w:val="19"/>
          <w:szCs w:val="19"/>
          <w:color w:val="auto"/>
        </w:rPr>
        <w:t>a $9.4 million increase in plant operating and maintenance expense at fossil-fuel generating units primarily due to a $4.0 million increase at Evergy Metro driven by major maintenance outages at Iatan Station Unit 1 and LaCygne Unit 2 in 2022 and a $3.8 million increase at Evergy Kansas Central driven by a major maintenance outage at JEC in 2022;</w:t>
      </w:r>
    </w:p>
    <w:p>
      <w:pPr>
        <w:spacing w:after="0" w:line="61" w:lineRule="exact"/>
        <w:rPr>
          <w:rFonts w:ascii="Arial" w:cs="Arial" w:eastAsia="Arial" w:hAnsi="Arial"/>
          <w:sz w:val="19"/>
          <w:szCs w:val="19"/>
          <w:color w:val="auto"/>
        </w:rPr>
      </w:pPr>
    </w:p>
    <w:p>
      <w:pPr>
        <w:jc w:val="both"/>
        <w:ind w:left="660" w:hanging="328"/>
        <w:spacing w:after="0" w:line="385" w:lineRule="auto"/>
        <w:tabs>
          <w:tab w:leader="none" w:pos="648"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$9.4 million increase in transmission and distribution operating and maintenance expenses at Evergy Kansas Central, Evergy Metro and Evergy Missouri West driven by higher contractor costs and a $1.6 million increase in vegetation management costs in 2022; and</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8" w:name="page59"/>
    <w:bookmarkEnd w:id="5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ind w:left="660" w:right="40" w:hanging="328"/>
        <w:spacing w:after="0" w:line="25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an $8.0 million increase in credit loss expense at Evergy Kansas Central, Evergy Metro and Evergy Missouri West primarily due to a higher level of assumed uncollectible accounts used in establishing the allowance for credit losses in the second quarter of 2022 and higher actual write-offs incurred; partially offset by</w:t>
      </w:r>
    </w:p>
    <w:p>
      <w:pPr>
        <w:spacing w:after="0" w:line="77"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$3.2 million decrease in advisor expenses incurred in the second quarter of 2022 associated with strategic planning;</w:t>
      </w:r>
    </w:p>
    <w:p>
      <w:pPr>
        <w:spacing w:after="0" w:line="107" w:lineRule="exact"/>
        <w:rPr>
          <w:rFonts w:ascii="Arial" w:cs="Arial" w:eastAsia="Arial" w:hAnsi="Arial"/>
          <w:sz w:val="20"/>
          <w:szCs w:val="20"/>
          <w:color w:val="auto"/>
        </w:rPr>
      </w:pPr>
    </w:p>
    <w:p>
      <w:pPr>
        <w:ind w:left="660" w:right="400" w:hanging="328"/>
        <w:spacing w:after="0" w:line="26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$1.8 million of costs recorded in the second quarter of 2021 associated with executive transition, including inducement bonuses, severance agreements and other transition expenses; and</w:t>
      </w:r>
    </w:p>
    <w:p>
      <w:pPr>
        <w:spacing w:after="0" w:line="68" w:lineRule="exact"/>
        <w:rPr>
          <w:rFonts w:ascii="Arial" w:cs="Arial" w:eastAsia="Arial" w:hAnsi="Arial"/>
          <w:sz w:val="20"/>
          <w:szCs w:val="20"/>
          <w:color w:val="auto"/>
        </w:rPr>
      </w:pPr>
    </w:p>
    <w:p>
      <w:pPr>
        <w:ind w:left="660" w:right="180" w:hanging="328"/>
        <w:spacing w:after="0" w:line="26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$1.7 million decrease in costs at Evergy Kansas Central related to non-regulated energy marketing margins recognized during the February 2021 winter weather event.</w:t>
      </w:r>
    </w:p>
    <w:p>
      <w:pPr>
        <w:spacing w:after="0" w:line="177"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Evergy's operating and maintenance expense decreased $0.4 million year to date June 30, 2022, compared to the same period in 2021, primarily driven by:</w:t>
      </w:r>
    </w:p>
    <w:p>
      <w:pPr>
        <w:spacing w:after="0" w:line="69" w:lineRule="exact"/>
        <w:rPr>
          <w:sz w:val="20"/>
          <w:szCs w:val="20"/>
          <w:color w:val="auto"/>
        </w:rPr>
      </w:pPr>
    </w:p>
    <w:p>
      <w:pPr>
        <w:ind w:left="660" w:hanging="328"/>
        <w:spacing w:after="0" w:line="26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$7.3 million of costs recorded in 2021 associated with executive transition, including inducement bonuses, severance agreements and other transition expenses;</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$4.7 million decrease in advisor expenses incurred in 2022 associated with strategic planning;</w:t>
      </w:r>
    </w:p>
    <w:p>
      <w:pPr>
        <w:spacing w:after="0" w:line="107" w:lineRule="exact"/>
        <w:rPr>
          <w:rFonts w:ascii="Arial" w:cs="Arial" w:eastAsia="Arial" w:hAnsi="Arial"/>
          <w:sz w:val="20"/>
          <w:szCs w:val="20"/>
          <w:color w:val="auto"/>
        </w:rPr>
      </w:pPr>
    </w:p>
    <w:p>
      <w:pPr>
        <w:ind w:left="660" w:right="180" w:hanging="328"/>
        <w:spacing w:after="0" w:line="26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$3.4 million decrease in costs at Evergy Kansas Central related to non-regulated energy marketing margins recognized during the February 2021 winter weather event; and</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$2.2 million decrease in certain labor and employee benefits expenses; partially offset by</w:t>
      </w:r>
    </w:p>
    <w:p>
      <w:pPr>
        <w:spacing w:after="0" w:line="107" w:lineRule="exact"/>
        <w:rPr>
          <w:rFonts w:ascii="Arial" w:cs="Arial" w:eastAsia="Arial" w:hAnsi="Arial"/>
          <w:sz w:val="20"/>
          <w:szCs w:val="20"/>
          <w:color w:val="auto"/>
        </w:rPr>
      </w:pPr>
    </w:p>
    <w:p>
      <w:pPr>
        <w:ind w:left="660" w:right="200" w:hanging="328"/>
        <w:spacing w:after="0" w:line="269" w:lineRule="auto"/>
        <w:tabs>
          <w:tab w:leader="none" w:pos="648" w:val="left"/>
        </w:tabs>
        <w:numPr>
          <w:ilvl w:val="0"/>
          <w:numId w:val="19"/>
        </w:numPr>
        <w:rPr>
          <w:rFonts w:ascii="Arial" w:cs="Arial" w:eastAsia="Arial" w:hAnsi="Arial"/>
          <w:sz w:val="19"/>
          <w:szCs w:val="19"/>
          <w:color w:val="auto"/>
        </w:rPr>
      </w:pPr>
      <w:r>
        <w:rPr>
          <w:rFonts w:ascii="Arial" w:cs="Arial" w:eastAsia="Arial" w:hAnsi="Arial"/>
          <w:sz w:val="19"/>
          <w:szCs w:val="19"/>
          <w:color w:val="auto"/>
        </w:rPr>
        <w:t>an $11.2 million increase in plant operating and maintenance expense at fossil-fuel generating units primarily due to a $5.4 million increase at Evergy Metro driven by major maintenance outages at Iatan Station Unit 1 and LaCygne Unit 2 in 2022 and a $4.3 million increase at Evergy Kansas Central driven by a major maintenance outage at JEC in 2022; and</w:t>
      </w:r>
    </w:p>
    <w:p>
      <w:pPr>
        <w:spacing w:after="0" w:line="61" w:lineRule="exact"/>
        <w:rPr>
          <w:rFonts w:ascii="Arial" w:cs="Arial" w:eastAsia="Arial" w:hAnsi="Arial"/>
          <w:sz w:val="19"/>
          <w:szCs w:val="19"/>
          <w:color w:val="auto"/>
        </w:rPr>
      </w:pPr>
    </w:p>
    <w:p>
      <w:pPr>
        <w:ind w:left="660" w:right="180" w:hanging="328"/>
        <w:spacing w:after="0" w:line="316" w:lineRule="auto"/>
        <w:tabs>
          <w:tab w:leader="none" w:pos="6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$5.8 million increase in transmission and distribution operating and maintenance expenses primarily at Evergy Metro and Evergy Missouri West driven by higher contractor costs and a $1.0 million increase in vegetation management costs in 2022.</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Depreciation and Amortization</w:t>
      </w:r>
    </w:p>
    <w:p>
      <w:pPr>
        <w:spacing w:after="0" w:line="22" w:lineRule="exact"/>
        <w:rPr>
          <w:sz w:val="20"/>
          <w:szCs w:val="20"/>
          <w:color w:val="auto"/>
        </w:rPr>
      </w:pPr>
    </w:p>
    <w:p>
      <w:pPr>
        <w:ind w:right="420"/>
        <w:spacing w:after="0" w:line="241" w:lineRule="auto"/>
        <w:rPr>
          <w:sz w:val="20"/>
          <w:szCs w:val="20"/>
          <w:color w:val="auto"/>
        </w:rPr>
      </w:pPr>
      <w:r>
        <w:rPr>
          <w:rFonts w:ascii="Arial" w:cs="Arial" w:eastAsia="Arial" w:hAnsi="Arial"/>
          <w:sz w:val="20"/>
          <w:szCs w:val="20"/>
          <w:color w:val="auto"/>
        </w:rPr>
        <w:t>Evergy's depreciation and amortization increased $6.9 million for the three months ended June 30, 2022 and $16.6 million year to date June 30, 2022, compared to the same periods in 2021, primarily driven by higher capital additions at Evergy Kansas Central and Evergy Metro in 2022.</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Taxes Other Than Income Tax</w:t>
      </w:r>
    </w:p>
    <w:p>
      <w:pPr>
        <w:spacing w:after="0" w:line="22"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Evergy's taxes other than income tax increased $2.4 million for the three months ended June 30, 2022 and $9.4 million year to date June 30, 2022, compared to the same periods in 2021, primarily driven by an increase in property taxes in Missouri and Kansas primarily due to higher assessed property tax values.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22" w:lineRule="exact"/>
        <w:rPr>
          <w:sz w:val="20"/>
          <w:szCs w:val="20"/>
          <w:color w:val="auto"/>
        </w:rPr>
      </w:pPr>
    </w:p>
    <w:p>
      <w:pPr>
        <w:ind w:right="540"/>
        <w:spacing w:after="0" w:line="244" w:lineRule="auto"/>
        <w:rPr>
          <w:sz w:val="20"/>
          <w:szCs w:val="20"/>
          <w:color w:val="auto"/>
        </w:rPr>
      </w:pPr>
      <w:r>
        <w:rPr>
          <w:rFonts w:ascii="Arial" w:cs="Arial" w:eastAsia="Arial" w:hAnsi="Arial"/>
          <w:sz w:val="20"/>
          <w:szCs w:val="20"/>
          <w:color w:val="auto"/>
        </w:rPr>
        <w:t>Evergy's other income, net in the second quarter of 2021 became other expense, net in the second quarter of 2022 as a result of a $22.2 million increase in net other expense items, primarily driven by:</w:t>
      </w:r>
    </w:p>
    <w:p>
      <w:pPr>
        <w:spacing w:after="0" w:line="83" w:lineRule="exact"/>
        <w:rPr>
          <w:sz w:val="20"/>
          <w:szCs w:val="20"/>
          <w:color w:val="auto"/>
        </w:rPr>
      </w:pPr>
    </w:p>
    <w:p>
      <w:pPr>
        <w:ind w:left="660" w:right="80" w:hanging="328"/>
        <w:spacing w:after="0" w:line="282" w:lineRule="auto"/>
        <w:tabs>
          <w:tab w:leader="none" w:pos="6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$9.3 million increase due to lower investment earnings primarily driven by a $4.1 million decrease in unrealized gains due to the change in fair value related to various equity investments and a $2.1 million loss related to Evergy's equity investment in an early-stage energy solutions company that was sold in March 2022 through a share forward agreement which was completed in June 2022 (see Evergy Equity Investment in Note 1 of the consolidated financial statements for additional information);</w:t>
      </w:r>
    </w:p>
    <w:p>
      <w:pPr>
        <w:spacing w:after="0" w:line="53" w:lineRule="exact"/>
        <w:rPr>
          <w:rFonts w:ascii="Arial" w:cs="Arial" w:eastAsia="Arial" w:hAnsi="Arial"/>
          <w:sz w:val="18"/>
          <w:szCs w:val="18"/>
          <w:color w:val="auto"/>
        </w:rPr>
      </w:pPr>
    </w:p>
    <w:p>
      <w:pPr>
        <w:ind w:left="640" w:hanging="308"/>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$6.2 million increase due to recording lower Evergy Kansas Central COLI benefits in the second quarter of 2022; and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9" w:name="page60"/>
    <w:bookmarkEnd w:id="5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left="660" w:right="140" w:hanging="328"/>
        <w:spacing w:after="0" w:line="260"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$4.1 million increase due to higher pension non-service costs at Evergy Kansas Central and Evergy Metro in the second quarter of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Evergy's other expense, net increased $40.4 million year to date June 30, 2022, compared to the same period in 2021, primarily driven by:</w:t>
      </w:r>
    </w:p>
    <w:p>
      <w:pPr>
        <w:spacing w:after="0" w:line="131" w:lineRule="exact"/>
        <w:rPr>
          <w:sz w:val="20"/>
          <w:szCs w:val="20"/>
          <w:color w:val="auto"/>
        </w:rPr>
      </w:pPr>
    </w:p>
    <w:p>
      <w:pPr>
        <w:ind w:left="660" w:hanging="328"/>
        <w:spacing w:after="0" w:line="291"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$20.5 million increase due to lower investment earnings primarily driven by a $16.3 million loss related to Evergy's equity investment in an early-stage energy solutions company that was sold in March 2022 through a share forward agreement which was completed in June 2022 (see Evergy Equity Investment in Note 1 of the consolidated financial statements for additional information);</w:t>
      </w:r>
    </w:p>
    <w:p>
      <w:pPr>
        <w:spacing w:after="0" w:line="43" w:lineRule="exact"/>
        <w:rPr>
          <w:rFonts w:ascii="Arial" w:cs="Arial" w:eastAsia="Arial" w:hAnsi="Arial"/>
          <w:sz w:val="18"/>
          <w:szCs w:val="18"/>
          <w:color w:val="auto"/>
        </w:rPr>
      </w:pPr>
    </w:p>
    <w:p>
      <w:pPr>
        <w:ind w:left="640" w:hanging="308"/>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$7.7 million increase due to higher pension non-service costs at Evergy Kansas Central and Evergy Metro in 2022;</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$6.1 million increase due to recording lower Evergy Kansas Central COLI benefits in 2022;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$3.1 million of other income recorded in 2021 related to contract termination fees.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22"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Evergy's interest expense increased $5.5 million for the three months ended June 30, 2022, compared to the same period in 2021, primarily driven by:</w:t>
      </w:r>
    </w:p>
    <w:p>
      <w:pPr>
        <w:spacing w:after="0" w:line="83" w:lineRule="exact"/>
        <w:rPr>
          <w:sz w:val="20"/>
          <w:szCs w:val="20"/>
          <w:color w:val="auto"/>
        </w:rPr>
      </w:pPr>
    </w:p>
    <w:p>
      <w:pPr>
        <w:ind w:left="660" w:right="140" w:hanging="328"/>
        <w:spacing w:after="0" w:line="316"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$4.6 million increase in interest expense on short-term borrowings primarily due to higher short-term debt balances and weighted-average interest rates for Evergy, Inc., Evergy Kansas Central and Evergy Missouri West in 2022; partially offset by</w:t>
      </w:r>
    </w:p>
    <w:p>
      <w:pPr>
        <w:spacing w:after="0" w:line="21" w:lineRule="exact"/>
        <w:rPr>
          <w:rFonts w:ascii="Arial" w:cs="Arial" w:eastAsia="Arial" w:hAnsi="Arial"/>
          <w:sz w:val="18"/>
          <w:szCs w:val="18"/>
          <w:color w:val="auto"/>
        </w:rPr>
      </w:pPr>
    </w:p>
    <w:p>
      <w:pPr>
        <w:ind w:left="660" w:right="800" w:hanging="328"/>
        <w:spacing w:after="0" w:line="260" w:lineRule="auto"/>
        <w:tabs>
          <w:tab w:leader="none" w:pos="648"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$1.6 million decrease due to the repayment of Evergy Missouri West's $80.9 million of 8.27% Senior Notes at maturity in November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Evergy's interest expense increased $3.3 million year to date June 30, 2022, compared to the same period in 2021, primarily driven by:</w:t>
      </w:r>
    </w:p>
    <w:p>
      <w:pPr>
        <w:spacing w:after="0" w:line="131" w:lineRule="exact"/>
        <w:rPr>
          <w:sz w:val="20"/>
          <w:szCs w:val="20"/>
          <w:color w:val="auto"/>
        </w:rPr>
      </w:pPr>
    </w:p>
    <w:p>
      <w:pPr>
        <w:ind w:left="660" w:right="140" w:hanging="328"/>
        <w:spacing w:after="0" w:line="316"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$5.7 million increase in interest expense on short-term borrowings primarily due to higher short-term debt balances and weighted-average interest rates for Evergy, Inc., Evergy Kansas Central and Evergy Missouri West in 2022; partially offset by</w:t>
      </w:r>
    </w:p>
    <w:p>
      <w:pPr>
        <w:spacing w:after="0" w:line="21" w:lineRule="exact"/>
        <w:rPr>
          <w:rFonts w:ascii="Arial" w:cs="Arial" w:eastAsia="Arial" w:hAnsi="Arial"/>
          <w:sz w:val="18"/>
          <w:szCs w:val="18"/>
          <w:color w:val="auto"/>
        </w:rPr>
      </w:pPr>
    </w:p>
    <w:p>
      <w:pPr>
        <w:ind w:left="660" w:right="800" w:hanging="328"/>
        <w:spacing w:after="0" w:line="260"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$3.3 million decrease due to the repayment of Evergy Missouri West's $80.9 million of 8.27% Senior Notes at maturity in November 2021.</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Expense</w:t>
      </w:r>
    </w:p>
    <w:p>
      <w:pPr>
        <w:spacing w:after="0" w:line="22" w:lineRule="exact"/>
        <w:rPr>
          <w:sz w:val="20"/>
          <w:szCs w:val="20"/>
          <w:color w:val="auto"/>
        </w:rPr>
      </w:pPr>
    </w:p>
    <w:p>
      <w:pPr>
        <w:ind w:right="700"/>
        <w:spacing w:after="0" w:line="244" w:lineRule="auto"/>
        <w:rPr>
          <w:sz w:val="20"/>
          <w:szCs w:val="20"/>
          <w:color w:val="auto"/>
        </w:rPr>
      </w:pPr>
      <w:r>
        <w:rPr>
          <w:rFonts w:ascii="Arial" w:cs="Arial" w:eastAsia="Arial" w:hAnsi="Arial"/>
          <w:sz w:val="20"/>
          <w:szCs w:val="20"/>
          <w:color w:val="auto"/>
        </w:rPr>
        <w:t>Evergy's income tax expense increased $2.5 million for the three months ended June 30, 2022, compared to the same period in 2021, primarily driven by:</w:t>
      </w:r>
    </w:p>
    <w:p>
      <w:pPr>
        <w:spacing w:after="0" w:line="83"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$2.0 million increase primarily due to higher pre-tax income in the second quarter of 2022;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$1.1 million increase due to lower expected COLI proceeds in the second quarter of 2022.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Evergy's income tax expense decreased $9.0 million year to date June 30, 2022, compared to the same period in 2021, primarily driven by:</w:t>
      </w:r>
    </w:p>
    <w:p>
      <w:pPr>
        <w:spacing w:after="0" w:line="131"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$15.1 million decrease due to lower pre-tax income in 2022; partially offset by</w:t>
      </w:r>
    </w:p>
    <w:p>
      <w:pPr>
        <w:spacing w:after="0" w:line="107" w:lineRule="exact"/>
        <w:rPr>
          <w:rFonts w:ascii="Arial" w:cs="Arial" w:eastAsia="Arial" w:hAnsi="Arial"/>
          <w:sz w:val="20"/>
          <w:szCs w:val="20"/>
          <w:color w:val="auto"/>
        </w:rPr>
      </w:pPr>
    </w:p>
    <w:p>
      <w:pPr>
        <w:ind w:left="660" w:right="320" w:hanging="328"/>
        <w:spacing w:after="0" w:line="260"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$4.3 million increase due to lower amortization of flow-through items driven by a decrease in pre-tax income in 2022 at Evergy Kansas Central; and</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$1.3 million increase due to lower wind and other income tax credits driven by a decrease in pre-tax income in 2022.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LIQUIDITY AND CAPITAL RESOURCES</w:t>
      </w:r>
    </w:p>
    <w:p>
      <w:pPr>
        <w:spacing w:after="0" w:line="222"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Evergy relies primarily upon cash from operations, short-term borrowings, long-term debt and equity issuances and its existing cash and cash equivalents to fund its capital requirements. Evergy's capital requirements primarily consist of capital expenditures, payment of contractual obligations and other commitments, and the payment of dividends to shareholders. See the Evergy Companies' combined 2021 Form 10-K for more information on Evergy's sources and uses of cash.</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Short-Term Borrowings</w:t>
      </w:r>
    </w:p>
    <w:p>
      <w:pPr>
        <w:spacing w:after="0" w:line="2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June 30, 2022, Evergy had $1.0 billion of available borrowing capacity under its master credit facility. The available borrowing capacity under the master credit facility consisted of $339.8 million for Evergy, Inc., $271.4 million for Evergy Kansas Central, $350.0 million for Evergy Metro and $9.5 million for Evergy Missouri West. The Evergy Companies' borrowing capacity under the master credit facility also supports their issuance of commercial paper. See Note 7 to the consolidated financial statements for more information regarding the master credit facility. Along with cash flows from operations and receivable sales facilities, Evergy generally uses borrowings under its master credit facility and the issuance of commercial paper to meet its day-to-day cash flow requirements. Evergy believes that its existing cash on hand and available borrowing capacity under its master credit facility provide sufficient liquidity for its existing capital requirements.</w:t>
      </w:r>
    </w:p>
    <w:p>
      <w:pPr>
        <w:spacing w:after="0" w:line="170"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In February 2022, Evergy, Inc. entered into a $500.0 million unsecured Term Loan Facility that expires in February 2023. As of June 30, 2022, Evergy had borrowed $500.0 million under the Term Loan Facility. Evergy's borrowings under the Term Loan Facility were used for, among other things, working capital, capital expenditures and general corporate purposes.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Debt Issuances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See Note 8 to the consolidated financial statements for information regarding significant debt issuances.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Pensions</w:t>
      </w:r>
    </w:p>
    <w:p>
      <w:pPr>
        <w:spacing w:after="0" w:line="22" w:lineRule="exact"/>
        <w:rPr>
          <w:sz w:val="20"/>
          <w:szCs w:val="20"/>
          <w:color w:val="auto"/>
        </w:rPr>
      </w:pPr>
    </w:p>
    <w:p>
      <w:pPr>
        <w:jc w:val="both"/>
        <w:ind w:right="80"/>
        <w:spacing w:after="0" w:line="241" w:lineRule="auto"/>
        <w:rPr>
          <w:sz w:val="20"/>
          <w:szCs w:val="20"/>
          <w:color w:val="auto"/>
        </w:rPr>
      </w:pPr>
      <w:r>
        <w:rPr>
          <w:rFonts w:ascii="Arial" w:cs="Arial" w:eastAsia="Arial" w:hAnsi="Arial"/>
          <w:sz w:val="20"/>
          <w:szCs w:val="20"/>
          <w:color w:val="auto"/>
        </w:rPr>
        <w:t>Year to date June 30, 2022, Evergy made pension contributions of $19.9 million. Evergy expects to make additional pension contributions of $78.8 million in 2022 to satisfy ERISA funding requirements and KCC and MPSC rate orders, of which $14.4 million is expected to be paid by Evergy Kansas Central and $64.4 million is expected to be paid by Evergy Metro. Also in 2022, Evergy expects to make post-retirement benefit contributions of $2.0 million.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Covenants</w:t>
      </w:r>
    </w:p>
    <w:p>
      <w:pPr>
        <w:spacing w:after="0" w:line="22"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color w:val="auto"/>
        </w:rPr>
        <w:t>As of June 30, 2022, Evergy was in compliance with all debt covenants under the master credit facility, the Term Loan Facility and certain debt instruments that contain restrictions that require the maintenance of certain capitalization and leverage ratios. See Note 7 to the consolidated financial statements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Evergy's cash flows from operating, investing and financing activities.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5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3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07"/>
        </w:trPr>
        <w:tc>
          <w:tcPr>
            <w:tcW w:w="57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17"/>
                <w:szCs w:val="17"/>
                <w:color w:val="auto"/>
              </w:rPr>
            </w:pPr>
          </w:p>
        </w:tc>
      </w:tr>
      <w:tr>
        <w:trPr>
          <w:trHeight w:val="232"/>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3"/>
              </w:rPr>
              <w:t>224.6</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3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(1,128.9)</w:t>
            </w:r>
          </w:p>
        </w:tc>
        <w:tc>
          <w:tcPr>
            <w:tcW w:w="420" w:type="dxa"/>
            <w:vAlign w:val="bottom"/>
          </w:tcPr>
          <w:p>
            <w:pPr>
              <w:spacing w:after="0"/>
              <w:rPr>
                <w:sz w:val="19"/>
                <w:szCs w:val="19"/>
                <w:color w:val="auto"/>
              </w:rPr>
            </w:pPr>
          </w:p>
        </w:tc>
        <w:tc>
          <w:tcPr>
            <w:tcW w:w="920" w:type="dxa"/>
            <w:vAlign w:val="bottom"/>
          </w:tcPr>
          <w:p>
            <w:pPr>
              <w:jc w:val="center"/>
              <w:ind w:left="270"/>
              <w:spacing w:after="0"/>
              <w:rPr>
                <w:sz w:val="20"/>
                <w:szCs w:val="20"/>
                <w:color w:val="auto"/>
              </w:rPr>
            </w:pPr>
            <w:r>
              <w:rPr>
                <w:rFonts w:ascii="Arial" w:cs="Arial" w:eastAsia="Arial" w:hAnsi="Arial"/>
                <w:sz w:val="18"/>
                <w:szCs w:val="18"/>
                <w:color w:val="auto"/>
                <w:w w:val="91"/>
              </w:rPr>
              <w:t>(918.2)</w:t>
            </w:r>
          </w:p>
        </w:tc>
      </w:tr>
      <w:tr>
        <w:trPr>
          <w:trHeight w:val="237"/>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color w:val="auto"/>
                <w:w w:val="93"/>
              </w:rPr>
              <w:t>607.1</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Operating Activities</w:t>
      </w:r>
    </w:p>
    <w:p>
      <w:pPr>
        <w:spacing w:after="0" w:line="16" w:lineRule="exact"/>
        <w:rPr>
          <w:sz w:val="20"/>
          <w:szCs w:val="20"/>
          <w:color w:val="auto"/>
        </w:rPr>
      </w:pPr>
    </w:p>
    <w:p>
      <w:pPr>
        <w:ind w:right="420"/>
        <w:spacing w:after="0" w:line="244" w:lineRule="auto"/>
        <w:rPr>
          <w:sz w:val="20"/>
          <w:szCs w:val="20"/>
          <w:color w:val="auto"/>
        </w:rPr>
      </w:pPr>
      <w:r>
        <w:rPr>
          <w:rFonts w:ascii="Arial" w:cs="Arial" w:eastAsia="Arial" w:hAnsi="Arial"/>
          <w:sz w:val="20"/>
          <w:szCs w:val="20"/>
          <w:color w:val="auto"/>
        </w:rPr>
        <w:t>Evergy's cash flows from operating activities increased $364.3 million year to date June 30, 2022, compared to the same period in 2021, primarily driven by:</w:t>
      </w:r>
    </w:p>
    <w:p>
      <w:pPr>
        <w:spacing w:after="0" w:line="83"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$371.6 million of cash payments for net fuel and purchased power costs during the February 2021 winter weather event;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5" w:lineRule="exact"/>
        <w:rPr>
          <w:rFonts w:ascii="Arial" w:cs="Arial" w:eastAsia="Arial" w:hAnsi="Arial"/>
          <w:sz w:val="19"/>
          <w:szCs w:val="19"/>
          <w:color w:val="auto"/>
        </w:rPr>
      </w:pPr>
    </w:p>
    <w:p>
      <w:pPr>
        <w:ind w:left="5540"/>
        <w:spacing w:after="0"/>
        <w:rPr>
          <w:rFonts w:ascii="Arial" w:cs="Arial" w:eastAsia="Arial" w:hAnsi="Arial"/>
          <w:sz w:val="19"/>
          <w:szCs w:val="19"/>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1" w:name="page62"/>
    <w:bookmarkEnd w:id="6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left="660" w:right="420" w:hanging="328"/>
        <w:spacing w:after="0" w:line="260"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color w:val="auto"/>
        </w:rPr>
        <w:t>a $95.8 million increase in cash receipts for retail electric sales in 2022 primarily due to higher weather-normalized demand and favorable weather; partially offset by</w:t>
      </w:r>
    </w:p>
    <w:p>
      <w:pPr>
        <w:spacing w:after="0" w:line="68" w:lineRule="exact"/>
        <w:rPr>
          <w:rFonts w:ascii="Arial" w:cs="Arial" w:eastAsia="Arial" w:hAnsi="Arial"/>
          <w:sz w:val="20"/>
          <w:szCs w:val="20"/>
          <w:color w:val="auto"/>
        </w:rPr>
      </w:pPr>
    </w:p>
    <w:p>
      <w:pPr>
        <w:ind w:left="660" w:right="280" w:hanging="328"/>
        <w:spacing w:after="0" w:line="260"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color w:val="auto"/>
        </w:rPr>
        <w:t>$89.1 million of cash receipts related to non-regulated energy marketing margins earned during the February 2021 winter weather event.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used in Investing Activities</w:t>
      </w:r>
    </w:p>
    <w:p>
      <w:pPr>
        <w:spacing w:after="0" w:line="16" w:lineRule="exact"/>
        <w:rPr>
          <w:sz w:val="20"/>
          <w:szCs w:val="20"/>
          <w:color w:val="auto"/>
        </w:rPr>
      </w:pPr>
    </w:p>
    <w:p>
      <w:pPr>
        <w:ind w:right="240"/>
        <w:spacing w:after="0"/>
        <w:rPr>
          <w:sz w:val="20"/>
          <w:szCs w:val="20"/>
          <w:color w:val="auto"/>
        </w:rPr>
      </w:pPr>
      <w:r>
        <w:rPr>
          <w:rFonts w:ascii="Arial" w:cs="Arial" w:eastAsia="Arial" w:hAnsi="Arial"/>
          <w:sz w:val="20"/>
          <w:szCs w:val="20"/>
          <w:color w:val="auto"/>
        </w:rPr>
        <w:t>Evergy's cash flows used in investing activities increased $210.7 million year to date June 30, 2022, compared to the same period in 2021, primarily driven by a $225.3 million increase in additions to property, plant and equipment due to increases at Evergy Kansas Central, Evergy Metro and Evergy Missouri West of $61.6 million, $108.3 million and $59.6 million, respectively, primarily due to increased spending for a variety of capital projects including transmission and distribution projects related to grid resiliency and other infrastructure improvements.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Financing Activities</w:t>
      </w:r>
    </w:p>
    <w:p>
      <w:pPr>
        <w:spacing w:after="0" w:line="16" w:lineRule="exact"/>
        <w:rPr>
          <w:sz w:val="20"/>
          <w:szCs w:val="20"/>
          <w:color w:val="auto"/>
        </w:rPr>
      </w:pPr>
    </w:p>
    <w:p>
      <w:pPr>
        <w:ind w:right="480"/>
        <w:spacing w:after="0" w:line="244" w:lineRule="auto"/>
        <w:rPr>
          <w:sz w:val="20"/>
          <w:szCs w:val="20"/>
          <w:color w:val="auto"/>
        </w:rPr>
      </w:pPr>
      <w:r>
        <w:rPr>
          <w:rFonts w:ascii="Arial" w:cs="Arial" w:eastAsia="Arial" w:hAnsi="Arial"/>
          <w:sz w:val="20"/>
          <w:szCs w:val="20"/>
          <w:color w:val="auto"/>
        </w:rPr>
        <w:t>Evergy's cash flows from financing activities decreased $70.9 million year to date June 30, 2022, compared to the same period in 2021, primarily driven by:</w:t>
      </w:r>
    </w:p>
    <w:p>
      <w:pPr>
        <w:spacing w:after="0" w:line="83" w:lineRule="exact"/>
        <w:rPr>
          <w:sz w:val="20"/>
          <w:szCs w:val="20"/>
          <w:color w:val="auto"/>
        </w:rPr>
      </w:pPr>
    </w:p>
    <w:p>
      <w:pPr>
        <w:ind w:left="660" w:hanging="328"/>
        <w:spacing w:after="0" w:line="250" w:lineRule="auto"/>
        <w:tabs>
          <w:tab w:leader="none" w:pos="621"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$250.8 million decrease in proceeds from long-term debt, net due to Evergy Missouri West's issuance of $500.0 million of Series A, B and C Senior Notes in April 2021, partially offset by Evergy Missouri West's issuance of $250.0 million of 3.75% First Mortgage Bonds in March 2022; and</w:t>
      </w:r>
    </w:p>
    <w:p>
      <w:pPr>
        <w:spacing w:after="0" w:line="77" w:lineRule="exact"/>
        <w:rPr>
          <w:rFonts w:ascii="Arial" w:cs="Arial" w:eastAsia="Arial" w:hAnsi="Arial"/>
          <w:sz w:val="20"/>
          <w:szCs w:val="20"/>
          <w:color w:val="auto"/>
        </w:rPr>
      </w:pPr>
    </w:p>
    <w:p>
      <w:pPr>
        <w:ind w:left="660" w:right="700" w:hanging="328"/>
        <w:spacing w:after="0" w:line="260"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$112.5 million of Evergy common stock issued in April 2021 pursuant to a securities purchase agreement with an affiliate of Bluescape Energy Partners, LLC (Bluescape); partially offset by</w:t>
      </w:r>
    </w:p>
    <w:p>
      <w:pPr>
        <w:spacing w:after="0" w:line="68" w:lineRule="exact"/>
        <w:rPr>
          <w:rFonts w:ascii="Arial" w:cs="Arial" w:eastAsia="Arial" w:hAnsi="Arial"/>
          <w:sz w:val="20"/>
          <w:szCs w:val="20"/>
          <w:color w:val="auto"/>
        </w:rPr>
      </w:pPr>
    </w:p>
    <w:p>
      <w:pPr>
        <w:ind w:left="660" w:right="220" w:hanging="328"/>
        <w:spacing w:after="0" w:line="250"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$271.1 million increase in short-term debt borrowings driven by higher borrowings of $112.2 million at Evergy Missouri West, $78.5 million at Evergy Kansas Central and $80.4 million at Evergy, Inc., primarily due to higher capital expenditures in 2022 and for general corporate purposes.</w:t>
      </w:r>
    </w:p>
    <w:p>
      <w:pPr>
        <w:spacing w:after="0" w:line="180"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EVERGY KANSAS CENTRAL,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NARRATIVE ANALYSIS OF RESULTS OF OPERATIONS</w:t>
      </w:r>
    </w:p>
    <w:p>
      <w:pPr>
        <w:spacing w:after="0" w:line="222"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The below results of operations and related discussion for Evergy Kansas Central is presented in a reduced disclosure format in accordance with General Instruction (H)(2)(a) to Form 10-Q.</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Kansas Central's comparative results of operations.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6"/>
              </w:rPr>
              <w:t>Change</w:t>
            </w:r>
          </w:p>
        </w:tc>
        <w:tc>
          <w:tcPr>
            <w:tcW w:w="3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r>
      <w:tr>
        <w:trPr>
          <w:trHeight w:val="220"/>
        </w:trPr>
        <w:tc>
          <w:tcPr>
            <w:tcW w:w="7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211"/>
              <w:spacing w:after="0"/>
              <w:rPr>
                <w:sz w:val="20"/>
                <w:szCs w:val="20"/>
                <w:color w:val="auto"/>
              </w:rPr>
            </w:pPr>
            <w:r>
              <w:rPr>
                <w:rFonts w:ascii="Arial" w:cs="Arial" w:eastAsia="Arial" w:hAnsi="Arial"/>
                <w:sz w:val="16"/>
                <w:szCs w:val="16"/>
                <w:color w:val="auto"/>
                <w:w w:val="99"/>
              </w:rPr>
              <w:t>(millions)</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1,337.9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(161.7)</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1,499.6</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287.1</w:t>
            </w:r>
          </w:p>
        </w:tc>
        <w:tc>
          <w:tcPr>
            <w:tcW w:w="26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(113.4)</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400.5</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160.2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17.0</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267.2</w:t>
            </w:r>
          </w:p>
        </w:tc>
        <w:tc>
          <w:tcPr>
            <w:tcW w:w="26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261.0</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240.3</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108.4</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6.1</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r>
      <w:tr>
        <w:trPr>
          <w:trHeight w:val="223"/>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274.7</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(86.1)</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(18.6)</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85.6</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equity method investees, net of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77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165.7</w:t>
            </w:r>
          </w:p>
        </w:tc>
        <w:tc>
          <w:tcPr>
            <w:tcW w:w="26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(95.0)</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260.7</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0.2</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Evergy Kansas Central, Inc.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159.5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(95.2)</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r>
    </w:tbl>
    <w:p>
      <w:pPr>
        <w:spacing w:after="0" w:line="200" w:lineRule="exact"/>
        <w:rPr>
          <w:sz w:val="20"/>
          <w:szCs w:val="20"/>
          <w:color w:val="auto"/>
        </w:rPr>
      </w:pP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62" w:name="page63"/>
    <w:bookmarkEnd w:id="6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Utility Gross Margin and MWh Sales</w:t>
      </w:r>
    </w:p>
    <w:p>
      <w:pPr>
        <w:spacing w:after="0" w:line="22"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The following table summarizes Evergy Kansas Central's utility gross margin and MWhs sold and provides a reconciliation of utility gross margin to income from operations.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4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4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Revenues and Expenses</w:t>
            </w:r>
          </w:p>
        </w:tc>
        <w:tc>
          <w:tcPr>
            <w:tcW w:w="6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MWhs Sold</w:t>
            </w:r>
          </w:p>
        </w:tc>
        <w:tc>
          <w:tcPr>
            <w:tcW w:w="900" w:type="dxa"/>
            <w:vAlign w:val="bottom"/>
            <w:tcBorders>
              <w:top w:val="single" w:sz="8" w:color="auto"/>
            </w:tcBorders>
          </w:tcPr>
          <w:p>
            <w:pPr>
              <w:spacing w:after="0"/>
              <w:rPr>
                <w:sz w:val="21"/>
                <w:szCs w:val="21"/>
                <w:color w:val="auto"/>
              </w:rPr>
            </w:pPr>
          </w:p>
        </w:tc>
      </w:tr>
      <w:tr>
        <w:trPr>
          <w:trHeight w:val="23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0"/>
              </w:rPr>
              <w:t>Change</w:t>
            </w:r>
          </w:p>
        </w:tc>
        <w:tc>
          <w:tcPr>
            <w:tcW w:w="10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3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51"/>
              <w:spacing w:after="0"/>
              <w:rPr>
                <w:sz w:val="20"/>
                <w:szCs w:val="20"/>
                <w:color w:val="auto"/>
              </w:rPr>
            </w:pPr>
            <w:r>
              <w:rPr>
                <w:rFonts w:ascii="Arial" w:cs="Arial" w:eastAsia="Arial" w:hAnsi="Arial"/>
                <w:sz w:val="16"/>
                <w:szCs w:val="16"/>
                <w:color w:val="auto"/>
              </w:rPr>
              <w:t>(millions)</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00" w:type="dxa"/>
            <w:vAlign w:val="bottom"/>
          </w:tcPr>
          <w:p>
            <w:pPr>
              <w:jc w:val="right"/>
              <w:ind w:right="251"/>
              <w:spacing w:after="0"/>
              <w:rPr>
                <w:sz w:val="20"/>
                <w:szCs w:val="20"/>
                <w:color w:val="auto"/>
              </w:rPr>
            </w:pPr>
            <w:r>
              <w:rPr>
                <w:rFonts w:ascii="Arial" w:cs="Arial" w:eastAsia="Arial" w:hAnsi="Arial"/>
                <w:sz w:val="16"/>
                <w:szCs w:val="16"/>
                <w:color w:val="auto"/>
              </w:rPr>
              <w:t>(thousands)</w:t>
            </w:r>
          </w:p>
        </w:tc>
        <w:tc>
          <w:tcPr>
            <w:tcW w:w="900" w:type="dxa"/>
            <w:vAlign w:val="bottom"/>
          </w:tcPr>
          <w:p>
            <w:pPr>
              <w:spacing w:after="0"/>
              <w:rPr>
                <w:sz w:val="19"/>
                <w:szCs w:val="19"/>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418.9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43.9</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3,147</w:t>
            </w:r>
          </w:p>
        </w:tc>
        <w:tc>
          <w:tcPr>
            <w:tcW w:w="13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147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358.9</w:t>
            </w:r>
          </w:p>
        </w:tc>
        <w:tc>
          <w:tcPr>
            <w:tcW w:w="26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40.1</w:t>
            </w: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318.8</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3,400</w:t>
            </w:r>
          </w:p>
        </w:tc>
        <w:tc>
          <w:tcPr>
            <w:tcW w:w="1300" w:type="dxa"/>
            <w:vAlign w:val="bottom"/>
          </w:tcPr>
          <w:p>
            <w:pPr>
              <w:jc w:val="right"/>
              <w:ind w:right="231"/>
              <w:spacing w:after="0"/>
              <w:rPr>
                <w:sz w:val="20"/>
                <w:szCs w:val="20"/>
                <w:color w:val="auto"/>
              </w:rPr>
            </w:pPr>
            <w:r>
              <w:rPr>
                <w:rFonts w:ascii="Arial" w:cs="Arial" w:eastAsia="Arial" w:hAnsi="Arial"/>
                <w:sz w:val="18"/>
                <w:szCs w:val="18"/>
                <w:color w:val="auto"/>
              </w:rPr>
              <w:t>109</w:t>
            </w:r>
          </w:p>
        </w:tc>
        <w:tc>
          <w:tcPr>
            <w:tcW w:w="900" w:type="dxa"/>
            <w:vAlign w:val="bottom"/>
          </w:tcPr>
          <w:p>
            <w:pPr>
              <w:jc w:val="right"/>
              <w:spacing w:after="0"/>
              <w:rPr>
                <w:sz w:val="20"/>
                <w:szCs w:val="20"/>
                <w:color w:val="auto"/>
              </w:rPr>
            </w:pPr>
            <w:r>
              <w:rPr>
                <w:rFonts w:ascii="Arial" w:cs="Arial" w:eastAsia="Arial" w:hAnsi="Arial"/>
                <w:sz w:val="18"/>
                <w:szCs w:val="18"/>
                <w:color w:val="auto"/>
              </w:rPr>
              <w:t>3,291</w:t>
            </w:r>
          </w:p>
        </w:tc>
      </w:tr>
      <w:tr>
        <w:trPr>
          <w:trHeight w:val="229"/>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212.7</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24.7</w:t>
            </w: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2,788</w:t>
            </w:r>
          </w:p>
        </w:tc>
        <w:tc>
          <w:tcPr>
            <w:tcW w:w="13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150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r>
      <w:tr>
        <w:trPr>
          <w:trHeight w:val="230"/>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retail revenues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8.6</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0.2</w:t>
            </w: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w:t>
            </w:r>
          </w:p>
        </w:tc>
        <w:tc>
          <w:tcPr>
            <w:tcW w:w="13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999.1</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108.9</w:t>
            </w: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9,355</w:t>
            </w:r>
          </w:p>
        </w:tc>
        <w:tc>
          <w:tcPr>
            <w:tcW w:w="13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406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131.5</w:t>
            </w: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(194.4)</w:t>
            </w: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325.9</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5,064</w:t>
            </w:r>
          </w:p>
        </w:tc>
        <w:tc>
          <w:tcPr>
            <w:tcW w:w="1300" w:type="dxa"/>
            <w:vAlign w:val="bottom"/>
          </w:tcPr>
          <w:p>
            <w:pPr>
              <w:jc w:val="right"/>
              <w:ind w:right="191"/>
              <w:spacing w:after="0"/>
              <w:rPr>
                <w:sz w:val="20"/>
                <w:szCs w:val="20"/>
                <w:color w:val="auto"/>
              </w:rPr>
            </w:pPr>
            <w:r>
              <w:rPr>
                <w:rFonts w:ascii="Arial" w:cs="Arial" w:eastAsia="Arial" w:hAnsi="Arial"/>
                <w:sz w:val="18"/>
                <w:szCs w:val="18"/>
                <w:color w:val="auto"/>
              </w:rPr>
              <w:t>(273)</w:t>
            </w:r>
          </w:p>
        </w:tc>
        <w:tc>
          <w:tcPr>
            <w:tcW w:w="900" w:type="dxa"/>
            <w:vAlign w:val="bottom"/>
          </w:tcPr>
          <w:p>
            <w:pPr>
              <w:jc w:val="right"/>
              <w:spacing w:after="0"/>
              <w:rPr>
                <w:sz w:val="20"/>
                <w:szCs w:val="20"/>
                <w:color w:val="auto"/>
              </w:rPr>
            </w:pPr>
            <w:r>
              <w:rPr>
                <w:rFonts w:ascii="Arial" w:cs="Arial" w:eastAsia="Arial" w:hAnsi="Arial"/>
                <w:sz w:val="18"/>
                <w:szCs w:val="18"/>
                <w:color w:val="auto"/>
              </w:rPr>
              <w:t>5,337</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178.6</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19.0</w:t>
            </w: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N/A</w:t>
            </w:r>
          </w:p>
        </w:tc>
        <w:tc>
          <w:tcPr>
            <w:tcW w:w="13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28.7</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(95.2)</w:t>
            </w: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N/A</w:t>
            </w:r>
          </w:p>
        </w:tc>
        <w:tc>
          <w:tcPr>
            <w:tcW w:w="13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N/A</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1,337.9</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(161.7)</w:t>
            </w: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1,499.6</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14,419</w:t>
            </w:r>
          </w:p>
        </w:tc>
        <w:tc>
          <w:tcPr>
            <w:tcW w:w="13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133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14,286</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(287.1)</w:t>
            </w:r>
          </w:p>
        </w:tc>
        <w:tc>
          <w:tcPr>
            <w:tcW w:w="26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113.4</w:t>
            </w: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(400.5)</w:t>
            </w: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(160.2)</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4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3"/>
        </w:trPr>
        <w:tc>
          <w:tcPr>
            <w:tcW w:w="44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Utility gross margin </w:t>
            </w:r>
            <w:r>
              <w:rPr>
                <w:rFonts w:ascii="Arial" w:cs="Arial" w:eastAsia="Arial" w:hAnsi="Arial"/>
                <w:sz w:val="23"/>
                <w:szCs w:val="23"/>
                <w:b w:val="1"/>
                <w:bCs w:val="1"/>
                <w:color w:val="auto"/>
                <w:vertAlign w:val="superscript"/>
              </w:rPr>
              <w:t>(a)</w:t>
            </w:r>
          </w:p>
        </w:tc>
        <w:tc>
          <w:tcPr>
            <w:tcW w:w="2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rPr>
              <w:t>890.6</w:t>
            </w: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(65.3)</w:t>
            </w: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955.9</w:t>
            </w: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(240.3)</w:t>
            </w:r>
          </w:p>
        </w:tc>
        <w:tc>
          <w:tcPr>
            <w:tcW w:w="2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(231.8)</w:t>
            </w: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(108.4)</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4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274.7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(86.1)</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360.8</w:t>
            </w:r>
          </w:p>
        </w:tc>
        <w:tc>
          <w:tcPr>
            <w:tcW w:w="1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(a)</w:t>
      </w:r>
      <w:r>
        <w:rPr>
          <w:rFonts w:ascii="Arial" w:cs="Arial" w:eastAsia="Arial" w:hAnsi="Arial"/>
          <w:sz w:val="16"/>
          <w:szCs w:val="16"/>
          <w:color w:val="auto"/>
        </w:rPr>
        <w:t>Utility gross margin is a non-GAAP financial measure. See explanation of utility gross margin under Evergy's Results of Operations.</w:t>
      </w:r>
    </w:p>
    <w:p>
      <w:pPr>
        <w:spacing w:after="0" w:line="168"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Evergy Kansas Central's utility gross margin decreased $65.3 million year to date June 30, 2022, compared to the same period in 2021, driven by:</w:t>
      </w:r>
    </w:p>
    <w:p>
      <w:pPr>
        <w:spacing w:after="0" w:line="69"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$95.0 million of non-regulated energy marketing margins recognized in 2021 related to the February 2021 winter weather event; and</w:t>
      </w:r>
    </w:p>
    <w:p>
      <w:pPr>
        <w:spacing w:after="0" w:line="130" w:lineRule="exact"/>
        <w:rPr>
          <w:rFonts w:ascii="Arial" w:cs="Arial" w:eastAsia="Arial" w:hAnsi="Arial"/>
          <w:sz w:val="18"/>
          <w:szCs w:val="18"/>
          <w:color w:val="auto"/>
        </w:rPr>
      </w:pPr>
    </w:p>
    <w:p>
      <w:pPr>
        <w:ind w:left="660" w:right="100" w:hanging="328"/>
        <w:spacing w:after="0" w:line="250"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$33.9 million decrease related to other impacts from the February 2021 winter weather event driven by higher utility gross margin at Evergy Kansas Central's non-regulated 8% ownership share of JEC due to higher wholesale prices and MWhs sold in February 2021; partially offset by</w:t>
      </w:r>
    </w:p>
    <w:p>
      <w:pPr>
        <w:spacing w:after="0" w:line="77" w:lineRule="exact"/>
        <w:rPr>
          <w:rFonts w:ascii="Arial" w:cs="Arial" w:eastAsia="Arial" w:hAnsi="Arial"/>
          <w:sz w:val="20"/>
          <w:szCs w:val="20"/>
          <w:color w:val="auto"/>
        </w:rPr>
      </w:pPr>
    </w:p>
    <w:p>
      <w:pPr>
        <w:ind w:left="660" w:right="480" w:hanging="328"/>
        <w:spacing w:after="0" w:line="260"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$37.4 million increase due to higher retail sales driven by higher weather-normalized demand and favorable weather (cooling degree days increased by 32%);</w:t>
      </w:r>
    </w:p>
    <w:p>
      <w:pPr>
        <w:spacing w:after="0" w:line="68" w:lineRule="exact"/>
        <w:rPr>
          <w:rFonts w:ascii="Arial" w:cs="Arial" w:eastAsia="Arial" w:hAnsi="Arial"/>
          <w:sz w:val="20"/>
          <w:szCs w:val="20"/>
          <w:color w:val="auto"/>
        </w:rPr>
      </w:pPr>
    </w:p>
    <w:p>
      <w:pPr>
        <w:ind w:left="660" w:right="280" w:hanging="328"/>
        <w:spacing w:after="0" w:line="260"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$19.0 million increase in transmission revenue primarily due to updated transmission costs reflected in Evergy Kansas Central's FERC TFR effective in January 2022; and</w:t>
      </w:r>
    </w:p>
    <w:p>
      <w:pPr>
        <w:spacing w:after="0" w:line="68" w:lineRule="exact"/>
        <w:rPr>
          <w:rFonts w:ascii="Arial" w:cs="Arial" w:eastAsia="Arial" w:hAnsi="Arial"/>
          <w:sz w:val="20"/>
          <w:szCs w:val="20"/>
          <w:color w:val="auto"/>
        </w:rPr>
      </w:pPr>
    </w:p>
    <w:p>
      <w:pPr>
        <w:ind w:left="660" w:right="340" w:hanging="328"/>
        <w:spacing w:after="0" w:line="287" w:lineRule="auto"/>
        <w:tabs>
          <w:tab w:leader="none" w:pos="648" w:val="left"/>
        </w:tabs>
        <w:numPr>
          <w:ilvl w:val="0"/>
          <w:numId w:val="30"/>
        </w:numPr>
        <w:rPr>
          <w:rFonts w:ascii="Arial" w:cs="Arial" w:eastAsia="Arial" w:hAnsi="Arial"/>
          <w:sz w:val="19"/>
          <w:szCs w:val="19"/>
          <w:color w:val="auto"/>
        </w:rPr>
      </w:pPr>
      <w:r>
        <w:rPr>
          <w:rFonts w:ascii="Arial" w:cs="Arial" w:eastAsia="Arial" w:hAnsi="Arial"/>
          <w:sz w:val="19"/>
          <w:szCs w:val="19"/>
          <w:color w:val="auto"/>
        </w:rPr>
        <w:t>a $7.2 million increase related to Evergy Kansas Central's TDC rider in 2022, which included higher revenues driven by updated transmission costs as reflected in Evergy Kansas Central's TFR with the new prices effective in April 2022.</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Operating and Maintenance</w:t>
      </w:r>
    </w:p>
    <w:p>
      <w:pPr>
        <w:spacing w:after="0" w:line="22"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Evergy Kansas Central's operating and maintenance expense increased $6.2 million year to date June 30, 2022, compared to the same period in 2021, primarily driven by:</w:t>
      </w:r>
    </w:p>
    <w:p>
      <w:pPr>
        <w:spacing w:after="0" w:line="83"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$6.7 million increase in costs billed for common use assets in 2022 from Evergy Metro related to facilities and software assets;</w:t>
      </w:r>
    </w:p>
    <w:p>
      <w:pPr>
        <w:spacing w:after="0" w:line="130" w:lineRule="exact"/>
        <w:rPr>
          <w:rFonts w:ascii="Arial" w:cs="Arial" w:eastAsia="Arial" w:hAnsi="Arial"/>
          <w:sz w:val="18"/>
          <w:szCs w:val="18"/>
          <w:color w:val="auto"/>
        </w:rPr>
      </w:pPr>
    </w:p>
    <w:p>
      <w:pPr>
        <w:ind w:left="660" w:right="360" w:hanging="328"/>
        <w:spacing w:after="0" w:line="260"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$4.3 million increase in plant operating and maintenance expense at fossil-fuel generating units driven by a major maintenance outage at JEC in 2022; and</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$3.3 million increase in various administrative and general operating and maintenance expenses; partially offset by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3" w:name="page64"/>
    <w:bookmarkEnd w:id="6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left="660" w:hanging="328"/>
        <w:spacing w:after="0" w:line="260"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$3.6 million of costs recorded in 2021 associated with executive transition, including inducement bonuses, severance agreements and other transition expenses;</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$3.5 million decrease in advisor expenses incurred in 2022 associated with strategic planning; and</w:t>
      </w:r>
    </w:p>
    <w:p>
      <w:pPr>
        <w:spacing w:after="0" w:line="107" w:lineRule="exact"/>
        <w:rPr>
          <w:rFonts w:ascii="Arial" w:cs="Arial" w:eastAsia="Arial" w:hAnsi="Arial"/>
          <w:sz w:val="20"/>
          <w:szCs w:val="20"/>
          <w:color w:val="auto"/>
        </w:rPr>
      </w:pPr>
    </w:p>
    <w:p>
      <w:pPr>
        <w:ind w:left="660" w:right="480" w:hanging="328"/>
        <w:spacing w:after="0" w:line="260"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$3.4 million decrease in costs related to non-regulated energy marketing margins recognized during the February 2021 winter weather event.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Depreciation and Amortization</w:t>
      </w:r>
    </w:p>
    <w:p>
      <w:pPr>
        <w:spacing w:after="0" w:line="22" w:lineRule="exact"/>
        <w:rPr>
          <w:sz w:val="20"/>
          <w:szCs w:val="20"/>
          <w:color w:val="auto"/>
        </w:rPr>
      </w:pPr>
    </w:p>
    <w:p>
      <w:pPr>
        <w:ind w:right="400"/>
        <w:spacing w:after="0" w:line="244" w:lineRule="auto"/>
        <w:rPr>
          <w:sz w:val="20"/>
          <w:szCs w:val="20"/>
          <w:color w:val="auto"/>
        </w:rPr>
      </w:pPr>
      <w:r>
        <w:rPr>
          <w:rFonts w:ascii="Arial" w:cs="Arial" w:eastAsia="Arial" w:hAnsi="Arial"/>
          <w:sz w:val="20"/>
          <w:szCs w:val="20"/>
          <w:color w:val="auto"/>
        </w:rPr>
        <w:t>Evergy Kansas Central's depreciation and amortization expense increased $8.5 million year to date June 30, 2022, compared to the same period in 2021, primarily driven by higher capital additions in 2022.</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Taxes Other Than Income Tax</w:t>
      </w:r>
    </w:p>
    <w:p>
      <w:pPr>
        <w:spacing w:after="0" w:line="22"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Evergy Kansas Central's taxes other than income tax increased $6.1 million year to date June 30, 2022, compared to the same period in 2021, driven by an increase in property taxes in Kansas primarily due to higher assessed property tax values.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Other Income (Expense), Net</w:t>
      </w:r>
    </w:p>
    <w:p>
      <w:pPr>
        <w:spacing w:after="0" w:line="22"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Evergy Kansas Central's other income, net year to date June 30, 2021 became other expense, net year to date June 30, 2022 as a result of an $18.6 million increase in net other expense items, primarily driven by:</w:t>
      </w:r>
    </w:p>
    <w:p>
      <w:pPr>
        <w:spacing w:after="0" w:line="83"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$6.1 million increase due to recording lower COLI benefits in 2022;</w:t>
      </w:r>
    </w:p>
    <w:p>
      <w:pPr>
        <w:spacing w:after="0" w:line="107"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$4.4 million decrease in investment earnings primarily due to $4.2 million of net unrealized losses in Evergy Kansas Central's rabbi trust in 2022;</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$3.7 million increase due to lower equity AFUDC primarily driven by higher short-term debt balances in 2022;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$1.4 million of other income recorded in 2021 related to contract termination fees.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Interest Expense</w:t>
      </w:r>
    </w:p>
    <w:p>
      <w:pPr>
        <w:spacing w:after="0" w:line="22"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Evergy Kansas Central's interest expense increased $5.5 million year to date June 30, 2022, compared to the same period in 2021, primarily driven by:</w:t>
      </w:r>
    </w:p>
    <w:p>
      <w:pPr>
        <w:spacing w:after="0" w:line="83" w:lineRule="exact"/>
        <w:rPr>
          <w:sz w:val="20"/>
          <w:szCs w:val="20"/>
          <w:color w:val="auto"/>
        </w:rPr>
      </w:pPr>
    </w:p>
    <w:p>
      <w:pPr>
        <w:ind w:left="660" w:right="120" w:hanging="328"/>
        <w:spacing w:after="0" w:line="260" w:lineRule="auto"/>
        <w:tabs>
          <w:tab w:leader="none" w:pos="648"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$1.9 million increase in interest expense on short-term borrowings primarily due to higher short-term debt balances and weighted-average interest rates in 2022; and</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$1.2 million increase due to lower debt AFUDC primarily driven by higher short-term debt balances in 2022.</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Income Tax Expense</w:t>
      </w:r>
    </w:p>
    <w:p>
      <w:pPr>
        <w:spacing w:after="0" w:line="22" w:lineRule="exact"/>
        <w:rPr>
          <w:sz w:val="20"/>
          <w:szCs w:val="20"/>
          <w:color w:val="auto"/>
        </w:rPr>
      </w:pPr>
    </w:p>
    <w:p>
      <w:pPr>
        <w:ind w:right="500"/>
        <w:spacing w:after="0" w:line="244" w:lineRule="auto"/>
        <w:rPr>
          <w:sz w:val="20"/>
          <w:szCs w:val="20"/>
          <w:color w:val="auto"/>
        </w:rPr>
      </w:pPr>
      <w:r>
        <w:rPr>
          <w:rFonts w:ascii="Arial" w:cs="Arial" w:eastAsia="Arial" w:hAnsi="Arial"/>
          <w:sz w:val="20"/>
          <w:szCs w:val="20"/>
          <w:color w:val="auto"/>
        </w:rPr>
        <w:t>Evergy Kansas Central's income tax expense decreased $15.1 million year to date June 30, 2022, compared to the same period in 2021, primarily driven by:</w:t>
      </w:r>
    </w:p>
    <w:p>
      <w:pPr>
        <w:spacing w:after="0" w:line="83"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$24.2 million decrease due to lower pre-tax income in 2022; partially offset by</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$3.7 million increase due to lower amortization of flow-through items primarily driven by a decrease in pre-tax income in 2022;</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$3.0 million increase due to lower wind and other income tax credits in 2022;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$3.3 million increase due to lower expected COLI proceeds in 2022.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4" w:name="page65"/>
    <w:bookmarkEnd w:id="6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EVERGY METRO,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NARRATIVE ANALYSIS OF RESULTS OF OPERATIONS</w:t>
      </w:r>
    </w:p>
    <w:p>
      <w:pPr>
        <w:spacing w:after="0" w:line="222"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The below results of operations and related discussion for Evergy Metro is presented in a reduced disclosure format in accordance with General Instruction (H)(2)(a) to Form 10-Q.</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Metro's comparative results of operations.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2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3"/>
              </w:rPr>
              <w:t>Change</w:t>
            </w: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r>
      <w:tr>
        <w:trPr>
          <w:trHeight w:val="22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91"/>
              <w:spacing w:after="0"/>
              <w:rPr>
                <w:sz w:val="20"/>
                <w:szCs w:val="20"/>
                <w:color w:val="auto"/>
              </w:rPr>
            </w:pPr>
            <w:r>
              <w:rPr>
                <w:rFonts w:ascii="Arial" w:cs="Arial" w:eastAsia="Arial" w:hAnsi="Arial"/>
                <w:sz w:val="16"/>
                <w:szCs w:val="16"/>
                <w:color w:val="auto"/>
                <w:w w:val="99"/>
              </w:rPr>
              <w:t>(millions)</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2"/>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922.6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(32.3)</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291.4</w:t>
            </w:r>
          </w:p>
        </w:tc>
        <w:tc>
          <w:tcPr>
            <w:tcW w:w="2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(64.7)</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356.1</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164.8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167.4</w:t>
            </w:r>
          </w:p>
        </w:tc>
        <w:tc>
          <w:tcPr>
            <w:tcW w:w="26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156.8</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67.1</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23"/>
        </w:trPr>
        <w:tc>
          <w:tcPr>
            <w:tcW w:w="778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231.9</w:t>
            </w:r>
          </w:p>
        </w:tc>
        <w:tc>
          <w:tcPr>
            <w:tcW w:w="26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29.6</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202.3</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53.8</w:t>
            </w:r>
          </w:p>
        </w:tc>
        <w:tc>
          <w:tcPr>
            <w:tcW w:w="2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29"/>
        </w:trPr>
        <w:tc>
          <w:tcPr>
            <w:tcW w:w="7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22.0</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4.8</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7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143.0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21.4</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Utility Gross Margin and MWh Sales</w:t>
      </w:r>
    </w:p>
    <w:p>
      <w:pPr>
        <w:spacing w:after="0" w:line="22"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The following table summarizes Evergy Metro's utility gross margin and MWhs sold and provides a reconciliation of utility gross margin to income from operations.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6"/>
              </w:rPr>
              <w:t>Revenues and Expenses</w:t>
            </w:r>
          </w:p>
        </w:tc>
        <w:tc>
          <w:tcPr>
            <w:tcW w:w="7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2"/>
              </w:rPr>
              <w:t>MWhs Sold</w:t>
            </w:r>
          </w:p>
        </w:tc>
        <w:tc>
          <w:tcPr>
            <w:tcW w:w="960" w:type="dxa"/>
            <w:vAlign w:val="bottom"/>
            <w:tcBorders>
              <w:top w:val="single" w:sz="8" w:color="auto"/>
            </w:tcBorders>
          </w:tcPr>
          <w:p>
            <w:pPr>
              <w:spacing w:after="0"/>
              <w:rPr>
                <w:sz w:val="21"/>
                <w:szCs w:val="21"/>
                <w:color w:val="auto"/>
              </w:rPr>
            </w:pPr>
          </w:p>
        </w:tc>
      </w:tr>
      <w:tr>
        <w:trPr>
          <w:trHeight w:val="234"/>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90"/>
              </w:rPr>
              <w:t>Change</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2021</w:t>
            </w:r>
          </w:p>
        </w:tc>
        <w:tc>
          <w:tcPr>
            <w:tcW w:w="13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4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0"/>
              </w:rPr>
              <w:t>Change</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center"/>
              <w:ind w:right="171"/>
              <w:spacing w:after="0"/>
              <w:rPr>
                <w:sz w:val="20"/>
                <w:szCs w:val="20"/>
                <w:color w:val="auto"/>
              </w:rPr>
            </w:pPr>
            <w:r>
              <w:rPr>
                <w:rFonts w:ascii="Arial" w:cs="Arial" w:eastAsia="Arial" w:hAnsi="Arial"/>
                <w:sz w:val="16"/>
                <w:szCs w:val="16"/>
                <w:color w:val="auto"/>
                <w:w w:val="99"/>
              </w:rPr>
              <w:t>(millions)</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jc w:val="center"/>
              <w:ind w:right="71"/>
              <w:spacing w:after="0"/>
              <w:rPr>
                <w:sz w:val="20"/>
                <w:szCs w:val="20"/>
                <w:color w:val="auto"/>
              </w:rPr>
            </w:pPr>
            <w:r>
              <w:rPr>
                <w:rFonts w:ascii="Arial" w:cs="Arial" w:eastAsia="Arial" w:hAnsi="Arial"/>
                <w:sz w:val="16"/>
                <w:szCs w:val="16"/>
                <w:color w:val="auto"/>
                <w:w w:val="89"/>
              </w:rPr>
              <w:t>(thousands)</w:t>
            </w: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344.8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48.7</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2,704</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367.7</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47.1</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320.6</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3,609</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86</w:t>
            </w:r>
          </w:p>
        </w:tc>
        <w:tc>
          <w:tcPr>
            <w:tcW w:w="960" w:type="dxa"/>
            <w:vAlign w:val="bottom"/>
          </w:tcPr>
          <w:p>
            <w:pPr>
              <w:jc w:val="right"/>
              <w:spacing w:after="0"/>
              <w:rPr>
                <w:sz w:val="20"/>
                <w:szCs w:val="20"/>
                <w:color w:val="auto"/>
              </w:rPr>
            </w:pPr>
            <w:r>
              <w:rPr>
                <w:rFonts w:ascii="Arial" w:cs="Arial" w:eastAsia="Arial" w:hAnsi="Arial"/>
                <w:sz w:val="18"/>
                <w:szCs w:val="18"/>
                <w:color w:val="auto"/>
              </w:rPr>
              <w:t>3,523</w:t>
            </w: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62.2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6.2</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824</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35</w:t>
            </w:r>
          </w:p>
        </w:tc>
        <w:tc>
          <w:tcPr>
            <w:tcW w:w="1400" w:type="dxa"/>
            <w:vAlign w:val="bottom"/>
          </w:tcPr>
          <w:p>
            <w:pPr>
              <w:jc w:val="right"/>
              <w:ind w:right="211"/>
              <w:spacing w:after="0"/>
              <w:rPr>
                <w:sz w:val="20"/>
                <w:szCs w:val="20"/>
                <w:color w:val="auto"/>
              </w:rPr>
            </w:pPr>
            <w:r>
              <w:rPr>
                <w:rFonts w:ascii="Arial" w:cs="Arial" w:eastAsia="Arial" w:hAnsi="Arial"/>
                <w:sz w:val="18"/>
                <w:szCs w:val="18"/>
                <w:color w:val="auto"/>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39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780.3</w:t>
            </w: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102.7</w:t>
            </w:r>
          </w:p>
        </w:tc>
        <w:tc>
          <w:tcPr>
            <w:tcW w:w="3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2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7,172</w:t>
            </w:r>
          </w:p>
        </w:tc>
        <w:tc>
          <w:tcPr>
            <w:tcW w:w="140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166</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7,006</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(208.1)</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213.3</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3,046</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1,303</w:t>
            </w:r>
          </w:p>
        </w:tc>
        <w:tc>
          <w:tcPr>
            <w:tcW w:w="960" w:type="dxa"/>
            <w:vAlign w:val="bottom"/>
          </w:tcPr>
          <w:p>
            <w:pPr>
              <w:jc w:val="right"/>
              <w:spacing w:after="0"/>
              <w:rPr>
                <w:sz w:val="20"/>
                <w:szCs w:val="20"/>
                <w:color w:val="auto"/>
              </w:rPr>
            </w:pPr>
            <w:r>
              <w:rPr>
                <w:rFonts w:ascii="Arial" w:cs="Arial" w:eastAsia="Arial" w:hAnsi="Arial"/>
                <w:sz w:val="18"/>
                <w:szCs w:val="18"/>
                <w:color w:val="auto"/>
              </w:rPr>
              <w:t>1,743</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127.3</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71.8</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N/A</w:t>
            </w:r>
          </w:p>
        </w:tc>
        <w:tc>
          <w:tcPr>
            <w:tcW w:w="1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922.6</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(32.3)</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10,218</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1,469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8,749</w:t>
            </w:r>
          </w:p>
        </w:tc>
      </w:tr>
      <w:tr>
        <w:trPr>
          <w:trHeight w:val="23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(291.4)</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64.7</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23"/>
        </w:trPr>
        <w:tc>
          <w:tcPr>
            <w:tcW w:w="39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Utility gross margin </w:t>
            </w:r>
            <w:r>
              <w:rPr>
                <w:rFonts w:ascii="Arial" w:cs="Arial" w:eastAsia="Arial" w:hAnsi="Arial"/>
                <w:sz w:val="23"/>
                <w:szCs w:val="23"/>
                <w:b w:val="1"/>
                <w:bCs w:val="1"/>
                <w:color w:val="auto"/>
                <w:vertAlign w:val="superscript"/>
              </w:rPr>
              <w:t>(a)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631.2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32.4</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598.8</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(164.8)</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(175.1)</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(167.4)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(10.6)</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30"/>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231.9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29.6</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r>
    </w:tbl>
    <w:p>
      <w:pPr>
        <w:spacing w:after="0" w:line="71" w:lineRule="exact"/>
        <w:rPr>
          <w:sz w:val="20"/>
          <w:szCs w:val="20"/>
          <w:color w:val="auto"/>
        </w:rPr>
      </w:pPr>
    </w:p>
    <w:p>
      <w:pPr>
        <w:ind w:left="160" w:hanging="152"/>
        <w:spacing w:after="0"/>
        <w:tabs>
          <w:tab w:leader="none" w:pos="16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Utility gross margin is a non-GAAP financial measure. See explanation of utility gross margin under Evergy's Results of Operations.</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347" w:lineRule="exact"/>
        <w:rPr>
          <w:rFonts w:ascii="Arial" w:cs="Arial" w:eastAsia="Arial" w:hAnsi="Arial"/>
          <w:sz w:val="18"/>
          <w:szCs w:val="18"/>
          <w:color w:val="auto"/>
          <w:vertAlign w:val="superscript"/>
        </w:rPr>
      </w:pPr>
    </w:p>
    <w:p>
      <w:pPr>
        <w:ind w:left="5540"/>
        <w:spacing w:after="0"/>
        <w:rPr>
          <w:rFonts w:ascii="Arial" w:cs="Arial" w:eastAsia="Arial" w:hAnsi="Arial"/>
          <w:sz w:val="18"/>
          <w:szCs w:val="18"/>
          <w:color w:val="auto"/>
          <w:vertAlign w:val="superscript"/>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5" w:name="page66"/>
    <w:bookmarkEnd w:id="6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Evergy Metro's utility gross margin increased $32.4 million year to date June 30, 2022, compared to the same period in 2021, primarily driven by:</w:t>
      </w:r>
    </w:p>
    <w:p>
      <w:pPr>
        <w:spacing w:after="0" w:line="69" w:lineRule="exact"/>
        <w:rPr>
          <w:sz w:val="20"/>
          <w:szCs w:val="20"/>
          <w:color w:val="auto"/>
        </w:rPr>
      </w:pPr>
    </w:p>
    <w:p>
      <w:pPr>
        <w:ind w:left="660" w:right="540" w:hanging="328"/>
        <w:spacing w:after="0" w:line="260" w:lineRule="auto"/>
        <w:tabs>
          <w:tab w:leader="none" w:pos="648"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$17.0 million increase due to higher retail sales driven by higher weather-normalized demand and favorable weather (cooling degree days increased by 5% and heating degree days increased by 3%);</w:t>
      </w:r>
    </w:p>
    <w:p>
      <w:pPr>
        <w:spacing w:after="0" w:line="68"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 $11.4 million increase due to impacts from the February 2021 winter weather event driven by jurisdictional allocation differences currently present between Evergy Metro's fuel recovery mechanisms in Missouri and Kansas regarding its refund to customers for the net increase in wholesale revenues in February 2021; and</w:t>
      </w:r>
    </w:p>
    <w:p>
      <w:pPr>
        <w:spacing w:after="0" w:line="77" w:lineRule="exact"/>
        <w:rPr>
          <w:rFonts w:ascii="Arial" w:cs="Arial" w:eastAsia="Arial" w:hAnsi="Arial"/>
          <w:sz w:val="20"/>
          <w:szCs w:val="20"/>
          <w:color w:val="auto"/>
        </w:rPr>
      </w:pPr>
    </w:p>
    <w:p>
      <w:pPr>
        <w:ind w:left="660" w:right="80" w:hanging="328"/>
        <w:spacing w:after="0" w:line="260" w:lineRule="auto"/>
        <w:tabs>
          <w:tab w:leader="none" w:pos="648"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$4.0 million increase related to Evergy Metro's TDC rider in 2022, which included higher revenues driven by updated transmission costs as reflected in Evergy Metro's TFR with the new prices effective in May 2022.</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Operating and Maintenance</w:t>
      </w:r>
    </w:p>
    <w:p>
      <w:pPr>
        <w:spacing w:after="0" w:line="22" w:lineRule="exact"/>
        <w:rPr>
          <w:sz w:val="20"/>
          <w:szCs w:val="20"/>
          <w:color w:val="auto"/>
        </w:rPr>
      </w:pPr>
    </w:p>
    <w:p>
      <w:pPr>
        <w:ind w:right="500"/>
        <w:spacing w:after="0" w:line="244" w:lineRule="auto"/>
        <w:rPr>
          <w:sz w:val="20"/>
          <w:szCs w:val="20"/>
          <w:color w:val="auto"/>
        </w:rPr>
      </w:pPr>
      <w:r>
        <w:rPr>
          <w:rFonts w:ascii="Arial" w:cs="Arial" w:eastAsia="Arial" w:hAnsi="Arial"/>
          <w:sz w:val="20"/>
          <w:szCs w:val="20"/>
          <w:color w:val="auto"/>
        </w:rPr>
        <w:t>Evergy Metro's operating and maintenance expense decreased $10.3 million year to date June 30, 2022, compared to the same period in 2021, primarily driven by:</w:t>
      </w:r>
    </w:p>
    <w:p>
      <w:pPr>
        <w:spacing w:after="0" w:line="83" w:lineRule="exact"/>
        <w:rPr>
          <w:sz w:val="20"/>
          <w:szCs w:val="20"/>
          <w:color w:val="auto"/>
        </w:rPr>
      </w:pPr>
    </w:p>
    <w:p>
      <w:pPr>
        <w:ind w:left="660" w:right="520" w:hanging="328"/>
        <w:spacing w:after="0" w:line="260"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$6.5 million decrease due to higher costs billed for common use assets in 2022, primarily to Evergy Kansas Central related to facilities and software assets;</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$6.5 million decrease in certain labor and employee benefits expenses;</w:t>
      </w:r>
    </w:p>
    <w:p>
      <w:pPr>
        <w:spacing w:after="0" w:line="107" w:lineRule="exact"/>
        <w:rPr>
          <w:rFonts w:ascii="Arial" w:cs="Arial" w:eastAsia="Arial" w:hAnsi="Arial"/>
          <w:sz w:val="20"/>
          <w:szCs w:val="20"/>
          <w:color w:val="auto"/>
        </w:rPr>
      </w:pPr>
    </w:p>
    <w:p>
      <w:pPr>
        <w:ind w:left="660" w:right="40" w:hanging="328"/>
        <w:spacing w:after="0" w:line="260"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$2.4 million of costs recorded in 2021 associated with executive transition, including inducement bonuses, severance agreements and other transition expenses; and</w:t>
      </w:r>
    </w:p>
    <w:p>
      <w:pPr>
        <w:spacing w:after="0" w:line="68" w:lineRule="exact"/>
        <w:rPr>
          <w:rFonts w:ascii="Arial" w:cs="Arial" w:eastAsia="Arial" w:hAnsi="Arial"/>
          <w:sz w:val="20"/>
          <w:szCs w:val="20"/>
          <w:color w:val="auto"/>
        </w:rPr>
      </w:pPr>
    </w:p>
    <w:p>
      <w:pPr>
        <w:ind w:left="660" w:right="680" w:hanging="328"/>
        <w:spacing w:after="0" w:line="260"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$2.4 million decrease in various administrative and general operating and maintenance expenses, including outside services expense and injuries and damages; partially offset by</w:t>
      </w:r>
    </w:p>
    <w:p>
      <w:pPr>
        <w:spacing w:after="0" w:line="68" w:lineRule="exact"/>
        <w:rPr>
          <w:rFonts w:ascii="Arial" w:cs="Arial" w:eastAsia="Arial" w:hAnsi="Arial"/>
          <w:sz w:val="20"/>
          <w:szCs w:val="20"/>
          <w:color w:val="auto"/>
        </w:rPr>
      </w:pPr>
    </w:p>
    <w:p>
      <w:pPr>
        <w:ind w:left="660" w:right="560" w:hanging="328"/>
        <w:spacing w:after="0" w:line="260"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$5.4 million increase in plant operating and maintenance expense at fossil-fuel generating units driven by major maintenance outages at Iatan Station Unit 1 and LaCygne Unit 2 in 2022; and</w:t>
      </w:r>
    </w:p>
    <w:p>
      <w:pPr>
        <w:spacing w:after="0" w:line="68" w:lineRule="exact"/>
        <w:rPr>
          <w:rFonts w:ascii="Arial" w:cs="Arial" w:eastAsia="Arial" w:hAnsi="Arial"/>
          <w:sz w:val="20"/>
          <w:szCs w:val="20"/>
          <w:color w:val="auto"/>
        </w:rPr>
      </w:pPr>
    </w:p>
    <w:p>
      <w:pPr>
        <w:ind w:left="660" w:right="780" w:hanging="328"/>
        <w:spacing w:after="0" w:line="260"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$4.1 million increase in various transmission and distribution operating and maintenance expenses primarily due to higher contractor costs and a $1.6 million increase in vegetation management costs in 2022.</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Depreciation Expense</w:t>
      </w:r>
    </w:p>
    <w:p>
      <w:pPr>
        <w:spacing w:after="0" w:line="22" w:lineRule="exact"/>
        <w:rPr>
          <w:sz w:val="20"/>
          <w:szCs w:val="20"/>
          <w:color w:val="auto"/>
        </w:rPr>
      </w:pPr>
    </w:p>
    <w:p>
      <w:pPr>
        <w:ind w:right="300"/>
        <w:spacing w:after="0" w:line="244" w:lineRule="auto"/>
        <w:rPr>
          <w:sz w:val="20"/>
          <w:szCs w:val="20"/>
          <w:color w:val="auto"/>
        </w:rPr>
      </w:pPr>
      <w:r>
        <w:rPr>
          <w:rFonts w:ascii="Arial" w:cs="Arial" w:eastAsia="Arial" w:hAnsi="Arial"/>
          <w:sz w:val="20"/>
          <w:szCs w:val="20"/>
          <w:color w:val="auto"/>
        </w:rPr>
        <w:t>Evergy Metro's depreciation and amortization expense increased $10.6 million year to date June 30, 2022, compared to the same period in 2021, primarily driven by higher capital additions in 2022.</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Taxes Other Than Income Tax</w:t>
      </w:r>
    </w:p>
    <w:p>
      <w:pPr>
        <w:spacing w:after="0" w:line="22" w:lineRule="exact"/>
        <w:rPr>
          <w:sz w:val="20"/>
          <w:szCs w:val="20"/>
          <w:color w:val="auto"/>
        </w:rPr>
      </w:pPr>
    </w:p>
    <w:p>
      <w:pPr>
        <w:ind w:right="220"/>
        <w:spacing w:after="0" w:line="269" w:lineRule="auto"/>
        <w:rPr>
          <w:sz w:val="20"/>
          <w:szCs w:val="20"/>
          <w:color w:val="auto"/>
        </w:rPr>
      </w:pPr>
      <w:r>
        <w:rPr>
          <w:rFonts w:ascii="Arial" w:cs="Arial" w:eastAsia="Arial" w:hAnsi="Arial"/>
          <w:sz w:val="19"/>
          <w:szCs w:val="19"/>
          <w:color w:val="auto"/>
        </w:rPr>
        <w:t>Evergy Metro's taxes other than income tax increased $2.5 million year to date June 30, 2022, compared to the same period in 2021, driven by an increase in property taxes in Missouri and Kansas primarily due to higher assessed property tax values.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Other Expense, Net</w:t>
      </w:r>
    </w:p>
    <w:p>
      <w:pPr>
        <w:spacing w:after="0" w:line="22"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Evergy Metro's other expense, net increased $5.0 million year to date June 30, 2022, compared to the same period in 2021, primarily driven by:</w:t>
      </w:r>
    </w:p>
    <w:p>
      <w:pPr>
        <w:spacing w:after="0" w:line="83"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 $5.6 million increase due to higher pension non-service costs;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$1.2 million of other income recorded in 2021 related to contract termination fees; partially offset by</w:t>
      </w:r>
    </w:p>
    <w:p>
      <w:pPr>
        <w:spacing w:after="0" w:line="107" w:lineRule="exact"/>
        <w:rPr>
          <w:rFonts w:ascii="Arial" w:cs="Arial" w:eastAsia="Arial" w:hAnsi="Arial"/>
          <w:sz w:val="20"/>
          <w:szCs w:val="20"/>
          <w:color w:val="auto"/>
        </w:rPr>
      </w:pPr>
    </w:p>
    <w:p>
      <w:pPr>
        <w:ind w:left="660" w:right="480" w:hanging="328"/>
        <w:spacing w:after="0" w:line="260"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20"/>
          <w:szCs w:val="20"/>
          <w:color w:val="auto"/>
        </w:rPr>
        <w:t>a $1.5 million decrease due to higher equity AFUDC primarily driven by lower short-term debt and higher construction work in progress balances in 2022.</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Income Tax Expense</w:t>
      </w:r>
    </w:p>
    <w:p>
      <w:pPr>
        <w:spacing w:after="0" w:line="22"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Evergy Metro's income tax expense increased $4.8 million year to date June 30, 2022, compared to the same period in 2021, primarily driven by higher pre-tax income in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22" w:lineRule="exact"/>
        <w:rPr>
          <w:sz w:val="20"/>
          <w:szCs w:val="20"/>
          <w:color w:val="auto"/>
        </w:rPr>
      </w:pPr>
    </w:p>
    <w:p>
      <w:pPr>
        <w:ind w:right="320"/>
        <w:spacing w:after="0" w:line="250" w:lineRule="auto"/>
        <w:rPr>
          <w:sz w:val="20"/>
          <w:szCs w:val="20"/>
          <w:color w:val="auto"/>
        </w:rPr>
      </w:pPr>
      <w:r>
        <w:rPr>
          <w:rFonts w:ascii="Arial" w:cs="Arial" w:eastAsia="Arial" w:hAnsi="Arial"/>
          <w:sz w:val="20"/>
          <w:szCs w:val="20"/>
          <w:color w:val="auto"/>
        </w:rPr>
        <w:t>In the ordinary course of business, Evergy faces risks that are either non-financial or non-quantifiable. Such risks principally include business, legal, operational and credit risks and are discussed elsewhere in this report as well as in the Evergy Companies' combined 2021 Form 10-K and therefore are not represented here.</w:t>
      </w:r>
    </w:p>
    <w:p>
      <w:pPr>
        <w:spacing w:after="0" w:line="186" w:lineRule="exact"/>
        <w:rPr>
          <w:sz w:val="20"/>
          <w:szCs w:val="20"/>
          <w:color w:val="auto"/>
        </w:rPr>
      </w:pPr>
    </w:p>
    <w:p>
      <w:pPr>
        <w:ind w:right="180"/>
        <w:spacing w:after="0" w:line="263" w:lineRule="auto"/>
        <w:rPr>
          <w:sz w:val="20"/>
          <w:szCs w:val="20"/>
          <w:color w:val="auto"/>
        </w:rPr>
      </w:pPr>
      <w:r>
        <w:rPr>
          <w:rFonts w:ascii="Arial" w:cs="Arial" w:eastAsia="Arial" w:hAnsi="Arial"/>
          <w:sz w:val="19"/>
          <w:szCs w:val="19"/>
          <w:color w:val="auto"/>
        </w:rPr>
        <w:t>Evergy's interim period disclosures about market risk included in quarterly reports on Form 10-Q address material changes, if any, from the most recently filed annual report on Form 10-K. Therefore, these interim period disclosures should be read in conjunction with Part II, Item 7A, Quantitative and Qualitative Disclosures About Market Risk included in the Evergy Companies' combined 2021 Form 10-K. Evergy's exposure to market risk has not changed materially since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80"/>
        <w:spacing w:after="0"/>
        <w:rPr>
          <w:sz w:val="20"/>
          <w:szCs w:val="20"/>
          <w:color w:val="auto"/>
        </w:rPr>
      </w:pPr>
      <w:r>
        <w:rPr>
          <w:rFonts w:ascii="Arial" w:cs="Arial" w:eastAsia="Arial" w:hAnsi="Arial"/>
          <w:sz w:val="20"/>
          <w:szCs w:val="20"/>
          <w:color w:val="auto"/>
        </w:rPr>
        <w:t>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There has been no change in Evergy’s internal control over financial reporting (as defined in Rules 13a-15(f) and 15d-15(f) of the Exchange Act) that occurred during the quarterly period ended June 30, 2022, that has materially affected, or is reasonably likely to materially affect, its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40"/>
        <w:spacing w:after="0"/>
        <w:rPr>
          <w:sz w:val="20"/>
          <w:szCs w:val="20"/>
          <w:color w:val="auto"/>
        </w:rPr>
      </w:pPr>
      <w:r>
        <w:rPr>
          <w:rFonts w:ascii="Arial" w:cs="Arial" w:eastAsia="Arial" w:hAnsi="Arial"/>
          <w:sz w:val="20"/>
          <w:szCs w:val="20"/>
          <w:color w:val="auto"/>
        </w:rPr>
        <w:t>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There has been no change in Evergy Kansas Central’s internal control over financial reporting (as defined in Rules 13a-15(f) and 15d-15(f) of the Exchange Act) that occurred during the quarterly period ended June 30, 2022, that has materially affected, or is reasonably likely to materially affect, its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140"/>
        <w:spacing w:after="0" w:line="256" w:lineRule="auto"/>
        <w:rPr>
          <w:sz w:val="20"/>
          <w:szCs w:val="20"/>
          <w:color w:val="auto"/>
        </w:rPr>
      </w:pPr>
      <w:r>
        <w:rPr>
          <w:rFonts w:ascii="Arial" w:cs="Arial" w:eastAsia="Arial" w:hAnsi="Arial"/>
          <w:sz w:val="19"/>
          <w:szCs w:val="19"/>
          <w:color w:val="auto"/>
        </w:rPr>
        <w:t>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ind w:right="420"/>
        <w:spacing w:after="0" w:line="231" w:lineRule="auto"/>
        <w:rPr>
          <w:sz w:val="20"/>
          <w:szCs w:val="20"/>
          <w:color w:val="auto"/>
        </w:rPr>
      </w:pPr>
      <w:r>
        <w:rPr>
          <w:rFonts w:ascii="Arial" w:cs="Arial" w:eastAsia="Arial" w:hAnsi="Arial"/>
          <w:sz w:val="20"/>
          <w:szCs w:val="20"/>
          <w:color w:val="auto"/>
        </w:rPr>
        <w:t>There has been no change in Evergy Metro’s internal control over financial reporting (as defined in Rules 13a-15(f) and 15d-15(f) of the Exchange Act) that occurred during the quarterly period ended June 30, 2022, that has materially affected, or is reasonably likely to materially affect, its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Proceedings</w:t>
      </w:r>
    </w:p>
    <w:p>
      <w:pPr>
        <w:spacing w:after="0" w:line="22" w:lineRule="exact"/>
        <w:rPr>
          <w:sz w:val="20"/>
          <w:szCs w:val="20"/>
          <w:color w:val="auto"/>
        </w:rPr>
      </w:pPr>
    </w:p>
    <w:p>
      <w:pPr>
        <w:jc w:val="both"/>
        <w:ind w:right="180"/>
        <w:spacing w:after="0" w:line="241" w:lineRule="auto"/>
        <w:rPr>
          <w:rFonts w:ascii="Arial" w:cs="Arial" w:eastAsia="Arial" w:hAnsi="Arial"/>
          <w:sz w:val="20"/>
          <w:szCs w:val="20"/>
          <w:color w:val="auto"/>
        </w:rPr>
      </w:pPr>
      <w:r>
        <w:rPr>
          <w:rFonts w:ascii="Arial" w:cs="Arial" w:eastAsia="Arial" w:hAnsi="Arial"/>
          <w:sz w:val="20"/>
          <w:szCs w:val="20"/>
          <w:color w:val="auto"/>
        </w:rPr>
        <w:t xml:space="preserve">The Evergy Companies are parties to various lawsuits and regulatory proceedings in the ordinary course of their respective businesses. For information regarding material lawsuits and proceedings, see Notes </w:t>
      </w:r>
      <w:hyperlink w:anchor="page32">
        <w:r>
          <w:rPr>
            <w:rFonts w:ascii="Arial" w:cs="Arial" w:eastAsia="Arial" w:hAnsi="Arial"/>
            <w:sz w:val="20"/>
            <w:szCs w:val="20"/>
            <w:color w:val="auto"/>
          </w:rPr>
          <w:t xml:space="preserve">4 </w:t>
        </w:r>
      </w:hyperlink>
      <w:r>
        <w:rPr>
          <w:rFonts w:ascii="Arial" w:cs="Arial" w:eastAsia="Arial" w:hAnsi="Arial"/>
          <w:sz w:val="20"/>
          <w:szCs w:val="20"/>
          <w:color w:val="auto"/>
        </w:rPr>
        <w:t>and 10 to the consolidated financial statements. Such information is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22"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Actual results in future periods for the Evergy Companies could differ materially from historical results and the forward-looking statements contained in this report. The business of the Evergy Companies is influenced by many factors that are difficult to predict, involve uncertainties that may materially affect actual results and are often beyond their control. Additional risks and uncertainties not presently known or that management currently believes to be immaterial may also adversely affect the Evergy Companies. Factors that might cause or contribute to such differences include, but are not limited to, those discussed in Part I, Item 1A, Risk Factors included in the 2021 Form 10-K for each of Evergy, Evergy Kansas Central and Evergy Metro, as well as Quarterly Reports on Form 10-Q and from time to time in Current Reports on Form 8-K filed by Evergy, Evergy Kansas Central and Evergy Metro. There have been no material changes with regards to those risk factors since the filing of the 2021 Form 10-K for each of Evergy, Evergy Kansas Central and Evergy Metro. This information, as well as the other information included in this report and in the other documents filed with the SEC, should be carefully considered before making an investment in the securities of the Evergy Companies. Risk factors of Evergy Kansas Central and Evergy Metro are also risk factors of Evergy.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w:t>
      </w:r>
    </w:p>
    <w:p>
      <w:pPr>
        <w:spacing w:after="0" w:line="22"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The following table provides information regarding purchases by Evergy of its equity securities that are registered pursuant to Section 12 of the Exchange Act during the 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08914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80" w:type="dxa"/>
            <w:vAlign w:val="bottom"/>
            <w:tcBorders>
              <w:top w:val="single" w:sz="8" w:color="auto"/>
            </w:tcBorders>
          </w:tcPr>
          <w:p>
            <w:pPr>
              <w:spacing w:after="0"/>
              <w:rPr>
                <w:sz w:val="14"/>
                <w:szCs w:val="14"/>
                <w:color w:val="auto"/>
              </w:rPr>
            </w:pPr>
          </w:p>
        </w:tc>
        <w:tc>
          <w:tcPr>
            <w:tcW w:w="2920" w:type="dxa"/>
            <w:vAlign w:val="bottom"/>
            <w:tcBorders>
              <w:top w:val="single" w:sz="8" w:color="auto"/>
            </w:tcBorders>
          </w:tcPr>
          <w:p>
            <w:pPr>
              <w:spacing w:after="0"/>
              <w:rPr>
                <w:sz w:val="14"/>
                <w:szCs w:val="14"/>
                <w:color w:val="auto"/>
              </w:rPr>
            </w:pPr>
          </w:p>
        </w:tc>
        <w:tc>
          <w:tcPr>
            <w:tcW w:w="220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1"/>
              </w:rPr>
              <w:t>Total Number of</w:t>
            </w:r>
          </w:p>
        </w:tc>
        <w:tc>
          <w:tcPr>
            <w:tcW w:w="22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0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9"/>
              </w:rPr>
              <w:t>Shares (or Units)</w:t>
            </w: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2920" w:type="dxa"/>
            <w:vAlign w:val="bottom"/>
            <w:vMerge w:val="restart"/>
          </w:tcPr>
          <w:p>
            <w:pPr>
              <w:jc w:val="center"/>
              <w:ind w:left="110"/>
              <w:spacing w:after="0"/>
              <w:rPr>
                <w:sz w:val="20"/>
                <w:szCs w:val="20"/>
                <w:color w:val="auto"/>
              </w:rPr>
            </w:pPr>
            <w:r>
              <w:rPr>
                <w:rFonts w:ascii="Arial" w:cs="Arial" w:eastAsia="Arial" w:hAnsi="Arial"/>
                <w:sz w:val="18"/>
                <w:szCs w:val="18"/>
                <w:b w:val="1"/>
                <w:bCs w:val="1"/>
                <w:color w:val="auto"/>
                <w:w w:val="92"/>
              </w:rPr>
              <w:t>Total Number of</w:t>
            </w:r>
          </w:p>
        </w:tc>
        <w:tc>
          <w:tcPr>
            <w:tcW w:w="2200" w:type="dxa"/>
            <w:vAlign w:val="bottom"/>
            <w:vMerge w:val="restart"/>
          </w:tcPr>
          <w:p>
            <w:pPr>
              <w:jc w:val="center"/>
              <w:ind w:right="410"/>
              <w:spacing w:after="0"/>
              <w:rPr>
                <w:sz w:val="20"/>
                <w:szCs w:val="20"/>
                <w:color w:val="auto"/>
              </w:rPr>
            </w:pPr>
            <w:r>
              <w:rPr>
                <w:rFonts w:ascii="Arial" w:cs="Arial" w:eastAsia="Arial" w:hAnsi="Arial"/>
                <w:sz w:val="18"/>
                <w:szCs w:val="18"/>
                <w:b w:val="1"/>
                <w:bCs w:val="1"/>
                <w:color w:val="auto"/>
                <w:w w:val="88"/>
              </w:rPr>
              <w:t>Average Price</w:t>
            </w:r>
          </w:p>
        </w:tc>
        <w:tc>
          <w:tcPr>
            <w:tcW w:w="20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7"/>
              </w:rPr>
              <w:t>Purchased as</w:t>
            </w: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Shares (or Units)</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2920" w:type="dxa"/>
            <w:vAlign w:val="bottom"/>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20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3"/>
              </w:rPr>
              <w:t>Part of Publicly</w:t>
            </w: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that May Yet Be</w:t>
            </w:r>
          </w:p>
        </w:tc>
        <w:tc>
          <w:tcPr>
            <w:tcW w:w="0" w:type="dxa"/>
            <w:vAlign w:val="bottom"/>
          </w:tcPr>
          <w:p>
            <w:pPr>
              <w:spacing w:after="0"/>
              <w:rPr>
                <w:sz w:val="1"/>
                <w:szCs w:val="1"/>
                <w:color w:val="auto"/>
              </w:rPr>
            </w:pPr>
          </w:p>
        </w:tc>
      </w:tr>
      <w:tr>
        <w:trPr>
          <w:trHeight w:val="176"/>
        </w:trPr>
        <w:tc>
          <w:tcPr>
            <w:tcW w:w="1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Month</w:t>
            </w:r>
          </w:p>
        </w:tc>
        <w:tc>
          <w:tcPr>
            <w:tcW w:w="2920" w:type="dxa"/>
            <w:vAlign w:val="bottom"/>
          </w:tcPr>
          <w:p>
            <w:pPr>
              <w:jc w:val="center"/>
              <w:ind w:left="110"/>
              <w:spacing w:after="0" w:line="176" w:lineRule="exact"/>
              <w:rPr>
                <w:sz w:val="20"/>
                <w:szCs w:val="20"/>
                <w:color w:val="auto"/>
              </w:rPr>
            </w:pPr>
            <w:r>
              <w:rPr>
                <w:rFonts w:ascii="Arial" w:cs="Arial" w:eastAsia="Arial" w:hAnsi="Arial"/>
                <w:sz w:val="18"/>
                <w:szCs w:val="18"/>
                <w:b w:val="1"/>
                <w:bCs w:val="1"/>
                <w:color w:val="auto"/>
                <w:w w:val="90"/>
              </w:rPr>
              <w:t>Shares (or Units)</w:t>
            </w:r>
          </w:p>
        </w:tc>
        <w:tc>
          <w:tcPr>
            <w:tcW w:w="2200" w:type="dxa"/>
            <w:vAlign w:val="bottom"/>
          </w:tcPr>
          <w:p>
            <w:pPr>
              <w:jc w:val="center"/>
              <w:ind w:right="350"/>
              <w:spacing w:after="0" w:line="176" w:lineRule="exact"/>
              <w:rPr>
                <w:sz w:val="20"/>
                <w:szCs w:val="20"/>
                <w:color w:val="auto"/>
              </w:rPr>
            </w:pPr>
            <w:r>
              <w:rPr>
                <w:rFonts w:ascii="Arial" w:cs="Arial" w:eastAsia="Arial" w:hAnsi="Arial"/>
                <w:sz w:val="18"/>
                <w:szCs w:val="18"/>
                <w:b w:val="1"/>
                <w:bCs w:val="1"/>
                <w:color w:val="auto"/>
                <w:w w:val="91"/>
              </w:rPr>
              <w:t>Paid per Share</w:t>
            </w:r>
          </w:p>
        </w:tc>
        <w:tc>
          <w:tcPr>
            <w:tcW w:w="20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8"/>
              </w:rPr>
              <w:t>Announced Plans</w:t>
            </w: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Under the Plans</w:t>
            </w:r>
          </w:p>
        </w:tc>
        <w:tc>
          <w:tcPr>
            <w:tcW w:w="0" w:type="dxa"/>
            <w:vAlign w:val="bottom"/>
          </w:tcPr>
          <w:p>
            <w:pPr>
              <w:spacing w:after="0"/>
              <w:rPr>
                <w:sz w:val="1"/>
                <w:szCs w:val="1"/>
                <w:color w:val="auto"/>
              </w:rPr>
            </w:pPr>
          </w:p>
        </w:tc>
      </w:tr>
      <w:tr>
        <w:trPr>
          <w:trHeight w:val="229"/>
        </w:trPr>
        <w:tc>
          <w:tcPr>
            <w:tcW w:w="1780" w:type="dxa"/>
            <w:vAlign w:val="bottom"/>
            <w:tcBorders>
              <w:bottom w:val="single" w:sz="8" w:color="auto"/>
            </w:tcBorders>
            <w:vMerge w:val="continue"/>
          </w:tcPr>
          <w:p>
            <w:pPr>
              <w:spacing w:after="0"/>
              <w:rPr>
                <w:sz w:val="19"/>
                <w:szCs w:val="19"/>
                <w:color w:val="auto"/>
              </w:rPr>
            </w:pPr>
          </w:p>
        </w:tc>
        <w:tc>
          <w:tcPr>
            <w:tcW w:w="2920" w:type="dxa"/>
            <w:vAlign w:val="bottom"/>
            <w:tcBorders>
              <w:bottom w:val="single" w:sz="8" w:color="auto"/>
            </w:tcBorders>
          </w:tcPr>
          <w:p>
            <w:pPr>
              <w:jc w:val="center"/>
              <w:ind w:left="130"/>
              <w:spacing w:after="0" w:line="230" w:lineRule="exact"/>
              <w:rPr>
                <w:sz w:val="20"/>
                <w:szCs w:val="20"/>
                <w:color w:val="auto"/>
              </w:rPr>
            </w:pPr>
            <w:r>
              <w:rPr>
                <w:rFonts w:ascii="Arial" w:cs="Arial" w:eastAsia="Arial" w:hAnsi="Arial"/>
                <w:sz w:val="18"/>
                <w:szCs w:val="18"/>
                <w:b w:val="1"/>
                <w:bCs w:val="1"/>
                <w:color w:val="auto"/>
                <w:w w:val="84"/>
              </w:rPr>
              <w:t>Purchased</w:t>
            </w:r>
            <w:r>
              <w:rPr>
                <w:rFonts w:ascii="Arial" w:cs="Arial" w:eastAsia="Arial" w:hAnsi="Arial"/>
                <w:sz w:val="23"/>
                <w:szCs w:val="23"/>
                <w:b w:val="1"/>
                <w:bCs w:val="1"/>
                <w:color w:val="auto"/>
                <w:w w:val="84"/>
                <w:vertAlign w:val="superscript"/>
              </w:rPr>
              <w:t>(a)</w:t>
            </w:r>
          </w:p>
        </w:tc>
        <w:tc>
          <w:tcPr>
            <w:tcW w:w="220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7"/>
              </w:rPr>
              <w:t>(or Unit)</w:t>
            </w:r>
          </w:p>
        </w:tc>
        <w:tc>
          <w:tcPr>
            <w:tcW w:w="2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or Programs</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0" w:type="dxa"/>
            <w:vAlign w:val="bottom"/>
          </w:tcPr>
          <w:p>
            <w:pPr>
              <w:spacing w:after="0"/>
              <w:rPr>
                <w:sz w:val="1"/>
                <w:szCs w:val="1"/>
                <w:color w:val="auto"/>
              </w:rPr>
            </w:pPr>
          </w:p>
        </w:tc>
      </w:tr>
      <w:tr>
        <w:trPr>
          <w:trHeight w:val="223"/>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1 - 30</w:t>
            </w:r>
          </w:p>
        </w:tc>
        <w:tc>
          <w:tcPr>
            <w:tcW w:w="2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51</w:t>
            </w:r>
          </w:p>
        </w:tc>
        <w:tc>
          <w:tcPr>
            <w:tcW w:w="2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$69.06</w:t>
            </w:r>
          </w:p>
        </w:tc>
        <w:tc>
          <w:tcPr>
            <w:tcW w:w="20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Arial" w:cs="Arial" w:eastAsia="Arial" w:hAnsi="Arial"/>
                <w:sz w:val="18"/>
                <w:szCs w:val="18"/>
                <w:color w:val="auto"/>
              </w:rPr>
              <w:t>May 1 - 31</w:t>
            </w:r>
          </w:p>
        </w:tc>
        <w:tc>
          <w:tcPr>
            <w:tcW w:w="2920" w:type="dxa"/>
            <w:vAlign w:val="bottom"/>
          </w:tcPr>
          <w:p>
            <w:pPr>
              <w:jc w:val="right"/>
              <w:ind w:right="210"/>
              <w:spacing w:after="0"/>
              <w:rPr>
                <w:sz w:val="20"/>
                <w:szCs w:val="20"/>
                <w:color w:val="auto"/>
              </w:rPr>
            </w:pPr>
            <w:r>
              <w:rPr>
                <w:rFonts w:ascii="Arial" w:cs="Arial" w:eastAsia="Arial" w:hAnsi="Arial"/>
                <w:sz w:val="18"/>
                <w:szCs w:val="18"/>
                <w:color w:val="auto"/>
              </w:rPr>
              <w:t>135</w:t>
            </w:r>
          </w:p>
        </w:tc>
        <w:tc>
          <w:tcPr>
            <w:tcW w:w="2200" w:type="dxa"/>
            <w:vAlign w:val="bottom"/>
          </w:tcPr>
          <w:p>
            <w:pPr>
              <w:jc w:val="right"/>
              <w:ind w:right="130"/>
              <w:spacing w:after="0"/>
              <w:rPr>
                <w:sz w:val="20"/>
                <w:szCs w:val="20"/>
                <w:color w:val="auto"/>
              </w:rPr>
            </w:pPr>
            <w:r>
              <w:rPr>
                <w:rFonts w:ascii="Arial" w:cs="Arial" w:eastAsia="Arial" w:hAnsi="Arial"/>
                <w:sz w:val="18"/>
                <w:szCs w:val="18"/>
                <w:color w:val="auto"/>
              </w:rPr>
              <w:t>68.10</w:t>
            </w:r>
          </w:p>
        </w:tc>
        <w:tc>
          <w:tcPr>
            <w:tcW w:w="2040" w:type="dxa"/>
            <w:vAlign w:val="bottom"/>
          </w:tcPr>
          <w:p>
            <w:pPr>
              <w:ind w:left="1780"/>
              <w:spacing w:after="0"/>
              <w:rPr>
                <w:sz w:val="20"/>
                <w:szCs w:val="20"/>
                <w:color w:val="auto"/>
              </w:rPr>
            </w:pPr>
            <w:r>
              <w:rPr>
                <w:rFonts w:ascii="Arial" w:cs="Arial" w:eastAsia="Arial" w:hAnsi="Arial"/>
                <w:sz w:val="18"/>
                <w:szCs w:val="18"/>
                <w:color w:val="auto"/>
              </w:rPr>
              <w:t>—</w:t>
            </w:r>
          </w:p>
        </w:tc>
        <w:tc>
          <w:tcPr>
            <w:tcW w:w="2240" w:type="dxa"/>
            <w:vAlign w:val="bottom"/>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1 - 30</w:t>
            </w:r>
          </w:p>
        </w:tc>
        <w:tc>
          <w:tcPr>
            <w:tcW w:w="29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1,149</w:t>
            </w:r>
          </w:p>
        </w:tc>
        <w:tc>
          <w:tcPr>
            <w:tcW w:w="2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70.01</w:t>
            </w:r>
          </w:p>
        </w:tc>
        <w:tc>
          <w:tcPr>
            <w:tcW w:w="2040" w:type="dxa"/>
            <w:vAlign w:val="bottom"/>
            <w:tcBorders>
              <w:bottom w:val="single" w:sz="8" w:color="auto"/>
            </w:tcBorders>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w:t>
            </w:r>
          </w:p>
        </w:tc>
        <w:tc>
          <w:tcPr>
            <w:tcW w:w="2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1,335</w:t>
            </w:r>
          </w:p>
        </w:tc>
        <w:tc>
          <w:tcPr>
            <w:tcW w:w="2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$69.78</w:t>
            </w:r>
          </w:p>
        </w:tc>
        <w:tc>
          <w:tcPr>
            <w:tcW w:w="204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60" w:hanging="152"/>
        <w:spacing w:after="0"/>
        <w:tabs>
          <w:tab w:leader="none" w:pos="16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Represents shares Evergy purchased for withholding taxes related to the vesting of restricted stock units.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Available Information</w:t>
      </w:r>
    </w:p>
    <w:p>
      <w:pPr>
        <w:spacing w:after="0" w:line="16"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66"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4"/>
          </w:tcPr>
          <w:p>
            <w:pPr>
              <w:spacing w:after="0"/>
              <w:rPr>
                <w:rFonts w:ascii="Arial" w:cs="Arial" w:eastAsia="Arial" w:hAnsi="Arial"/>
                <w:sz w:val="20"/>
                <w:szCs w:val="20"/>
                <w:color w:val="0000FF"/>
                <w:w w:val="88"/>
              </w:rPr>
            </w:pPr>
            <w:hyperlink w:anchor="page2">
              <w:r>
                <w:rPr>
                  <w:rFonts w:ascii="Arial" w:cs="Arial" w:eastAsia="Arial" w:hAnsi="Arial"/>
                  <w:sz w:val="20"/>
                  <w:szCs w:val="20"/>
                  <w:color w:val="0000FF"/>
                  <w:w w:val="88"/>
                </w:rPr>
                <w:t>Table of Contents</w:t>
              </w:r>
            </w:hyperlink>
          </w:p>
        </w:tc>
        <w:tc>
          <w:tcPr>
            <w:tcW w:w="4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4"/>
        </w:trPr>
        <w:tc>
          <w:tcPr>
            <w:tcW w:w="1820" w:type="dxa"/>
            <w:vAlign w:val="bottom"/>
            <w:gridSpan w:val="5"/>
          </w:tcPr>
          <w:p>
            <w:pPr>
              <w:spacing w:after="0"/>
              <w:rPr>
                <w:sz w:val="20"/>
                <w:szCs w:val="20"/>
                <w:color w:val="auto"/>
              </w:rPr>
            </w:pPr>
            <w:r>
              <w:rPr>
                <w:rFonts w:ascii="Arial" w:cs="Arial" w:eastAsia="Arial" w:hAnsi="Arial"/>
                <w:sz w:val="20"/>
                <w:szCs w:val="20"/>
                <w:b w:val="1"/>
                <w:bCs w:val="1"/>
                <w:color w:val="auto"/>
              </w:rPr>
              <w:t>ITEM 6. EXHIBITS</w:t>
            </w: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60" w:type="dxa"/>
            <w:vAlign w:val="bottom"/>
          </w:tcPr>
          <w:p>
            <w:pPr>
              <w:spacing w:after="0"/>
              <w:rPr>
                <w:sz w:val="24"/>
                <w:szCs w:val="2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20"/>
                <w:szCs w:val="20"/>
                <w:color w:val="auto"/>
                <w:w w:val="96"/>
              </w:rPr>
              <w:t>Exhibit</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5"/>
            <w:vMerge w:val="restart"/>
          </w:tcPr>
          <w:p>
            <w:pPr>
              <w:ind w:left="100"/>
              <w:spacing w:after="0"/>
              <w:rPr>
                <w:sz w:val="20"/>
                <w:szCs w:val="20"/>
                <w:color w:val="auto"/>
              </w:rPr>
            </w:pPr>
            <w:r>
              <w:rPr>
                <w:rFonts w:ascii="Arial" w:cs="Arial" w:eastAsia="Arial" w:hAnsi="Arial"/>
                <w:sz w:val="20"/>
                <w:szCs w:val="20"/>
                <w:color w:val="auto"/>
              </w:rPr>
              <w:t>Description of Document</w:t>
            </w:r>
          </w:p>
        </w:tc>
        <w:tc>
          <w:tcPr>
            <w:tcW w:w="2120" w:type="dxa"/>
            <w:vAlign w:val="bottom"/>
            <w:gridSpan w:val="3"/>
            <w:vMerge w:val="restart"/>
          </w:tcPr>
          <w:p>
            <w:pPr>
              <w:ind w:left="1080"/>
              <w:spacing w:after="0"/>
              <w:rPr>
                <w:sz w:val="20"/>
                <w:szCs w:val="20"/>
                <w:color w:val="auto"/>
              </w:rPr>
            </w:pPr>
            <w:r>
              <w:rPr>
                <w:rFonts w:ascii="Arial" w:cs="Arial" w:eastAsia="Arial" w:hAnsi="Arial"/>
                <w:sz w:val="20"/>
                <w:szCs w:val="20"/>
                <w:color w:val="auto"/>
              </w:rPr>
              <w:t>Registrant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860" w:type="dxa"/>
            <w:vAlign w:val="bottom"/>
            <w:gridSpan w:val="2"/>
          </w:tcPr>
          <w:p>
            <w:pPr>
              <w:jc w:val="center"/>
              <w:ind w:right="220"/>
              <w:spacing w:after="0" w:line="203" w:lineRule="exact"/>
              <w:rPr>
                <w:sz w:val="20"/>
                <w:szCs w:val="20"/>
                <w:color w:val="auto"/>
              </w:rPr>
            </w:pPr>
            <w:r>
              <w:rPr>
                <w:rFonts w:ascii="Arial" w:cs="Arial" w:eastAsia="Arial" w:hAnsi="Arial"/>
                <w:sz w:val="20"/>
                <w:szCs w:val="20"/>
                <w:color w:val="auto"/>
                <w:w w:val="89"/>
              </w:rPr>
              <w:t>Number</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5"/>
            <w:vMerge w:val="continue"/>
          </w:tcPr>
          <w:p>
            <w:pPr>
              <w:spacing w:after="0"/>
              <w:rPr>
                <w:sz w:val="17"/>
                <w:szCs w:val="17"/>
                <w:color w:val="auto"/>
              </w:rPr>
            </w:pPr>
          </w:p>
        </w:tc>
        <w:tc>
          <w:tcPr>
            <w:tcW w:w="21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5"/>
          </w:tcPr>
          <w:p>
            <w:pPr>
              <w:spacing w:after="0"/>
              <w:rPr>
                <w:rFonts w:ascii="Arial" w:cs="Arial" w:eastAsia="Arial" w:hAnsi="Arial"/>
                <w:sz w:val="20"/>
                <w:szCs w:val="20"/>
                <w:color w:val="0000FF"/>
                <w:w w:val="91"/>
              </w:rPr>
            </w:pPr>
            <w:hyperlink w:anchor="page73">
              <w:r>
                <w:rPr>
                  <w:rFonts w:ascii="Arial" w:cs="Arial" w:eastAsia="Arial" w:hAnsi="Arial"/>
                  <w:sz w:val="20"/>
                  <w:szCs w:val="20"/>
                  <w:color w:val="0000FF"/>
                  <w:w w:val="91"/>
                </w:rPr>
                <w:t>Rule 13a-14(a)/15d-14(a) Certification of David A. Campbell.</w:t>
              </w:r>
            </w:hyperlink>
          </w:p>
        </w:tc>
        <w:tc>
          <w:tcPr>
            <w:tcW w:w="1780" w:type="dxa"/>
            <w:vAlign w:val="bottom"/>
            <w:gridSpan w:val="2"/>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rFonts w:ascii="Arial" w:cs="Arial" w:eastAsia="Arial" w:hAnsi="Arial"/>
                <w:sz w:val="20"/>
                <w:szCs w:val="20"/>
                <w:color w:val="0000FF"/>
              </w:rPr>
            </w:pPr>
            <w:hyperlink w:anchor="page74">
              <w:r>
                <w:rPr>
                  <w:rFonts w:ascii="Arial" w:cs="Arial" w:eastAsia="Arial" w:hAnsi="Arial"/>
                  <w:sz w:val="20"/>
                  <w:szCs w:val="20"/>
                  <w:color w:val="0000FF"/>
                </w:rPr>
                <w:t>Rule 13a-14(a)/15d-14(a) Certification of Kirkland B. Andrews.</w:t>
              </w:r>
            </w:hyperlink>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top w:val="single" w:sz="8" w:color="0000FF"/>
              <w:bottom w:val="single" w:sz="8" w:color="0000FF"/>
            </w:tcBorders>
            <w:gridSpan w:val="5"/>
          </w:tcPr>
          <w:p>
            <w:pPr>
              <w:spacing w:after="0"/>
              <w:rPr>
                <w:rFonts w:ascii="Arial" w:cs="Arial" w:eastAsia="Arial" w:hAnsi="Arial"/>
                <w:sz w:val="20"/>
                <w:szCs w:val="20"/>
                <w:color w:val="0000FF"/>
                <w:w w:val="91"/>
              </w:rPr>
            </w:pPr>
            <w:hyperlink w:anchor="page75">
              <w:r>
                <w:rPr>
                  <w:rFonts w:ascii="Arial" w:cs="Arial" w:eastAsia="Arial" w:hAnsi="Arial"/>
                  <w:sz w:val="20"/>
                  <w:szCs w:val="20"/>
                  <w:color w:val="0000FF"/>
                  <w:w w:val="91"/>
                </w:rPr>
                <w:t>Rule 13a-14(a)/15d-14(a) Certification of David A. Campbell.</w:t>
              </w:r>
            </w:hyperlink>
          </w:p>
        </w:tc>
        <w:tc>
          <w:tcPr>
            <w:tcW w:w="140" w:type="dxa"/>
            <w:vAlign w:val="bottom"/>
            <w:tcBorders>
              <w:top w:val="single" w:sz="8" w:color="0000FF"/>
            </w:tcBorders>
          </w:tcPr>
          <w:p>
            <w:pPr>
              <w:spacing w:after="0"/>
              <w:rPr>
                <w:sz w:val="24"/>
                <w:szCs w:val="24"/>
                <w:color w:val="auto"/>
              </w:rPr>
            </w:pPr>
          </w:p>
        </w:tc>
        <w:tc>
          <w:tcPr>
            <w:tcW w:w="1640" w:type="dxa"/>
            <w:vAlign w:val="bottom"/>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rFonts w:ascii="Arial" w:cs="Arial" w:eastAsia="Arial" w:hAnsi="Arial"/>
                <w:sz w:val="20"/>
                <w:szCs w:val="20"/>
                <w:color w:val="0000FF"/>
              </w:rPr>
            </w:pPr>
            <w:hyperlink w:anchor="page76">
              <w:r>
                <w:rPr>
                  <w:rFonts w:ascii="Arial" w:cs="Arial" w:eastAsia="Arial" w:hAnsi="Arial"/>
                  <w:sz w:val="20"/>
                  <w:szCs w:val="20"/>
                  <w:color w:val="0000FF"/>
                </w:rPr>
                <w:t>Rule 13a-14(a)/15d-14(a) Certification of Kirkland B. Andrews.</w:t>
              </w:r>
            </w:hyperlink>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top w:val="single" w:sz="8" w:color="0000FF"/>
              <w:bottom w:val="single" w:sz="8" w:color="0000FF"/>
            </w:tcBorders>
            <w:gridSpan w:val="5"/>
          </w:tcPr>
          <w:p>
            <w:pPr>
              <w:spacing w:after="0"/>
              <w:rPr>
                <w:rFonts w:ascii="Arial" w:cs="Arial" w:eastAsia="Arial" w:hAnsi="Arial"/>
                <w:sz w:val="20"/>
                <w:szCs w:val="20"/>
                <w:color w:val="0000FF"/>
                <w:w w:val="91"/>
              </w:rPr>
            </w:pPr>
            <w:hyperlink w:anchor="page77">
              <w:r>
                <w:rPr>
                  <w:rFonts w:ascii="Arial" w:cs="Arial" w:eastAsia="Arial" w:hAnsi="Arial"/>
                  <w:sz w:val="20"/>
                  <w:szCs w:val="20"/>
                  <w:color w:val="0000FF"/>
                  <w:w w:val="91"/>
                </w:rPr>
                <w:t>Rule 13a-14(a)/15d-14(a) Certification of David A. Campbell.</w:t>
              </w:r>
            </w:hyperlink>
          </w:p>
        </w:tc>
        <w:tc>
          <w:tcPr>
            <w:tcW w:w="140" w:type="dxa"/>
            <w:vAlign w:val="bottom"/>
            <w:tcBorders>
              <w:top w:val="single" w:sz="8" w:color="0000FF"/>
            </w:tcBorders>
          </w:tcPr>
          <w:p>
            <w:pPr>
              <w:spacing w:after="0"/>
              <w:rPr>
                <w:sz w:val="24"/>
                <w:szCs w:val="24"/>
                <w:color w:val="auto"/>
              </w:rPr>
            </w:pPr>
          </w:p>
        </w:tc>
        <w:tc>
          <w:tcPr>
            <w:tcW w:w="1640" w:type="dxa"/>
            <w:vAlign w:val="bottom"/>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rFonts w:ascii="Arial" w:cs="Arial" w:eastAsia="Arial" w:hAnsi="Arial"/>
                <w:sz w:val="20"/>
                <w:szCs w:val="20"/>
                <w:color w:val="0000FF"/>
              </w:rPr>
            </w:pPr>
            <w:hyperlink w:anchor="page78">
              <w:r>
                <w:rPr>
                  <w:rFonts w:ascii="Arial" w:cs="Arial" w:eastAsia="Arial" w:hAnsi="Arial"/>
                  <w:sz w:val="20"/>
                  <w:szCs w:val="20"/>
                  <w:color w:val="0000FF"/>
                </w:rPr>
                <w:t>Rule 13a-14(a)/15d-14(a) Certification of Kirkland B. Andrews.</w:t>
              </w:r>
            </w:hyperlink>
          </w:p>
        </w:tc>
        <w:tc>
          <w:tcPr>
            <w:tcW w:w="2120" w:type="dxa"/>
            <w:vAlign w:val="bottom"/>
            <w:gridSpan w:val="3"/>
          </w:tcPr>
          <w:p>
            <w:pPr>
              <w:ind w:left="300"/>
              <w:spacing w:after="0"/>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32.1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2240" w:type="dxa"/>
            <w:vAlign w:val="bottom"/>
            <w:tcBorders>
              <w:top w:val="single" w:sz="8" w:color="0000FF"/>
              <w:bottom w:val="single" w:sz="8" w:color="0000FF"/>
            </w:tcBorders>
            <w:gridSpan w:val="2"/>
          </w:tcPr>
          <w:p>
            <w:pPr>
              <w:spacing w:after="0"/>
              <w:rPr>
                <w:rFonts w:ascii="Arial" w:cs="Arial" w:eastAsia="Arial" w:hAnsi="Arial"/>
                <w:sz w:val="20"/>
                <w:szCs w:val="20"/>
                <w:color w:val="0000FF"/>
                <w:w w:val="91"/>
              </w:rPr>
            </w:pPr>
            <w:hyperlink w:anchor="page79">
              <w:r>
                <w:rPr>
                  <w:rFonts w:ascii="Arial" w:cs="Arial" w:eastAsia="Arial" w:hAnsi="Arial"/>
                  <w:sz w:val="20"/>
                  <w:szCs w:val="20"/>
                  <w:color w:val="0000FF"/>
                  <w:w w:val="91"/>
                </w:rPr>
                <w:t>Section 1350 Certifications.</w:t>
              </w:r>
            </w:hyperlink>
          </w:p>
        </w:tc>
        <w:tc>
          <w:tcPr>
            <w:tcW w:w="2840" w:type="dxa"/>
            <w:vAlign w:val="bottom"/>
            <w:tcBorders>
              <w:top w:val="single" w:sz="8" w:color="0000FF"/>
            </w:tcBorders>
            <w:gridSpan w:val="4"/>
          </w:tcPr>
          <w:p>
            <w:pPr>
              <w:spacing w:after="0"/>
              <w:rPr>
                <w:sz w:val="24"/>
                <w:szCs w:val="24"/>
                <w:color w:val="auto"/>
              </w:rPr>
            </w:pPr>
          </w:p>
        </w:tc>
        <w:tc>
          <w:tcPr>
            <w:tcW w:w="1640" w:type="dxa"/>
            <w:vAlign w:val="bottom"/>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32.2</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2240" w:type="dxa"/>
            <w:vAlign w:val="bottom"/>
            <w:tcBorders>
              <w:bottom w:val="single" w:sz="8" w:color="0000FF"/>
            </w:tcBorders>
            <w:gridSpan w:val="2"/>
          </w:tcPr>
          <w:p>
            <w:pPr>
              <w:spacing w:after="0"/>
              <w:rPr>
                <w:rFonts w:ascii="Arial" w:cs="Arial" w:eastAsia="Arial" w:hAnsi="Arial"/>
                <w:sz w:val="20"/>
                <w:szCs w:val="20"/>
                <w:color w:val="0000FF"/>
                <w:w w:val="91"/>
              </w:rPr>
            </w:pPr>
            <w:hyperlink w:anchor="page80">
              <w:r>
                <w:rPr>
                  <w:rFonts w:ascii="Arial" w:cs="Arial" w:eastAsia="Arial" w:hAnsi="Arial"/>
                  <w:sz w:val="20"/>
                  <w:szCs w:val="20"/>
                  <w:color w:val="0000FF"/>
                  <w:w w:val="91"/>
                </w:rPr>
                <w:t>Section 1350 Certifications.</w:t>
              </w:r>
            </w:hyperlink>
          </w:p>
        </w:tc>
        <w:tc>
          <w:tcPr>
            <w:tcW w:w="4480" w:type="dxa"/>
            <w:vAlign w:val="bottom"/>
            <w:gridSpan w:val="5"/>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32.3</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2220" w:type="dxa"/>
            <w:vAlign w:val="bottom"/>
            <w:tcBorders>
              <w:bottom w:val="single" w:sz="8" w:color="0000FF"/>
            </w:tcBorders>
          </w:tcPr>
          <w:p>
            <w:pPr>
              <w:spacing w:after="0"/>
              <w:rPr>
                <w:rFonts w:ascii="Arial" w:cs="Arial" w:eastAsia="Arial" w:hAnsi="Arial"/>
                <w:sz w:val="20"/>
                <w:szCs w:val="20"/>
                <w:color w:val="0000FF"/>
                <w:w w:val="90"/>
              </w:rPr>
            </w:pPr>
            <w:hyperlink w:anchor="page81">
              <w:r>
                <w:rPr>
                  <w:rFonts w:ascii="Arial" w:cs="Arial" w:eastAsia="Arial" w:hAnsi="Arial"/>
                  <w:sz w:val="20"/>
                  <w:szCs w:val="20"/>
                  <w:color w:val="0000FF"/>
                  <w:w w:val="90"/>
                </w:rPr>
                <w:t>Section 1350 Certifications.</w:t>
              </w:r>
            </w:hyperlink>
          </w:p>
        </w:tc>
        <w:tc>
          <w:tcPr>
            <w:tcW w:w="4500" w:type="dxa"/>
            <w:vAlign w:val="bottom"/>
            <w:gridSpan w:val="6"/>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362"/>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101.INS</w:t>
            </w: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20" w:type="dxa"/>
            <w:vAlign w:val="bottom"/>
            <w:gridSpan w:val="7"/>
          </w:tcPr>
          <w:p>
            <w:pPr>
              <w:spacing w:after="0"/>
              <w:rPr>
                <w:sz w:val="20"/>
                <w:szCs w:val="20"/>
                <w:color w:val="auto"/>
              </w:rPr>
            </w:pPr>
            <w:r>
              <w:rPr>
                <w:rFonts w:ascii="Arial" w:cs="Arial" w:eastAsia="Arial" w:hAnsi="Arial"/>
                <w:sz w:val="20"/>
                <w:szCs w:val="20"/>
                <w:color w:val="auto"/>
              </w:rPr>
              <w:t>XBRL Instance Document.</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79"/>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101.SCH</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auto"/>
              </w:rPr>
              <w:t>Inline XBRL Taxonomy Extension Schema Document.</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120" w:type="dxa"/>
            <w:vAlign w:val="bottom"/>
            <w:gridSpan w:val="3"/>
          </w:tcPr>
          <w:p>
            <w:pPr>
              <w:ind w:left="300"/>
              <w:spacing w:after="0" w:line="18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76"/>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101.CAL</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auto"/>
              </w:rPr>
              <w:t>Inline XBRL Taxonomy Extension Calculation Linkbase Document.</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120" w:type="dxa"/>
            <w:vAlign w:val="bottom"/>
            <w:gridSpan w:val="3"/>
          </w:tcPr>
          <w:p>
            <w:pPr>
              <w:ind w:left="300"/>
              <w:spacing w:after="0" w:line="18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76"/>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101.DEF</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auto"/>
              </w:rPr>
              <w:t>Inline XBRL Taxonomy Extension Definition Linkbase Document.</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120" w:type="dxa"/>
            <w:vAlign w:val="bottom"/>
            <w:gridSpan w:val="3"/>
          </w:tcPr>
          <w:p>
            <w:pPr>
              <w:ind w:left="300"/>
              <w:spacing w:after="0" w:line="18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76"/>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101.LAB</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auto"/>
              </w:rPr>
              <w:t>Inline XBRL Taxonomy Extension Labels Linkbase Document.</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120" w:type="dxa"/>
            <w:vAlign w:val="bottom"/>
            <w:gridSpan w:val="3"/>
          </w:tcPr>
          <w:p>
            <w:pPr>
              <w:ind w:left="300"/>
              <w:spacing w:after="0" w:line="18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76"/>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101.PRE</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auto"/>
              </w:rPr>
              <w:t>Inline XBRL Taxonomy Extension Presentation Linkbase Document.</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120" w:type="dxa"/>
            <w:vAlign w:val="bottom"/>
            <w:gridSpan w:val="3"/>
          </w:tcPr>
          <w:p>
            <w:pPr>
              <w:ind w:left="300"/>
              <w:spacing w:after="0" w:line="18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76"/>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auto"/>
                <w:w w:val="95"/>
              </w:rPr>
              <w:t>Cover Page Interactive Data File (embedded within the Inline XBRL document).</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120" w:type="dxa"/>
            <w:vAlign w:val="bottom"/>
            <w:gridSpan w:val="3"/>
          </w:tcPr>
          <w:p>
            <w:pPr>
              <w:ind w:left="300"/>
              <w:spacing w:after="0" w:line="18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right="60" w:firstLine="8"/>
        <w:spacing w:after="0" w:line="250" w:lineRule="auto"/>
        <w:tabs>
          <w:tab w:leader="none" w:pos="148" w:val="left"/>
        </w:tabs>
        <w:numPr>
          <w:ilvl w:val="0"/>
          <w:numId w:val="41"/>
        </w:numPr>
        <w:rPr>
          <w:rFonts w:ascii="Arial" w:cs="Arial" w:eastAsia="Arial" w:hAnsi="Arial"/>
          <w:sz w:val="20"/>
          <w:szCs w:val="20"/>
          <w:color w:val="auto"/>
        </w:rPr>
      </w:pPr>
      <w:r>
        <w:rPr>
          <w:rFonts w:ascii="Arial" w:cs="Arial" w:eastAsia="Arial" w:hAnsi="Arial"/>
          <w:sz w:val="20"/>
          <w:szCs w:val="20"/>
          <w:color w:val="auto"/>
        </w:rPr>
        <w:t>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spacing w:after="0" w:line="105" w:lineRule="exact"/>
        <w:rPr>
          <w:sz w:val="20"/>
          <w:szCs w:val="20"/>
          <w:color w:val="auto"/>
        </w:rPr>
      </w:pPr>
    </w:p>
    <w:p>
      <w:pPr>
        <w:jc w:val="both"/>
        <w:ind w:firstLine="8"/>
        <w:spacing w:after="0" w:line="250" w:lineRule="auto"/>
        <w:tabs>
          <w:tab w:leader="none" w:pos="247" w:val="left"/>
        </w:tabs>
        <w:numPr>
          <w:ilvl w:val="0"/>
          <w:numId w:val="42"/>
        </w:numPr>
        <w:rPr>
          <w:rFonts w:ascii="Arial" w:cs="Arial" w:eastAsia="Arial" w:hAnsi="Arial"/>
          <w:sz w:val="20"/>
          <w:szCs w:val="20"/>
          <w:color w:val="auto"/>
        </w:rPr>
      </w:pPr>
      <w:r>
        <w:rPr>
          <w:rFonts w:ascii="Arial" w:cs="Arial" w:eastAsia="Arial" w:hAnsi="Arial"/>
          <w:sz w:val="20"/>
          <w:szCs w:val="20"/>
          <w:color w:val="auto"/>
        </w:rPr>
        <w:t>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spacing w:after="0" w:line="118" w:lineRule="exact"/>
        <w:rPr>
          <w:rFonts w:ascii="Arial" w:cs="Arial" w:eastAsia="Arial" w:hAnsi="Arial"/>
          <w:sz w:val="20"/>
          <w:szCs w:val="20"/>
          <w:color w:val="auto"/>
        </w:rPr>
      </w:pPr>
    </w:p>
    <w:p>
      <w:pPr>
        <w:ind w:right="560" w:firstLine="8"/>
        <w:spacing w:after="0" w:line="260" w:lineRule="auto"/>
        <w:tabs>
          <w:tab w:leader="none" w:pos="346"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instance document does not appear in the interactive data file because its XBRL tags are embedded within the inline XBRL document.</w:t>
      </w:r>
    </w:p>
    <w:p>
      <w:pPr>
        <w:spacing w:after="0" w:line="109" w:lineRule="exact"/>
        <w:rPr>
          <w:sz w:val="20"/>
          <w:szCs w:val="20"/>
          <w:color w:val="auto"/>
        </w:rPr>
      </w:pPr>
    </w:p>
    <w:p>
      <w:pPr>
        <w:ind w:left="160" w:hanging="152"/>
        <w:spacing w:after="0"/>
        <w:tabs>
          <w:tab w:leader="none" w:pos="1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Indicates management contract or compensatory plan or arrangement.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90" w:lineRule="exact"/>
        <w:rPr>
          <w:rFonts w:ascii="Arial" w:cs="Arial" w:eastAsia="Arial" w:hAnsi="Arial"/>
          <w:sz w:val="20"/>
          <w:szCs w:val="20"/>
          <w:color w:val="auto"/>
        </w:rPr>
      </w:pPr>
    </w:p>
    <w:p>
      <w:pPr>
        <w:ind w:left="5540"/>
        <w:spacing w:after="0"/>
        <w:rPr>
          <w:rFonts w:ascii="Arial" w:cs="Arial" w:eastAsia="Arial" w:hAnsi="Arial"/>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9" w:right="539" w:bottom="1440" w:gutter="0" w:footer="0" w:header="0"/>
        </w:sectPr>
      </w:pPr>
    </w:p>
    <w:bookmarkStart w:id="70" w:name="page71"/>
    <w:bookmarkEnd w:id="7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Copies of any of the exhibits filed with the SEC in connection with this document may be obtained from Evergy, Evergy Kansas Central or Evergy Metro, as applicable, upon written request.</w:t>
      </w:r>
    </w:p>
    <w:p>
      <w:pPr>
        <w:spacing w:after="0" w:line="109" w:lineRule="exact"/>
        <w:rPr>
          <w:sz w:val="20"/>
          <w:szCs w:val="20"/>
          <w:color w:val="auto"/>
        </w:rPr>
      </w:pPr>
    </w:p>
    <w:p>
      <w:pPr>
        <w:ind w:right="400"/>
        <w:spacing w:after="0" w:line="316" w:lineRule="auto"/>
        <w:rPr>
          <w:sz w:val="20"/>
          <w:szCs w:val="20"/>
          <w:color w:val="auto"/>
        </w:rPr>
      </w:pPr>
      <w:r>
        <w:rPr>
          <w:rFonts w:ascii="Arial" w:cs="Arial" w:eastAsia="Arial" w:hAnsi="Arial"/>
          <w:sz w:val="18"/>
          <w:szCs w:val="18"/>
          <w:color w:val="auto"/>
        </w:rPr>
        <w:t>The registrants agree to furnish to the SEC upon request any instrument with respect to long-term debt as to which the total amount of securities authorized does not exceed 10% of total assets of such registrant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2" w:right="559" w:bottom="1440" w:gutter="0" w:footer="0" w:header="0"/>
        </w:sectPr>
      </w:pPr>
    </w:p>
    <w:bookmarkStart w:id="71" w:name="page72"/>
    <w:bookmarkEnd w:id="7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Evergy, Inc., Evergy Kansas Central, Inc. and Evergy Metro, Inc. have duly caused this report to be signed on their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7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320" w:type="dxa"/>
            <w:vAlign w:val="bottom"/>
            <w:gridSpan w:val="3"/>
          </w:tcPr>
          <w:p>
            <w:pPr>
              <w:ind w:left="980"/>
              <w:spacing w:after="0"/>
              <w:rPr>
                <w:sz w:val="20"/>
                <w:szCs w:val="20"/>
                <w:color w:val="auto"/>
              </w:rPr>
            </w:pPr>
            <w:r>
              <w:rPr>
                <w:rFonts w:ascii="Arial" w:cs="Arial" w:eastAsia="Arial" w:hAnsi="Arial"/>
                <w:sz w:val="20"/>
                <w:szCs w:val="20"/>
                <w:b w:val="1"/>
                <w:bCs w:val="1"/>
                <w:color w:val="auto"/>
              </w:rPr>
              <w:t>EVERGY, INC.</w:t>
            </w:r>
          </w:p>
        </w:tc>
      </w:tr>
      <w:tr>
        <w:trPr>
          <w:trHeight w:val="442"/>
        </w:trPr>
        <w:tc>
          <w:tcPr>
            <w:tcW w:w="700" w:type="dxa"/>
            <w:vAlign w:val="bottom"/>
          </w:tcPr>
          <w:p>
            <w:pPr>
              <w:spacing w:after="0"/>
              <w:rPr>
                <w:sz w:val="20"/>
                <w:szCs w:val="20"/>
                <w:color w:val="auto"/>
              </w:rPr>
            </w:pPr>
            <w:r>
              <w:rPr>
                <w:rFonts w:ascii="Arial" w:cs="Arial" w:eastAsia="Arial" w:hAnsi="Arial"/>
                <w:sz w:val="20"/>
                <w:szCs w:val="20"/>
                <w:color w:val="auto"/>
              </w:rPr>
              <w:t>Dated:</w:t>
            </w:r>
          </w:p>
        </w:tc>
        <w:tc>
          <w:tcPr>
            <w:tcW w:w="2360" w:type="dxa"/>
            <w:vAlign w:val="bottom"/>
          </w:tcPr>
          <w:p>
            <w:pPr>
              <w:ind w:left="180"/>
              <w:spacing w:after="0"/>
              <w:rPr>
                <w:sz w:val="20"/>
                <w:szCs w:val="20"/>
                <w:color w:val="auto"/>
              </w:rPr>
            </w:pPr>
            <w:r>
              <w:rPr>
                <w:rFonts w:ascii="Arial" w:cs="Arial" w:eastAsia="Arial" w:hAnsi="Arial"/>
                <w:sz w:val="20"/>
                <w:szCs w:val="20"/>
                <w:color w:val="auto"/>
              </w:rPr>
              <w:t>August 3, 2022</w:t>
            </w:r>
          </w:p>
        </w:tc>
        <w:tc>
          <w:tcPr>
            <w:tcW w:w="5320" w:type="dxa"/>
            <w:vAlign w:val="bottom"/>
            <w:gridSpan w:val="3"/>
          </w:tcPr>
          <w:p>
            <w:pPr>
              <w:ind w:left="980"/>
              <w:spacing w:after="0"/>
              <w:rPr>
                <w:sz w:val="20"/>
                <w:szCs w:val="20"/>
                <w:color w:val="auto"/>
              </w:rPr>
            </w:pPr>
            <w:r>
              <w:rPr>
                <w:rFonts w:ascii="Arial" w:cs="Arial" w:eastAsia="Arial" w:hAnsi="Arial"/>
                <w:sz w:val="20"/>
                <w:szCs w:val="20"/>
                <w:color w:val="auto"/>
              </w:rPr>
              <w:t>By: /s/ Kirkland B. Andrews</w:t>
            </w:r>
          </w:p>
        </w:tc>
      </w:tr>
      <w:tr>
        <w:trPr>
          <w:trHeight w:val="20"/>
        </w:trPr>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60"/>
        </w:trPr>
        <w:tc>
          <w:tcPr>
            <w:tcW w:w="7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320" w:type="dxa"/>
            <w:vAlign w:val="bottom"/>
            <w:gridSpan w:val="3"/>
          </w:tcPr>
          <w:p>
            <w:pPr>
              <w:ind w:left="980"/>
              <w:spacing w:after="0"/>
              <w:rPr>
                <w:sz w:val="20"/>
                <w:szCs w:val="20"/>
                <w:color w:val="auto"/>
              </w:rPr>
            </w:pPr>
            <w:r>
              <w:rPr>
                <w:rFonts w:ascii="Arial" w:cs="Arial" w:eastAsia="Arial" w:hAnsi="Arial"/>
                <w:sz w:val="20"/>
                <w:szCs w:val="20"/>
                <w:color w:val="auto"/>
              </w:rPr>
              <w:t>(Kirkland B. Andrews)</w:t>
            </w:r>
          </w:p>
        </w:tc>
      </w:tr>
      <w:tr>
        <w:trPr>
          <w:trHeight w:val="250"/>
        </w:trPr>
        <w:tc>
          <w:tcPr>
            <w:tcW w:w="7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320" w:type="dxa"/>
            <w:vAlign w:val="bottom"/>
            <w:gridSpan w:val="3"/>
          </w:tcPr>
          <w:p>
            <w:pPr>
              <w:ind w:left="980"/>
              <w:spacing w:after="0"/>
              <w:rPr>
                <w:sz w:val="20"/>
                <w:szCs w:val="20"/>
                <w:color w:val="auto"/>
              </w:rPr>
            </w:pPr>
            <w:r>
              <w:rPr>
                <w:rFonts w:ascii="Arial" w:cs="Arial" w:eastAsia="Arial" w:hAnsi="Arial"/>
                <w:sz w:val="20"/>
                <w:szCs w:val="20"/>
                <w:color w:val="auto"/>
                <w:w w:val="90"/>
              </w:rPr>
              <w:t>(Executive Vice President and Chief Financial Officer)</w:t>
            </w:r>
          </w:p>
        </w:tc>
      </w:tr>
    </w:tbl>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100" w:type="dxa"/>
            <w:vAlign w:val="bottom"/>
          </w:tcPr>
          <w:p>
            <w:pPr>
              <w:spacing w:after="0"/>
              <w:rPr>
                <w:sz w:val="22"/>
                <w:szCs w:val="22"/>
                <w:color w:val="auto"/>
              </w:rPr>
            </w:pPr>
          </w:p>
        </w:tc>
        <w:tc>
          <w:tcPr>
            <w:tcW w:w="5320" w:type="dxa"/>
            <w:vAlign w:val="bottom"/>
            <w:gridSpan w:val="3"/>
          </w:tcPr>
          <w:p>
            <w:pPr>
              <w:ind w:left="960"/>
              <w:spacing w:after="0"/>
              <w:rPr>
                <w:sz w:val="20"/>
                <w:szCs w:val="20"/>
                <w:color w:val="auto"/>
              </w:rPr>
            </w:pPr>
            <w:r>
              <w:rPr>
                <w:rFonts w:ascii="Arial" w:cs="Arial" w:eastAsia="Arial" w:hAnsi="Arial"/>
                <w:sz w:val="20"/>
                <w:szCs w:val="20"/>
                <w:b w:val="1"/>
                <w:bCs w:val="1"/>
                <w:color w:val="auto"/>
              </w:rPr>
              <w:t>EVERGY KANSAS CENTRAL, INC.</w:t>
            </w:r>
          </w:p>
        </w:tc>
      </w:tr>
      <w:tr>
        <w:trPr>
          <w:trHeight w:val="441"/>
        </w:trPr>
        <w:tc>
          <w:tcPr>
            <w:tcW w:w="3100" w:type="dxa"/>
            <w:vAlign w:val="bottom"/>
          </w:tcPr>
          <w:p>
            <w:pPr>
              <w:spacing w:after="0"/>
              <w:rPr>
                <w:sz w:val="20"/>
                <w:szCs w:val="20"/>
                <w:color w:val="auto"/>
              </w:rPr>
            </w:pPr>
            <w:r>
              <w:rPr>
                <w:rFonts w:ascii="Arial" w:cs="Arial" w:eastAsia="Arial" w:hAnsi="Arial"/>
                <w:sz w:val="20"/>
                <w:szCs w:val="20"/>
                <w:color w:val="auto"/>
                <w:w w:val="90"/>
              </w:rPr>
              <w:t>Dated:August 3, 2022</w:t>
            </w:r>
          </w:p>
        </w:tc>
        <w:tc>
          <w:tcPr>
            <w:tcW w:w="5320" w:type="dxa"/>
            <w:vAlign w:val="bottom"/>
            <w:gridSpan w:val="3"/>
          </w:tcPr>
          <w:p>
            <w:pPr>
              <w:ind w:left="960"/>
              <w:spacing w:after="0"/>
              <w:rPr>
                <w:sz w:val="20"/>
                <w:szCs w:val="20"/>
                <w:color w:val="auto"/>
              </w:rPr>
            </w:pPr>
            <w:r>
              <w:rPr>
                <w:rFonts w:ascii="Arial" w:cs="Arial" w:eastAsia="Arial" w:hAnsi="Arial"/>
                <w:sz w:val="20"/>
                <w:szCs w:val="20"/>
                <w:color w:val="auto"/>
              </w:rPr>
              <w:t>By: /s/ Kirkland B. Andrews</w:t>
            </w:r>
          </w:p>
        </w:tc>
      </w:tr>
      <w:tr>
        <w:trPr>
          <w:trHeight w:val="20"/>
        </w:trPr>
        <w:tc>
          <w:tcPr>
            <w:tcW w:w="3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60"/>
        </w:trPr>
        <w:tc>
          <w:tcPr>
            <w:tcW w:w="3100" w:type="dxa"/>
            <w:vAlign w:val="bottom"/>
          </w:tcPr>
          <w:p>
            <w:pPr>
              <w:spacing w:after="0"/>
              <w:rPr>
                <w:sz w:val="22"/>
                <w:szCs w:val="22"/>
                <w:color w:val="auto"/>
              </w:rPr>
            </w:pPr>
          </w:p>
        </w:tc>
        <w:tc>
          <w:tcPr>
            <w:tcW w:w="5320" w:type="dxa"/>
            <w:vAlign w:val="bottom"/>
            <w:gridSpan w:val="3"/>
          </w:tcPr>
          <w:p>
            <w:pPr>
              <w:ind w:left="960"/>
              <w:spacing w:after="0"/>
              <w:rPr>
                <w:sz w:val="20"/>
                <w:szCs w:val="20"/>
                <w:color w:val="auto"/>
              </w:rPr>
            </w:pPr>
            <w:r>
              <w:rPr>
                <w:rFonts w:ascii="Arial" w:cs="Arial" w:eastAsia="Arial" w:hAnsi="Arial"/>
                <w:sz w:val="20"/>
                <w:szCs w:val="20"/>
                <w:color w:val="auto"/>
              </w:rPr>
              <w:t>(Kirkland B. Andrews)</w:t>
            </w:r>
          </w:p>
        </w:tc>
      </w:tr>
      <w:tr>
        <w:trPr>
          <w:trHeight w:val="250"/>
        </w:trPr>
        <w:tc>
          <w:tcPr>
            <w:tcW w:w="3100" w:type="dxa"/>
            <w:vAlign w:val="bottom"/>
          </w:tcPr>
          <w:p>
            <w:pPr>
              <w:spacing w:after="0"/>
              <w:rPr>
                <w:sz w:val="21"/>
                <w:szCs w:val="21"/>
                <w:color w:val="auto"/>
              </w:rPr>
            </w:pPr>
          </w:p>
        </w:tc>
        <w:tc>
          <w:tcPr>
            <w:tcW w:w="5320" w:type="dxa"/>
            <w:vAlign w:val="bottom"/>
            <w:gridSpan w:val="3"/>
          </w:tcPr>
          <w:p>
            <w:pPr>
              <w:ind w:left="960"/>
              <w:spacing w:after="0"/>
              <w:rPr>
                <w:sz w:val="20"/>
                <w:szCs w:val="20"/>
                <w:color w:val="auto"/>
              </w:rPr>
            </w:pPr>
            <w:r>
              <w:rPr>
                <w:rFonts w:ascii="Arial" w:cs="Arial" w:eastAsia="Arial" w:hAnsi="Arial"/>
                <w:sz w:val="20"/>
                <w:szCs w:val="20"/>
                <w:color w:val="auto"/>
                <w:w w:val="91"/>
              </w:rPr>
              <w:t>(Executive Vice President and Chief Financial Officer)</w:t>
            </w:r>
          </w:p>
        </w:tc>
      </w:tr>
    </w:tbl>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7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320" w:type="dxa"/>
            <w:vAlign w:val="bottom"/>
            <w:gridSpan w:val="3"/>
          </w:tcPr>
          <w:p>
            <w:pPr>
              <w:ind w:left="960"/>
              <w:spacing w:after="0"/>
              <w:rPr>
                <w:sz w:val="20"/>
                <w:szCs w:val="20"/>
                <w:color w:val="auto"/>
              </w:rPr>
            </w:pPr>
            <w:r>
              <w:rPr>
                <w:rFonts w:ascii="Arial" w:cs="Arial" w:eastAsia="Arial" w:hAnsi="Arial"/>
                <w:sz w:val="20"/>
                <w:szCs w:val="20"/>
                <w:b w:val="1"/>
                <w:bCs w:val="1"/>
                <w:color w:val="auto"/>
              </w:rPr>
              <w:t>EVERGY METRO, INC.</w:t>
            </w:r>
          </w:p>
        </w:tc>
      </w:tr>
      <w:tr>
        <w:trPr>
          <w:trHeight w:val="441"/>
        </w:trPr>
        <w:tc>
          <w:tcPr>
            <w:tcW w:w="720" w:type="dxa"/>
            <w:vAlign w:val="bottom"/>
          </w:tcPr>
          <w:p>
            <w:pPr>
              <w:spacing w:after="0"/>
              <w:rPr>
                <w:sz w:val="20"/>
                <w:szCs w:val="20"/>
                <w:color w:val="auto"/>
              </w:rPr>
            </w:pPr>
            <w:r>
              <w:rPr>
                <w:rFonts w:ascii="Arial" w:cs="Arial" w:eastAsia="Arial" w:hAnsi="Arial"/>
                <w:sz w:val="20"/>
                <w:szCs w:val="20"/>
                <w:color w:val="auto"/>
              </w:rPr>
              <w:t>Dated:</w:t>
            </w:r>
          </w:p>
        </w:tc>
        <w:tc>
          <w:tcPr>
            <w:tcW w:w="2380" w:type="dxa"/>
            <w:vAlign w:val="bottom"/>
          </w:tcPr>
          <w:p>
            <w:pPr>
              <w:ind w:left="180"/>
              <w:spacing w:after="0"/>
              <w:rPr>
                <w:sz w:val="20"/>
                <w:szCs w:val="20"/>
                <w:color w:val="auto"/>
              </w:rPr>
            </w:pPr>
            <w:r>
              <w:rPr>
                <w:rFonts w:ascii="Arial" w:cs="Arial" w:eastAsia="Arial" w:hAnsi="Arial"/>
                <w:sz w:val="20"/>
                <w:szCs w:val="20"/>
                <w:color w:val="auto"/>
              </w:rPr>
              <w:t>August 3, 2022</w:t>
            </w:r>
          </w:p>
        </w:tc>
        <w:tc>
          <w:tcPr>
            <w:tcW w:w="5320" w:type="dxa"/>
            <w:vAlign w:val="bottom"/>
            <w:gridSpan w:val="3"/>
          </w:tcPr>
          <w:p>
            <w:pPr>
              <w:ind w:left="960"/>
              <w:spacing w:after="0"/>
              <w:rPr>
                <w:sz w:val="20"/>
                <w:szCs w:val="20"/>
                <w:color w:val="auto"/>
              </w:rPr>
            </w:pPr>
            <w:r>
              <w:rPr>
                <w:rFonts w:ascii="Arial" w:cs="Arial" w:eastAsia="Arial" w:hAnsi="Arial"/>
                <w:sz w:val="20"/>
                <w:szCs w:val="20"/>
                <w:color w:val="auto"/>
              </w:rPr>
              <w:t>By: /s/ Kirkland B. Andrews</w:t>
            </w:r>
          </w:p>
        </w:tc>
      </w:tr>
      <w:tr>
        <w:trPr>
          <w:trHeight w:val="20"/>
        </w:trPr>
        <w:tc>
          <w:tcPr>
            <w:tcW w:w="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60"/>
        </w:trPr>
        <w:tc>
          <w:tcPr>
            <w:tcW w:w="7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320" w:type="dxa"/>
            <w:vAlign w:val="bottom"/>
            <w:gridSpan w:val="3"/>
          </w:tcPr>
          <w:p>
            <w:pPr>
              <w:ind w:left="960"/>
              <w:spacing w:after="0"/>
              <w:rPr>
                <w:sz w:val="20"/>
                <w:szCs w:val="20"/>
                <w:color w:val="auto"/>
              </w:rPr>
            </w:pPr>
            <w:r>
              <w:rPr>
                <w:rFonts w:ascii="Arial" w:cs="Arial" w:eastAsia="Arial" w:hAnsi="Arial"/>
                <w:sz w:val="20"/>
                <w:szCs w:val="20"/>
                <w:color w:val="auto"/>
              </w:rPr>
              <w:t>(Kirkland B. Andrews)</w:t>
            </w:r>
          </w:p>
        </w:tc>
      </w:tr>
      <w:tr>
        <w:trPr>
          <w:trHeight w:val="250"/>
        </w:trPr>
        <w:tc>
          <w:tcPr>
            <w:tcW w:w="7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320" w:type="dxa"/>
            <w:vAlign w:val="bottom"/>
            <w:gridSpan w:val="3"/>
          </w:tcPr>
          <w:p>
            <w:pPr>
              <w:ind w:left="960"/>
              <w:spacing w:after="0"/>
              <w:rPr>
                <w:sz w:val="20"/>
                <w:szCs w:val="20"/>
                <w:color w:val="auto"/>
              </w:rPr>
            </w:pPr>
            <w:r>
              <w:rPr>
                <w:rFonts w:ascii="Arial" w:cs="Arial" w:eastAsia="Arial" w:hAnsi="Arial"/>
                <w:sz w:val="20"/>
                <w:szCs w:val="20"/>
                <w:color w:val="auto"/>
                <w:w w:val="91"/>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122" w:right="45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Inc.;</w:t>
      </w:r>
    </w:p>
    <w:p>
      <w:pPr>
        <w:spacing w:after="0" w:line="225" w:lineRule="exact"/>
        <w:rPr>
          <w:rFonts w:ascii="Arial" w:cs="Arial" w:eastAsia="Arial" w:hAnsi="Arial"/>
          <w:sz w:val="18"/>
          <w:szCs w:val="18"/>
          <w:color w:val="auto"/>
        </w:rPr>
      </w:pPr>
    </w:p>
    <w:p>
      <w:pPr>
        <w:ind w:left="660" w:right="140" w:hanging="652"/>
        <w:spacing w:after="0" w:line="263" w:lineRule="auto"/>
        <w:tabs>
          <w:tab w:leader="none" w:pos="327"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420" w:hanging="652"/>
        <w:spacing w:after="0" w:line="308" w:lineRule="auto"/>
        <w:tabs>
          <w:tab w:leader="none" w:pos="327"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3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60" w:hanging="644"/>
        <w:spacing w:after="0" w:line="263" w:lineRule="auto"/>
        <w:tabs>
          <w:tab w:leader="none" w:pos="1032"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042"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20" w:hanging="644"/>
        <w:spacing w:after="0" w:line="342" w:lineRule="auto"/>
        <w:tabs>
          <w:tab w:leader="none" w:pos="1032"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 w:hanging="644"/>
        <w:spacing w:after="0" w:line="263" w:lineRule="auto"/>
        <w:tabs>
          <w:tab w:leader="none" w:pos="1042"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60" w:hanging="652"/>
        <w:spacing w:after="0" w:line="308" w:lineRule="auto"/>
        <w:tabs>
          <w:tab w:leader="none" w:pos="324"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40" w:hanging="644"/>
        <w:spacing w:after="0" w:line="342" w:lineRule="auto"/>
        <w:tabs>
          <w:tab w:leader="none" w:pos="1022"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20" w:hanging="644"/>
        <w:spacing w:after="0" w:line="277" w:lineRule="auto"/>
        <w:tabs>
          <w:tab w:leader="none" w:pos="1032"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580" w:type="dxa"/>
            <w:vAlign w:val="bottom"/>
          </w:tcPr>
          <w:p>
            <w:pPr>
              <w:ind w:left="200"/>
              <w:spacing w:after="0"/>
              <w:rPr>
                <w:sz w:val="20"/>
                <w:szCs w:val="20"/>
                <w:color w:val="auto"/>
              </w:rPr>
            </w:pPr>
            <w:r>
              <w:rPr>
                <w:rFonts w:ascii="Arial" w:cs="Arial" w:eastAsia="Arial" w:hAnsi="Arial"/>
                <w:sz w:val="18"/>
                <w:szCs w:val="18"/>
                <w:color w:val="0038FF"/>
              </w:rPr>
              <w:t>August 3, 2022</w:t>
            </w:r>
          </w:p>
        </w:tc>
        <w:tc>
          <w:tcPr>
            <w:tcW w:w="5020" w:type="dxa"/>
            <w:vAlign w:val="bottom"/>
            <w:gridSpan w:val="3"/>
          </w:tcPr>
          <w:p>
            <w:pPr>
              <w:ind w:left="2280"/>
              <w:spacing w:after="0"/>
              <w:rPr>
                <w:sz w:val="20"/>
                <w:szCs w:val="20"/>
                <w:color w:val="auto"/>
              </w:rPr>
            </w:pPr>
            <w:r>
              <w:rPr>
                <w:rFonts w:ascii="Arial" w:cs="Arial" w:eastAsia="Arial" w:hAnsi="Arial"/>
                <w:sz w:val="18"/>
                <w:szCs w:val="18"/>
                <w:color w:val="auto"/>
              </w:rPr>
              <w:t>/s/ David A. Campbell</w:t>
            </w:r>
          </w:p>
        </w:tc>
      </w:tr>
      <w:tr>
        <w:trPr>
          <w:trHeight w:val="20"/>
        </w:trPr>
        <w:tc>
          <w:tcPr>
            <w:tcW w:w="6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5020" w:type="dxa"/>
            <w:vAlign w:val="bottom"/>
            <w:gridSpan w:val="3"/>
          </w:tcPr>
          <w:p>
            <w:pPr>
              <w:ind w:left="2280"/>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6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5020" w:type="dxa"/>
            <w:vAlign w:val="bottom"/>
            <w:gridSpan w:val="3"/>
          </w:tcPr>
          <w:p>
            <w:pPr>
              <w:ind w:left="2280"/>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860" w:type="dxa"/>
            <w:vAlign w:val="bottom"/>
          </w:tcPr>
          <w:p>
            <w:pPr>
              <w:ind w:left="200"/>
              <w:spacing w:after="0"/>
              <w:rPr>
                <w:sz w:val="20"/>
                <w:szCs w:val="20"/>
                <w:color w:val="auto"/>
              </w:rPr>
            </w:pPr>
            <w:r>
              <w:rPr>
                <w:rFonts w:ascii="Arial" w:cs="Arial" w:eastAsia="Arial" w:hAnsi="Arial"/>
                <w:sz w:val="18"/>
                <w:szCs w:val="18"/>
                <w:color w:val="0038FF"/>
              </w:rPr>
              <w:t>August 3, 2022</w:t>
            </w:r>
          </w:p>
        </w:tc>
        <w:tc>
          <w:tcPr>
            <w:tcW w:w="2100" w:type="dxa"/>
            <w:vAlign w:val="bottom"/>
            <w:gridSpan w:val="2"/>
          </w:tcPr>
          <w:p>
            <w:pPr>
              <w:spacing w:after="0"/>
              <w:rPr>
                <w:sz w:val="20"/>
                <w:szCs w:val="20"/>
                <w:color w:val="auto"/>
              </w:rPr>
            </w:pPr>
            <w:r>
              <w:rPr>
                <w:rFonts w:ascii="Arial" w:cs="Arial" w:eastAsia="Arial" w:hAnsi="Arial"/>
                <w:sz w:val="18"/>
                <w:szCs w:val="18"/>
                <w:color w:val="auto"/>
              </w:rPr>
              <w:t>/s/Kirkland B. Andrews</w:t>
            </w:r>
          </w:p>
        </w:tc>
      </w:tr>
      <w:tr>
        <w:trPr>
          <w:trHeight w:val="196"/>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7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Kirkland B. Andrews</w:t>
            </w:r>
          </w:p>
        </w:tc>
        <w:tc>
          <w:tcPr>
            <w:tcW w:w="400" w:type="dxa"/>
            <w:vAlign w:val="bottom"/>
          </w:tcPr>
          <w:p>
            <w:pPr>
              <w:spacing w:after="0"/>
              <w:rPr>
                <w:sz w:val="17"/>
                <w:szCs w:val="17"/>
                <w:color w:val="auto"/>
              </w:rPr>
            </w:pPr>
          </w:p>
        </w:tc>
      </w:tr>
      <w:tr>
        <w:trPr>
          <w:trHeight w:val="176"/>
        </w:trPr>
        <w:tc>
          <w:tcPr>
            <w:tcW w:w="60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00" w:type="dxa"/>
            <w:vAlign w:val="bottom"/>
            <w:gridSpan w:val="2"/>
          </w:tcPr>
          <w:p>
            <w:pPr>
              <w:spacing w:after="0" w:line="176" w:lineRule="exact"/>
              <w:rPr>
                <w:sz w:val="20"/>
                <w:szCs w:val="20"/>
                <w:color w:val="auto"/>
              </w:rPr>
            </w:pPr>
            <w:r>
              <w:rPr>
                <w:rFonts w:ascii="Arial" w:cs="Arial" w:eastAsia="Arial" w:hAnsi="Arial"/>
                <w:sz w:val="18"/>
                <w:szCs w:val="18"/>
                <w:color w:val="auto"/>
                <w:w w:val="88"/>
              </w:rPr>
              <w:t>Executive Vice President and</w:t>
            </w:r>
          </w:p>
        </w:tc>
      </w:tr>
      <w:tr>
        <w:trPr>
          <w:trHeight w:val="230"/>
        </w:trPr>
        <w:tc>
          <w:tcPr>
            <w:tcW w:w="6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31.3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Metro,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ind w:left="140"/>
              <w:spacing w:after="0"/>
              <w:rPr>
                <w:sz w:val="20"/>
                <w:szCs w:val="20"/>
                <w:color w:val="auto"/>
              </w:rPr>
            </w:pPr>
            <w:r>
              <w:rPr>
                <w:rFonts w:ascii="Arial" w:cs="Arial" w:eastAsia="Arial" w:hAnsi="Arial"/>
                <w:sz w:val="18"/>
                <w:szCs w:val="18"/>
                <w:color w:val="0038FF"/>
              </w:rPr>
              <w:t>August 3, 2022</w:t>
            </w: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/s/David A. Campbell</w:t>
            </w:r>
          </w:p>
        </w:tc>
        <w:tc>
          <w:tcPr>
            <w:tcW w:w="1160" w:type="dxa"/>
            <w:vAlign w:val="bottom"/>
          </w:tcPr>
          <w:p>
            <w:pPr>
              <w:spacing w:after="0"/>
              <w:rPr>
                <w:sz w:val="18"/>
                <w:szCs w:val="18"/>
                <w:color w:val="auto"/>
              </w:rPr>
            </w:pP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740" w:type="dxa"/>
            <w:vAlign w:val="bottom"/>
            <w:gridSpan w:val="2"/>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31.4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Metro,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900" w:type="dxa"/>
            <w:vAlign w:val="bottom"/>
          </w:tcPr>
          <w:p>
            <w:pPr>
              <w:ind w:left="220"/>
              <w:spacing w:after="0"/>
              <w:rPr>
                <w:sz w:val="20"/>
                <w:szCs w:val="20"/>
                <w:color w:val="auto"/>
              </w:rPr>
            </w:pPr>
            <w:r>
              <w:rPr>
                <w:rFonts w:ascii="Arial" w:cs="Arial" w:eastAsia="Arial" w:hAnsi="Arial"/>
                <w:sz w:val="18"/>
                <w:szCs w:val="18"/>
                <w:color w:val="0038FF"/>
              </w:rPr>
              <w:t>August 3, 2022</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Kirkland B. Andrews</w:t>
            </w:r>
          </w:p>
        </w:tc>
        <w:tc>
          <w:tcPr>
            <w:tcW w:w="3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175"/>
        </w:trPr>
        <w:tc>
          <w:tcPr>
            <w:tcW w:w="60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100" w:type="dxa"/>
            <w:vAlign w:val="bottom"/>
            <w:gridSpan w:val="2"/>
          </w:tcPr>
          <w:p>
            <w:pPr>
              <w:spacing w:after="0" w:line="176" w:lineRule="exact"/>
              <w:rPr>
                <w:sz w:val="20"/>
                <w:szCs w:val="20"/>
                <w:color w:val="auto"/>
              </w:rPr>
            </w:pPr>
            <w:r>
              <w:rPr>
                <w:rFonts w:ascii="Arial" w:cs="Arial" w:eastAsia="Arial" w:hAnsi="Arial"/>
                <w:sz w:val="18"/>
                <w:szCs w:val="18"/>
                <w:color w:val="auto"/>
                <w:w w:val="88"/>
              </w:rPr>
              <w:t>Executive Vice President and</w:t>
            </w:r>
          </w:p>
        </w:tc>
      </w:tr>
      <w:tr>
        <w:trPr>
          <w:trHeight w:val="230"/>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31.5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Kansas Central,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ind w:left="140"/>
              <w:spacing w:after="0"/>
              <w:rPr>
                <w:sz w:val="20"/>
                <w:szCs w:val="20"/>
                <w:color w:val="auto"/>
              </w:rPr>
            </w:pPr>
            <w:r>
              <w:rPr>
                <w:rFonts w:ascii="Arial" w:cs="Arial" w:eastAsia="Arial" w:hAnsi="Arial"/>
                <w:sz w:val="18"/>
                <w:szCs w:val="18"/>
                <w:color w:val="0038FF"/>
              </w:rPr>
              <w:t>August 3, 2022</w:t>
            </w: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/s/David A. Campbell</w:t>
            </w:r>
          </w:p>
        </w:tc>
        <w:tc>
          <w:tcPr>
            <w:tcW w:w="1160" w:type="dxa"/>
            <w:vAlign w:val="bottom"/>
          </w:tcPr>
          <w:p>
            <w:pPr>
              <w:spacing w:after="0"/>
              <w:rPr>
                <w:sz w:val="18"/>
                <w:szCs w:val="18"/>
                <w:color w:val="auto"/>
              </w:rPr>
            </w:pP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740" w:type="dxa"/>
            <w:vAlign w:val="bottom"/>
            <w:gridSpan w:val="2"/>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31.6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Kansas Central,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2"/>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2"/>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2"/>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2"/>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571"/>
        <w:spacing w:after="0" w:line="342" w:lineRule="auto"/>
        <w:tabs>
          <w:tab w:leader="none" w:pos="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2"/>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2"/>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900" w:type="dxa"/>
            <w:vAlign w:val="bottom"/>
          </w:tcPr>
          <w:p>
            <w:pPr>
              <w:ind w:left="220"/>
              <w:spacing w:after="0"/>
              <w:rPr>
                <w:sz w:val="20"/>
                <w:szCs w:val="20"/>
                <w:color w:val="auto"/>
              </w:rPr>
            </w:pPr>
            <w:r>
              <w:rPr>
                <w:rFonts w:ascii="Arial" w:cs="Arial" w:eastAsia="Arial" w:hAnsi="Arial"/>
                <w:sz w:val="18"/>
                <w:szCs w:val="18"/>
                <w:color w:val="0038FF"/>
              </w:rPr>
              <w:t>August 3, 2022</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Kirkland B. Andrews</w:t>
            </w:r>
          </w:p>
        </w:tc>
        <w:tc>
          <w:tcPr>
            <w:tcW w:w="3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175"/>
        </w:trPr>
        <w:tc>
          <w:tcPr>
            <w:tcW w:w="60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100" w:type="dxa"/>
            <w:vAlign w:val="bottom"/>
            <w:gridSpan w:val="2"/>
          </w:tcPr>
          <w:p>
            <w:pPr>
              <w:spacing w:after="0" w:line="176" w:lineRule="exact"/>
              <w:rPr>
                <w:sz w:val="20"/>
                <w:szCs w:val="20"/>
                <w:color w:val="auto"/>
              </w:rPr>
            </w:pPr>
            <w:r>
              <w:rPr>
                <w:rFonts w:ascii="Arial" w:cs="Arial" w:eastAsia="Arial" w:hAnsi="Arial"/>
                <w:sz w:val="18"/>
                <w:szCs w:val="18"/>
                <w:color w:val="auto"/>
                <w:w w:val="88"/>
              </w:rPr>
              <w:t>Executive Vice President and</w:t>
            </w:r>
          </w:p>
        </w:tc>
      </w:tr>
      <w:tr>
        <w:trPr>
          <w:trHeight w:val="230"/>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Quarterly Report on Form 10-Q of Evergy, Inc. (the "Company") for the quarterly period ended June 30, 2022,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820" w:hanging="488"/>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right="760" w:hanging="488"/>
        <w:spacing w:after="0" w:line="277" w:lineRule="auto"/>
        <w:tabs>
          <w:tab w:leader="none" w:pos="81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29"/>
        </w:trPr>
        <w:tc>
          <w:tcPr>
            <w:tcW w:w="14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August 3, 2022</w:t>
            </w:r>
          </w:p>
        </w:tc>
      </w:tr>
      <w:tr>
        <w:trPr>
          <w:trHeight w:val="418"/>
        </w:trPr>
        <w:tc>
          <w:tcPr>
            <w:tcW w:w="146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29"/>
        </w:trPr>
        <w:tc>
          <w:tcPr>
            <w:tcW w:w="14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August 3, 2022</w:t>
            </w:r>
          </w:p>
        </w:tc>
      </w:tr>
    </w:tbl>
    <w:p>
      <w:pPr>
        <w:sectPr>
          <w:pgSz w:w="11900" w:h="16838" w:orient="portrait"/>
          <w:cols w:equalWidth="0" w:num="1">
            <w:col w:w="11240"/>
          </w:cols>
          <w:pgMar w:left="320" w:top="895"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connection with the Quarterly Report on Form 10-Q of Evergy Metro, Inc. (the "Company") for the quarterly period ended June 30, 2022,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August 3, 2022</w:t>
            </w:r>
          </w:p>
        </w:tc>
      </w:tr>
      <w:tr>
        <w:trPr>
          <w:trHeight w:val="418"/>
        </w:trPr>
        <w:tc>
          <w:tcPr>
            <w:tcW w:w="150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August 3, 2022</w:t>
            </w:r>
          </w:p>
        </w:tc>
      </w:tr>
    </w:tbl>
    <w:p>
      <w:pPr>
        <w:sectPr>
          <w:pgSz w:w="11900" w:h="16838" w:orient="portrait"/>
          <w:cols w:equalWidth="0" w:num="1">
            <w:col w:w="11240"/>
          </w:cols>
          <w:pgMar w:left="320" w:top="895"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32.3</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connection with the Quarterly Report on Form 10-Q of Evergy Kansas Central, Inc. (the "Company") for the quarterly period ended June 30, 2022,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640" w:hanging="30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August 3, 2022</w:t>
            </w:r>
          </w:p>
        </w:tc>
      </w:tr>
      <w:tr>
        <w:trPr>
          <w:trHeight w:val="418"/>
        </w:trPr>
        <w:tc>
          <w:tcPr>
            <w:tcW w:w="150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August 3, 2022</w:t>
            </w:r>
          </w:p>
        </w:tc>
      </w:tr>
    </w:tbl>
    <w:p>
      <w:pPr>
        <w:spacing w:after="0" w:line="1" w:lineRule="exact"/>
        <w:rPr>
          <w:sz w:val="20"/>
          <w:szCs w:val="20"/>
          <w:color w:val="auto"/>
        </w:rPr>
      </w:pP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lowerLetter"/>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decimal"/>
      <w:start w:val="4"/>
    </w:lvl>
    <w:lvl w:ilvl="1">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1)"/>
      <w:numFmt w:val="lowerLetter"/>
      <w:start w:val="1"/>
    </w:lvl>
  </w:abstractNum>
  <w:abstractNum w:abstractNumId="8">
    <w:nsid w:val="7C3DBD3D"/>
    <w:multiLevelType w:val="hybridMultilevel"/>
    <w:lvl w:ilvl="0">
      <w:lvlJc w:val="left"/>
      <w:lvlText w:val="(%1)"/>
      <w:numFmt w:val="lowerLetter"/>
      <w:start w:val="1"/>
    </w:lvl>
  </w:abstractNum>
  <w:abstractNum w:abstractNumId="9">
    <w:nsid w:val="737B8DDC"/>
    <w:multiLevelType w:val="hybridMultilevel"/>
    <w:lvl w:ilvl="0">
      <w:lvlJc w:val="left"/>
      <w:lvlText w:val="(%1)"/>
      <w:numFmt w:val="lowerLetter"/>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lowerLetter"/>
      <w:start w:val="1"/>
    </w:lvl>
  </w:abstractNum>
  <w:abstractNum w:abstractNumId="12">
    <w:nsid w:val="4516DDE9"/>
    <w:multiLevelType w:val="hybridMultilevel"/>
    <w:lvl w:ilvl="0">
      <w:lvlJc w:val="left"/>
      <w:lvlText w:val="(%1)"/>
      <w:numFmt w:val="lowerLetter"/>
      <w:start w:val="1"/>
    </w:lvl>
  </w:abstractNum>
  <w:abstractNum w:abstractNumId="13">
    <w:nsid w:val="3006C83E"/>
    <w:multiLevelType w:val="hybridMultilevel"/>
    <w:lvl w:ilvl="0">
      <w:lvlJc w:val="left"/>
      <w:lvlText w:val="(%1)"/>
      <w:numFmt w:val="lowerLetter"/>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lvl w:ilvl="1">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1)"/>
      <w:numFmt w:val="lowerLetter"/>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1."/>
      <w:numFmt w:val="decimal"/>
      <w:start w:val="1"/>
    </w:lvl>
    <w:lvl w:ilvl="1">
      <w:lvlJc w:val="left"/>
      <w:lvlText w:val="(%2)"/>
      <w:numFmt w:val="lowerLetter"/>
      <w:start w:val="1"/>
    </w:lvl>
  </w:abstractNum>
  <w:abstractNum w:abstractNumId="45">
    <w:nsid w:val="579478FE"/>
    <w:multiLevelType w:val="hybridMultilevel"/>
    <w:lvl w:ilvl="0">
      <w:lvlJc w:val="left"/>
      <w:lvlText w:val="%1."/>
      <w:numFmt w:val="decimal"/>
      <w:start w:val="1"/>
    </w:lvl>
    <w:lvl w:ilvl="1">
      <w:lvlJc w:val="left"/>
      <w:lvlText w:val="(%2)"/>
      <w:numFmt w:val="lowerLetter"/>
      <w:start w:val="1"/>
    </w:lvl>
  </w:abstractNum>
  <w:abstractNum w:abstractNumId="46">
    <w:nsid w:val="749ABB43"/>
    <w:multiLevelType w:val="hybridMultilevel"/>
    <w:lvl w:ilvl="0">
      <w:lvlJc w:val="left"/>
      <w:lvlText w:val="%1."/>
      <w:numFmt w:val="decimal"/>
      <w:start w:val="1"/>
    </w:lvl>
    <w:lvl w:ilvl="1">
      <w:lvlJc w:val="left"/>
      <w:lvlText w:val="(%2)"/>
      <w:numFmt w:val="lowerLetter"/>
      <w:start w:val="1"/>
    </w:lvl>
  </w:abstractNum>
  <w:abstractNum w:abstractNumId="47">
    <w:nsid w:val="3DC240FB"/>
    <w:multiLevelType w:val="hybridMultilevel"/>
    <w:lvl w:ilvl="0">
      <w:lvlJc w:val="left"/>
      <w:lvlText w:val="%1."/>
      <w:numFmt w:val="decimal"/>
      <w:start w:val="1"/>
    </w:lvl>
    <w:lvl w:ilvl="1">
      <w:lvlJc w:val="left"/>
      <w:lvlText w:val="(%2)"/>
      <w:numFmt w:val="lowerLetter"/>
      <w:start w:val="1"/>
    </w:lvl>
  </w:abstractNum>
  <w:abstractNum w:abstractNumId="48">
    <w:nsid w:val="1BA026FA"/>
    <w:multiLevelType w:val="hybridMultilevel"/>
    <w:lvl w:ilvl="0">
      <w:lvlJc w:val="left"/>
      <w:lvlText w:val="%1."/>
      <w:numFmt w:val="decimal"/>
      <w:start w:val="1"/>
    </w:lvl>
    <w:lvl w:ilvl="1">
      <w:lvlJc w:val="left"/>
      <w:lvlText w:val="(%2)"/>
      <w:numFmt w:val="lowerLetter"/>
      <w:start w:val="1"/>
    </w:lvl>
  </w:abstractNum>
  <w:abstractNum w:abstractNumId="49">
    <w:nsid w:val="79A1DEAA"/>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2022-08-04T05:18:28Z</dcterms:created>
  <dcterms:modified xsi:type="dcterms:W3CDTF">2022-08-04T05:18:28Z</dcterms:modified>
</cp:coreProperties>
</file>