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223" w:lineRule="exact"/>
        <w:rPr>
          <w:sz w:val="24"/>
          <w:szCs w:val="24"/>
          <w:color w:val="auto"/>
        </w:rPr>
      </w:pPr>
    </w:p>
    <w:p>
      <w:pPr>
        <w:jc w:val="center"/>
        <w:ind w:left="4640" w:right="2540" w:hanging="2101"/>
        <w:spacing w:after="0" w:line="279" w:lineRule="auto"/>
        <w:tabs>
          <w:tab w:leader="none" w:pos="274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For the fiscal year ended </w:t>
      </w:r>
      <w:r>
        <w:rPr>
          <w:rFonts w:ascii="Arial" w:cs="Arial" w:eastAsia="Arial" w:hAnsi="Arial"/>
          <w:sz w:val="17"/>
          <w:szCs w:val="17"/>
          <w:b w:val="1"/>
          <w:bCs w:val="1"/>
          <w:color w:val="auto"/>
        </w:rPr>
        <w:t>December 31, 2021</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217" w:lineRule="exact"/>
        <w:rPr>
          <w:sz w:val="24"/>
          <w:szCs w:val="24"/>
          <w:color w:val="auto"/>
        </w:rPr>
      </w:pPr>
    </w:p>
    <w:p>
      <w:pPr>
        <w:jc w:val="center"/>
        <w:ind w:left="4640" w:right="2380" w:hanging="2253"/>
        <w:spacing w:after="0" w:line="279" w:lineRule="auto"/>
        <w:tabs>
          <w:tab w:leader="none" w:pos="2591"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164"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2359660</wp:posOffset>
            </wp:positionH>
            <wp:positionV relativeFrom="paragraph">
              <wp:posOffset>145415</wp:posOffset>
            </wp:positionV>
            <wp:extent cx="2431415" cy="556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31415" cy="556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0"/>
              </w:rPr>
              <w:t>Exact name of registrant as specified in its charter,</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 w:type="dxa"/>
            <w:vAlign w:val="bottom"/>
          </w:tcPr>
          <w:p>
            <w:pPr>
              <w:spacing w:after="0"/>
              <w:rPr>
                <w:sz w:val="19"/>
                <w:szCs w:val="19"/>
                <w:color w:val="auto"/>
              </w:rPr>
            </w:pPr>
          </w:p>
        </w:tc>
        <w:tc>
          <w:tcPr>
            <w:tcW w:w="2200" w:type="dxa"/>
            <w:vAlign w:val="bottom"/>
            <w:gridSpan w:val="5"/>
          </w:tcPr>
          <w:p>
            <w:pPr>
              <w:jc w:val="center"/>
              <w:ind w:right="900"/>
              <w:spacing w:after="0"/>
              <w:rPr>
                <w:sz w:val="20"/>
                <w:szCs w:val="20"/>
                <w:color w:val="auto"/>
              </w:rPr>
            </w:pPr>
            <w:r>
              <w:rPr>
                <w:rFonts w:ascii="Arial" w:cs="Arial" w:eastAsia="Arial" w:hAnsi="Arial"/>
                <w:sz w:val="17"/>
                <w:szCs w:val="17"/>
                <w:b w:val="1"/>
                <w:bCs w:val="1"/>
                <w:color w:val="auto"/>
                <w:w w:val="88"/>
              </w:rPr>
              <w:t>Commission</w:t>
            </w:r>
          </w:p>
        </w:tc>
        <w:tc>
          <w:tcPr>
            <w:tcW w:w="53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0"/>
              </w:rPr>
              <w:t>state of incorporation, address of principal</w:t>
            </w:r>
          </w:p>
        </w:tc>
        <w:tc>
          <w:tcPr>
            <w:tcW w:w="240" w:type="dxa"/>
            <w:vAlign w:val="bottom"/>
          </w:tcPr>
          <w:p>
            <w:pPr>
              <w:spacing w:after="0"/>
              <w:rPr>
                <w:sz w:val="19"/>
                <w:szCs w:val="19"/>
                <w:color w:val="auto"/>
              </w:rPr>
            </w:pPr>
          </w:p>
        </w:tc>
        <w:tc>
          <w:tcPr>
            <w:tcW w:w="266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94"/>
              </w:rPr>
              <w:t>I.R.S. Employer</w:t>
            </w:r>
          </w:p>
        </w:tc>
        <w:tc>
          <w:tcPr>
            <w:tcW w:w="0" w:type="dxa"/>
            <w:vAlign w:val="bottom"/>
          </w:tcPr>
          <w:p>
            <w:pPr>
              <w:spacing w:after="0"/>
              <w:rPr>
                <w:sz w:val="1"/>
                <w:szCs w:val="1"/>
                <w:color w:val="auto"/>
              </w:rPr>
            </w:pPr>
          </w:p>
        </w:tc>
      </w:tr>
      <w:tr>
        <w:trPr>
          <w:trHeight w:val="230"/>
        </w:trPr>
        <w:tc>
          <w:tcPr>
            <w:tcW w:w="7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7"/>
                <w:szCs w:val="17"/>
                <w:b w:val="1"/>
                <w:bCs w:val="1"/>
                <w:color w:val="auto"/>
                <w:w w:val="95"/>
              </w:rPr>
              <w:t>File Number</w:t>
            </w:r>
          </w:p>
        </w:tc>
        <w:tc>
          <w:tcPr>
            <w:tcW w:w="100" w:type="dxa"/>
            <w:vAlign w:val="bottom"/>
            <w:gridSpan w:val="2"/>
          </w:tcPr>
          <w:p>
            <w:pPr>
              <w:spacing w:after="0"/>
              <w:rPr>
                <w:sz w:val="20"/>
                <w:szCs w:val="20"/>
                <w:color w:val="auto"/>
              </w:rPr>
            </w:pPr>
          </w:p>
        </w:tc>
        <w:tc>
          <w:tcPr>
            <w:tcW w:w="52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executive offices and telephone number</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7"/>
                <w:szCs w:val="17"/>
                <w:b w:val="1"/>
                <w:bCs w:val="1"/>
                <w:color w:val="auto"/>
                <w:w w:val="94"/>
              </w:rPr>
              <w:t>Identification Number</w:t>
            </w:r>
          </w:p>
        </w:tc>
        <w:tc>
          <w:tcPr>
            <w:tcW w:w="0" w:type="dxa"/>
            <w:vAlign w:val="bottom"/>
          </w:tcPr>
          <w:p>
            <w:pPr>
              <w:spacing w:after="0"/>
              <w:rPr>
                <w:sz w:val="1"/>
                <w:szCs w:val="1"/>
                <w:color w:val="auto"/>
              </w:rPr>
            </w:pPr>
          </w:p>
        </w:tc>
      </w:tr>
      <w:tr>
        <w:trPr>
          <w:trHeight w:val="437"/>
        </w:trPr>
        <w:tc>
          <w:tcPr>
            <w:tcW w:w="2080" w:type="dxa"/>
            <w:vAlign w:val="bottom"/>
            <w:gridSpan w:val="2"/>
          </w:tcPr>
          <w:p>
            <w:pPr>
              <w:jc w:val="center"/>
              <w:ind w:left="694"/>
              <w:spacing w:after="0"/>
              <w:rPr>
                <w:sz w:val="20"/>
                <w:szCs w:val="20"/>
                <w:color w:val="auto"/>
              </w:rPr>
            </w:pPr>
            <w:r>
              <w:rPr>
                <w:rFonts w:ascii="Arial" w:cs="Arial" w:eastAsia="Arial" w:hAnsi="Arial"/>
                <w:sz w:val="17"/>
                <w:szCs w:val="17"/>
                <w:color w:val="auto"/>
                <w:w w:val="90"/>
              </w:rPr>
              <w:t>001-38515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20" w:type="dxa"/>
            <w:vAlign w:val="bottom"/>
            <w:gridSpan w:val="3"/>
          </w:tcPr>
          <w:p>
            <w:pPr>
              <w:jc w:val="center"/>
              <w:ind w:right="2020"/>
              <w:spacing w:after="0"/>
              <w:rPr>
                <w:sz w:val="20"/>
                <w:szCs w:val="20"/>
                <w:color w:val="auto"/>
              </w:rPr>
            </w:pPr>
            <w:r>
              <w:rPr>
                <w:rFonts w:ascii="Arial" w:cs="Arial" w:eastAsia="Arial" w:hAnsi="Arial"/>
                <w:sz w:val="17"/>
                <w:szCs w:val="17"/>
                <w:b w:val="1"/>
                <w:bCs w:val="1"/>
                <w:color w:val="auto"/>
              </w:rPr>
              <w:t>EVERGY, INC.</w:t>
            </w:r>
          </w:p>
        </w:tc>
        <w:tc>
          <w:tcPr>
            <w:tcW w:w="2660" w:type="dxa"/>
            <w:vAlign w:val="bottom"/>
            <w:gridSpan w:val="4"/>
          </w:tcPr>
          <w:p>
            <w:pPr>
              <w:jc w:val="center"/>
              <w:ind w:left="154"/>
              <w:spacing w:after="0"/>
              <w:rPr>
                <w:sz w:val="20"/>
                <w:szCs w:val="20"/>
                <w:color w:val="auto"/>
              </w:rPr>
            </w:pPr>
            <w:r>
              <w:rPr>
                <w:rFonts w:ascii="Arial" w:cs="Arial" w:eastAsia="Arial" w:hAnsi="Arial"/>
                <w:sz w:val="17"/>
                <w:szCs w:val="17"/>
                <w:color w:val="auto"/>
                <w:w w:val="90"/>
              </w:rPr>
              <w:t>82-2733395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7"/>
                <w:szCs w:val="17"/>
                <w:color w:val="auto"/>
                <w:w w:val="94"/>
              </w:rPr>
              <w:t>(a Missouri corporation)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20" w:type="dxa"/>
            <w:vAlign w:val="bottom"/>
            <w:gridSpan w:val="3"/>
          </w:tcPr>
          <w:p>
            <w:pPr>
              <w:jc w:val="center"/>
              <w:ind w:right="2020"/>
              <w:spacing w:after="0"/>
              <w:rPr>
                <w:sz w:val="20"/>
                <w:szCs w:val="20"/>
                <w:color w:val="auto"/>
              </w:rPr>
            </w:pPr>
            <w:r>
              <w:rPr>
                <w:rFonts w:ascii="Arial" w:cs="Arial" w:eastAsia="Arial" w:hAnsi="Arial"/>
                <w:sz w:val="17"/>
                <w:szCs w:val="17"/>
                <w:color w:val="auto"/>
                <w:w w:val="92"/>
              </w:rPr>
              <w:t>1200 Main Street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7"/>
                <w:szCs w:val="17"/>
                <w:color w:val="auto"/>
                <w:w w:val="92"/>
              </w:rPr>
              <w:t>Kansas City, Missouri 64105</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2"/>
          </w:tcPr>
          <w:p>
            <w:pPr>
              <w:jc w:val="center"/>
              <w:ind w:left="1854"/>
              <w:spacing w:after="0"/>
              <w:rPr>
                <w:sz w:val="20"/>
                <w:szCs w:val="20"/>
                <w:color w:val="auto"/>
              </w:rPr>
            </w:pPr>
            <w:r>
              <w:rPr>
                <w:rFonts w:ascii="Arial" w:cs="Arial" w:eastAsia="Arial" w:hAnsi="Arial"/>
                <w:sz w:val="17"/>
                <w:szCs w:val="17"/>
                <w:color w:val="auto"/>
                <w:w w:val="92"/>
              </w:rPr>
              <w:t>(816) 556-2200</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4"/>
        </w:trPr>
        <w:tc>
          <w:tcPr>
            <w:tcW w:w="2080" w:type="dxa"/>
            <w:vAlign w:val="bottom"/>
            <w:gridSpan w:val="2"/>
          </w:tcPr>
          <w:p>
            <w:pPr>
              <w:jc w:val="center"/>
              <w:ind w:left="694"/>
              <w:spacing w:after="0"/>
              <w:rPr>
                <w:sz w:val="20"/>
                <w:szCs w:val="20"/>
                <w:color w:val="auto"/>
              </w:rPr>
            </w:pPr>
            <w:r>
              <w:rPr>
                <w:rFonts w:ascii="Arial" w:cs="Arial" w:eastAsia="Arial" w:hAnsi="Arial"/>
                <w:sz w:val="17"/>
                <w:szCs w:val="17"/>
                <w:color w:val="auto"/>
                <w:w w:val="90"/>
              </w:rPr>
              <w:t>001-03523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rPr>
              <w:t>EVERGY KANSAS CENTRAL, INC.</w:t>
            </w:r>
          </w:p>
        </w:tc>
        <w:tc>
          <w:tcPr>
            <w:tcW w:w="2660" w:type="dxa"/>
            <w:vAlign w:val="bottom"/>
            <w:gridSpan w:val="4"/>
          </w:tcPr>
          <w:p>
            <w:pPr>
              <w:jc w:val="center"/>
              <w:ind w:left="154"/>
              <w:spacing w:after="0"/>
              <w:rPr>
                <w:sz w:val="20"/>
                <w:szCs w:val="20"/>
                <w:color w:val="auto"/>
              </w:rPr>
            </w:pPr>
            <w:r>
              <w:rPr>
                <w:rFonts w:ascii="Arial" w:cs="Arial" w:eastAsia="Arial" w:hAnsi="Arial"/>
                <w:sz w:val="17"/>
                <w:szCs w:val="17"/>
                <w:color w:val="auto"/>
                <w:w w:val="90"/>
              </w:rPr>
              <w:t>48-0290150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7"/>
                <w:szCs w:val="17"/>
                <w:color w:val="auto"/>
                <w:w w:val="90"/>
              </w:rPr>
              <w:t>(a Kansas corporation)</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7"/>
                <w:szCs w:val="17"/>
                <w:color w:val="auto"/>
                <w:w w:val="89"/>
              </w:rPr>
              <w:t>818 South Kansas Avenue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7"/>
                <w:szCs w:val="17"/>
                <w:color w:val="auto"/>
                <w:w w:val="89"/>
              </w:rPr>
              <w:t>Topeka, Kansas 66612</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2"/>
          </w:tcPr>
          <w:p>
            <w:pPr>
              <w:jc w:val="center"/>
              <w:ind w:left="1854"/>
              <w:spacing w:after="0"/>
              <w:rPr>
                <w:sz w:val="20"/>
                <w:szCs w:val="20"/>
                <w:color w:val="auto"/>
              </w:rPr>
            </w:pPr>
            <w:r>
              <w:rPr>
                <w:rFonts w:ascii="Arial" w:cs="Arial" w:eastAsia="Arial" w:hAnsi="Arial"/>
                <w:sz w:val="17"/>
                <w:szCs w:val="17"/>
                <w:color w:val="auto"/>
                <w:w w:val="92"/>
              </w:rPr>
              <w:t>(785) 575-6300</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jc w:val="center"/>
              <w:ind w:left="694"/>
              <w:spacing w:after="0"/>
              <w:rPr>
                <w:sz w:val="20"/>
                <w:szCs w:val="20"/>
                <w:color w:val="auto"/>
              </w:rPr>
            </w:pPr>
            <w:r>
              <w:rPr>
                <w:rFonts w:ascii="Arial" w:cs="Arial" w:eastAsia="Arial" w:hAnsi="Arial"/>
                <w:sz w:val="17"/>
                <w:szCs w:val="17"/>
                <w:color w:val="auto"/>
                <w:w w:val="90"/>
              </w:rPr>
              <w:t>000-51873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rPr>
              <w:t>EVERGY METRO, INC.</w:t>
            </w:r>
          </w:p>
        </w:tc>
        <w:tc>
          <w:tcPr>
            <w:tcW w:w="2660" w:type="dxa"/>
            <w:vAlign w:val="bottom"/>
            <w:gridSpan w:val="4"/>
          </w:tcPr>
          <w:p>
            <w:pPr>
              <w:jc w:val="center"/>
              <w:ind w:left="154"/>
              <w:spacing w:after="0"/>
              <w:rPr>
                <w:sz w:val="20"/>
                <w:szCs w:val="20"/>
                <w:color w:val="auto"/>
              </w:rPr>
            </w:pPr>
            <w:r>
              <w:rPr>
                <w:rFonts w:ascii="Arial" w:cs="Arial" w:eastAsia="Arial" w:hAnsi="Arial"/>
                <w:sz w:val="17"/>
                <w:szCs w:val="17"/>
                <w:color w:val="auto"/>
                <w:w w:val="90"/>
              </w:rPr>
              <w:t>44-0308720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7"/>
                <w:szCs w:val="17"/>
                <w:color w:val="auto"/>
                <w:w w:val="94"/>
              </w:rPr>
              <w:t>(a Missouri corporation)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20" w:type="dxa"/>
            <w:vAlign w:val="bottom"/>
            <w:gridSpan w:val="3"/>
          </w:tcPr>
          <w:p>
            <w:pPr>
              <w:jc w:val="center"/>
              <w:ind w:right="2020"/>
              <w:spacing w:after="0"/>
              <w:rPr>
                <w:sz w:val="20"/>
                <w:szCs w:val="20"/>
                <w:color w:val="auto"/>
              </w:rPr>
            </w:pPr>
            <w:r>
              <w:rPr>
                <w:rFonts w:ascii="Arial" w:cs="Arial" w:eastAsia="Arial" w:hAnsi="Arial"/>
                <w:sz w:val="17"/>
                <w:szCs w:val="17"/>
                <w:color w:val="auto"/>
                <w:w w:val="92"/>
              </w:rPr>
              <w:t>1200 Main Street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7"/>
                <w:szCs w:val="17"/>
                <w:color w:val="auto"/>
                <w:w w:val="92"/>
              </w:rPr>
              <w:t>Kansas City, Missouri 64105</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2"/>
          </w:tcPr>
          <w:p>
            <w:pPr>
              <w:jc w:val="center"/>
              <w:ind w:left="1854"/>
              <w:spacing w:after="0"/>
              <w:rPr>
                <w:sz w:val="20"/>
                <w:szCs w:val="20"/>
                <w:color w:val="auto"/>
              </w:rPr>
            </w:pPr>
            <w:r>
              <w:rPr>
                <w:rFonts w:ascii="Arial" w:cs="Arial" w:eastAsia="Arial" w:hAnsi="Arial"/>
                <w:sz w:val="17"/>
                <w:szCs w:val="17"/>
                <w:color w:val="auto"/>
                <w:w w:val="92"/>
              </w:rPr>
              <w:t>(816) 556-2200</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ind w:left="640"/>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2900" w:type="dxa"/>
            <w:vAlign w:val="bottom"/>
            <w:gridSpan w:val="5"/>
            <w:vMerge w:val="restart"/>
          </w:tcPr>
          <w:p>
            <w:pPr>
              <w:jc w:val="center"/>
              <w:spacing w:after="0"/>
              <w:rPr>
                <w:sz w:val="20"/>
                <w:szCs w:val="20"/>
                <w:color w:val="auto"/>
              </w:rPr>
            </w:pPr>
            <w:r>
              <w:rPr>
                <w:rFonts w:ascii="Arial" w:cs="Arial" w:eastAsia="Arial" w:hAnsi="Arial"/>
                <w:sz w:val="17"/>
                <w:szCs w:val="17"/>
                <w:b w:val="1"/>
                <w:bCs w:val="1"/>
                <w:color w:val="auto"/>
                <w:w w:val="88"/>
              </w:rPr>
              <w:t>Name of each exchange on which</w:t>
            </w:r>
          </w:p>
        </w:tc>
        <w:tc>
          <w:tcPr>
            <w:tcW w:w="0" w:type="dxa"/>
            <w:vAlign w:val="bottom"/>
          </w:tcPr>
          <w:p>
            <w:pPr>
              <w:spacing w:after="0"/>
              <w:rPr>
                <w:sz w:val="1"/>
                <w:szCs w:val="1"/>
                <w:color w:val="auto"/>
              </w:rPr>
            </w:pPr>
          </w:p>
        </w:tc>
      </w:tr>
      <w:tr>
        <w:trPr>
          <w:trHeight w:val="182"/>
        </w:trPr>
        <w:tc>
          <w:tcPr>
            <w:tcW w:w="2980" w:type="dxa"/>
            <w:vAlign w:val="bottom"/>
            <w:gridSpan w:val="6"/>
            <w:vMerge w:val="restart"/>
          </w:tcPr>
          <w:p>
            <w:pPr>
              <w:jc w:val="center"/>
              <w:ind w:right="120"/>
              <w:spacing w:after="0"/>
              <w:rPr>
                <w:sz w:val="20"/>
                <w:szCs w:val="20"/>
                <w:color w:val="auto"/>
              </w:rPr>
            </w:pPr>
            <w:r>
              <w:rPr>
                <w:rFonts w:ascii="Arial" w:cs="Arial" w:eastAsia="Arial" w:hAnsi="Arial"/>
                <w:sz w:val="17"/>
                <w:szCs w:val="17"/>
                <w:b w:val="1"/>
                <w:bCs w:val="1"/>
                <w:color w:val="auto"/>
                <w:w w:val="88"/>
              </w:rPr>
              <w:t>Title of each class</w:t>
            </w:r>
          </w:p>
        </w:tc>
        <w:tc>
          <w:tcPr>
            <w:tcW w:w="5340" w:type="dxa"/>
            <w:vAlign w:val="bottom"/>
            <w:gridSpan w:val="4"/>
            <w:vMerge w:val="restart"/>
          </w:tcPr>
          <w:p>
            <w:pPr>
              <w:jc w:val="center"/>
              <w:ind w:right="120"/>
              <w:spacing w:after="0"/>
              <w:rPr>
                <w:sz w:val="20"/>
                <w:szCs w:val="20"/>
                <w:color w:val="auto"/>
              </w:rPr>
            </w:pPr>
            <w:r>
              <w:rPr>
                <w:rFonts w:ascii="Arial" w:cs="Arial" w:eastAsia="Arial" w:hAnsi="Arial"/>
                <w:sz w:val="17"/>
                <w:szCs w:val="17"/>
                <w:b w:val="1"/>
                <w:bCs w:val="1"/>
                <w:color w:val="auto"/>
                <w:w w:val="92"/>
              </w:rPr>
              <w:t>Trading Symbol(s)</w:t>
            </w:r>
          </w:p>
        </w:tc>
        <w:tc>
          <w:tcPr>
            <w:tcW w:w="29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2980" w:type="dxa"/>
            <w:vAlign w:val="bottom"/>
            <w:gridSpan w:val="6"/>
            <w:vMerge w:val="continue"/>
          </w:tcPr>
          <w:p>
            <w:pPr>
              <w:spacing w:after="0"/>
              <w:rPr>
                <w:sz w:val="4"/>
                <w:szCs w:val="4"/>
                <w:color w:val="auto"/>
              </w:rPr>
            </w:pPr>
          </w:p>
        </w:tc>
        <w:tc>
          <w:tcPr>
            <w:tcW w:w="534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Borders>
              <w:top w:val="single" w:sz="8" w:color="auto"/>
            </w:tcBorders>
            <w:vMerge w:val="restart"/>
          </w:tcPr>
          <w:p>
            <w:pPr>
              <w:spacing w:after="0"/>
              <w:rPr>
                <w:sz w:val="4"/>
                <w:szCs w:val="4"/>
                <w:color w:val="auto"/>
              </w:rPr>
            </w:pPr>
          </w:p>
        </w:tc>
        <w:tc>
          <w:tcPr>
            <w:tcW w:w="740" w:type="dxa"/>
            <w:vAlign w:val="bottom"/>
            <w:tcBorders>
              <w:top w:val="single" w:sz="8" w:color="auto"/>
            </w:tcBorders>
            <w:vMerge w:val="restart"/>
          </w:tcPr>
          <w:p>
            <w:pPr>
              <w:jc w:val="center"/>
              <w:spacing w:after="0" w:line="148" w:lineRule="exact"/>
              <w:rPr>
                <w:sz w:val="20"/>
                <w:szCs w:val="20"/>
                <w:color w:val="auto"/>
              </w:rPr>
            </w:pPr>
            <w:r>
              <w:rPr>
                <w:rFonts w:ascii="Arial" w:cs="Arial" w:eastAsia="Arial" w:hAnsi="Arial"/>
                <w:sz w:val="17"/>
                <w:szCs w:val="17"/>
                <w:b w:val="1"/>
                <w:bCs w:val="1"/>
                <w:color w:val="auto"/>
                <w:w w:val="89"/>
              </w:rPr>
              <w:t>registered</w:t>
            </w:r>
          </w:p>
        </w:tc>
        <w:tc>
          <w:tcPr>
            <w:tcW w:w="840" w:type="dxa"/>
            <w:vAlign w:val="bottom"/>
            <w:tcBorders>
              <w:top w:val="single" w:sz="8" w:color="auto"/>
            </w:tcBorders>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78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380" w:type="dxa"/>
            <w:vAlign w:val="bottom"/>
            <w:tcBorders>
              <w:top w:val="single" w:sz="8" w:color="auto"/>
            </w:tcBorders>
          </w:tcPr>
          <w:p>
            <w:pPr>
              <w:spacing w:after="0"/>
              <w:rPr>
                <w:sz w:val="6"/>
                <w:szCs w:val="6"/>
                <w:color w:val="auto"/>
              </w:rPr>
            </w:pPr>
          </w:p>
        </w:tc>
        <w:tc>
          <w:tcPr>
            <w:tcW w:w="1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Borders>
              <w:top w:val="single" w:sz="8" w:color="auto"/>
            </w:tcBorders>
            <w:vMerge w:val="continue"/>
          </w:tcPr>
          <w:p>
            <w:pPr>
              <w:spacing w:after="0"/>
              <w:rPr>
                <w:sz w:val="6"/>
                <w:szCs w:val="6"/>
                <w:color w:val="auto"/>
              </w:rPr>
            </w:pPr>
          </w:p>
        </w:tc>
        <w:tc>
          <w:tcPr>
            <w:tcW w:w="740" w:type="dxa"/>
            <w:vAlign w:val="bottom"/>
            <w:tcBorders>
              <w:top w:val="single" w:sz="8" w:color="auto"/>
              <w:bottom w:val="single" w:sz="8" w:color="auto"/>
            </w:tcBorders>
            <w:vMerge w:val="continue"/>
          </w:tcPr>
          <w:p>
            <w:pPr>
              <w:spacing w:after="0"/>
              <w:rPr>
                <w:sz w:val="6"/>
                <w:szCs w:val="6"/>
                <w:color w:val="auto"/>
              </w:rPr>
            </w:pPr>
          </w:p>
        </w:tc>
        <w:tc>
          <w:tcPr>
            <w:tcW w:w="840" w:type="dxa"/>
            <w:vAlign w:val="bottom"/>
            <w:tcBorders>
              <w:top w:val="single" w:sz="8" w:color="auto"/>
            </w:tcBorders>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2"/>
              </w:rPr>
              <w:t>Evergy, Inc. common stock</w:t>
            </w:r>
          </w:p>
        </w:tc>
        <w:tc>
          <w:tcPr>
            <w:tcW w:w="10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2"/>
          </w:tcPr>
          <w:p>
            <w:pPr>
              <w:jc w:val="center"/>
              <w:ind w:right="1940"/>
              <w:spacing w:after="0"/>
              <w:rPr>
                <w:sz w:val="20"/>
                <w:szCs w:val="20"/>
                <w:color w:val="auto"/>
              </w:rPr>
            </w:pPr>
            <w:r>
              <w:rPr>
                <w:rFonts w:ascii="Arial" w:cs="Arial" w:eastAsia="Arial" w:hAnsi="Arial"/>
                <w:sz w:val="17"/>
                <w:szCs w:val="17"/>
                <w:color w:val="auto"/>
                <w:w w:val="95"/>
              </w:rPr>
              <w:t>EVRG</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7"/>
                <w:szCs w:val="17"/>
                <w:color w:val="auto"/>
                <w:w w:val="92"/>
              </w:rPr>
              <w:t>New York Stock Exchange</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right="320"/>
        <w:spacing w:after="0" w:line="279" w:lineRule="auto"/>
        <w:rPr>
          <w:sz w:val="20"/>
          <w:szCs w:val="20"/>
          <w:color w:val="auto"/>
        </w:rPr>
      </w:pPr>
      <w:r>
        <w:rPr>
          <w:rFonts w:ascii="Arial" w:cs="Arial" w:eastAsia="Arial" w:hAnsi="Arial"/>
          <w:sz w:val="17"/>
          <w:szCs w:val="17"/>
          <w:color w:val="auto"/>
        </w:rPr>
        <w:t>Securities registered pursuant to Section 12(g) of the Act: Evergy Kansas Central, Inc. Common Stock $0.01 par value and Evergy Metro, Inc. 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500380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354330</wp:posOffset>
            </wp:positionV>
            <wp:extent cx="711390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Arial" w:cs="Arial" w:eastAsia="Arial" w:hAnsi="Arial"/>
                <w:sz w:val="15"/>
                <w:szCs w:val="15"/>
                <w:color w:val="auto"/>
              </w:rPr>
              <w:t>Evergy,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4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Metro,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Arial" w:cs="Arial" w:eastAsia="Arial" w:hAnsi="Arial"/>
                <w:sz w:val="15"/>
                <w:szCs w:val="15"/>
                <w:color w:val="auto"/>
              </w:rPr>
              <w:t>Evergy,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Metro,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8" w:lineRule="exact"/>
        <w:rPr>
          <w:sz w:val="20"/>
          <w:szCs w:val="20"/>
          <w:color w:val="auto"/>
        </w:rPr>
      </w:pPr>
    </w:p>
    <w:p>
      <w:pPr>
        <w:ind w:left="40" w:right="280"/>
        <w:spacing w:after="0" w:line="28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Arial" w:cs="Arial" w:eastAsia="Arial" w:hAnsi="Arial"/>
                <w:sz w:val="15"/>
                <w:szCs w:val="15"/>
                <w:color w:val="auto"/>
              </w:rPr>
              <w:t>Evergy,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Metro,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38" w:lineRule="exact"/>
        <w:rPr>
          <w:sz w:val="20"/>
          <w:szCs w:val="20"/>
          <w:color w:val="auto"/>
        </w:rPr>
      </w:pPr>
    </w:p>
    <w:p>
      <w:pPr>
        <w:ind w:left="40" w:right="200"/>
        <w:spacing w:after="0" w:line="24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Arial" w:cs="Arial" w:eastAsia="Arial" w:hAnsi="Arial"/>
                <w:sz w:val="15"/>
                <w:szCs w:val="15"/>
                <w:color w:val="auto"/>
              </w:rPr>
              <w:t>Evergy,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Metro,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93" w:lineRule="exact"/>
        <w:rPr>
          <w:sz w:val="20"/>
          <w:szCs w:val="20"/>
          <w:color w:val="auto"/>
        </w:rPr>
      </w:pPr>
    </w:p>
    <w:p>
      <w:pPr>
        <w:ind w:left="40" w:right="340"/>
        <w:spacing w:after="0" w:line="28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380" w:type="dxa"/>
            <w:vAlign w:val="bottom"/>
          </w:tcPr>
          <w:p>
            <w:pPr>
              <w:spacing w:after="0"/>
              <w:rPr>
                <w:sz w:val="20"/>
                <w:szCs w:val="20"/>
                <w:color w:val="auto"/>
              </w:rPr>
            </w:pPr>
            <w:r>
              <w:rPr>
                <w:rFonts w:ascii="Arial" w:cs="Arial" w:eastAsia="Arial" w:hAnsi="Arial"/>
                <w:sz w:val="15"/>
                <w:szCs w:val="15"/>
                <w:color w:val="auto"/>
              </w:rPr>
              <w:t>Evergy, Inc.</w:t>
            </w:r>
          </w:p>
        </w:tc>
        <w:tc>
          <w:tcPr>
            <w:tcW w:w="1520" w:type="dxa"/>
            <w:vAlign w:val="bottom"/>
          </w:tcPr>
          <w:p>
            <w:pPr>
              <w:jc w:val="center"/>
              <w:ind w:left="443"/>
              <w:spacing w:after="0"/>
              <w:rPr>
                <w:sz w:val="20"/>
                <w:szCs w:val="20"/>
                <w:color w:val="auto"/>
              </w:rPr>
            </w:pPr>
            <w:r>
              <w:rPr>
                <w:rFonts w:ascii="Arial" w:cs="Arial" w:eastAsia="Arial" w:hAnsi="Arial"/>
                <w:sz w:val="15"/>
                <w:szCs w:val="15"/>
                <w:color w:val="auto"/>
                <w:w w:val="93"/>
              </w:rPr>
              <w:t>Large</w:t>
            </w:r>
          </w:p>
        </w:tc>
        <w:tc>
          <w:tcPr>
            <w:tcW w:w="320" w:type="dxa"/>
            <w:vAlign w:val="bottom"/>
            <w:vMerge w:val="restart"/>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1180" w:type="dxa"/>
            <w:vAlign w:val="bottom"/>
          </w:tcPr>
          <w:p>
            <w:pPr>
              <w:spacing w:after="0"/>
              <w:rPr>
                <w:sz w:val="14"/>
                <w:szCs w:val="14"/>
                <w:color w:val="auto"/>
              </w:rPr>
            </w:pPr>
          </w:p>
        </w:tc>
        <w:tc>
          <w:tcPr>
            <w:tcW w:w="176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880" w:type="dxa"/>
            <w:vAlign w:val="bottom"/>
          </w:tcPr>
          <w:p>
            <w:pPr>
              <w:jc w:val="center"/>
              <w:spacing w:after="0"/>
              <w:rPr>
                <w:sz w:val="20"/>
                <w:szCs w:val="20"/>
                <w:color w:val="auto"/>
              </w:rPr>
            </w:pPr>
            <w:r>
              <w:rPr>
                <w:rFonts w:ascii="Arial" w:cs="Arial" w:eastAsia="Arial" w:hAnsi="Arial"/>
                <w:sz w:val="15"/>
                <w:szCs w:val="15"/>
                <w:color w:val="auto"/>
                <w:w w:val="98"/>
              </w:rPr>
              <w:t>Smaller</w:t>
            </w:r>
          </w:p>
        </w:tc>
        <w:tc>
          <w:tcPr>
            <w:tcW w:w="42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96"/>
              </w:rPr>
              <w:t>Emerging</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520" w:type="dxa"/>
            <w:vAlign w:val="bottom"/>
          </w:tcPr>
          <w:p>
            <w:pPr>
              <w:jc w:val="center"/>
              <w:ind w:left="463"/>
              <w:spacing w:after="0" w:line="155" w:lineRule="exact"/>
              <w:rPr>
                <w:sz w:val="20"/>
                <w:szCs w:val="20"/>
                <w:color w:val="auto"/>
              </w:rPr>
            </w:pPr>
            <w:r>
              <w:rPr>
                <w:rFonts w:ascii="Arial" w:cs="Arial" w:eastAsia="Arial" w:hAnsi="Arial"/>
                <w:sz w:val="15"/>
                <w:szCs w:val="15"/>
                <w:color w:val="auto"/>
                <w:w w:val="93"/>
              </w:rPr>
              <w:t>Accelerated</w:t>
            </w:r>
          </w:p>
        </w:tc>
        <w:tc>
          <w:tcPr>
            <w:tcW w:w="32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5"/>
                <w:szCs w:val="15"/>
                <w:color w:val="auto"/>
                <w:w w:val="99"/>
              </w:rPr>
              <w:t>Accelerated Filer</w:t>
            </w:r>
          </w:p>
        </w:tc>
        <w:tc>
          <w:tcPr>
            <w:tcW w:w="1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5"/>
                <w:szCs w:val="15"/>
                <w:color w:val="auto"/>
                <w:w w:val="95"/>
              </w:rPr>
              <w:t>Reporting</w:t>
            </w:r>
          </w:p>
        </w:tc>
        <w:tc>
          <w:tcPr>
            <w:tcW w:w="420" w:type="dxa"/>
            <w:vAlign w:val="bottom"/>
            <w:vMerge w:val="continue"/>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5"/>
                <w:szCs w:val="15"/>
                <w:color w:val="auto"/>
                <w:w w:val="95"/>
              </w:rPr>
              <w:t>Growth</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520" w:type="dxa"/>
            <w:vAlign w:val="bottom"/>
          </w:tcPr>
          <w:p>
            <w:pPr>
              <w:jc w:val="center"/>
              <w:ind w:left="463"/>
              <w:spacing w:after="0"/>
              <w:rPr>
                <w:sz w:val="20"/>
                <w:szCs w:val="20"/>
                <w:color w:val="auto"/>
              </w:rPr>
            </w:pPr>
            <w:r>
              <w:rPr>
                <w:rFonts w:ascii="Arial" w:cs="Arial" w:eastAsia="Arial" w:hAnsi="Arial"/>
                <w:sz w:val="15"/>
                <w:szCs w:val="15"/>
                <w:color w:val="auto"/>
              </w:rPr>
              <w:t>Filer</w:t>
            </w: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760" w:type="dxa"/>
            <w:vAlign w:val="bottom"/>
          </w:tcPr>
          <w:p>
            <w:pPr>
              <w:ind w:left="340"/>
              <w:spacing w:after="0"/>
              <w:rPr>
                <w:sz w:val="20"/>
                <w:szCs w:val="20"/>
                <w:color w:val="auto"/>
              </w:rPr>
            </w:pPr>
            <w:r>
              <w:rPr>
                <w:rFonts w:ascii="Arial" w:cs="Arial" w:eastAsia="Arial" w:hAnsi="Arial"/>
                <w:sz w:val="15"/>
                <w:szCs w:val="15"/>
                <w:color w:val="auto"/>
                <w:w w:val="97"/>
              </w:rPr>
              <w:t>Non-accelerated Filer</w:t>
            </w:r>
          </w:p>
        </w:tc>
        <w:tc>
          <w:tcPr>
            <w:tcW w:w="3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6"/>
              </w:rPr>
              <w:t>Company</w:t>
            </w:r>
          </w:p>
        </w:tc>
        <w:tc>
          <w:tcPr>
            <w:tcW w:w="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3"/>
              </w:rPr>
              <w:t>Company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8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520" w:type="dxa"/>
            <w:vAlign w:val="bottom"/>
          </w:tcPr>
          <w:p>
            <w:pPr>
              <w:jc w:val="center"/>
              <w:ind w:left="443"/>
              <w:spacing w:after="0"/>
              <w:rPr>
                <w:sz w:val="20"/>
                <w:szCs w:val="20"/>
                <w:color w:val="auto"/>
              </w:rPr>
            </w:pPr>
            <w:r>
              <w:rPr>
                <w:rFonts w:ascii="Arial" w:cs="Arial" w:eastAsia="Arial" w:hAnsi="Arial"/>
                <w:sz w:val="15"/>
                <w:szCs w:val="15"/>
                <w:color w:val="auto"/>
                <w:w w:val="93"/>
              </w:rPr>
              <w:t>Large</w:t>
            </w:r>
          </w:p>
        </w:tc>
        <w:tc>
          <w:tcPr>
            <w:tcW w:w="32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1180" w:type="dxa"/>
            <w:vAlign w:val="bottom"/>
          </w:tcPr>
          <w:p>
            <w:pPr>
              <w:spacing w:after="0"/>
              <w:rPr>
                <w:sz w:val="18"/>
                <w:szCs w:val="18"/>
                <w:color w:val="auto"/>
              </w:rPr>
            </w:pPr>
          </w:p>
        </w:tc>
        <w:tc>
          <w:tcPr>
            <w:tcW w:w="176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vMerge w:val="restart"/>
          </w:tcPr>
          <w:p>
            <w:pPr>
              <w:ind w:left="60"/>
              <w:spacing w:after="0" w:line="151" w:lineRule="exact"/>
              <w:rPr>
                <w:sz w:val="20"/>
                <w:szCs w:val="20"/>
                <w:color w:val="auto"/>
              </w:rPr>
            </w:pPr>
            <w:r>
              <w:rPr>
                <w:rFonts w:ascii="MS PGothic" w:cs="MS PGothic" w:eastAsia="MS PGothic" w:hAnsi="MS PGothic"/>
                <w:sz w:val="15"/>
                <w:szCs w:val="15"/>
                <w:color w:val="auto"/>
              </w:rPr>
              <w:t>☒</w:t>
            </w:r>
          </w:p>
        </w:tc>
        <w:tc>
          <w:tcPr>
            <w:tcW w:w="880" w:type="dxa"/>
            <w:vAlign w:val="bottom"/>
          </w:tcPr>
          <w:p>
            <w:pPr>
              <w:jc w:val="center"/>
              <w:spacing w:after="0"/>
              <w:rPr>
                <w:sz w:val="20"/>
                <w:szCs w:val="20"/>
                <w:color w:val="auto"/>
              </w:rPr>
            </w:pPr>
            <w:r>
              <w:rPr>
                <w:rFonts w:ascii="Arial" w:cs="Arial" w:eastAsia="Arial" w:hAnsi="Arial"/>
                <w:sz w:val="15"/>
                <w:szCs w:val="15"/>
                <w:color w:val="auto"/>
                <w:w w:val="98"/>
              </w:rPr>
              <w:t>Smaller</w:t>
            </w:r>
          </w:p>
        </w:tc>
        <w:tc>
          <w:tcPr>
            <w:tcW w:w="42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96"/>
              </w:rPr>
              <w:t>Emerging</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520" w:type="dxa"/>
            <w:vAlign w:val="bottom"/>
          </w:tcPr>
          <w:p>
            <w:pPr>
              <w:jc w:val="center"/>
              <w:ind w:left="463"/>
              <w:spacing w:after="0" w:line="155" w:lineRule="exact"/>
              <w:rPr>
                <w:sz w:val="20"/>
                <w:szCs w:val="20"/>
                <w:color w:val="auto"/>
              </w:rPr>
            </w:pPr>
            <w:r>
              <w:rPr>
                <w:rFonts w:ascii="Arial" w:cs="Arial" w:eastAsia="Arial" w:hAnsi="Arial"/>
                <w:sz w:val="15"/>
                <w:szCs w:val="15"/>
                <w:color w:val="auto"/>
                <w:w w:val="93"/>
              </w:rPr>
              <w:t>Accelerated</w:t>
            </w:r>
          </w:p>
        </w:tc>
        <w:tc>
          <w:tcPr>
            <w:tcW w:w="32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5"/>
                <w:szCs w:val="15"/>
                <w:color w:val="auto"/>
                <w:w w:val="99"/>
              </w:rPr>
              <w:t>Accelerated Filer</w:t>
            </w:r>
          </w:p>
        </w:tc>
        <w:tc>
          <w:tcPr>
            <w:tcW w:w="1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5"/>
                <w:szCs w:val="15"/>
                <w:color w:val="auto"/>
                <w:w w:val="95"/>
              </w:rPr>
              <w:t>Reporting</w:t>
            </w:r>
          </w:p>
        </w:tc>
        <w:tc>
          <w:tcPr>
            <w:tcW w:w="420" w:type="dxa"/>
            <w:vAlign w:val="bottom"/>
            <w:vMerge w:val="continue"/>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5"/>
                <w:szCs w:val="15"/>
                <w:color w:val="auto"/>
                <w:w w:val="95"/>
              </w:rPr>
              <w:t>Growth</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520" w:type="dxa"/>
            <w:vAlign w:val="bottom"/>
          </w:tcPr>
          <w:p>
            <w:pPr>
              <w:jc w:val="center"/>
              <w:ind w:left="463"/>
              <w:spacing w:after="0"/>
              <w:rPr>
                <w:sz w:val="20"/>
                <w:szCs w:val="20"/>
                <w:color w:val="auto"/>
              </w:rPr>
            </w:pPr>
            <w:r>
              <w:rPr>
                <w:rFonts w:ascii="Arial" w:cs="Arial" w:eastAsia="Arial" w:hAnsi="Arial"/>
                <w:sz w:val="15"/>
                <w:szCs w:val="15"/>
                <w:color w:val="auto"/>
              </w:rPr>
              <w:t>Filer</w:t>
            </w: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760" w:type="dxa"/>
            <w:vAlign w:val="bottom"/>
          </w:tcPr>
          <w:p>
            <w:pPr>
              <w:ind w:left="340"/>
              <w:spacing w:after="0"/>
              <w:rPr>
                <w:sz w:val="20"/>
                <w:szCs w:val="20"/>
                <w:color w:val="auto"/>
              </w:rPr>
            </w:pPr>
            <w:r>
              <w:rPr>
                <w:rFonts w:ascii="Arial" w:cs="Arial" w:eastAsia="Arial" w:hAnsi="Arial"/>
                <w:sz w:val="15"/>
                <w:szCs w:val="15"/>
                <w:color w:val="auto"/>
                <w:w w:val="97"/>
              </w:rPr>
              <w:t>Non-accelerated Filer</w:t>
            </w:r>
          </w:p>
        </w:tc>
        <w:tc>
          <w:tcPr>
            <w:tcW w:w="3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6"/>
              </w:rPr>
              <w:t>Company</w:t>
            </w:r>
          </w:p>
        </w:tc>
        <w:tc>
          <w:tcPr>
            <w:tcW w:w="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3"/>
              </w:rPr>
              <w:t>Company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80" w:type="dxa"/>
            <w:vAlign w:val="bottom"/>
          </w:tcPr>
          <w:p>
            <w:pPr>
              <w:spacing w:after="0"/>
              <w:rPr>
                <w:sz w:val="20"/>
                <w:szCs w:val="20"/>
                <w:color w:val="auto"/>
              </w:rPr>
            </w:pPr>
            <w:r>
              <w:rPr>
                <w:rFonts w:ascii="Arial" w:cs="Arial" w:eastAsia="Arial" w:hAnsi="Arial"/>
                <w:sz w:val="15"/>
                <w:szCs w:val="15"/>
                <w:color w:val="auto"/>
              </w:rPr>
              <w:t>Evergy Metro, Inc.</w:t>
            </w:r>
          </w:p>
        </w:tc>
        <w:tc>
          <w:tcPr>
            <w:tcW w:w="1520" w:type="dxa"/>
            <w:vAlign w:val="bottom"/>
          </w:tcPr>
          <w:p>
            <w:pPr>
              <w:jc w:val="center"/>
              <w:ind w:left="443"/>
              <w:spacing w:after="0"/>
              <w:rPr>
                <w:sz w:val="20"/>
                <w:szCs w:val="20"/>
                <w:color w:val="auto"/>
              </w:rPr>
            </w:pPr>
            <w:r>
              <w:rPr>
                <w:rFonts w:ascii="Arial" w:cs="Arial" w:eastAsia="Arial" w:hAnsi="Arial"/>
                <w:sz w:val="15"/>
                <w:szCs w:val="15"/>
                <w:color w:val="auto"/>
                <w:w w:val="93"/>
              </w:rPr>
              <w:t>Large</w:t>
            </w:r>
          </w:p>
        </w:tc>
        <w:tc>
          <w:tcPr>
            <w:tcW w:w="32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1180" w:type="dxa"/>
            <w:vAlign w:val="bottom"/>
          </w:tcPr>
          <w:p>
            <w:pPr>
              <w:spacing w:after="0"/>
              <w:rPr>
                <w:sz w:val="18"/>
                <w:szCs w:val="18"/>
                <w:color w:val="auto"/>
              </w:rPr>
            </w:pPr>
          </w:p>
        </w:tc>
        <w:tc>
          <w:tcPr>
            <w:tcW w:w="176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vMerge w:val="restart"/>
          </w:tcPr>
          <w:p>
            <w:pPr>
              <w:ind w:left="60"/>
              <w:spacing w:after="0" w:line="151" w:lineRule="exact"/>
              <w:rPr>
                <w:sz w:val="20"/>
                <w:szCs w:val="20"/>
                <w:color w:val="auto"/>
              </w:rPr>
            </w:pPr>
            <w:r>
              <w:rPr>
                <w:rFonts w:ascii="MS PGothic" w:cs="MS PGothic" w:eastAsia="MS PGothic" w:hAnsi="MS PGothic"/>
                <w:sz w:val="15"/>
                <w:szCs w:val="15"/>
                <w:color w:val="auto"/>
              </w:rPr>
              <w:t>☒</w:t>
            </w:r>
          </w:p>
        </w:tc>
        <w:tc>
          <w:tcPr>
            <w:tcW w:w="880" w:type="dxa"/>
            <w:vAlign w:val="bottom"/>
          </w:tcPr>
          <w:p>
            <w:pPr>
              <w:jc w:val="center"/>
              <w:spacing w:after="0"/>
              <w:rPr>
                <w:sz w:val="20"/>
                <w:szCs w:val="20"/>
                <w:color w:val="auto"/>
              </w:rPr>
            </w:pPr>
            <w:r>
              <w:rPr>
                <w:rFonts w:ascii="Arial" w:cs="Arial" w:eastAsia="Arial" w:hAnsi="Arial"/>
                <w:sz w:val="15"/>
                <w:szCs w:val="15"/>
                <w:color w:val="auto"/>
                <w:w w:val="98"/>
              </w:rPr>
              <w:t>Smaller</w:t>
            </w:r>
          </w:p>
        </w:tc>
        <w:tc>
          <w:tcPr>
            <w:tcW w:w="42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900" w:type="dxa"/>
            <w:vAlign w:val="bottom"/>
          </w:tcPr>
          <w:p>
            <w:pPr>
              <w:jc w:val="center"/>
              <w:spacing w:after="0"/>
              <w:rPr>
                <w:sz w:val="20"/>
                <w:szCs w:val="20"/>
                <w:color w:val="auto"/>
              </w:rPr>
            </w:pPr>
            <w:r>
              <w:rPr>
                <w:rFonts w:ascii="Arial" w:cs="Arial" w:eastAsia="Arial" w:hAnsi="Arial"/>
                <w:sz w:val="15"/>
                <w:szCs w:val="15"/>
                <w:color w:val="auto"/>
                <w:w w:val="96"/>
              </w:rPr>
              <w:t>Emerging</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520" w:type="dxa"/>
            <w:vAlign w:val="bottom"/>
          </w:tcPr>
          <w:p>
            <w:pPr>
              <w:jc w:val="center"/>
              <w:ind w:left="463"/>
              <w:spacing w:after="0" w:line="155" w:lineRule="exact"/>
              <w:rPr>
                <w:sz w:val="20"/>
                <w:szCs w:val="20"/>
                <w:color w:val="auto"/>
              </w:rPr>
            </w:pPr>
            <w:r>
              <w:rPr>
                <w:rFonts w:ascii="Arial" w:cs="Arial" w:eastAsia="Arial" w:hAnsi="Arial"/>
                <w:sz w:val="15"/>
                <w:szCs w:val="15"/>
                <w:color w:val="auto"/>
                <w:w w:val="93"/>
              </w:rPr>
              <w:t>Accelerated</w:t>
            </w:r>
          </w:p>
        </w:tc>
        <w:tc>
          <w:tcPr>
            <w:tcW w:w="32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5"/>
                <w:szCs w:val="15"/>
                <w:color w:val="auto"/>
                <w:w w:val="99"/>
              </w:rPr>
              <w:t>Accelerated Filer</w:t>
            </w:r>
          </w:p>
        </w:tc>
        <w:tc>
          <w:tcPr>
            <w:tcW w:w="1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5"/>
                <w:szCs w:val="15"/>
                <w:color w:val="auto"/>
                <w:w w:val="95"/>
              </w:rPr>
              <w:t>Reporting</w:t>
            </w:r>
          </w:p>
        </w:tc>
        <w:tc>
          <w:tcPr>
            <w:tcW w:w="420" w:type="dxa"/>
            <w:vAlign w:val="bottom"/>
            <w:vMerge w:val="continue"/>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5"/>
                <w:szCs w:val="15"/>
                <w:color w:val="auto"/>
                <w:w w:val="95"/>
              </w:rPr>
              <w:t>Growth</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520" w:type="dxa"/>
            <w:vAlign w:val="bottom"/>
          </w:tcPr>
          <w:p>
            <w:pPr>
              <w:jc w:val="center"/>
              <w:ind w:left="463"/>
              <w:spacing w:after="0"/>
              <w:rPr>
                <w:sz w:val="20"/>
                <w:szCs w:val="20"/>
                <w:color w:val="auto"/>
              </w:rPr>
            </w:pPr>
            <w:r>
              <w:rPr>
                <w:rFonts w:ascii="Arial" w:cs="Arial" w:eastAsia="Arial" w:hAnsi="Arial"/>
                <w:sz w:val="15"/>
                <w:szCs w:val="15"/>
                <w:color w:val="auto"/>
              </w:rPr>
              <w:t>Filer</w:t>
            </w: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760" w:type="dxa"/>
            <w:vAlign w:val="bottom"/>
          </w:tcPr>
          <w:p>
            <w:pPr>
              <w:ind w:left="340"/>
              <w:spacing w:after="0"/>
              <w:rPr>
                <w:sz w:val="20"/>
                <w:szCs w:val="20"/>
                <w:color w:val="auto"/>
              </w:rPr>
            </w:pPr>
            <w:r>
              <w:rPr>
                <w:rFonts w:ascii="Arial" w:cs="Arial" w:eastAsia="Arial" w:hAnsi="Arial"/>
                <w:sz w:val="15"/>
                <w:szCs w:val="15"/>
                <w:color w:val="auto"/>
                <w:w w:val="97"/>
              </w:rPr>
              <w:t>Non-accelerated Filer</w:t>
            </w:r>
          </w:p>
        </w:tc>
        <w:tc>
          <w:tcPr>
            <w:tcW w:w="3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6"/>
              </w:rPr>
              <w:t>Company</w:t>
            </w:r>
          </w:p>
        </w:tc>
        <w:tc>
          <w:tcPr>
            <w:tcW w:w="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3"/>
              </w:rPr>
              <w:t>Company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 w:right="80"/>
        <w:spacing w:after="0" w:line="247"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Arial" w:cs="Arial" w:eastAsia="Arial" w:hAnsi="Arial"/>
                <w:sz w:val="15"/>
                <w:szCs w:val="15"/>
                <w:color w:val="auto"/>
              </w:rPr>
              <w:t>Evergy,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4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Metro, Inc.</w:t>
            </w:r>
          </w:p>
        </w:tc>
        <w:tc>
          <w:tcPr>
            <w:tcW w:w="1620" w:type="dxa"/>
            <w:vAlign w:val="bottom"/>
          </w:tcPr>
          <w:p>
            <w:pPr>
              <w:ind w:left="1300"/>
              <w:spacing w:after="0"/>
              <w:rPr>
                <w:sz w:val="20"/>
                <w:szCs w:val="20"/>
                <w:color w:val="auto"/>
              </w:rPr>
            </w:pPr>
            <w:r>
              <w:rPr>
                <w:rFonts w:ascii="Arial" w:cs="Arial" w:eastAsia="Arial" w:hAnsi="Arial"/>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bl>
    <w:p>
      <w:pPr>
        <w:spacing w:after="0" w:line="38" w:lineRule="exact"/>
        <w:rPr>
          <w:sz w:val="20"/>
          <w:szCs w:val="20"/>
          <w:color w:val="auto"/>
        </w:rPr>
      </w:pPr>
    </w:p>
    <w:p>
      <w:pPr>
        <w:ind w:left="40" w:right="460"/>
        <w:spacing w:after="0" w:line="247"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280" w:type="dxa"/>
            <w:vAlign w:val="bottom"/>
          </w:tcPr>
          <w:p>
            <w:pPr>
              <w:ind w:left="40"/>
              <w:spacing w:after="0"/>
              <w:rPr>
                <w:sz w:val="20"/>
                <w:szCs w:val="20"/>
                <w:color w:val="auto"/>
              </w:rPr>
            </w:pPr>
            <w:r>
              <w:rPr>
                <w:rFonts w:ascii="Arial" w:cs="Arial" w:eastAsia="Arial" w:hAnsi="Arial"/>
                <w:sz w:val="15"/>
                <w:szCs w:val="15"/>
                <w:color w:val="auto"/>
              </w:rPr>
              <w:t>Evergy, Inc.</w:t>
            </w:r>
          </w:p>
        </w:tc>
        <w:tc>
          <w:tcPr>
            <w:tcW w:w="796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r>
      <w:tr>
        <w:trPr>
          <w:trHeight w:val="271"/>
        </w:trPr>
        <w:tc>
          <w:tcPr>
            <w:tcW w:w="3280" w:type="dxa"/>
            <w:vAlign w:val="bottom"/>
          </w:tcPr>
          <w:p>
            <w:pPr>
              <w:ind w:left="40"/>
              <w:spacing w:after="0"/>
              <w:rPr>
                <w:sz w:val="20"/>
                <w:szCs w:val="20"/>
                <w:color w:val="auto"/>
              </w:rPr>
            </w:pPr>
            <w:r>
              <w:rPr>
                <w:rFonts w:ascii="Arial" w:cs="Arial" w:eastAsia="Arial" w:hAnsi="Arial"/>
                <w:sz w:val="15"/>
                <w:szCs w:val="15"/>
                <w:color w:val="auto"/>
              </w:rPr>
              <w:t>Evergy Kansas Central, Inc.</w:t>
            </w:r>
          </w:p>
        </w:tc>
        <w:tc>
          <w:tcPr>
            <w:tcW w:w="796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r>
      <w:tr>
        <w:trPr>
          <w:trHeight w:val="271"/>
        </w:trPr>
        <w:tc>
          <w:tcPr>
            <w:tcW w:w="3280" w:type="dxa"/>
            <w:vAlign w:val="bottom"/>
          </w:tcPr>
          <w:p>
            <w:pPr>
              <w:ind w:left="40"/>
              <w:spacing w:after="0"/>
              <w:rPr>
                <w:sz w:val="20"/>
                <w:szCs w:val="20"/>
                <w:color w:val="auto"/>
              </w:rPr>
            </w:pPr>
            <w:r>
              <w:rPr>
                <w:rFonts w:ascii="Arial" w:cs="Arial" w:eastAsia="Arial" w:hAnsi="Arial"/>
                <w:sz w:val="15"/>
                <w:szCs w:val="15"/>
                <w:color w:val="auto"/>
              </w:rPr>
              <w:t>Evergy Metro, Inc.</w:t>
            </w:r>
          </w:p>
        </w:tc>
        <w:tc>
          <w:tcPr>
            <w:tcW w:w="796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r>
      <w:tr>
        <w:trPr>
          <w:trHeight w:val="1947"/>
        </w:trPr>
        <w:tc>
          <w:tcPr>
            <w:tcW w:w="328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Arial" w:cs="Arial" w:eastAsia="Arial" w:hAnsi="Arial"/>
                <w:sz w:val="15"/>
                <w:szCs w:val="15"/>
                <w:color w:val="auto"/>
              </w:rPr>
              <w:t>Evergy, Inc.</w:t>
            </w:r>
          </w:p>
        </w:tc>
        <w:tc>
          <w:tcPr>
            <w:tcW w:w="1640" w:type="dxa"/>
            <w:vAlign w:val="bottom"/>
          </w:tcPr>
          <w:p>
            <w:pPr>
              <w:ind w:left="1320"/>
              <w:spacing w:after="0"/>
              <w:rPr>
                <w:sz w:val="20"/>
                <w:szCs w:val="20"/>
                <w:color w:val="auto"/>
              </w:rPr>
            </w:pPr>
            <w:r>
              <w:rPr>
                <w:rFonts w:ascii="Arial" w:cs="Arial" w:eastAsia="Arial" w:hAnsi="Arial"/>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425"/>
        </w:trPr>
        <w:tc>
          <w:tcPr>
            <w:tcW w:w="304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640" w:type="dxa"/>
            <w:vAlign w:val="bottom"/>
          </w:tcPr>
          <w:p>
            <w:pPr>
              <w:ind w:left="1320"/>
              <w:spacing w:after="0"/>
              <w:rPr>
                <w:sz w:val="20"/>
                <w:szCs w:val="20"/>
                <w:color w:val="auto"/>
              </w:rPr>
            </w:pPr>
            <w:r>
              <w:rPr>
                <w:rFonts w:ascii="Arial" w:cs="Arial" w:eastAsia="Arial" w:hAnsi="Arial"/>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1"/>
        </w:trPr>
        <w:tc>
          <w:tcPr>
            <w:tcW w:w="3040" w:type="dxa"/>
            <w:vAlign w:val="bottom"/>
          </w:tcPr>
          <w:p>
            <w:pPr>
              <w:spacing w:after="0"/>
              <w:rPr>
                <w:sz w:val="20"/>
                <w:szCs w:val="20"/>
                <w:color w:val="auto"/>
              </w:rPr>
            </w:pPr>
            <w:r>
              <w:rPr>
                <w:rFonts w:ascii="Arial" w:cs="Arial" w:eastAsia="Arial" w:hAnsi="Arial"/>
                <w:sz w:val="15"/>
                <w:szCs w:val="15"/>
                <w:color w:val="auto"/>
              </w:rPr>
              <w:t>Evergy Metro, Inc.</w:t>
            </w:r>
          </w:p>
        </w:tc>
        <w:tc>
          <w:tcPr>
            <w:tcW w:w="1640" w:type="dxa"/>
            <w:vAlign w:val="bottom"/>
          </w:tcPr>
          <w:p>
            <w:pPr>
              <w:ind w:left="1320"/>
              <w:spacing w:after="0"/>
              <w:rPr>
                <w:sz w:val="20"/>
                <w:szCs w:val="20"/>
                <w:color w:val="auto"/>
              </w:rPr>
            </w:pPr>
            <w:r>
              <w:rPr>
                <w:rFonts w:ascii="Arial" w:cs="Arial" w:eastAsia="Arial" w:hAnsi="Arial"/>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Arial" w:cs="Arial" w:eastAsia="Arial" w:hAnsi="Arial"/>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64" w:lineRule="exact"/>
        <w:rPr>
          <w:sz w:val="20"/>
          <w:szCs w:val="20"/>
          <w:color w:val="auto"/>
        </w:rPr>
      </w:pPr>
    </w:p>
    <w:p>
      <w:pPr>
        <w:jc w:val="both"/>
        <w:ind w:right="240"/>
        <w:spacing w:after="0" w:line="321" w:lineRule="auto"/>
        <w:rPr>
          <w:sz w:val="20"/>
          <w:szCs w:val="20"/>
          <w:color w:val="auto"/>
        </w:rPr>
      </w:pPr>
      <w:r>
        <w:rPr>
          <w:rFonts w:ascii="Arial" w:cs="Arial" w:eastAsia="Arial" w:hAnsi="Arial"/>
          <w:sz w:val="14"/>
          <w:szCs w:val="14"/>
          <w:color w:val="auto"/>
        </w:rPr>
        <w:t>The aggregate market value of the voting and non-voting common equity held by non-affiliates of Evergy, Inc. (based on the closing price of its common stock on the New York Stock Exchange on June 30, 2021) was approximately $13,704,717,320. All of the common equity of Evergy Kansas Central, Inc. and Evergy Metro, Inc. is held by Evergy, Inc.</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On February 18, 2022, Evergy, Inc. had 229,311,689 shares of common stock outstanding.</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On February 18, 2022, Evergy Kansas Central, Inc. and Evergy Metro, Inc. each had one share of common stock outstanding and held by Evergy, Inc.</w:t>
      </w:r>
    </w:p>
    <w:p>
      <w:pPr>
        <w:spacing w:after="0" w:line="118" w:lineRule="exact"/>
        <w:rPr>
          <w:sz w:val="20"/>
          <w:szCs w:val="20"/>
          <w:color w:val="auto"/>
        </w:rPr>
      </w:pPr>
    </w:p>
    <w:p>
      <w:pPr>
        <w:ind w:left="40" w:right="20"/>
        <w:spacing w:after="0" w:line="256" w:lineRule="auto"/>
        <w:rPr>
          <w:sz w:val="20"/>
          <w:szCs w:val="20"/>
          <w:color w:val="auto"/>
        </w:rPr>
      </w:pPr>
      <w:r>
        <w:rPr>
          <w:rFonts w:ascii="Arial" w:cs="Arial" w:eastAsia="Arial" w:hAnsi="Arial"/>
          <w:sz w:val="15"/>
          <w:szCs w:val="15"/>
          <w:b w:val="1"/>
          <w:bCs w:val="1"/>
          <w:color w:val="auto"/>
        </w:rPr>
        <w:t>Evergy Kansas Central, Inc. and Evergy Metro, Inc. meet the conditions set forth in General Instruction (I)(1)(a) and (b) of Form 10-K and are therefore filing this Form 10-K with the reduced disclosure format.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Documents Incorporated by Reference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Portions of the 2022 annual meeting proxy statement of Evergy, Inc. to be filed with the Securities and Exchange Commission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710565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16510"/>
                    </a:xfrm>
                    <a:prstGeom prst="rect">
                      <a:avLst/>
                    </a:prstGeom>
                    <a:noFill/>
                  </pic:spPr>
                </pic:pic>
              </a:graphicData>
            </a:graphic>
          </wp:anchor>
        </w:drawing>
      </w:r>
    </w:p>
    <w:p>
      <w:pPr>
        <w:spacing w:after="0" w:line="339" w:lineRule="exact"/>
        <w:rPr>
          <w:sz w:val="20"/>
          <w:szCs w:val="20"/>
          <w:color w:val="auto"/>
        </w:rPr>
      </w:pPr>
    </w:p>
    <w:p>
      <w:pPr>
        <w:ind w:right="220"/>
        <w:spacing w:after="0" w:line="248" w:lineRule="auto"/>
        <w:rPr>
          <w:sz w:val="20"/>
          <w:szCs w:val="20"/>
          <w:color w:val="auto"/>
        </w:rPr>
      </w:pPr>
      <w:r>
        <w:rPr>
          <w:rFonts w:ascii="Arial" w:cs="Arial" w:eastAsia="Arial" w:hAnsi="Arial"/>
          <w:sz w:val="19"/>
          <w:szCs w:val="19"/>
          <w:color w:val="auto"/>
        </w:rPr>
        <w:t>This combined annual report on Form 10-K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807720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8"/>
        </w:trPr>
        <w:tc>
          <w:tcPr>
            <w:tcW w:w="9500" w:type="dxa"/>
            <w:vAlign w:val="bottom"/>
            <w:gridSpan w:val="31"/>
          </w:tcPr>
          <w:p>
            <w:pPr>
              <w:spacing w:after="0"/>
              <w:rPr>
                <w:rFonts w:ascii="Arial" w:cs="Arial" w:eastAsia="Arial" w:hAnsi="Arial"/>
                <w:sz w:val="19"/>
                <w:szCs w:val="19"/>
                <w:color w:val="0000FF"/>
              </w:rPr>
            </w:pPr>
            <w:hyperlink w:anchor="page3">
              <w:r>
                <w:rPr>
                  <w:rFonts w:ascii="Arial" w:cs="Arial" w:eastAsia="Arial" w:hAnsi="Arial"/>
                  <w:sz w:val="19"/>
                  <w:szCs w:val="19"/>
                  <w:color w:val="0000FF"/>
                </w:rPr>
                <w:t>Table of Contents</w:t>
              </w:r>
            </w:hyperlink>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1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18"/>
          </w:tcPr>
          <w:p>
            <w:pPr>
              <w:jc w:val="center"/>
              <w:ind w:right="2820"/>
              <w:spacing w:after="0"/>
              <w:rPr>
                <w:sz w:val="20"/>
                <w:szCs w:val="20"/>
                <w:color w:val="auto"/>
              </w:rPr>
            </w:pPr>
            <w:r>
              <w:rPr>
                <w:rFonts w:ascii="Arial" w:cs="Arial" w:eastAsia="Arial" w:hAnsi="Arial"/>
                <w:sz w:val="19"/>
                <w:szCs w:val="19"/>
                <w:b w:val="1"/>
                <w:bCs w:val="1"/>
                <w:color w:val="auto"/>
                <w:w w:val="98"/>
              </w:rPr>
              <w:t>TABLE OF CONTENTS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vMerge w:val="restart"/>
          </w:tcPr>
          <w:p>
            <w:pPr>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71"/>
              </w:rPr>
              <w:t>Number</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5500" w:type="dxa"/>
            <w:vAlign w:val="bottom"/>
            <w:gridSpan w:val="24"/>
          </w:tcPr>
          <w:p>
            <w:pPr>
              <w:spacing w:after="0" w:line="212" w:lineRule="exact"/>
              <w:rPr>
                <w:rFonts w:ascii="Arial" w:cs="Arial" w:eastAsia="Arial" w:hAnsi="Arial"/>
                <w:sz w:val="19"/>
                <w:szCs w:val="19"/>
                <w:color w:val="0000FF"/>
                <w:w w:val="91"/>
              </w:rPr>
            </w:pPr>
            <w:hyperlink w:anchor="page4">
              <w:r>
                <w:rPr>
                  <w:rFonts w:ascii="Arial" w:cs="Arial" w:eastAsia="Arial" w:hAnsi="Arial"/>
                  <w:sz w:val="19"/>
                  <w:szCs w:val="19"/>
                  <w:color w:val="0000FF"/>
                  <w:w w:val="91"/>
                </w:rPr>
                <w:t>Cautionary Statements Regarding Certain Forward-Looking Information</w:t>
              </w:r>
            </w:hyperlink>
          </w:p>
        </w:tc>
        <w:tc>
          <w:tcPr>
            <w:tcW w:w="2740" w:type="dxa"/>
            <w:vAlign w:val="bottom"/>
            <w:gridSpan w:val="6"/>
          </w:tcPr>
          <w:p>
            <w:pPr>
              <w:spacing w:after="0"/>
              <w:rPr>
                <w:sz w:val="18"/>
                <w:szCs w:val="18"/>
                <w:color w:val="auto"/>
              </w:rPr>
            </w:pPr>
          </w:p>
        </w:tc>
        <w:tc>
          <w:tcPr>
            <w:tcW w:w="1000" w:type="dxa"/>
            <w:vAlign w:val="bottom"/>
            <w:gridSpan w:val="5"/>
          </w:tcPr>
          <w:p>
            <w:pPr>
              <w:jc w:val="center"/>
              <w:ind w:left="706"/>
              <w:spacing w:after="0" w:line="212" w:lineRule="exact"/>
              <w:rPr>
                <w:rFonts w:ascii="Arial" w:cs="Arial" w:eastAsia="Arial" w:hAnsi="Arial"/>
                <w:sz w:val="19"/>
                <w:szCs w:val="19"/>
                <w:color w:val="0000FF"/>
                <w:w w:val="75"/>
              </w:rPr>
            </w:pPr>
            <w:hyperlink w:anchor="page4">
              <w:r>
                <w:rPr>
                  <w:rFonts w:ascii="Arial" w:cs="Arial" w:eastAsia="Arial" w:hAnsi="Arial"/>
                  <w:sz w:val="19"/>
                  <w:szCs w:val="19"/>
                  <w:color w:val="0000FF"/>
                  <w:w w:val="75"/>
                </w:rPr>
                <w:t>3</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spacing w:after="0"/>
              <w:rPr>
                <w:sz w:val="18"/>
                <w:szCs w:val="18"/>
                <w:color w:val="auto"/>
              </w:rPr>
            </w:pPr>
          </w:p>
        </w:tc>
        <w:tc>
          <w:tcPr>
            <w:tcW w:w="5500" w:type="dxa"/>
            <w:vAlign w:val="bottom"/>
            <w:gridSpan w:val="24"/>
          </w:tcPr>
          <w:p>
            <w:pPr>
              <w:spacing w:after="0" w:line="212" w:lineRule="exact"/>
              <w:rPr>
                <w:rFonts w:ascii="Arial" w:cs="Arial" w:eastAsia="Arial" w:hAnsi="Arial"/>
                <w:sz w:val="19"/>
                <w:szCs w:val="19"/>
                <w:color w:val="0000FF"/>
              </w:rPr>
            </w:pPr>
            <w:hyperlink w:anchor="page6">
              <w:r>
                <w:rPr>
                  <w:rFonts w:ascii="Arial" w:cs="Arial" w:eastAsia="Arial" w:hAnsi="Arial"/>
                  <w:sz w:val="19"/>
                  <w:szCs w:val="19"/>
                  <w:color w:val="0000FF"/>
                </w:rPr>
                <w:t>Glossary of Terms</w:t>
              </w:r>
            </w:hyperlink>
          </w:p>
        </w:tc>
        <w:tc>
          <w:tcPr>
            <w:tcW w:w="2740" w:type="dxa"/>
            <w:vAlign w:val="bottom"/>
            <w:gridSpan w:val="6"/>
          </w:tcPr>
          <w:p>
            <w:pPr>
              <w:spacing w:after="0"/>
              <w:rPr>
                <w:sz w:val="18"/>
                <w:szCs w:val="18"/>
                <w:color w:val="auto"/>
              </w:rPr>
            </w:pPr>
          </w:p>
        </w:tc>
        <w:tc>
          <w:tcPr>
            <w:tcW w:w="1000" w:type="dxa"/>
            <w:vAlign w:val="bottom"/>
            <w:gridSpan w:val="5"/>
          </w:tcPr>
          <w:p>
            <w:pPr>
              <w:jc w:val="center"/>
              <w:ind w:left="706"/>
              <w:spacing w:after="0" w:line="212" w:lineRule="exact"/>
              <w:rPr>
                <w:rFonts w:ascii="Arial" w:cs="Arial" w:eastAsia="Arial" w:hAnsi="Arial"/>
                <w:sz w:val="19"/>
                <w:szCs w:val="19"/>
                <w:color w:val="0000FF"/>
                <w:w w:val="75"/>
              </w:rPr>
            </w:pPr>
            <w:hyperlink w:anchor="page6">
              <w:r>
                <w:rPr>
                  <w:rFonts w:ascii="Arial" w:cs="Arial" w:eastAsia="Arial" w:hAnsi="Arial"/>
                  <w:sz w:val="19"/>
                  <w:szCs w:val="19"/>
                  <w:color w:val="0000FF"/>
                  <w:w w:val="75"/>
                </w:rPr>
                <w:t>5</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4"/>
          </w:tcPr>
          <w:p>
            <w:pPr>
              <w:jc w:val="center"/>
              <w:ind w:right="3600"/>
              <w:spacing w:after="0"/>
              <w:rPr>
                <w:rFonts w:ascii="Arial" w:cs="Arial" w:eastAsia="Arial" w:hAnsi="Arial"/>
                <w:sz w:val="19"/>
                <w:szCs w:val="19"/>
                <w:color w:val="0000FF"/>
                <w:w w:val="91"/>
              </w:rPr>
            </w:pPr>
            <w:hyperlink w:anchor="page8">
              <w:r>
                <w:rPr>
                  <w:rFonts w:ascii="Arial" w:cs="Arial" w:eastAsia="Arial" w:hAnsi="Arial"/>
                  <w:sz w:val="19"/>
                  <w:szCs w:val="19"/>
                  <w:color w:val="0000FF"/>
                  <w:w w:val="91"/>
                </w:rPr>
                <w:t>PART I</w:t>
              </w:r>
            </w:hyperlink>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1.</w:t>
            </w:r>
          </w:p>
        </w:tc>
        <w:tc>
          <w:tcPr>
            <w:tcW w:w="4080" w:type="dxa"/>
            <w:vAlign w:val="bottom"/>
            <w:gridSpan w:val="16"/>
          </w:tcPr>
          <w:p>
            <w:pPr>
              <w:spacing w:after="0" w:line="212" w:lineRule="exact"/>
              <w:rPr>
                <w:rFonts w:ascii="Arial" w:cs="Arial" w:eastAsia="Arial" w:hAnsi="Arial"/>
                <w:sz w:val="19"/>
                <w:szCs w:val="19"/>
                <w:color w:val="0000FF"/>
              </w:rPr>
            </w:pPr>
            <w:hyperlink w:anchor="page9">
              <w:r>
                <w:rPr>
                  <w:rFonts w:ascii="Arial" w:cs="Arial" w:eastAsia="Arial" w:hAnsi="Arial"/>
                  <w:sz w:val="19"/>
                  <w:szCs w:val="19"/>
                  <w:color w:val="0000FF"/>
                </w:rPr>
                <w:t>Business</w:t>
              </w:r>
            </w:hyperlink>
          </w:p>
        </w:tc>
        <w:tc>
          <w:tcPr>
            <w:tcW w:w="560" w:type="dxa"/>
            <w:vAlign w:val="bottom"/>
            <w:tcBorders>
              <w:top w:val="single" w:sz="8" w:color="0000FF"/>
            </w:tcBorders>
            <w:gridSpan w:val="3"/>
          </w:tcPr>
          <w:p>
            <w:pPr>
              <w:spacing w:after="0"/>
              <w:rPr>
                <w:sz w:val="18"/>
                <w:szCs w:val="18"/>
                <w:color w:val="auto"/>
              </w:rPr>
            </w:pPr>
          </w:p>
        </w:tc>
        <w:tc>
          <w:tcPr>
            <w:tcW w:w="3600" w:type="dxa"/>
            <w:vAlign w:val="bottom"/>
            <w:gridSpan w:val="11"/>
          </w:tcPr>
          <w:p>
            <w:pPr>
              <w:spacing w:after="0"/>
              <w:rPr>
                <w:sz w:val="18"/>
                <w:szCs w:val="18"/>
                <w:color w:val="auto"/>
              </w:rPr>
            </w:pPr>
          </w:p>
        </w:tc>
        <w:tc>
          <w:tcPr>
            <w:tcW w:w="1000" w:type="dxa"/>
            <w:vAlign w:val="bottom"/>
            <w:gridSpan w:val="5"/>
          </w:tcPr>
          <w:p>
            <w:pPr>
              <w:jc w:val="center"/>
              <w:ind w:left="706"/>
              <w:spacing w:after="0" w:line="212" w:lineRule="exact"/>
              <w:rPr>
                <w:rFonts w:ascii="Arial" w:cs="Arial" w:eastAsia="Arial" w:hAnsi="Arial"/>
                <w:sz w:val="19"/>
                <w:szCs w:val="19"/>
                <w:color w:val="0000FF"/>
                <w:w w:val="75"/>
              </w:rPr>
            </w:pPr>
            <w:hyperlink w:anchor="page9">
              <w:r>
                <w:rPr>
                  <w:rFonts w:ascii="Arial" w:cs="Arial" w:eastAsia="Arial" w:hAnsi="Arial"/>
                  <w:sz w:val="19"/>
                  <w:szCs w:val="19"/>
                  <w:color w:val="0000FF"/>
                  <w:w w:val="75"/>
                </w:rPr>
                <w:t>7</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1A.</w:t>
            </w:r>
          </w:p>
        </w:tc>
        <w:tc>
          <w:tcPr>
            <w:tcW w:w="8240" w:type="dxa"/>
            <w:vAlign w:val="bottom"/>
            <w:gridSpan w:val="30"/>
          </w:tcPr>
          <w:p>
            <w:pPr>
              <w:spacing w:after="0" w:line="212" w:lineRule="exact"/>
              <w:rPr>
                <w:rFonts w:ascii="Arial" w:cs="Arial" w:eastAsia="Arial" w:hAnsi="Arial"/>
                <w:sz w:val="19"/>
                <w:szCs w:val="19"/>
                <w:color w:val="0000FF"/>
              </w:rPr>
            </w:pPr>
            <w:hyperlink w:anchor="page17">
              <w:r>
                <w:rPr>
                  <w:rFonts w:ascii="Arial" w:cs="Arial" w:eastAsia="Arial" w:hAnsi="Arial"/>
                  <w:sz w:val="19"/>
                  <w:szCs w:val="19"/>
                  <w:color w:val="0000FF"/>
                </w:rPr>
                <w:t>Risk Factors</w:t>
              </w:r>
            </w:hyperlink>
          </w:p>
        </w:tc>
        <w:tc>
          <w:tcPr>
            <w:tcW w:w="1000" w:type="dxa"/>
            <w:vAlign w:val="bottom"/>
            <w:gridSpan w:val="5"/>
          </w:tcPr>
          <w:p>
            <w:pPr>
              <w:jc w:val="center"/>
              <w:ind w:left="706"/>
              <w:spacing w:after="0" w:line="212" w:lineRule="exact"/>
              <w:rPr>
                <w:rFonts w:ascii="Arial" w:cs="Arial" w:eastAsia="Arial" w:hAnsi="Arial"/>
                <w:sz w:val="19"/>
                <w:szCs w:val="19"/>
                <w:color w:val="0000FF"/>
                <w:w w:val="94"/>
              </w:rPr>
            </w:pPr>
            <w:hyperlink w:anchor="page17">
              <w:r>
                <w:rPr>
                  <w:rFonts w:ascii="Arial" w:cs="Arial" w:eastAsia="Arial" w:hAnsi="Arial"/>
                  <w:sz w:val="19"/>
                  <w:szCs w:val="19"/>
                  <w:color w:val="0000FF"/>
                  <w:w w:val="94"/>
                </w:rPr>
                <w:t>16</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1B.</w:t>
            </w:r>
          </w:p>
        </w:tc>
        <w:tc>
          <w:tcPr>
            <w:tcW w:w="8240" w:type="dxa"/>
            <w:vAlign w:val="bottom"/>
            <w:gridSpan w:val="30"/>
          </w:tcPr>
          <w:p>
            <w:pPr>
              <w:spacing w:after="0" w:line="212" w:lineRule="exact"/>
              <w:rPr>
                <w:rFonts w:ascii="Arial" w:cs="Arial" w:eastAsia="Arial" w:hAnsi="Arial"/>
                <w:sz w:val="19"/>
                <w:szCs w:val="19"/>
                <w:color w:val="0000FF"/>
              </w:rPr>
            </w:pPr>
            <w:hyperlink w:anchor="page30">
              <w:r>
                <w:rPr>
                  <w:rFonts w:ascii="Arial" w:cs="Arial" w:eastAsia="Arial" w:hAnsi="Arial"/>
                  <w:sz w:val="19"/>
                  <w:szCs w:val="19"/>
                  <w:color w:val="0000FF"/>
                </w:rPr>
                <w:t>Unresolved Staff Comments</w:t>
              </w:r>
            </w:hyperlink>
          </w:p>
        </w:tc>
        <w:tc>
          <w:tcPr>
            <w:tcW w:w="1000" w:type="dxa"/>
            <w:vAlign w:val="bottom"/>
            <w:gridSpan w:val="5"/>
          </w:tcPr>
          <w:p>
            <w:pPr>
              <w:jc w:val="center"/>
              <w:ind w:left="706"/>
              <w:spacing w:after="0" w:line="212" w:lineRule="exact"/>
              <w:rPr>
                <w:rFonts w:ascii="Arial" w:cs="Arial" w:eastAsia="Arial" w:hAnsi="Arial"/>
                <w:sz w:val="19"/>
                <w:szCs w:val="19"/>
                <w:color w:val="0000FF"/>
                <w:w w:val="94"/>
              </w:rPr>
            </w:pPr>
            <w:hyperlink w:anchor="page30">
              <w:r>
                <w:rPr>
                  <w:rFonts w:ascii="Arial" w:cs="Arial" w:eastAsia="Arial" w:hAnsi="Arial"/>
                  <w:sz w:val="19"/>
                  <w:szCs w:val="19"/>
                  <w:color w:val="0000FF"/>
                  <w:w w:val="94"/>
                </w:rPr>
                <w:t>28</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2.</w:t>
            </w:r>
          </w:p>
        </w:tc>
        <w:tc>
          <w:tcPr>
            <w:tcW w:w="800" w:type="dxa"/>
            <w:vAlign w:val="bottom"/>
            <w:tcBorders>
              <w:top w:val="single" w:sz="8" w:color="0000FF"/>
              <w:bottom w:val="single" w:sz="8" w:color="0000FF"/>
            </w:tcBorders>
            <w:gridSpan w:val="4"/>
          </w:tcPr>
          <w:p>
            <w:pPr>
              <w:spacing w:after="0" w:line="212" w:lineRule="exact"/>
              <w:rPr>
                <w:rFonts w:ascii="Arial" w:cs="Arial" w:eastAsia="Arial" w:hAnsi="Arial"/>
                <w:sz w:val="19"/>
                <w:szCs w:val="19"/>
                <w:color w:val="0000FF"/>
                <w:w w:val="87"/>
              </w:rPr>
            </w:pPr>
            <w:hyperlink w:anchor="page30">
              <w:r>
                <w:rPr>
                  <w:rFonts w:ascii="Arial" w:cs="Arial" w:eastAsia="Arial" w:hAnsi="Arial"/>
                  <w:sz w:val="19"/>
                  <w:szCs w:val="19"/>
                  <w:color w:val="0000FF"/>
                  <w:w w:val="87"/>
                </w:rPr>
                <w:t>Properties</w:t>
              </w:r>
            </w:hyperlink>
          </w:p>
        </w:tc>
        <w:tc>
          <w:tcPr>
            <w:tcW w:w="1340" w:type="dxa"/>
            <w:vAlign w:val="bottom"/>
            <w:tcBorders>
              <w:top w:val="single" w:sz="8" w:color="0000FF"/>
            </w:tcBorders>
            <w:gridSpan w:val="6"/>
          </w:tcPr>
          <w:p>
            <w:pPr>
              <w:spacing w:after="0"/>
              <w:rPr>
                <w:sz w:val="18"/>
                <w:szCs w:val="18"/>
                <w:color w:val="auto"/>
              </w:rPr>
            </w:pPr>
          </w:p>
        </w:tc>
        <w:tc>
          <w:tcPr>
            <w:tcW w:w="6100" w:type="dxa"/>
            <w:vAlign w:val="bottom"/>
            <w:gridSpan w:val="20"/>
          </w:tcPr>
          <w:p>
            <w:pPr>
              <w:spacing w:after="0"/>
              <w:rPr>
                <w:sz w:val="18"/>
                <w:szCs w:val="18"/>
                <w:color w:val="auto"/>
              </w:rPr>
            </w:pPr>
          </w:p>
        </w:tc>
        <w:tc>
          <w:tcPr>
            <w:tcW w:w="860" w:type="dxa"/>
            <w:vAlign w:val="bottom"/>
            <w:gridSpan w:val="3"/>
          </w:tcPr>
          <w:p>
            <w:pPr>
              <w:spacing w:after="0"/>
              <w:rPr>
                <w:sz w:val="18"/>
                <w:szCs w:val="18"/>
                <w:color w:val="auto"/>
              </w:rPr>
            </w:pPr>
          </w:p>
        </w:tc>
        <w:tc>
          <w:tcPr>
            <w:tcW w:w="140" w:type="dxa"/>
            <w:vAlign w:val="bottom"/>
            <w:tcBorders>
              <w:top w:val="single" w:sz="8" w:color="0000FF"/>
              <w:bottom w:val="single" w:sz="8" w:color="0000FF"/>
            </w:tcBorders>
            <w:gridSpan w:val="2"/>
          </w:tcPr>
          <w:p>
            <w:pPr>
              <w:jc w:val="center"/>
              <w:spacing w:after="0"/>
              <w:rPr>
                <w:rFonts w:ascii="Arial" w:cs="Arial" w:eastAsia="Arial" w:hAnsi="Arial"/>
                <w:sz w:val="17"/>
                <w:szCs w:val="17"/>
                <w:color w:val="0000FF"/>
                <w:w w:val="73"/>
              </w:rPr>
            </w:pPr>
            <w:hyperlink w:anchor="page30">
              <w:r>
                <w:rPr>
                  <w:rFonts w:ascii="Arial" w:cs="Arial" w:eastAsia="Arial" w:hAnsi="Arial"/>
                  <w:sz w:val="17"/>
                  <w:szCs w:val="17"/>
                  <w:color w:val="0000FF"/>
                  <w:w w:val="73"/>
                </w:rPr>
                <w:t>29</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3.</w:t>
            </w:r>
          </w:p>
        </w:tc>
        <w:tc>
          <w:tcPr>
            <w:tcW w:w="1400" w:type="dxa"/>
            <w:vAlign w:val="bottom"/>
            <w:tcBorders>
              <w:bottom w:val="single" w:sz="8" w:color="0000FF"/>
            </w:tcBorders>
            <w:gridSpan w:val="7"/>
          </w:tcPr>
          <w:p>
            <w:pPr>
              <w:spacing w:after="0" w:line="212" w:lineRule="exact"/>
              <w:rPr>
                <w:rFonts w:ascii="Arial" w:cs="Arial" w:eastAsia="Arial" w:hAnsi="Arial"/>
                <w:sz w:val="19"/>
                <w:szCs w:val="19"/>
                <w:color w:val="0000FF"/>
                <w:w w:val="87"/>
              </w:rPr>
            </w:pPr>
            <w:hyperlink w:anchor="page34">
              <w:r>
                <w:rPr>
                  <w:rFonts w:ascii="Arial" w:cs="Arial" w:eastAsia="Arial" w:hAnsi="Arial"/>
                  <w:sz w:val="19"/>
                  <w:szCs w:val="19"/>
                  <w:color w:val="0000FF"/>
                  <w:w w:val="87"/>
                </w:rPr>
                <w:t>Legal Proceedings</w:t>
              </w:r>
            </w:hyperlink>
          </w:p>
        </w:tc>
        <w:tc>
          <w:tcPr>
            <w:tcW w:w="6840" w:type="dxa"/>
            <w:vAlign w:val="bottom"/>
            <w:gridSpan w:val="23"/>
          </w:tcPr>
          <w:p>
            <w:pPr>
              <w:spacing w:after="0"/>
              <w:rPr>
                <w:sz w:val="18"/>
                <w:szCs w:val="18"/>
                <w:color w:val="auto"/>
              </w:rPr>
            </w:pPr>
          </w:p>
        </w:tc>
        <w:tc>
          <w:tcPr>
            <w:tcW w:w="860" w:type="dxa"/>
            <w:vAlign w:val="bottom"/>
            <w:gridSpan w:val="3"/>
          </w:tcPr>
          <w:p>
            <w:pPr>
              <w:spacing w:after="0"/>
              <w:rPr>
                <w:sz w:val="18"/>
                <w:szCs w:val="18"/>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4">
              <w:r>
                <w:rPr>
                  <w:rFonts w:ascii="Arial" w:cs="Arial" w:eastAsia="Arial" w:hAnsi="Arial"/>
                  <w:sz w:val="17"/>
                  <w:szCs w:val="17"/>
                  <w:color w:val="0000FF"/>
                  <w:w w:val="73"/>
                </w:rPr>
                <w:t>32</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4.</w:t>
            </w:r>
          </w:p>
        </w:tc>
        <w:tc>
          <w:tcPr>
            <w:tcW w:w="8240" w:type="dxa"/>
            <w:vAlign w:val="bottom"/>
            <w:gridSpan w:val="30"/>
          </w:tcPr>
          <w:p>
            <w:pPr>
              <w:spacing w:after="0" w:line="212" w:lineRule="exact"/>
              <w:rPr>
                <w:rFonts w:ascii="Arial" w:cs="Arial" w:eastAsia="Arial" w:hAnsi="Arial"/>
                <w:sz w:val="19"/>
                <w:szCs w:val="19"/>
                <w:color w:val="0000FF"/>
              </w:rPr>
            </w:pPr>
            <w:hyperlink w:anchor="page34">
              <w:r>
                <w:rPr>
                  <w:rFonts w:ascii="Arial" w:cs="Arial" w:eastAsia="Arial" w:hAnsi="Arial"/>
                  <w:sz w:val="19"/>
                  <w:szCs w:val="19"/>
                  <w:color w:val="0000FF"/>
                </w:rPr>
                <w:t>Mine Safety Disclosures</w:t>
              </w:r>
            </w:hyperlink>
          </w:p>
        </w:tc>
        <w:tc>
          <w:tcPr>
            <w:tcW w:w="1000" w:type="dxa"/>
            <w:vAlign w:val="bottom"/>
            <w:gridSpan w:val="5"/>
          </w:tcPr>
          <w:p>
            <w:pPr>
              <w:jc w:val="center"/>
              <w:ind w:left="706"/>
              <w:spacing w:after="0" w:line="212" w:lineRule="exact"/>
              <w:rPr>
                <w:rFonts w:ascii="Arial" w:cs="Arial" w:eastAsia="Arial" w:hAnsi="Arial"/>
                <w:sz w:val="19"/>
                <w:szCs w:val="19"/>
                <w:color w:val="0000FF"/>
                <w:w w:val="94"/>
              </w:rPr>
            </w:pPr>
            <w:hyperlink w:anchor="page34">
              <w:r>
                <w:rPr>
                  <w:rFonts w:ascii="Arial" w:cs="Arial" w:eastAsia="Arial" w:hAnsi="Arial"/>
                  <w:sz w:val="19"/>
                  <w:szCs w:val="19"/>
                  <w:color w:val="0000FF"/>
                  <w:w w:val="94"/>
                </w:rPr>
                <w:t>32</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bottom w:val="single" w:sz="8" w:color="0000FF"/>
            </w:tcBorders>
            <w:gridSpan w:val="5"/>
          </w:tcPr>
          <w:p>
            <w:pPr>
              <w:jc w:val="center"/>
              <w:spacing w:after="0" w:line="212" w:lineRule="exact"/>
              <w:rPr>
                <w:rFonts w:ascii="Arial" w:cs="Arial" w:eastAsia="Arial" w:hAnsi="Arial"/>
                <w:sz w:val="19"/>
                <w:szCs w:val="19"/>
                <w:color w:val="0000FF"/>
                <w:w w:val="93"/>
              </w:rPr>
            </w:pPr>
            <w:hyperlink w:anchor="page34">
              <w:r>
                <w:rPr>
                  <w:rFonts w:ascii="Arial" w:cs="Arial" w:eastAsia="Arial" w:hAnsi="Arial"/>
                  <w:sz w:val="19"/>
                  <w:szCs w:val="19"/>
                  <w:color w:val="0000FF"/>
                  <w:w w:val="93"/>
                </w:rPr>
                <w:t>PART II</w:t>
              </w:r>
            </w:hyperlink>
          </w:p>
        </w:tc>
        <w:tc>
          <w:tcPr>
            <w:tcW w:w="356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5.</w:t>
            </w:r>
          </w:p>
        </w:tc>
        <w:tc>
          <w:tcPr>
            <w:tcW w:w="8240" w:type="dxa"/>
            <w:vAlign w:val="bottom"/>
            <w:gridSpan w:val="30"/>
          </w:tcPr>
          <w:p>
            <w:pPr>
              <w:spacing w:after="0" w:line="212" w:lineRule="exact"/>
              <w:rPr>
                <w:rFonts w:ascii="Arial" w:cs="Arial" w:eastAsia="Arial" w:hAnsi="Arial"/>
                <w:sz w:val="19"/>
                <w:szCs w:val="19"/>
                <w:color w:val="0000FF"/>
                <w:w w:val="96"/>
              </w:rPr>
            </w:pPr>
            <w:hyperlink w:anchor="page35">
              <w:r>
                <w:rPr>
                  <w:rFonts w:ascii="Arial" w:cs="Arial" w:eastAsia="Arial" w:hAnsi="Arial"/>
                  <w:sz w:val="19"/>
                  <w:szCs w:val="19"/>
                  <w:color w:val="0000FF"/>
                  <w:w w:val="96"/>
                </w:rPr>
                <w:t>Market for Registrant's Common Equity, Related Stockholder Matters and Issuer Purchases of Equity</w:t>
              </w:r>
            </w:hyperlink>
          </w:p>
        </w:tc>
        <w:tc>
          <w:tcPr>
            <w:tcW w:w="1000" w:type="dxa"/>
            <w:vAlign w:val="bottom"/>
            <w:gridSpan w:val="5"/>
          </w:tcPr>
          <w:p>
            <w:pPr>
              <w:jc w:val="center"/>
              <w:ind w:left="706"/>
              <w:spacing w:after="0" w:line="212" w:lineRule="exact"/>
              <w:rPr>
                <w:rFonts w:ascii="Arial" w:cs="Arial" w:eastAsia="Arial" w:hAnsi="Arial"/>
                <w:sz w:val="19"/>
                <w:szCs w:val="19"/>
                <w:color w:val="0000FF"/>
                <w:w w:val="94"/>
              </w:rPr>
            </w:pPr>
            <w:hyperlink w:anchor="page35">
              <w:r>
                <w:rPr>
                  <w:rFonts w:ascii="Arial" w:cs="Arial" w:eastAsia="Arial" w:hAnsi="Arial"/>
                  <w:sz w:val="19"/>
                  <w:szCs w:val="19"/>
                  <w:color w:val="0000FF"/>
                  <w:w w:val="94"/>
                </w:rPr>
                <w:t>33</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80" w:type="dxa"/>
            <w:vAlign w:val="bottom"/>
            <w:tcBorders>
              <w:top w:val="single" w:sz="8" w:color="0000FF"/>
              <w:bottom w:val="single" w:sz="8" w:color="0000FF"/>
            </w:tcBorders>
            <w:gridSpan w:val="3"/>
          </w:tcPr>
          <w:p>
            <w:pPr>
              <w:spacing w:after="0" w:line="161" w:lineRule="exact"/>
              <w:rPr>
                <w:rFonts w:ascii="Arial" w:cs="Arial" w:eastAsia="Arial" w:hAnsi="Arial"/>
                <w:sz w:val="18"/>
                <w:szCs w:val="18"/>
                <w:color w:val="0000FF"/>
                <w:w w:val="93"/>
              </w:rPr>
            </w:pPr>
            <w:hyperlink w:anchor="page35">
              <w:r>
                <w:rPr>
                  <w:rFonts w:ascii="Arial" w:cs="Arial" w:eastAsia="Arial" w:hAnsi="Arial"/>
                  <w:sz w:val="18"/>
                  <w:szCs w:val="18"/>
                  <w:color w:val="0000FF"/>
                  <w:w w:val="93"/>
                </w:rPr>
                <w:t>Securities</w:t>
              </w:r>
            </w:hyperlink>
          </w:p>
        </w:tc>
        <w:tc>
          <w:tcPr>
            <w:tcW w:w="6740" w:type="dxa"/>
            <w:vAlign w:val="bottom"/>
            <w:tcBorders>
              <w:top w:val="single" w:sz="8" w:color="0000FF"/>
            </w:tcBorders>
            <w:gridSpan w:val="24"/>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6.</w:t>
            </w:r>
          </w:p>
        </w:tc>
        <w:tc>
          <w:tcPr>
            <w:tcW w:w="1800" w:type="dxa"/>
            <w:vAlign w:val="bottom"/>
            <w:tcBorders>
              <w:bottom w:val="single" w:sz="8" w:color="0000FF"/>
            </w:tcBorders>
            <w:gridSpan w:val="8"/>
          </w:tcPr>
          <w:p>
            <w:pPr>
              <w:spacing w:after="0" w:line="212" w:lineRule="exact"/>
              <w:rPr>
                <w:rFonts w:ascii="Arial" w:cs="Arial" w:eastAsia="Arial" w:hAnsi="Arial"/>
                <w:sz w:val="19"/>
                <w:szCs w:val="19"/>
                <w:color w:val="0000FF"/>
                <w:w w:val="88"/>
              </w:rPr>
            </w:pPr>
            <w:hyperlink w:anchor="page36">
              <w:r>
                <w:rPr>
                  <w:rFonts w:ascii="Arial" w:cs="Arial" w:eastAsia="Arial" w:hAnsi="Arial"/>
                  <w:sz w:val="19"/>
                  <w:szCs w:val="19"/>
                  <w:color w:val="0000FF"/>
                  <w:w w:val="88"/>
                </w:rPr>
                <w:t>Selected Financial Data</w:t>
              </w:r>
            </w:hyperlink>
          </w:p>
        </w:tc>
        <w:tc>
          <w:tcPr>
            <w:tcW w:w="6440" w:type="dxa"/>
            <w:vAlign w:val="bottom"/>
            <w:gridSpan w:val="22"/>
          </w:tcPr>
          <w:p>
            <w:pPr>
              <w:spacing w:after="0"/>
              <w:rPr>
                <w:sz w:val="18"/>
                <w:szCs w:val="18"/>
                <w:color w:val="auto"/>
              </w:rPr>
            </w:pPr>
          </w:p>
        </w:tc>
        <w:tc>
          <w:tcPr>
            <w:tcW w:w="860" w:type="dxa"/>
            <w:vAlign w:val="bottom"/>
            <w:gridSpan w:val="3"/>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7.</w:t>
            </w:r>
          </w:p>
        </w:tc>
        <w:tc>
          <w:tcPr>
            <w:tcW w:w="6760" w:type="dxa"/>
            <w:vAlign w:val="bottom"/>
            <w:tcBorders>
              <w:bottom w:val="single" w:sz="8" w:color="0000FF"/>
            </w:tcBorders>
            <w:gridSpan w:val="26"/>
          </w:tcPr>
          <w:p>
            <w:pPr>
              <w:spacing w:after="0" w:line="212" w:lineRule="exact"/>
              <w:rPr>
                <w:rFonts w:ascii="Arial" w:cs="Arial" w:eastAsia="Arial" w:hAnsi="Arial"/>
                <w:sz w:val="19"/>
                <w:szCs w:val="19"/>
                <w:color w:val="0000FF"/>
                <w:w w:val="90"/>
              </w:rPr>
            </w:pPr>
            <w:hyperlink w:anchor="page36">
              <w:r>
                <w:rPr>
                  <w:rFonts w:ascii="Arial" w:cs="Arial" w:eastAsia="Arial" w:hAnsi="Arial"/>
                  <w:sz w:val="19"/>
                  <w:szCs w:val="19"/>
                  <w:color w:val="0000FF"/>
                  <w:w w:val="90"/>
                </w:rPr>
                <w:t>Management's Discussion and Analysis of Financial Condition and Results of Operations</w:t>
              </w:r>
            </w:hyperlink>
          </w:p>
        </w:tc>
        <w:tc>
          <w:tcPr>
            <w:tcW w:w="1480" w:type="dxa"/>
            <w:vAlign w:val="bottom"/>
            <w:gridSpan w:val="4"/>
          </w:tcPr>
          <w:p>
            <w:pPr>
              <w:spacing w:after="0"/>
              <w:rPr>
                <w:sz w:val="18"/>
                <w:szCs w:val="18"/>
                <w:color w:val="auto"/>
              </w:rPr>
            </w:pPr>
          </w:p>
        </w:tc>
        <w:tc>
          <w:tcPr>
            <w:tcW w:w="860" w:type="dxa"/>
            <w:vAlign w:val="bottom"/>
            <w:gridSpan w:val="3"/>
          </w:tcPr>
          <w:p>
            <w:pPr>
              <w:spacing w:after="0"/>
              <w:rPr>
                <w:sz w:val="18"/>
                <w:szCs w:val="18"/>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6">
              <w:r>
                <w:rPr>
                  <w:rFonts w:ascii="Arial" w:cs="Arial" w:eastAsia="Arial" w:hAnsi="Arial"/>
                  <w:sz w:val="17"/>
                  <w:szCs w:val="17"/>
                  <w:color w:val="0000FF"/>
                  <w:w w:val="73"/>
                </w:rPr>
                <w:t>34</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7A.</w:t>
            </w:r>
          </w:p>
        </w:tc>
        <w:tc>
          <w:tcPr>
            <w:tcW w:w="4580" w:type="dxa"/>
            <w:vAlign w:val="bottom"/>
            <w:tcBorders>
              <w:bottom w:val="single" w:sz="8" w:color="0000FF"/>
            </w:tcBorders>
            <w:gridSpan w:val="18"/>
          </w:tcPr>
          <w:p>
            <w:pPr>
              <w:spacing w:after="0" w:line="212" w:lineRule="exact"/>
              <w:rPr>
                <w:rFonts w:ascii="Arial" w:cs="Arial" w:eastAsia="Arial" w:hAnsi="Arial"/>
                <w:sz w:val="19"/>
                <w:szCs w:val="19"/>
                <w:color w:val="0000FF"/>
                <w:w w:val="91"/>
              </w:rPr>
            </w:pPr>
            <w:hyperlink w:anchor="page61">
              <w:r>
                <w:rPr>
                  <w:rFonts w:ascii="Arial" w:cs="Arial" w:eastAsia="Arial" w:hAnsi="Arial"/>
                  <w:sz w:val="19"/>
                  <w:szCs w:val="19"/>
                  <w:color w:val="0000FF"/>
                  <w:w w:val="91"/>
                </w:rPr>
                <w:t>Quantitative and Qualitative Disclosures About Market Risk</w:t>
              </w:r>
            </w:hyperlink>
          </w:p>
        </w:tc>
        <w:tc>
          <w:tcPr>
            <w:tcW w:w="3660" w:type="dxa"/>
            <w:vAlign w:val="bottom"/>
            <w:gridSpan w:val="12"/>
          </w:tcPr>
          <w:p>
            <w:pPr>
              <w:spacing w:after="0"/>
              <w:rPr>
                <w:sz w:val="18"/>
                <w:szCs w:val="18"/>
                <w:color w:val="auto"/>
              </w:rPr>
            </w:pPr>
          </w:p>
        </w:tc>
        <w:tc>
          <w:tcPr>
            <w:tcW w:w="860" w:type="dxa"/>
            <w:vAlign w:val="bottom"/>
            <w:gridSpan w:val="3"/>
          </w:tcPr>
          <w:p>
            <w:pPr>
              <w:spacing w:after="0"/>
              <w:rPr>
                <w:sz w:val="18"/>
                <w:szCs w:val="18"/>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59</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8.</w:t>
            </w:r>
          </w:p>
        </w:tc>
        <w:tc>
          <w:tcPr>
            <w:tcW w:w="4020" w:type="dxa"/>
            <w:vAlign w:val="bottom"/>
            <w:tcBorders>
              <w:bottom w:val="single" w:sz="8" w:color="0000FF"/>
            </w:tcBorders>
            <w:gridSpan w:val="14"/>
          </w:tcPr>
          <w:p>
            <w:pPr>
              <w:spacing w:after="0" w:line="212" w:lineRule="exact"/>
              <w:rPr>
                <w:rFonts w:ascii="Arial" w:cs="Arial" w:eastAsia="Arial" w:hAnsi="Arial"/>
                <w:sz w:val="19"/>
                <w:szCs w:val="19"/>
                <w:color w:val="0000FF"/>
              </w:rPr>
            </w:pPr>
            <w:hyperlink w:anchor="page63">
              <w:r>
                <w:rPr>
                  <w:rFonts w:ascii="Arial" w:cs="Arial" w:eastAsia="Arial" w:hAnsi="Arial"/>
                  <w:sz w:val="19"/>
                  <w:szCs w:val="19"/>
                  <w:color w:val="0000FF"/>
                </w:rPr>
                <w:t>Financial Statements and Supplementary Data</w:t>
              </w:r>
            </w:hyperlink>
          </w:p>
        </w:tc>
        <w:tc>
          <w:tcPr>
            <w:tcW w:w="4220" w:type="dxa"/>
            <w:vAlign w:val="bottom"/>
            <w:gridSpan w:val="16"/>
          </w:tcPr>
          <w:p>
            <w:pPr>
              <w:spacing w:after="0"/>
              <w:rPr>
                <w:sz w:val="18"/>
                <w:szCs w:val="18"/>
                <w:color w:val="auto"/>
              </w:rPr>
            </w:pPr>
          </w:p>
        </w:tc>
        <w:tc>
          <w:tcPr>
            <w:tcW w:w="860" w:type="dxa"/>
            <w:vAlign w:val="bottom"/>
            <w:gridSpan w:val="3"/>
          </w:tcPr>
          <w:p>
            <w:pPr>
              <w:spacing w:after="0"/>
              <w:rPr>
                <w:sz w:val="18"/>
                <w:szCs w:val="18"/>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62</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9.</w:t>
            </w:r>
          </w:p>
        </w:tc>
        <w:tc>
          <w:tcPr>
            <w:tcW w:w="6840" w:type="dxa"/>
            <w:vAlign w:val="bottom"/>
            <w:gridSpan w:val="27"/>
          </w:tcPr>
          <w:p>
            <w:pPr>
              <w:spacing w:after="0" w:line="212" w:lineRule="exact"/>
              <w:rPr>
                <w:rFonts w:ascii="Arial" w:cs="Arial" w:eastAsia="Arial" w:hAnsi="Arial"/>
                <w:sz w:val="19"/>
                <w:szCs w:val="19"/>
                <w:color w:val="0000FF"/>
                <w:w w:val="90"/>
              </w:rPr>
            </w:pPr>
            <w:hyperlink w:anchor="page155">
              <w:r>
                <w:rPr>
                  <w:rFonts w:ascii="Arial" w:cs="Arial" w:eastAsia="Arial" w:hAnsi="Arial"/>
                  <w:sz w:val="19"/>
                  <w:szCs w:val="19"/>
                  <w:color w:val="0000FF"/>
                  <w:w w:val="90"/>
                </w:rPr>
                <w:t>Changes in and Disagreements With Accountants on Accounting and Financial Disclosure</w:t>
              </w:r>
            </w:hyperlink>
          </w:p>
        </w:tc>
        <w:tc>
          <w:tcPr>
            <w:tcW w:w="1400" w:type="dxa"/>
            <w:vAlign w:val="bottom"/>
            <w:gridSpan w:val="3"/>
          </w:tcPr>
          <w:p>
            <w:pPr>
              <w:spacing w:after="0"/>
              <w:rPr>
                <w:sz w:val="18"/>
                <w:szCs w:val="18"/>
                <w:color w:val="auto"/>
              </w:rPr>
            </w:pPr>
          </w:p>
        </w:tc>
        <w:tc>
          <w:tcPr>
            <w:tcW w:w="1000" w:type="dxa"/>
            <w:vAlign w:val="bottom"/>
            <w:gridSpan w:val="5"/>
          </w:tcPr>
          <w:p>
            <w:pPr>
              <w:jc w:val="center"/>
              <w:ind w:left="626"/>
              <w:spacing w:after="0" w:line="212" w:lineRule="exact"/>
              <w:rPr>
                <w:rFonts w:ascii="Arial" w:cs="Arial" w:eastAsia="Arial" w:hAnsi="Arial"/>
                <w:sz w:val="19"/>
                <w:szCs w:val="19"/>
                <w:color w:val="0000FF"/>
                <w:w w:val="88"/>
              </w:rPr>
            </w:pPr>
            <w:hyperlink w:anchor="page155">
              <w:r>
                <w:rPr>
                  <w:rFonts w:ascii="Arial" w:cs="Arial" w:eastAsia="Arial" w:hAnsi="Arial"/>
                  <w:sz w:val="19"/>
                  <w:szCs w:val="19"/>
                  <w:color w:val="0000FF"/>
                  <w:w w:val="88"/>
                </w:rPr>
                <w:t>153</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9A.</w:t>
            </w:r>
          </w:p>
        </w:tc>
        <w:tc>
          <w:tcPr>
            <w:tcW w:w="1860" w:type="dxa"/>
            <w:vAlign w:val="bottom"/>
            <w:gridSpan w:val="9"/>
          </w:tcPr>
          <w:p>
            <w:pPr>
              <w:spacing w:after="0" w:line="212" w:lineRule="exact"/>
              <w:rPr>
                <w:rFonts w:ascii="Arial" w:cs="Arial" w:eastAsia="Arial" w:hAnsi="Arial"/>
                <w:sz w:val="19"/>
                <w:szCs w:val="19"/>
                <w:color w:val="0000FF"/>
                <w:w w:val="86"/>
              </w:rPr>
            </w:pPr>
            <w:hyperlink w:anchor="page155">
              <w:r>
                <w:rPr>
                  <w:rFonts w:ascii="Arial" w:cs="Arial" w:eastAsia="Arial" w:hAnsi="Arial"/>
                  <w:sz w:val="19"/>
                  <w:szCs w:val="19"/>
                  <w:color w:val="0000FF"/>
                  <w:w w:val="86"/>
                </w:rPr>
                <w:t>Controls and Procedures</w:t>
              </w:r>
            </w:hyperlink>
          </w:p>
        </w:tc>
        <w:tc>
          <w:tcPr>
            <w:tcW w:w="4980" w:type="dxa"/>
            <w:vAlign w:val="bottom"/>
            <w:gridSpan w:val="18"/>
          </w:tcPr>
          <w:p>
            <w:pPr>
              <w:spacing w:after="0"/>
              <w:rPr>
                <w:sz w:val="18"/>
                <w:szCs w:val="18"/>
                <w:color w:val="auto"/>
              </w:rPr>
            </w:pPr>
          </w:p>
        </w:tc>
        <w:tc>
          <w:tcPr>
            <w:tcW w:w="1400" w:type="dxa"/>
            <w:vAlign w:val="bottom"/>
            <w:gridSpan w:val="3"/>
          </w:tcPr>
          <w:p>
            <w:pPr>
              <w:spacing w:after="0"/>
              <w:rPr>
                <w:sz w:val="18"/>
                <w:szCs w:val="18"/>
                <w:color w:val="auto"/>
              </w:rPr>
            </w:pPr>
          </w:p>
        </w:tc>
        <w:tc>
          <w:tcPr>
            <w:tcW w:w="1000" w:type="dxa"/>
            <w:vAlign w:val="bottom"/>
            <w:gridSpan w:val="5"/>
          </w:tcPr>
          <w:p>
            <w:pPr>
              <w:jc w:val="center"/>
              <w:ind w:left="626"/>
              <w:spacing w:after="0" w:line="212" w:lineRule="exact"/>
              <w:rPr>
                <w:rFonts w:ascii="Arial" w:cs="Arial" w:eastAsia="Arial" w:hAnsi="Arial"/>
                <w:sz w:val="19"/>
                <w:szCs w:val="19"/>
                <w:color w:val="0000FF"/>
                <w:w w:val="88"/>
              </w:rPr>
            </w:pPr>
            <w:hyperlink w:anchor="page155">
              <w:r>
                <w:rPr>
                  <w:rFonts w:ascii="Arial" w:cs="Arial" w:eastAsia="Arial" w:hAnsi="Arial"/>
                  <w:sz w:val="19"/>
                  <w:szCs w:val="19"/>
                  <w:color w:val="0000FF"/>
                  <w:w w:val="88"/>
                </w:rPr>
                <w:t>153</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9B.</w:t>
            </w:r>
          </w:p>
        </w:tc>
        <w:tc>
          <w:tcPr>
            <w:tcW w:w="1380" w:type="dxa"/>
            <w:vAlign w:val="bottom"/>
            <w:gridSpan w:val="6"/>
          </w:tcPr>
          <w:p>
            <w:pPr>
              <w:spacing w:after="0" w:line="212" w:lineRule="exact"/>
              <w:rPr>
                <w:rFonts w:ascii="Arial" w:cs="Arial" w:eastAsia="Arial" w:hAnsi="Arial"/>
                <w:sz w:val="19"/>
                <w:szCs w:val="19"/>
                <w:color w:val="0000FF"/>
                <w:w w:val="91"/>
              </w:rPr>
            </w:pPr>
            <w:hyperlink w:anchor="page159">
              <w:r>
                <w:rPr>
                  <w:rFonts w:ascii="Arial" w:cs="Arial" w:eastAsia="Arial" w:hAnsi="Arial"/>
                  <w:sz w:val="19"/>
                  <w:szCs w:val="19"/>
                  <w:color w:val="0000FF"/>
                  <w:w w:val="91"/>
                </w:rPr>
                <w:t>Other Information</w:t>
              </w:r>
            </w:hyperlink>
          </w:p>
        </w:tc>
        <w:tc>
          <w:tcPr>
            <w:tcW w:w="480" w:type="dxa"/>
            <w:vAlign w:val="bottom"/>
            <w:gridSpan w:val="3"/>
          </w:tcPr>
          <w:p>
            <w:pPr>
              <w:spacing w:after="0"/>
              <w:rPr>
                <w:sz w:val="18"/>
                <w:szCs w:val="18"/>
                <w:color w:val="auto"/>
              </w:rPr>
            </w:pPr>
          </w:p>
        </w:tc>
        <w:tc>
          <w:tcPr>
            <w:tcW w:w="6380" w:type="dxa"/>
            <w:vAlign w:val="bottom"/>
            <w:gridSpan w:val="21"/>
          </w:tcPr>
          <w:p>
            <w:pPr>
              <w:spacing w:after="0"/>
              <w:rPr>
                <w:sz w:val="18"/>
                <w:szCs w:val="18"/>
                <w:color w:val="auto"/>
              </w:rPr>
            </w:pPr>
          </w:p>
        </w:tc>
        <w:tc>
          <w:tcPr>
            <w:tcW w:w="1000" w:type="dxa"/>
            <w:vAlign w:val="bottom"/>
            <w:gridSpan w:val="5"/>
          </w:tcPr>
          <w:p>
            <w:pPr>
              <w:jc w:val="center"/>
              <w:ind w:left="626"/>
              <w:spacing w:after="0" w:line="212" w:lineRule="exact"/>
              <w:rPr>
                <w:rFonts w:ascii="Arial" w:cs="Arial" w:eastAsia="Arial" w:hAnsi="Arial"/>
                <w:sz w:val="19"/>
                <w:szCs w:val="19"/>
                <w:color w:val="0000FF"/>
                <w:w w:val="88"/>
              </w:rPr>
            </w:pPr>
            <w:hyperlink w:anchor="page159">
              <w:r>
                <w:rPr>
                  <w:rFonts w:ascii="Arial" w:cs="Arial" w:eastAsia="Arial" w:hAnsi="Arial"/>
                  <w:sz w:val="19"/>
                  <w:szCs w:val="19"/>
                  <w:color w:val="0000FF"/>
                  <w:w w:val="88"/>
                </w:rPr>
                <w:t>157</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9C.</w:t>
            </w:r>
          </w:p>
        </w:tc>
        <w:tc>
          <w:tcPr>
            <w:tcW w:w="8240" w:type="dxa"/>
            <w:vAlign w:val="bottom"/>
            <w:gridSpan w:val="30"/>
          </w:tcPr>
          <w:p>
            <w:pPr>
              <w:spacing w:after="0" w:line="212" w:lineRule="exact"/>
              <w:rPr>
                <w:rFonts w:ascii="Arial" w:cs="Arial" w:eastAsia="Arial" w:hAnsi="Arial"/>
                <w:sz w:val="19"/>
                <w:szCs w:val="19"/>
                <w:color w:val="0000FF"/>
              </w:rPr>
            </w:pPr>
            <w:hyperlink w:anchor="page159">
              <w:r>
                <w:rPr>
                  <w:rFonts w:ascii="Arial" w:cs="Arial" w:eastAsia="Arial" w:hAnsi="Arial"/>
                  <w:sz w:val="19"/>
                  <w:szCs w:val="19"/>
                  <w:color w:val="0000FF"/>
                </w:rPr>
                <w:t>Disclosure Regarding Foreign Jurisdictions that Prevent Inspections</w:t>
              </w:r>
            </w:hyperlink>
          </w:p>
        </w:tc>
        <w:tc>
          <w:tcPr>
            <w:tcW w:w="1000" w:type="dxa"/>
            <w:vAlign w:val="bottom"/>
            <w:gridSpan w:val="5"/>
          </w:tcPr>
          <w:p>
            <w:pPr>
              <w:jc w:val="center"/>
              <w:ind w:left="626"/>
              <w:spacing w:after="0" w:line="212" w:lineRule="exact"/>
              <w:rPr>
                <w:rFonts w:ascii="Arial" w:cs="Arial" w:eastAsia="Arial" w:hAnsi="Arial"/>
                <w:sz w:val="19"/>
                <w:szCs w:val="19"/>
                <w:color w:val="0000FF"/>
                <w:w w:val="88"/>
              </w:rPr>
            </w:pPr>
            <w:hyperlink w:anchor="page159">
              <w:r>
                <w:rPr>
                  <w:rFonts w:ascii="Arial" w:cs="Arial" w:eastAsia="Arial" w:hAnsi="Arial"/>
                  <w:sz w:val="19"/>
                  <w:szCs w:val="19"/>
                  <w:color w:val="0000FF"/>
                  <w:w w:val="88"/>
                </w:rPr>
                <w:t>157</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gridSpan w:val="9"/>
          </w:tcPr>
          <w:p>
            <w:pPr>
              <w:jc w:val="center"/>
              <w:ind w:right="440"/>
              <w:spacing w:after="0" w:line="212" w:lineRule="exact"/>
              <w:rPr>
                <w:rFonts w:ascii="Arial" w:cs="Arial" w:eastAsia="Arial" w:hAnsi="Arial"/>
                <w:sz w:val="19"/>
                <w:szCs w:val="19"/>
                <w:color w:val="0000FF"/>
                <w:w w:val="94"/>
              </w:rPr>
            </w:pPr>
            <w:hyperlink w:anchor="page159">
              <w:r>
                <w:rPr>
                  <w:rFonts w:ascii="Arial" w:cs="Arial" w:eastAsia="Arial" w:hAnsi="Arial"/>
                  <w:sz w:val="19"/>
                  <w:szCs w:val="19"/>
                  <w:color w:val="0000FF"/>
                  <w:w w:val="94"/>
                </w:rPr>
                <w:t>PART III</w:t>
              </w:r>
            </w:hyperlink>
          </w:p>
        </w:tc>
        <w:tc>
          <w:tcPr>
            <w:tcW w:w="310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10.</w:t>
            </w:r>
          </w:p>
        </w:tc>
        <w:tc>
          <w:tcPr>
            <w:tcW w:w="4300" w:type="dxa"/>
            <w:vAlign w:val="bottom"/>
            <w:gridSpan w:val="17"/>
          </w:tcPr>
          <w:p>
            <w:pPr>
              <w:spacing w:after="0" w:line="212" w:lineRule="exact"/>
              <w:rPr>
                <w:rFonts w:ascii="Arial" w:cs="Arial" w:eastAsia="Arial" w:hAnsi="Arial"/>
                <w:sz w:val="19"/>
                <w:szCs w:val="19"/>
                <w:color w:val="0000FF"/>
                <w:w w:val="90"/>
              </w:rPr>
            </w:pPr>
            <w:hyperlink w:anchor="page159">
              <w:r>
                <w:rPr>
                  <w:rFonts w:ascii="Arial" w:cs="Arial" w:eastAsia="Arial" w:hAnsi="Arial"/>
                  <w:sz w:val="19"/>
                  <w:szCs w:val="19"/>
                  <w:color w:val="0000FF"/>
                  <w:w w:val="90"/>
                </w:rPr>
                <w:t>Directors, Executive Officers and Corporate Governance</w:t>
              </w:r>
            </w:hyperlink>
          </w:p>
        </w:tc>
        <w:tc>
          <w:tcPr>
            <w:tcW w:w="3940" w:type="dxa"/>
            <w:vAlign w:val="bottom"/>
            <w:gridSpan w:val="13"/>
          </w:tcPr>
          <w:p>
            <w:pPr>
              <w:spacing w:after="0"/>
              <w:rPr>
                <w:sz w:val="18"/>
                <w:szCs w:val="18"/>
                <w:color w:val="auto"/>
              </w:rPr>
            </w:pPr>
          </w:p>
        </w:tc>
        <w:tc>
          <w:tcPr>
            <w:tcW w:w="1000" w:type="dxa"/>
            <w:vAlign w:val="bottom"/>
            <w:gridSpan w:val="5"/>
          </w:tcPr>
          <w:p>
            <w:pPr>
              <w:jc w:val="center"/>
              <w:ind w:left="626"/>
              <w:spacing w:after="0" w:line="212" w:lineRule="exact"/>
              <w:rPr>
                <w:rFonts w:ascii="Arial" w:cs="Arial" w:eastAsia="Arial" w:hAnsi="Arial"/>
                <w:sz w:val="19"/>
                <w:szCs w:val="19"/>
                <w:color w:val="0000FF"/>
                <w:w w:val="88"/>
              </w:rPr>
            </w:pPr>
            <w:hyperlink w:anchor="page159">
              <w:r>
                <w:rPr>
                  <w:rFonts w:ascii="Arial" w:cs="Arial" w:eastAsia="Arial" w:hAnsi="Arial"/>
                  <w:sz w:val="19"/>
                  <w:szCs w:val="19"/>
                  <w:color w:val="0000FF"/>
                  <w:w w:val="88"/>
                </w:rPr>
                <w:t>157</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11.</w:t>
            </w:r>
          </w:p>
        </w:tc>
        <w:tc>
          <w:tcPr>
            <w:tcW w:w="1860" w:type="dxa"/>
            <w:vAlign w:val="bottom"/>
            <w:gridSpan w:val="9"/>
          </w:tcPr>
          <w:p>
            <w:pPr>
              <w:spacing w:after="0" w:line="212" w:lineRule="exact"/>
              <w:rPr>
                <w:rFonts w:ascii="Arial" w:cs="Arial" w:eastAsia="Arial" w:hAnsi="Arial"/>
                <w:sz w:val="19"/>
                <w:szCs w:val="19"/>
                <w:color w:val="0000FF"/>
                <w:w w:val="86"/>
              </w:rPr>
            </w:pPr>
            <w:hyperlink w:anchor="page160">
              <w:r>
                <w:rPr>
                  <w:rFonts w:ascii="Arial" w:cs="Arial" w:eastAsia="Arial" w:hAnsi="Arial"/>
                  <w:sz w:val="19"/>
                  <w:szCs w:val="19"/>
                  <w:color w:val="0000FF"/>
                  <w:w w:val="86"/>
                </w:rPr>
                <w:t>Executive Compensation</w:t>
              </w:r>
            </w:hyperlink>
          </w:p>
        </w:tc>
        <w:tc>
          <w:tcPr>
            <w:tcW w:w="2440" w:type="dxa"/>
            <w:vAlign w:val="bottom"/>
            <w:gridSpan w:val="8"/>
          </w:tcPr>
          <w:p>
            <w:pPr>
              <w:spacing w:after="0"/>
              <w:rPr>
                <w:sz w:val="18"/>
                <w:szCs w:val="18"/>
                <w:color w:val="auto"/>
              </w:rPr>
            </w:pPr>
          </w:p>
        </w:tc>
        <w:tc>
          <w:tcPr>
            <w:tcW w:w="3940" w:type="dxa"/>
            <w:vAlign w:val="bottom"/>
            <w:gridSpan w:val="13"/>
          </w:tcPr>
          <w:p>
            <w:pPr>
              <w:spacing w:after="0"/>
              <w:rPr>
                <w:sz w:val="18"/>
                <w:szCs w:val="18"/>
                <w:color w:val="auto"/>
              </w:rPr>
            </w:pPr>
          </w:p>
        </w:tc>
        <w:tc>
          <w:tcPr>
            <w:tcW w:w="1000" w:type="dxa"/>
            <w:vAlign w:val="bottom"/>
            <w:gridSpan w:val="5"/>
          </w:tcPr>
          <w:p>
            <w:pPr>
              <w:jc w:val="center"/>
              <w:ind w:left="626"/>
              <w:spacing w:after="0" w:line="212" w:lineRule="exact"/>
              <w:rPr>
                <w:rFonts w:ascii="Arial" w:cs="Arial" w:eastAsia="Arial" w:hAnsi="Arial"/>
                <w:sz w:val="19"/>
                <w:szCs w:val="19"/>
                <w:color w:val="0000FF"/>
                <w:w w:val="88"/>
              </w:rPr>
            </w:pPr>
            <w:hyperlink w:anchor="page160">
              <w:r>
                <w:rPr>
                  <w:rFonts w:ascii="Arial" w:cs="Arial" w:eastAsia="Arial" w:hAnsi="Arial"/>
                  <w:sz w:val="19"/>
                  <w:szCs w:val="19"/>
                  <w:color w:val="0000FF"/>
                  <w:w w:val="88"/>
                </w:rPr>
                <w:t>158</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12.</w:t>
            </w:r>
          </w:p>
        </w:tc>
        <w:tc>
          <w:tcPr>
            <w:tcW w:w="7660" w:type="dxa"/>
            <w:vAlign w:val="bottom"/>
            <w:gridSpan w:val="28"/>
          </w:tcPr>
          <w:p>
            <w:pPr>
              <w:spacing w:after="0" w:line="212" w:lineRule="exact"/>
              <w:rPr>
                <w:rFonts w:ascii="Arial" w:cs="Arial" w:eastAsia="Arial" w:hAnsi="Arial"/>
                <w:sz w:val="19"/>
                <w:szCs w:val="19"/>
                <w:color w:val="0000FF"/>
                <w:w w:val="90"/>
              </w:rPr>
            </w:pPr>
            <w:hyperlink w:anchor="page160">
              <w:r>
                <w:rPr>
                  <w:rFonts w:ascii="Arial" w:cs="Arial" w:eastAsia="Arial" w:hAnsi="Arial"/>
                  <w:sz w:val="19"/>
                  <w:szCs w:val="19"/>
                  <w:color w:val="0000FF"/>
                  <w:w w:val="90"/>
                </w:rPr>
                <w:t>Security Ownership of Certain Beneficial Owners and Management and Related Stockholder Matters</w:t>
              </w:r>
            </w:hyperlink>
          </w:p>
        </w:tc>
        <w:tc>
          <w:tcPr>
            <w:tcW w:w="580" w:type="dxa"/>
            <w:vAlign w:val="bottom"/>
            <w:gridSpan w:val="2"/>
          </w:tcPr>
          <w:p>
            <w:pPr>
              <w:spacing w:after="0"/>
              <w:rPr>
                <w:sz w:val="18"/>
                <w:szCs w:val="18"/>
                <w:color w:val="auto"/>
              </w:rPr>
            </w:pPr>
          </w:p>
        </w:tc>
        <w:tc>
          <w:tcPr>
            <w:tcW w:w="1000" w:type="dxa"/>
            <w:vAlign w:val="bottom"/>
            <w:gridSpan w:val="5"/>
          </w:tcPr>
          <w:p>
            <w:pPr>
              <w:jc w:val="center"/>
              <w:ind w:left="626"/>
              <w:spacing w:after="0" w:line="212" w:lineRule="exact"/>
              <w:rPr>
                <w:rFonts w:ascii="Arial" w:cs="Arial" w:eastAsia="Arial" w:hAnsi="Arial"/>
                <w:sz w:val="19"/>
                <w:szCs w:val="19"/>
                <w:color w:val="0000FF"/>
                <w:w w:val="88"/>
              </w:rPr>
            </w:pPr>
            <w:hyperlink w:anchor="page160">
              <w:r>
                <w:rPr>
                  <w:rFonts w:ascii="Arial" w:cs="Arial" w:eastAsia="Arial" w:hAnsi="Arial"/>
                  <w:sz w:val="19"/>
                  <w:szCs w:val="19"/>
                  <w:color w:val="0000FF"/>
                  <w:w w:val="88"/>
                </w:rPr>
                <w:t>158</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2200" w:type="dxa"/>
            <w:vAlign w:val="bottom"/>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13.</w:t>
            </w:r>
          </w:p>
        </w:tc>
        <w:tc>
          <w:tcPr>
            <w:tcW w:w="7660" w:type="dxa"/>
            <w:vAlign w:val="bottom"/>
            <w:gridSpan w:val="28"/>
          </w:tcPr>
          <w:p>
            <w:pPr>
              <w:spacing w:after="0" w:line="212" w:lineRule="exact"/>
              <w:rPr>
                <w:rFonts w:ascii="Arial" w:cs="Arial" w:eastAsia="Arial" w:hAnsi="Arial"/>
                <w:sz w:val="19"/>
                <w:szCs w:val="19"/>
                <w:color w:val="0000FF"/>
              </w:rPr>
            </w:pPr>
            <w:hyperlink w:anchor="page161">
              <w:r>
                <w:rPr>
                  <w:rFonts w:ascii="Arial" w:cs="Arial" w:eastAsia="Arial" w:hAnsi="Arial"/>
                  <w:sz w:val="19"/>
                  <w:szCs w:val="19"/>
                  <w:color w:val="0000FF"/>
                </w:rPr>
                <w:t>Certain Relationships and Related Transactions, and Director Independence</w:t>
              </w:r>
            </w:hyperlink>
          </w:p>
        </w:tc>
        <w:tc>
          <w:tcPr>
            <w:tcW w:w="580" w:type="dxa"/>
            <w:vAlign w:val="bottom"/>
            <w:gridSpan w:val="2"/>
          </w:tcPr>
          <w:p>
            <w:pPr>
              <w:spacing w:after="0"/>
              <w:rPr>
                <w:sz w:val="18"/>
                <w:szCs w:val="18"/>
                <w:color w:val="auto"/>
              </w:rPr>
            </w:pPr>
          </w:p>
        </w:tc>
        <w:tc>
          <w:tcPr>
            <w:tcW w:w="1000" w:type="dxa"/>
            <w:vAlign w:val="bottom"/>
            <w:gridSpan w:val="5"/>
          </w:tcPr>
          <w:p>
            <w:pPr>
              <w:jc w:val="center"/>
              <w:ind w:left="626"/>
              <w:spacing w:after="0" w:line="212" w:lineRule="exact"/>
              <w:rPr>
                <w:rFonts w:ascii="Arial" w:cs="Arial" w:eastAsia="Arial" w:hAnsi="Arial"/>
                <w:sz w:val="19"/>
                <w:szCs w:val="19"/>
                <w:color w:val="0000FF"/>
                <w:w w:val="88"/>
              </w:rPr>
            </w:pPr>
            <w:hyperlink w:anchor="page161">
              <w:r>
                <w:rPr>
                  <w:rFonts w:ascii="Arial" w:cs="Arial" w:eastAsia="Arial" w:hAnsi="Arial"/>
                  <w:sz w:val="19"/>
                  <w:szCs w:val="19"/>
                  <w:color w:val="0000FF"/>
                  <w:w w:val="88"/>
                </w:rPr>
                <w:t>159</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2200" w:type="dxa"/>
            <w:vAlign w:val="bottom"/>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14.</w:t>
            </w:r>
          </w:p>
        </w:tc>
        <w:tc>
          <w:tcPr>
            <w:tcW w:w="5720" w:type="dxa"/>
            <w:vAlign w:val="bottom"/>
            <w:gridSpan w:val="25"/>
          </w:tcPr>
          <w:p>
            <w:pPr>
              <w:spacing w:after="0" w:line="212" w:lineRule="exact"/>
              <w:rPr>
                <w:rFonts w:ascii="Arial" w:cs="Arial" w:eastAsia="Arial" w:hAnsi="Arial"/>
                <w:sz w:val="19"/>
                <w:szCs w:val="19"/>
                <w:color w:val="0000FF"/>
              </w:rPr>
            </w:pPr>
            <w:hyperlink w:anchor="page161">
              <w:r>
                <w:rPr>
                  <w:rFonts w:ascii="Arial" w:cs="Arial" w:eastAsia="Arial" w:hAnsi="Arial"/>
                  <w:sz w:val="19"/>
                  <w:szCs w:val="19"/>
                  <w:color w:val="0000FF"/>
                </w:rPr>
                <w:t>Principal Accounting Fees and Services</w:t>
              </w:r>
            </w:hyperlink>
          </w:p>
        </w:tc>
        <w:tc>
          <w:tcPr>
            <w:tcW w:w="2520" w:type="dxa"/>
            <w:vAlign w:val="bottom"/>
            <w:gridSpan w:val="5"/>
          </w:tcPr>
          <w:p>
            <w:pPr>
              <w:spacing w:after="0"/>
              <w:rPr>
                <w:sz w:val="18"/>
                <w:szCs w:val="18"/>
                <w:color w:val="auto"/>
              </w:rPr>
            </w:pPr>
          </w:p>
        </w:tc>
        <w:tc>
          <w:tcPr>
            <w:tcW w:w="1000" w:type="dxa"/>
            <w:vAlign w:val="bottom"/>
            <w:gridSpan w:val="5"/>
          </w:tcPr>
          <w:p>
            <w:pPr>
              <w:jc w:val="center"/>
              <w:ind w:left="626"/>
              <w:spacing w:after="0" w:line="212" w:lineRule="exact"/>
              <w:rPr>
                <w:rFonts w:ascii="Arial" w:cs="Arial" w:eastAsia="Arial" w:hAnsi="Arial"/>
                <w:sz w:val="19"/>
                <w:szCs w:val="19"/>
                <w:color w:val="0000FF"/>
                <w:w w:val="88"/>
              </w:rPr>
            </w:pPr>
            <w:hyperlink w:anchor="page161">
              <w:r>
                <w:rPr>
                  <w:rFonts w:ascii="Arial" w:cs="Arial" w:eastAsia="Arial" w:hAnsi="Arial"/>
                  <w:sz w:val="19"/>
                  <w:szCs w:val="19"/>
                  <w:color w:val="0000FF"/>
                  <w:w w:val="88"/>
                </w:rPr>
                <w:t>159</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Borders>
              <w:bottom w:val="single" w:sz="8" w:color="0000FF"/>
            </w:tcBorders>
            <w:gridSpan w:val="8"/>
          </w:tcPr>
          <w:p>
            <w:pPr>
              <w:jc w:val="center"/>
              <w:spacing w:after="0" w:line="212" w:lineRule="exact"/>
              <w:rPr>
                <w:rFonts w:ascii="Arial" w:cs="Arial" w:eastAsia="Arial" w:hAnsi="Arial"/>
                <w:sz w:val="19"/>
                <w:szCs w:val="19"/>
                <w:color w:val="0000FF"/>
                <w:w w:val="94"/>
              </w:rPr>
            </w:pPr>
            <w:hyperlink w:anchor="page163">
              <w:r>
                <w:rPr>
                  <w:rFonts w:ascii="Arial" w:cs="Arial" w:eastAsia="Arial" w:hAnsi="Arial"/>
                  <w:sz w:val="19"/>
                  <w:szCs w:val="19"/>
                  <w:color w:val="0000FF"/>
                  <w:w w:val="94"/>
                </w:rPr>
                <w:t>PART IV</w:t>
              </w:r>
            </w:hyperlink>
          </w:p>
        </w:tc>
        <w:tc>
          <w:tcPr>
            <w:tcW w:w="352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Arial" w:cs="Arial" w:eastAsia="Arial" w:hAnsi="Arial"/>
                <w:sz w:val="19"/>
                <w:szCs w:val="19"/>
                <w:color w:val="auto"/>
              </w:rPr>
              <w:t>Item 15.</w:t>
            </w:r>
          </w:p>
        </w:tc>
        <w:tc>
          <w:tcPr>
            <w:tcW w:w="3320" w:type="dxa"/>
            <w:vAlign w:val="bottom"/>
            <w:gridSpan w:val="12"/>
          </w:tcPr>
          <w:p>
            <w:pPr>
              <w:spacing w:after="0" w:line="212" w:lineRule="exact"/>
              <w:rPr>
                <w:rFonts w:ascii="Arial" w:cs="Arial" w:eastAsia="Arial" w:hAnsi="Arial"/>
                <w:sz w:val="19"/>
                <w:szCs w:val="19"/>
                <w:color w:val="0000FF"/>
                <w:w w:val="89"/>
              </w:rPr>
            </w:pPr>
            <w:hyperlink w:anchor="page163">
              <w:r>
                <w:rPr>
                  <w:rFonts w:ascii="Arial" w:cs="Arial" w:eastAsia="Arial" w:hAnsi="Arial"/>
                  <w:sz w:val="19"/>
                  <w:szCs w:val="19"/>
                  <w:color w:val="0000FF"/>
                  <w:w w:val="89"/>
                </w:rPr>
                <w:t>Exhibits and Financial Statement Schedules</w:t>
              </w:r>
            </w:hyperlink>
          </w:p>
        </w:tc>
        <w:tc>
          <w:tcPr>
            <w:tcW w:w="4920" w:type="dxa"/>
            <w:vAlign w:val="bottom"/>
            <w:gridSpan w:val="18"/>
          </w:tcPr>
          <w:p>
            <w:pPr>
              <w:spacing w:after="0"/>
              <w:rPr>
                <w:sz w:val="18"/>
                <w:szCs w:val="18"/>
                <w:color w:val="auto"/>
              </w:rPr>
            </w:pPr>
          </w:p>
        </w:tc>
        <w:tc>
          <w:tcPr>
            <w:tcW w:w="1000" w:type="dxa"/>
            <w:vAlign w:val="bottom"/>
            <w:gridSpan w:val="5"/>
          </w:tcPr>
          <w:p>
            <w:pPr>
              <w:jc w:val="center"/>
              <w:ind w:left="626"/>
              <w:spacing w:after="0" w:line="212" w:lineRule="exact"/>
              <w:rPr>
                <w:rFonts w:ascii="Arial" w:cs="Arial" w:eastAsia="Arial" w:hAnsi="Arial"/>
                <w:sz w:val="19"/>
                <w:szCs w:val="19"/>
                <w:color w:val="0000FF"/>
                <w:w w:val="88"/>
              </w:rPr>
            </w:pPr>
            <w:hyperlink w:anchor="page163">
              <w:r>
                <w:rPr>
                  <w:rFonts w:ascii="Arial" w:cs="Arial" w:eastAsia="Arial" w:hAnsi="Arial"/>
                  <w:sz w:val="19"/>
                  <w:szCs w:val="19"/>
                  <w:color w:val="0000FF"/>
                  <w:w w:val="88"/>
                </w:rPr>
                <w:t>161</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2520" w:type="dxa"/>
            <w:vAlign w:val="bottom"/>
            <w:gridSpan w:val="8"/>
            <w:shd w:val="clear" w:color="auto" w:fill="0000FF"/>
          </w:tcPr>
          <w:p>
            <w:pPr>
              <w:spacing w:after="0" w:line="20" w:lineRule="exact"/>
              <w:rPr>
                <w:sz w:val="1"/>
                <w:szCs w:val="1"/>
                <w:color w:val="auto"/>
              </w:rPr>
            </w:pPr>
          </w:p>
        </w:tc>
        <w:tc>
          <w:tcPr>
            <w:tcW w:w="4920" w:type="dxa"/>
            <w:vAlign w:val="bottom"/>
            <w:gridSpan w:val="18"/>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9"/>
                <w:szCs w:val="19"/>
                <w:color w:val="0000FF"/>
                <w:w w:val="83"/>
              </w:rPr>
            </w:pPr>
            <w:hyperlink w:anchor="page185">
              <w:r>
                <w:rPr>
                  <w:rFonts w:ascii="Arial" w:cs="Arial" w:eastAsia="Arial" w:hAnsi="Arial"/>
                  <w:sz w:val="19"/>
                  <w:szCs w:val="19"/>
                  <w:color w:val="0000FF"/>
                  <w:w w:val="83"/>
                </w:rPr>
                <w:t>Signatures</w:t>
              </w:r>
            </w:hyperlink>
          </w:p>
        </w:tc>
        <w:tc>
          <w:tcPr>
            <w:tcW w:w="2520" w:type="dxa"/>
            <w:vAlign w:val="bottom"/>
            <w:gridSpan w:val="8"/>
          </w:tcPr>
          <w:p>
            <w:pPr>
              <w:spacing w:after="0"/>
              <w:rPr>
                <w:sz w:val="24"/>
                <w:szCs w:val="24"/>
                <w:color w:val="auto"/>
              </w:rPr>
            </w:pPr>
          </w:p>
        </w:tc>
        <w:tc>
          <w:tcPr>
            <w:tcW w:w="4920" w:type="dxa"/>
            <w:vAlign w:val="bottom"/>
            <w:gridSpan w:val="18"/>
          </w:tcPr>
          <w:p>
            <w:pPr>
              <w:spacing w:after="0"/>
              <w:rPr>
                <w:sz w:val="24"/>
                <w:szCs w:val="24"/>
                <w:color w:val="auto"/>
              </w:rPr>
            </w:pPr>
          </w:p>
        </w:tc>
        <w:tc>
          <w:tcPr>
            <w:tcW w:w="1000" w:type="dxa"/>
            <w:vAlign w:val="bottom"/>
            <w:gridSpan w:val="5"/>
          </w:tcPr>
          <w:p>
            <w:pPr>
              <w:jc w:val="center"/>
              <w:ind w:left="626"/>
              <w:spacing w:after="0"/>
              <w:rPr>
                <w:rFonts w:ascii="Arial" w:cs="Arial" w:eastAsia="Arial" w:hAnsi="Arial"/>
                <w:sz w:val="19"/>
                <w:szCs w:val="19"/>
                <w:color w:val="0000FF"/>
                <w:w w:val="88"/>
              </w:rPr>
            </w:pPr>
            <w:hyperlink w:anchor="page185">
              <w:r>
                <w:rPr>
                  <w:rFonts w:ascii="Arial" w:cs="Arial" w:eastAsia="Arial" w:hAnsi="Arial"/>
                  <w:sz w:val="19"/>
                  <w:szCs w:val="19"/>
                  <w:color w:val="0000FF"/>
                  <w:w w:val="88"/>
                </w:rPr>
                <w:t>184</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102" w:right="839" w:bottom="1440" w:gutter="0" w:footer="0" w:header="0"/>
        </w:sectPr>
      </w:pPr>
    </w:p>
    <w:bookmarkStart w:id="4" w:name="page5"/>
    <w:bookmarkEnd w:id="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STATEMENTS REGARDING CERTAIN FORWARD-LOOKING INFORMATION</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4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in wholesale markets; market perception of the energy industry and the Evergy Companies; the impact of the Coronavirus (COVID-19) pandemic on, among other things, sales, results of operations, financial condition,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including changes in interest rates and credit spreads and in availability and cost of capital and the effects on derivatives and hedges, nuclear decommissioning trust and pension plan assets and costs; impairments of long-lived assets or goodwill; credit ratings; inflation rates; the transition to a replacement for the London Interbank Offered Rate (LIBOR) benchmark interest rate; effectiveness of risk management policies and procedures and the ability of counterparties to satisfy their contractual commitments; impact of physical and cybersecurity breaches, criminal activity, terrorist attacks and other disruptions to the Evergy Companies' facilities or information technology infrastructure or the facilities and infrastructure of third-party service providers on which the Evergy Companies rely; ability to carry out marketing and sales plans; cost, availability, quality and timely provision of equipment, supplies, labor and fuel;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375"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This list of factors is not all-inclusive because it is not possible to predict all factors. You should also carefully consider the information contained in our other filings with the Securities and Exchange Commission (SEC). Additional risks and uncertainties are discussed in Part I, Item 1A - Risk Factors in this annual report on Form 10-K, and from time to time in current reports on Form 8-K and quarterly reports on Form 10-Q filed by the Evergy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jc w:val="both"/>
        <w:ind w:right="80"/>
        <w:spacing w:after="0" w:line="252" w:lineRule="auto"/>
        <w:rPr>
          <w:sz w:val="20"/>
          <w:szCs w:val="20"/>
          <w:color w:val="auto"/>
        </w:rPr>
      </w:pPr>
      <w:r>
        <w:rPr>
          <w:rFonts w:ascii="Arial" w:cs="Arial" w:eastAsia="Arial" w:hAnsi="Arial"/>
          <w:sz w:val="19"/>
          <w:szCs w:val="19"/>
          <w:color w:val="auto"/>
        </w:rPr>
        <w:t>Companies with the SEC. Each forward-looking statement speaks only as of the date of the particular statement. The Evergy Companies undertake no obligation to publicly update or revise any forward-looking statement, whether as a result of new information, future events or otherwise,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23"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85"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GLOSSARY OF TERMS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glossary of frequently used abbreviations or acronyms that are found throughout this report.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91"/>
              </w:rPr>
              <w:t>Abbreviation or Acronym</w:t>
            </w:r>
          </w:p>
        </w:tc>
        <w:tc>
          <w:tcPr>
            <w:tcW w:w="1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91"/>
              </w:rPr>
              <w:t>Definition</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AAO</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Accounting authority order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ACE</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Affordable Clean Energy</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AEP</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American Electric Power Company, Inc.</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AFUDC</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Allowance for funds used during construction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AMT</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Alternative Minimum Tax</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AOCI</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Accumulated other comprehensive income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AROs</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Asset retirement obligations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ASU</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Accounting Standards Update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Bluescape</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Bluescape Energy Partners, LLC</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BSER</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Best system of emission reduction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CAA</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Clean Air Act Amendments of 1990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CCRs</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Coal combustion residuals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line="232" w:lineRule="exact"/>
              <w:rPr>
                <w:sz w:val="20"/>
                <w:szCs w:val="20"/>
                <w:color w:val="auto"/>
              </w:rPr>
            </w:pPr>
            <w:r>
              <w:rPr>
                <w:rFonts w:ascii="Arial" w:cs="Arial" w:eastAsia="Arial" w:hAnsi="Arial"/>
                <w:sz w:val="19"/>
                <w:szCs w:val="19"/>
                <w:b w:val="1"/>
                <w:bCs w:val="1"/>
                <w:color w:val="auto"/>
              </w:rPr>
              <w:t>CO</w:t>
            </w:r>
            <w:r>
              <w:rPr>
                <w:rFonts w:ascii="Arial" w:cs="Arial" w:eastAsia="Arial" w:hAnsi="Arial"/>
                <w:sz w:val="24"/>
                <w:szCs w:val="24"/>
                <w:b w:val="1"/>
                <w:bCs w:val="1"/>
                <w:color w:val="auto"/>
                <w:vertAlign w:val="subscript"/>
              </w:rPr>
              <w:t>2</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Carbon dioxide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COLI</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Corporate-owned life insurance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COVID-19</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Coronavirus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CPP</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Clean Power Plan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CSAPR</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Cross-State Air Pollution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CWA</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Clean Water Act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EIRR</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Environmental Improvement Revenue Refunding</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ELG</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Effluent limitations guidelines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EPA</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Environmental Protection Agency</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EPS</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Earnings per common share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ERISA</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Employee Retirement Income Security Act of 1974, as amended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ERSP</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Earnings Review and Sharing Plan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Evergy</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Evergy, Inc. and its consolidated subsidiaries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Evergy Board</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Evergy Board of Directors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Evergy Companies</w:t>
            </w:r>
          </w:p>
        </w:tc>
        <w:tc>
          <w:tcPr>
            <w:tcW w:w="8020" w:type="dxa"/>
            <w:vAlign w:val="bottom"/>
            <w:gridSpan w:val="3"/>
          </w:tcPr>
          <w:p>
            <w:pPr>
              <w:ind w:left="260"/>
              <w:spacing w:after="0" w:line="191" w:lineRule="exact"/>
              <w:rPr>
                <w:sz w:val="20"/>
                <w:szCs w:val="20"/>
                <w:color w:val="auto"/>
              </w:rPr>
            </w:pPr>
            <w:r>
              <w:rPr>
                <w:rFonts w:ascii="Arial" w:cs="Arial" w:eastAsia="Arial" w:hAnsi="Arial"/>
                <w:sz w:val="19"/>
                <w:szCs w:val="19"/>
                <w:color w:val="auto"/>
                <w:w w:val="97"/>
              </w:rPr>
              <w:t>Evergy, Evergy Kansas Central, and Evergy Metro, collectively, which are individual registrants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Evergy Kansas Central</w:t>
            </w:r>
          </w:p>
        </w:tc>
        <w:tc>
          <w:tcPr>
            <w:tcW w:w="8020" w:type="dxa"/>
            <w:vAlign w:val="bottom"/>
            <w:gridSpan w:val="3"/>
          </w:tcPr>
          <w:p>
            <w:pPr>
              <w:ind w:left="420"/>
              <w:spacing w:after="0"/>
              <w:rPr>
                <w:sz w:val="20"/>
                <w:szCs w:val="20"/>
                <w:color w:val="auto"/>
              </w:rPr>
            </w:pPr>
            <w:r>
              <w:rPr>
                <w:rFonts w:ascii="Arial" w:cs="Arial" w:eastAsia="Arial" w:hAnsi="Arial"/>
                <w:sz w:val="19"/>
                <w:szCs w:val="19"/>
                <w:color w:val="auto"/>
              </w:rPr>
              <w:t>within the Evergy consolidated group</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0" w:type="dxa"/>
            <w:vAlign w:val="bottom"/>
            <w:gridSpan w:val="2"/>
            <w:vMerge w:val="continue"/>
          </w:tcPr>
          <w:p>
            <w:pPr>
              <w:spacing w:after="0"/>
              <w:rPr>
                <w:sz w:val="16"/>
                <w:szCs w:val="16"/>
                <w:color w:val="auto"/>
              </w:rPr>
            </w:pPr>
          </w:p>
        </w:tc>
        <w:tc>
          <w:tcPr>
            <w:tcW w:w="8020" w:type="dxa"/>
            <w:vAlign w:val="bottom"/>
            <w:gridSpan w:val="3"/>
          </w:tcPr>
          <w:p>
            <w:pPr>
              <w:ind w:left="260"/>
              <w:spacing w:after="0" w:line="184" w:lineRule="exact"/>
              <w:rPr>
                <w:sz w:val="20"/>
                <w:szCs w:val="20"/>
                <w:color w:val="auto"/>
              </w:rPr>
            </w:pPr>
            <w:r>
              <w:rPr>
                <w:rFonts w:ascii="Arial" w:cs="Arial" w:eastAsia="Arial" w:hAnsi="Arial"/>
                <w:sz w:val="19"/>
                <w:szCs w:val="19"/>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Evergy Kansas South</w:t>
            </w:r>
          </w:p>
        </w:tc>
        <w:tc>
          <w:tcPr>
            <w:tcW w:w="8020" w:type="dxa"/>
            <w:vAlign w:val="bottom"/>
            <w:gridSpan w:val="3"/>
          </w:tcPr>
          <w:p>
            <w:pPr>
              <w:ind w:left="420"/>
              <w:spacing w:after="0"/>
              <w:rPr>
                <w:sz w:val="20"/>
                <w:szCs w:val="20"/>
                <w:color w:val="auto"/>
              </w:rPr>
            </w:pPr>
            <w:r>
              <w:rPr>
                <w:rFonts w:ascii="Arial" w:cs="Arial" w:eastAsia="Arial" w:hAnsi="Arial"/>
                <w:sz w:val="19"/>
                <w:szCs w:val="19"/>
                <w:color w:val="auto"/>
              </w:rPr>
              <w:t>subsidiaries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00" w:type="dxa"/>
            <w:vAlign w:val="bottom"/>
            <w:gridSpan w:val="2"/>
            <w:vMerge w:val="continue"/>
          </w:tcPr>
          <w:p>
            <w:pPr>
              <w:spacing w:after="0"/>
              <w:rPr>
                <w:sz w:val="19"/>
                <w:szCs w:val="19"/>
                <w:color w:val="auto"/>
              </w:rPr>
            </w:pP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Evergy Kansas South, Inc., a wholly-owned subsidiary of Evergy Kansas Central</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Evergy Metro</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Evergy Metro, Inc., a wholly-owned subsidiary of Evergy, and its consolidated subsidiaries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Evergy Missouri West</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Evergy Missouri West, Inc., a wholly-owned subsidiary of Evergy</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Evergy Transmission Company</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Evergy Transmission Company, LLC</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Exchange Act</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The Securities Exchange Act of 1934, as amended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FASB</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Financial Accounting Standards Board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w w:val="98"/>
              </w:rPr>
              <w:t>February 2021 winter weather event</w:t>
            </w:r>
          </w:p>
        </w:tc>
        <w:tc>
          <w:tcPr>
            <w:tcW w:w="8020" w:type="dxa"/>
            <w:vAlign w:val="bottom"/>
            <w:gridSpan w:val="3"/>
          </w:tcPr>
          <w:p>
            <w:pPr>
              <w:ind w:left="260"/>
              <w:spacing w:after="0" w:line="191" w:lineRule="exact"/>
              <w:rPr>
                <w:sz w:val="20"/>
                <w:szCs w:val="20"/>
                <w:color w:val="auto"/>
              </w:rPr>
            </w:pPr>
            <w:r>
              <w:rPr>
                <w:rFonts w:ascii="Arial" w:cs="Arial" w:eastAsia="Arial" w:hAnsi="Arial"/>
                <w:sz w:val="19"/>
                <w:szCs w:val="19"/>
                <w:color w:val="auto"/>
                <w:w w:val="91"/>
              </w:rPr>
              <w:t>Significant winter weather event in February 2021 that resulted in extremely cold temperatures over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FERC</w:t>
            </w:r>
          </w:p>
        </w:tc>
        <w:tc>
          <w:tcPr>
            <w:tcW w:w="8020" w:type="dxa"/>
            <w:vAlign w:val="bottom"/>
            <w:gridSpan w:val="3"/>
          </w:tcPr>
          <w:p>
            <w:pPr>
              <w:ind w:left="340"/>
              <w:spacing w:after="0"/>
              <w:rPr>
                <w:sz w:val="20"/>
                <w:szCs w:val="20"/>
                <w:color w:val="auto"/>
              </w:rPr>
            </w:pPr>
            <w:r>
              <w:rPr>
                <w:rFonts w:ascii="Arial" w:cs="Arial" w:eastAsia="Arial" w:hAnsi="Arial"/>
                <w:sz w:val="19"/>
                <w:szCs w:val="19"/>
                <w:color w:val="auto"/>
              </w:rPr>
              <w:t>multi-day period across much of the central and southern United States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00" w:type="dxa"/>
            <w:vAlign w:val="bottom"/>
            <w:gridSpan w:val="2"/>
            <w:vMerge w:val="continue"/>
          </w:tcPr>
          <w:p>
            <w:pPr>
              <w:spacing w:after="0"/>
              <w:rPr>
                <w:sz w:val="19"/>
                <w:szCs w:val="19"/>
                <w:color w:val="auto"/>
              </w:rPr>
            </w:pP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Federal Energy Regulatory Commission</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9"/>
                <w:szCs w:val="19"/>
                <w:b w:val="1"/>
                <w:bCs w:val="1"/>
                <w:color w:val="auto"/>
              </w:rPr>
              <w:t>FMBs</w:t>
            </w:r>
          </w:p>
        </w:tc>
        <w:tc>
          <w:tcPr>
            <w:tcW w:w="8020" w:type="dxa"/>
            <w:vAlign w:val="bottom"/>
            <w:gridSpan w:val="3"/>
          </w:tcPr>
          <w:p>
            <w:pPr>
              <w:ind w:left="260"/>
              <w:spacing w:after="0"/>
              <w:rPr>
                <w:sz w:val="20"/>
                <w:szCs w:val="20"/>
                <w:color w:val="auto"/>
              </w:rPr>
            </w:pPr>
            <w:r>
              <w:rPr>
                <w:rFonts w:ascii="Arial" w:cs="Arial" w:eastAsia="Arial" w:hAnsi="Arial"/>
                <w:sz w:val="19"/>
                <w:szCs w:val="19"/>
                <w:color w:val="auto"/>
              </w:rPr>
              <w:t>First Mortgage Bonds</w:t>
            </w:r>
          </w:p>
        </w:tc>
        <w:tc>
          <w:tcPr>
            <w:tcW w:w="0" w:type="dxa"/>
            <w:vAlign w:val="bottom"/>
          </w:tcPr>
          <w:p>
            <w:pPr>
              <w:spacing w:after="0"/>
              <w:rPr>
                <w:sz w:val="1"/>
                <w:szCs w:val="1"/>
                <w:color w:val="auto"/>
              </w:rPr>
            </w:pPr>
          </w:p>
        </w:tc>
      </w:tr>
      <w:tr>
        <w:trPr>
          <w:trHeight w:val="81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00" w:type="dxa"/>
            <w:vAlign w:val="bottom"/>
          </w:tcPr>
          <w:p>
            <w:pPr>
              <w:ind w:left="2360"/>
              <w:spacing w:after="0"/>
              <w:rPr>
                <w:sz w:val="20"/>
                <w:szCs w:val="20"/>
                <w:color w:val="auto"/>
              </w:rPr>
            </w:pPr>
            <w:r>
              <w:rPr>
                <w:rFonts w:ascii="Arial" w:cs="Arial" w:eastAsia="Arial" w:hAnsi="Arial"/>
                <w:sz w:val="17"/>
                <w:szCs w:val="17"/>
                <w:color w:val="auto"/>
              </w:rPr>
              <w:t>5</w:t>
            </w: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2800" w:type="dxa"/>
            <w:vAlign w:val="bottom"/>
            <w:gridSpan w:val="4"/>
          </w:tcPr>
          <w:p>
            <w:pPr>
              <w:spacing w:after="0"/>
              <w:rPr>
                <w:rFonts w:ascii="Arial" w:cs="Arial" w:eastAsia="Arial" w:hAnsi="Arial"/>
                <w:sz w:val="19"/>
                <w:szCs w:val="19"/>
                <w:color w:val="0000FF"/>
              </w:rPr>
            </w:pPr>
            <w:hyperlink w:anchor="page3">
              <w:r>
                <w:rPr>
                  <w:rFonts w:ascii="Arial" w:cs="Arial" w:eastAsia="Arial" w:hAnsi="Arial"/>
                  <w:sz w:val="19"/>
                  <w:szCs w:val="19"/>
                  <w:color w:val="0000FF"/>
                </w:rPr>
                <w:t>Table of Contents</w:t>
              </w:r>
            </w:hyperlink>
          </w:p>
        </w:tc>
        <w:tc>
          <w:tcPr>
            <w:tcW w:w="4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w w:val="91"/>
              </w:rPr>
              <w:t>Abbreviation or Acronym</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91"/>
              </w:rPr>
              <w:t>Definition</w:t>
            </w:r>
          </w:p>
        </w:tc>
        <w:tc>
          <w:tcPr>
            <w:tcW w:w="35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GAAP</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Generally Accepted Accounting Principles</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GHG</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Greenhouse gas</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Great Plains Energy</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Great Plains Energy Incorporated</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JEC</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Jeffrey Energy Center</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KCC</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State Corporation Commission of the State of Kansas</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KDHE</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Kansas Department of Health &amp; Environment</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KEEIA</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Kansas Energy Efficiency Investment Act</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kV</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Kilovolt</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kWh</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Kilowatt hour</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LEC</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Lawrence Energy Center</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MDNR</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Missouri Department of Natural Resources</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MECG</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Midwest Energy Consumers Group</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MEEIA</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Missouri Energy Efficiency Investment Act</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MPSC</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Public Service Commission of the State of Missouri</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MW</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Megawatt</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MWh</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Megawatt hour</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NAAQS</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National Ambient Air Quality Standards</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NAV</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Net asset value</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NOL</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Net operating loss</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NRC</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Nuclear Regulatory Commission</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OCI</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Other comprehensive income</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OPC</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Office of the Public Counsel</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Prairie Wind</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Prairie Wind Transmission, LLC, 50% owned by Evergy Kansas Central</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RSU</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Restricted share unit</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RTO</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Regional transmission organization</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SEC</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Securities and Exchange Commission</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SIP</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State implementation plan</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SPP</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Southwest Power Pool, Inc.</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TDC</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Transmission delivery charge</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TFR</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Transmission formula rate</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Transource</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w w:val="97"/>
              </w:rPr>
              <w:t>Transource Energy, LLC and its subsidiaries, 13.5% owned by Evergy Transmission Company</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UFSA</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Utility Financing and Securitization Act</w:t>
            </w:r>
          </w:p>
        </w:tc>
      </w:tr>
      <w:tr>
        <w:trPr>
          <w:trHeight w:val="232"/>
        </w:trPr>
        <w:tc>
          <w:tcPr>
            <w:tcW w:w="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VIE</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Variable interest entity</w:t>
            </w:r>
          </w:p>
        </w:tc>
      </w:tr>
      <w:tr>
        <w:trPr>
          <w:trHeight w:val="246"/>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9"/>
                <w:szCs w:val="19"/>
                <w:b w:val="1"/>
                <w:bCs w:val="1"/>
                <w:color w:val="auto"/>
              </w:rPr>
              <w:t>Wolf Creek</w:t>
            </w:r>
          </w:p>
        </w:tc>
        <w:tc>
          <w:tcPr>
            <w:tcW w:w="8440" w:type="dxa"/>
            <w:vAlign w:val="bottom"/>
            <w:gridSpan w:val="3"/>
          </w:tcPr>
          <w:p>
            <w:pPr>
              <w:ind w:left="680"/>
              <w:spacing w:after="0"/>
              <w:rPr>
                <w:sz w:val="20"/>
                <w:szCs w:val="20"/>
                <w:color w:val="auto"/>
              </w:rPr>
            </w:pPr>
            <w:r>
              <w:rPr>
                <w:rFonts w:ascii="Arial" w:cs="Arial" w:eastAsia="Arial" w:hAnsi="Arial"/>
                <w:sz w:val="19"/>
                <w:szCs w:val="19"/>
                <w:color w:val="auto"/>
              </w:rPr>
              <w:t>Wolf Creek Generating Station</w:t>
            </w:r>
          </w:p>
        </w:tc>
      </w:tr>
      <w:tr>
        <w:trPr>
          <w:trHeight w:val="806"/>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ind w:left="2780"/>
              <w:spacing w:after="0"/>
              <w:rPr>
                <w:sz w:val="20"/>
                <w:szCs w:val="20"/>
                <w:color w:val="auto"/>
              </w:rPr>
            </w:pPr>
            <w:r>
              <w:rPr>
                <w:rFonts w:ascii="Arial" w:cs="Arial" w:eastAsia="Arial" w:hAnsi="Arial"/>
                <w:sz w:val="17"/>
                <w:szCs w:val="17"/>
                <w:color w:val="auto"/>
              </w:rPr>
              <w:t>6</w:t>
            </w: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8" w:name="page9"/>
    <w:bookmarkEnd w:id="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I</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3"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Evergy, Inc., Evergy Kansas Central, Inc. and Evergy Metro, Inc. are separate registrants filing this combined annual report on Form 10-K.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83"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Information in other Items of this report as to which reference is made in this Item 1 is hereby incorporated by reference in this Item 1. The use of terms such as "see" or "refer to" shall be deemed to incorporate into this Item 1 the information to which such reference is made.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EVERGY, INC.</w:t>
      </w:r>
    </w:p>
    <w:p>
      <w:pPr>
        <w:spacing w:after="0" w:line="213"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Evergy is a public utility holding company incorporated in 2017 and headquartered in Kansas City, Missouri. Evergy operates primarily through the following wholly-owned direct subsidiaries listed below.</w:t>
      </w:r>
    </w:p>
    <w:p>
      <w:pPr>
        <w:spacing w:after="0" w:line="164" w:lineRule="exact"/>
        <w:rPr>
          <w:sz w:val="20"/>
          <w:szCs w:val="20"/>
          <w:color w:val="auto"/>
        </w:rPr>
      </w:pPr>
    </w:p>
    <w:p>
      <w:pPr>
        <w:ind w:left="620" w:right="140" w:hanging="307"/>
        <w:spacing w:after="0" w:line="252" w:lineRule="auto"/>
        <w:tabs>
          <w:tab w:leader="none" w:pos="609" w:val="left"/>
        </w:tabs>
        <w:numPr>
          <w:ilvl w:val="0"/>
          <w:numId w:val="3"/>
        </w:numPr>
        <w:rPr>
          <w:rFonts w:ascii="Arial" w:cs="Arial" w:eastAsia="Arial" w:hAnsi="Arial"/>
          <w:sz w:val="19"/>
          <w:szCs w:val="19"/>
          <w:color w:val="auto"/>
        </w:rPr>
      </w:pPr>
      <w:r>
        <w:rPr>
          <w:rFonts w:ascii="Arial" w:cs="Arial" w:eastAsia="Arial" w:hAnsi="Arial"/>
          <w:sz w:val="19"/>
          <w:szCs w:val="19"/>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72" w:lineRule="exact"/>
        <w:rPr>
          <w:rFonts w:ascii="Arial" w:cs="Arial" w:eastAsia="Arial" w:hAnsi="Arial"/>
          <w:sz w:val="19"/>
          <w:szCs w:val="19"/>
          <w:color w:val="auto"/>
        </w:rPr>
      </w:pPr>
    </w:p>
    <w:p>
      <w:pPr>
        <w:ind w:left="620" w:right="120" w:hanging="307"/>
        <w:spacing w:after="0" w:line="264" w:lineRule="auto"/>
        <w:tabs>
          <w:tab w:leader="none" w:pos="609" w:val="left"/>
        </w:tabs>
        <w:numPr>
          <w:ilvl w:val="0"/>
          <w:numId w:val="3"/>
        </w:numPr>
        <w:rPr>
          <w:rFonts w:ascii="Arial" w:cs="Arial" w:eastAsia="Arial" w:hAnsi="Arial"/>
          <w:sz w:val="19"/>
          <w:szCs w:val="19"/>
          <w:color w:val="auto"/>
        </w:rPr>
      </w:pPr>
      <w:r>
        <w:rPr>
          <w:rFonts w:ascii="Arial" w:cs="Arial" w:eastAsia="Arial" w:hAnsi="Arial"/>
          <w:sz w:val="19"/>
          <w:szCs w:val="19"/>
          <w:color w:val="auto"/>
        </w:rPr>
        <w:t>Evergy Metro, Inc. (Evergy Metro) is an integrated, regulated electric utility that provides electricity to customers in the states of Missouri and Kansas.</w:t>
      </w:r>
    </w:p>
    <w:p>
      <w:pPr>
        <w:spacing w:after="0" w:line="60" w:lineRule="exact"/>
        <w:rPr>
          <w:rFonts w:ascii="Arial" w:cs="Arial" w:eastAsia="Arial" w:hAnsi="Arial"/>
          <w:sz w:val="19"/>
          <w:szCs w:val="19"/>
          <w:color w:val="auto"/>
        </w:rPr>
      </w:pPr>
    </w:p>
    <w:p>
      <w:pPr>
        <w:ind w:left="620" w:right="260" w:hanging="307"/>
        <w:spacing w:after="0" w:line="264" w:lineRule="auto"/>
        <w:tabs>
          <w:tab w:leader="none" w:pos="609" w:val="left"/>
        </w:tabs>
        <w:numPr>
          <w:ilvl w:val="0"/>
          <w:numId w:val="3"/>
        </w:numPr>
        <w:rPr>
          <w:rFonts w:ascii="Arial" w:cs="Arial" w:eastAsia="Arial" w:hAnsi="Arial"/>
          <w:sz w:val="19"/>
          <w:szCs w:val="19"/>
          <w:color w:val="auto"/>
        </w:rPr>
      </w:pPr>
      <w:r>
        <w:rPr>
          <w:rFonts w:ascii="Arial" w:cs="Arial" w:eastAsia="Arial" w:hAnsi="Arial"/>
          <w:sz w:val="19"/>
          <w:szCs w:val="19"/>
          <w:color w:val="auto"/>
        </w:rPr>
        <w:t>Evergy Missouri West, Inc. (Evergy Missouri West) is an integrated, regulated electric utility that provides electricity to customers in the state of Missouri.</w:t>
      </w:r>
    </w:p>
    <w:p>
      <w:pPr>
        <w:spacing w:after="0" w:line="60" w:lineRule="exact"/>
        <w:rPr>
          <w:rFonts w:ascii="Arial" w:cs="Arial" w:eastAsia="Arial" w:hAnsi="Arial"/>
          <w:sz w:val="19"/>
          <w:szCs w:val="19"/>
          <w:color w:val="auto"/>
        </w:rPr>
      </w:pPr>
    </w:p>
    <w:p>
      <w:pPr>
        <w:ind w:left="620" w:right="240" w:hanging="307"/>
        <w:spacing w:after="0" w:line="248" w:lineRule="auto"/>
        <w:tabs>
          <w:tab w:leader="none" w:pos="609" w:val="left"/>
        </w:tabs>
        <w:numPr>
          <w:ilvl w:val="0"/>
          <w:numId w:val="3"/>
        </w:numPr>
        <w:rPr>
          <w:rFonts w:ascii="Arial" w:cs="Arial" w:eastAsia="Arial" w:hAnsi="Arial"/>
          <w:sz w:val="19"/>
          <w:szCs w:val="19"/>
          <w:color w:val="auto"/>
        </w:rPr>
      </w:pPr>
      <w:r>
        <w:rPr>
          <w:rFonts w:ascii="Arial" w:cs="Arial" w:eastAsia="Arial" w:hAnsi="Arial"/>
          <w:sz w:val="19"/>
          <w:szCs w:val="19"/>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80"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8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Evergy Kansas Central, Evergy Kansas South, Evergy Metro, and Evergy Missouri West conduct business in their respective service territories using the name Evergy. The Evergy Companies assess financial performance and allocate resources on a consolidated basis (i.e., operate in one segment). Evergy serves approximately 1,640,800 customers located in Kansas and Missouri. Customers include approximately 1,433,500 residences, 199,400 commercial firms and 7,900 industrials, municipalities and other electric utilities. Evergy is significantly impacted by seasonality with approximately one-third of its retail revenues recorded in the third quarter.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9" w:name="page10"/>
    <w:bookmarkEnd w:id="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340"/>
        <w:spacing w:after="0" w:line="324" w:lineRule="auto"/>
        <w:rPr>
          <w:sz w:val="20"/>
          <w:szCs w:val="20"/>
          <w:color w:val="auto"/>
        </w:rPr>
      </w:pPr>
      <w:r>
        <w:rPr>
          <w:rFonts w:ascii="Arial" w:cs="Arial" w:eastAsia="Arial" w:hAnsi="Arial"/>
          <w:sz w:val="17"/>
          <w:szCs w:val="17"/>
          <w:color w:val="auto"/>
        </w:rPr>
        <w:t>Evergy expects to continue operating its integrated utilities within the currently existing regulatory frameworks and is focused on empowering a better future for its customers, communities, employees and shareholders. The core tenets of Evergy's strategy are as follows:</w:t>
      </w:r>
    </w:p>
    <w:p>
      <w:pPr>
        <w:spacing w:after="0" w:line="117"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Affordability – working to keep rates affordable and improve regional rate competitiveness;</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Reliability – targeting top-tier performance in reliability, customer service and generation; and</w:t>
      </w:r>
    </w:p>
    <w:p>
      <w:pPr>
        <w:spacing w:after="0" w:line="30" w:lineRule="exact"/>
        <w:rPr>
          <w:rFonts w:ascii="Arial" w:cs="Arial" w:eastAsia="Arial" w:hAnsi="Arial"/>
          <w:sz w:val="19"/>
          <w:szCs w:val="19"/>
          <w:color w:val="auto"/>
        </w:rPr>
      </w:pPr>
    </w:p>
    <w:p>
      <w:pPr>
        <w:ind w:left="620" w:hanging="307"/>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Sustainability – advancing ongoing CO</w:t>
      </w:r>
      <w:r>
        <w:rPr>
          <w:rFonts w:ascii="Arial" w:cs="Arial" w:eastAsia="Arial" w:hAnsi="Arial"/>
          <w:sz w:val="24"/>
          <w:szCs w:val="24"/>
          <w:color w:val="auto"/>
          <w:vertAlign w:val="subscript"/>
        </w:rPr>
        <w:t>2</w:t>
      </w:r>
      <w:r>
        <w:rPr>
          <w:rFonts w:ascii="Arial" w:cs="Arial" w:eastAsia="Arial" w:hAnsi="Arial"/>
          <w:sz w:val="19"/>
          <w:szCs w:val="19"/>
          <w:color w:val="auto"/>
        </w:rPr>
        <w:t xml:space="preserve"> emissions reductions and generation fleet transition.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See Item 7, Management's Discussion and Analysis of Financial Operations (MD&amp;A) - Executive Summary – Strategy, for additional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summarizes the percentage of Evergy's revenues by customer classification.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top w:val="single" w:sz="8" w:color="auto"/>
              <w:bottom w:val="single" w:sz="8" w:color="CCEEFF"/>
            </w:tcBorders>
          </w:tcPr>
          <w:p>
            <w:pPr>
              <w:spacing w:after="0"/>
              <w:rPr>
                <w:sz w:val="21"/>
                <w:szCs w:val="21"/>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2020</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2019</w:t>
            </w: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34%</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39%</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37%</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Commercial</w:t>
            </w:r>
          </w:p>
        </w:tc>
        <w:tc>
          <w:tcPr>
            <w:tcW w:w="1760" w:type="dxa"/>
            <w:vAlign w:val="bottom"/>
          </w:tcPr>
          <w:p>
            <w:pPr>
              <w:jc w:val="center"/>
              <w:spacing w:after="0"/>
              <w:rPr>
                <w:sz w:val="20"/>
                <w:szCs w:val="20"/>
                <w:color w:val="auto"/>
              </w:rPr>
            </w:pPr>
            <w:r>
              <w:rPr>
                <w:rFonts w:ascii="Arial" w:cs="Arial" w:eastAsia="Arial" w:hAnsi="Arial"/>
                <w:sz w:val="17"/>
                <w:szCs w:val="17"/>
                <w:color w:val="auto"/>
                <w:w w:val="93"/>
              </w:rPr>
              <w:t>30%</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3"/>
              </w:rPr>
              <w:t>33%</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88"/>
              </w:rPr>
              <w:t>35%</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Industrial</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12%</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Wholesale</w:t>
            </w:r>
          </w:p>
        </w:tc>
        <w:tc>
          <w:tcPr>
            <w:tcW w:w="1760" w:type="dxa"/>
            <w:vAlign w:val="bottom"/>
          </w:tcPr>
          <w:p>
            <w:pPr>
              <w:jc w:val="center"/>
              <w:spacing w:after="0"/>
              <w:rPr>
                <w:sz w:val="20"/>
                <w:szCs w:val="20"/>
                <w:color w:val="auto"/>
              </w:rPr>
            </w:pPr>
            <w:r>
              <w:rPr>
                <w:rFonts w:ascii="Arial" w:cs="Arial" w:eastAsia="Arial" w:hAnsi="Arial"/>
                <w:sz w:val="17"/>
                <w:szCs w:val="17"/>
                <w:color w:val="auto"/>
                <w:w w:val="93"/>
              </w:rPr>
              <w:t>13%</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89"/>
              </w:rPr>
              <w:t>5%</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89"/>
              </w:rPr>
              <w:t>7%</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Transmission</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w:t>
            </w:r>
          </w:p>
        </w:tc>
      </w:tr>
      <w:tr>
        <w:trPr>
          <w:trHeight w:val="218"/>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6%</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3%</w:t>
            </w:r>
          </w:p>
        </w:tc>
      </w:tr>
      <w:tr>
        <w:trPr>
          <w:trHeight w:val="219"/>
        </w:trPr>
        <w:tc>
          <w:tcPr>
            <w:tcW w:w="5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100%</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summarizes the percentage of Evergy's retail electricity sales by customer class.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top w:val="single" w:sz="8" w:color="auto"/>
              <w:bottom w:val="single" w:sz="8" w:color="CCEEFF"/>
            </w:tcBorders>
          </w:tcPr>
          <w:p>
            <w:pPr>
              <w:spacing w:after="0"/>
              <w:rPr>
                <w:sz w:val="21"/>
                <w:szCs w:val="21"/>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2020</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2019</w:t>
            </w: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37%</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38%</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36%</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Commercial</w:t>
            </w:r>
          </w:p>
        </w:tc>
        <w:tc>
          <w:tcPr>
            <w:tcW w:w="1760" w:type="dxa"/>
            <w:vAlign w:val="bottom"/>
          </w:tcPr>
          <w:p>
            <w:pPr>
              <w:jc w:val="center"/>
              <w:spacing w:after="0"/>
              <w:rPr>
                <w:sz w:val="20"/>
                <w:szCs w:val="20"/>
                <w:color w:val="auto"/>
              </w:rPr>
            </w:pPr>
            <w:r>
              <w:rPr>
                <w:rFonts w:ascii="Arial" w:cs="Arial" w:eastAsia="Arial" w:hAnsi="Arial"/>
                <w:sz w:val="17"/>
                <w:szCs w:val="17"/>
                <w:color w:val="auto"/>
                <w:w w:val="93"/>
              </w:rPr>
              <w:t>42%</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3"/>
              </w:rPr>
              <w:t>42%</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88"/>
              </w:rPr>
              <w:t>43%</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Industrial</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21%</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20%</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21%</w:t>
            </w:r>
          </w:p>
        </w:tc>
      </w:tr>
      <w:tr>
        <w:trPr>
          <w:trHeight w:val="218"/>
        </w:trPr>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100%</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100%</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100%</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Regulation</w:t>
      </w:r>
    </w:p>
    <w:p>
      <w:pPr>
        <w:spacing w:after="0" w:line="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Evergy Kansas Central's and Evergy Metro's Kansas operations are regulated by the State Corporation Commission of the State of Kansas (KCC) and Evergy Metro's Missouri operations and Evergy Missouri West are regulated by the Public Service Commission of the State of Missouri (MPSC), in each case with respect to retail rates, certain accounting matters, standards of service and, in certain cases, the issuance of securities, certification of facilities and service territories. The Evergy Companies are also subject to regulation by the Federal Energy Regulatory Commission (FERC) with respect to transmission, wholesale sales and rates, the issuance of securities in certain cases and other matters. Evergy has an indirect 94% ownership interest in Wolf Creek Generating Station (Wolf Creek), which is subject to regulation by the Nuclear Regulatory Commission (NRC) with respect to licensing, operations and safety-related requirements.</w:t>
      </w:r>
    </w:p>
    <w:p>
      <w:pPr>
        <w:spacing w:after="0" w:line="173" w:lineRule="exact"/>
        <w:rPr>
          <w:sz w:val="20"/>
          <w:szCs w:val="20"/>
          <w:color w:val="auto"/>
        </w:rPr>
      </w:pPr>
    </w:p>
    <w:p>
      <w:pPr>
        <w:ind w:right="940"/>
        <w:spacing w:after="0" w:line="264" w:lineRule="auto"/>
        <w:rPr>
          <w:sz w:val="20"/>
          <w:szCs w:val="20"/>
          <w:color w:val="auto"/>
        </w:rPr>
      </w:pPr>
      <w:r>
        <w:rPr>
          <w:rFonts w:ascii="Arial" w:cs="Arial" w:eastAsia="Arial" w:hAnsi="Arial"/>
          <w:sz w:val="19"/>
          <w:szCs w:val="19"/>
          <w:color w:val="auto"/>
        </w:rPr>
        <w:t>The table below summarizes the rate orders in effect for Evergy Kansas Central's, Evergy Metro's and Evergy Missouri West's retail rate jurisdictions.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vMerge w:val="restart"/>
          </w:tcPr>
          <w:p>
            <w:pPr>
              <w:jc w:val="center"/>
              <w:ind w:left="774"/>
              <w:spacing w:after="0"/>
              <w:rPr>
                <w:sz w:val="20"/>
                <w:szCs w:val="20"/>
                <w:color w:val="auto"/>
              </w:rPr>
            </w:pPr>
            <w:r>
              <w:rPr>
                <w:rFonts w:ascii="Arial" w:cs="Arial" w:eastAsia="Arial" w:hAnsi="Arial"/>
                <w:sz w:val="17"/>
                <w:szCs w:val="17"/>
                <w:b w:val="1"/>
                <w:bCs w:val="1"/>
                <w:color w:val="auto"/>
                <w:w w:val="93"/>
              </w:rPr>
              <w:t>Regulator</w:t>
            </w:r>
          </w:p>
        </w:tc>
        <w:tc>
          <w:tcPr>
            <w:tcW w:w="2000" w:type="dxa"/>
            <w:vAlign w:val="bottom"/>
            <w:tcBorders>
              <w:top w:val="single" w:sz="8" w:color="auto"/>
            </w:tcBorders>
          </w:tcPr>
          <w:p>
            <w:pPr>
              <w:jc w:val="center"/>
              <w:ind w:left="77"/>
              <w:spacing w:after="0" w:line="194" w:lineRule="exact"/>
              <w:rPr>
                <w:sz w:val="20"/>
                <w:szCs w:val="20"/>
                <w:color w:val="auto"/>
              </w:rPr>
            </w:pPr>
            <w:r>
              <w:rPr>
                <w:rFonts w:ascii="Arial" w:cs="Arial" w:eastAsia="Arial" w:hAnsi="Arial"/>
                <w:sz w:val="17"/>
                <w:szCs w:val="17"/>
                <w:b w:val="1"/>
                <w:bCs w:val="1"/>
                <w:color w:val="auto"/>
                <w:w w:val="93"/>
              </w:rPr>
              <w:t>Allowed Return on</w:t>
            </w:r>
          </w:p>
        </w:tc>
        <w:tc>
          <w:tcPr>
            <w:tcW w:w="20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96"/>
              </w:rPr>
              <w:t>Rate-Making Equity</w:t>
            </w:r>
          </w:p>
        </w:tc>
        <w:tc>
          <w:tcPr>
            <w:tcW w:w="1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Effective Date</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ind w:left="97"/>
              <w:spacing w:after="0"/>
              <w:rPr>
                <w:sz w:val="20"/>
                <w:szCs w:val="20"/>
                <w:color w:val="auto"/>
              </w:rPr>
            </w:pPr>
            <w:r>
              <w:rPr>
                <w:rFonts w:ascii="Arial" w:cs="Arial" w:eastAsia="Arial" w:hAnsi="Arial"/>
                <w:sz w:val="17"/>
                <w:szCs w:val="17"/>
                <w:b w:val="1"/>
                <w:bCs w:val="1"/>
                <w:color w:val="auto"/>
                <w:w w:val="96"/>
              </w:rPr>
              <w:t>Equity</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Ratio</w:t>
            </w:r>
          </w:p>
        </w:tc>
        <w:tc>
          <w:tcPr>
            <w:tcW w:w="1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Evergy Kansas Central </w:t>
            </w:r>
            <w:r>
              <w:rPr>
                <w:rFonts w:ascii="Arial" w:cs="Arial" w:eastAsia="Arial" w:hAnsi="Arial"/>
                <w:sz w:val="22"/>
                <w:szCs w:val="22"/>
                <w:color w:val="auto"/>
                <w:vertAlign w:val="superscript"/>
              </w:rPr>
              <w:t>(a)</w:t>
            </w:r>
          </w:p>
        </w:tc>
        <w:tc>
          <w:tcPr>
            <w:tcW w:w="2400" w:type="dxa"/>
            <w:vAlign w:val="bottom"/>
            <w:shd w:val="clear" w:color="auto" w:fill="CCEEFF"/>
          </w:tcPr>
          <w:p>
            <w:pPr>
              <w:jc w:val="center"/>
              <w:ind w:left="774"/>
              <w:spacing w:after="0"/>
              <w:rPr>
                <w:sz w:val="20"/>
                <w:szCs w:val="20"/>
                <w:color w:val="auto"/>
              </w:rPr>
            </w:pPr>
            <w:r>
              <w:rPr>
                <w:rFonts w:ascii="Arial" w:cs="Arial" w:eastAsia="Arial" w:hAnsi="Arial"/>
                <w:sz w:val="17"/>
                <w:szCs w:val="17"/>
                <w:color w:val="auto"/>
                <w:w w:val="94"/>
              </w:rPr>
              <w:t>KCC</w:t>
            </w:r>
          </w:p>
        </w:tc>
        <w:tc>
          <w:tcPr>
            <w:tcW w:w="2000" w:type="dxa"/>
            <w:vAlign w:val="bottom"/>
            <w:shd w:val="clear" w:color="auto" w:fill="CCEEFF"/>
          </w:tcPr>
          <w:p>
            <w:pPr>
              <w:jc w:val="center"/>
              <w:ind w:left="77"/>
              <w:spacing w:after="0"/>
              <w:rPr>
                <w:sz w:val="20"/>
                <w:szCs w:val="20"/>
                <w:color w:val="auto"/>
              </w:rPr>
            </w:pPr>
            <w:r>
              <w:rPr>
                <w:rFonts w:ascii="Arial" w:cs="Arial" w:eastAsia="Arial" w:hAnsi="Arial"/>
                <w:sz w:val="17"/>
                <w:szCs w:val="17"/>
                <w:color w:val="auto"/>
                <w:w w:val="92"/>
              </w:rPr>
              <w:t>9.3%</w:t>
            </w:r>
          </w:p>
        </w:tc>
        <w:tc>
          <w:tcPr>
            <w:tcW w:w="2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51.46%</w:t>
            </w: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September 2018</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Arial" w:cs="Arial" w:eastAsia="Arial" w:hAnsi="Arial"/>
                <w:sz w:val="17"/>
                <w:szCs w:val="17"/>
                <w:color w:val="auto"/>
              </w:rPr>
              <w:t>Evergy Metro - Kansas</w:t>
            </w:r>
          </w:p>
        </w:tc>
        <w:tc>
          <w:tcPr>
            <w:tcW w:w="2400" w:type="dxa"/>
            <w:vAlign w:val="bottom"/>
          </w:tcPr>
          <w:p>
            <w:pPr>
              <w:jc w:val="center"/>
              <w:ind w:left="774"/>
              <w:spacing w:after="0"/>
              <w:rPr>
                <w:sz w:val="20"/>
                <w:szCs w:val="20"/>
                <w:color w:val="auto"/>
              </w:rPr>
            </w:pPr>
            <w:r>
              <w:rPr>
                <w:rFonts w:ascii="Arial" w:cs="Arial" w:eastAsia="Arial" w:hAnsi="Arial"/>
                <w:sz w:val="17"/>
                <w:szCs w:val="17"/>
                <w:color w:val="auto"/>
                <w:w w:val="94"/>
              </w:rPr>
              <w:t>KCC</w:t>
            </w:r>
          </w:p>
        </w:tc>
        <w:tc>
          <w:tcPr>
            <w:tcW w:w="2000" w:type="dxa"/>
            <w:vAlign w:val="bottom"/>
          </w:tcPr>
          <w:p>
            <w:pPr>
              <w:jc w:val="center"/>
              <w:ind w:left="77"/>
              <w:spacing w:after="0"/>
              <w:rPr>
                <w:sz w:val="20"/>
                <w:szCs w:val="20"/>
                <w:color w:val="auto"/>
              </w:rPr>
            </w:pPr>
            <w:r>
              <w:rPr>
                <w:rFonts w:ascii="Arial" w:cs="Arial" w:eastAsia="Arial" w:hAnsi="Arial"/>
                <w:sz w:val="17"/>
                <w:szCs w:val="17"/>
                <w:color w:val="auto"/>
                <w:w w:val="92"/>
              </w:rPr>
              <w:t>9.3%</w:t>
            </w:r>
          </w:p>
        </w:tc>
        <w:tc>
          <w:tcPr>
            <w:tcW w:w="2000" w:type="dxa"/>
            <w:vAlign w:val="bottom"/>
          </w:tcPr>
          <w:p>
            <w:pPr>
              <w:jc w:val="center"/>
              <w:spacing w:after="0"/>
              <w:rPr>
                <w:sz w:val="20"/>
                <w:szCs w:val="20"/>
                <w:color w:val="auto"/>
              </w:rPr>
            </w:pPr>
            <w:r>
              <w:rPr>
                <w:rFonts w:ascii="Arial" w:cs="Arial" w:eastAsia="Arial" w:hAnsi="Arial"/>
                <w:sz w:val="17"/>
                <w:szCs w:val="17"/>
                <w:color w:val="auto"/>
                <w:w w:val="90"/>
              </w:rPr>
              <w:t>49.09%</w:t>
            </w:r>
          </w:p>
        </w:tc>
        <w:tc>
          <w:tcPr>
            <w:tcW w:w="1800" w:type="dxa"/>
            <w:vAlign w:val="bottom"/>
          </w:tcPr>
          <w:p>
            <w:pPr>
              <w:jc w:val="center"/>
              <w:spacing w:after="0"/>
              <w:rPr>
                <w:sz w:val="20"/>
                <w:szCs w:val="20"/>
                <w:color w:val="auto"/>
              </w:rPr>
            </w:pPr>
            <w:r>
              <w:rPr>
                <w:rFonts w:ascii="Arial" w:cs="Arial" w:eastAsia="Arial" w:hAnsi="Arial"/>
                <w:sz w:val="17"/>
                <w:szCs w:val="17"/>
                <w:color w:val="auto"/>
                <w:w w:val="89"/>
              </w:rPr>
              <w:t>December 2018</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 Metro - Missouri</w:t>
            </w:r>
          </w:p>
        </w:tc>
        <w:tc>
          <w:tcPr>
            <w:tcW w:w="2400" w:type="dxa"/>
            <w:vAlign w:val="bottom"/>
            <w:shd w:val="clear" w:color="auto" w:fill="CCEEFF"/>
          </w:tcPr>
          <w:p>
            <w:pPr>
              <w:jc w:val="center"/>
              <w:ind w:left="774"/>
              <w:spacing w:after="0"/>
              <w:rPr>
                <w:sz w:val="20"/>
                <w:szCs w:val="20"/>
                <w:color w:val="auto"/>
              </w:rPr>
            </w:pPr>
            <w:r>
              <w:rPr>
                <w:rFonts w:ascii="Arial" w:cs="Arial" w:eastAsia="Arial" w:hAnsi="Arial"/>
                <w:sz w:val="17"/>
                <w:szCs w:val="17"/>
                <w:color w:val="auto"/>
                <w:w w:val="93"/>
              </w:rPr>
              <w:t>MPSC</w:t>
            </w:r>
          </w:p>
        </w:tc>
        <w:tc>
          <w:tcPr>
            <w:tcW w:w="2000" w:type="dxa"/>
            <w:vAlign w:val="bottom"/>
            <w:shd w:val="clear" w:color="auto" w:fill="CCEEFF"/>
          </w:tcPr>
          <w:p>
            <w:pPr>
              <w:jc w:val="center"/>
              <w:ind w:left="97"/>
              <w:spacing w:after="0"/>
              <w:rPr>
                <w:sz w:val="20"/>
                <w:szCs w:val="20"/>
                <w:color w:val="auto"/>
              </w:rPr>
            </w:pPr>
            <w:r>
              <w:rPr>
                <w:rFonts w:ascii="Arial" w:cs="Arial" w:eastAsia="Arial" w:hAnsi="Arial"/>
                <w:sz w:val="15"/>
                <w:szCs w:val="15"/>
                <w:color w:val="auto"/>
                <w:w w:val="97"/>
              </w:rPr>
              <w:t>(b)</w:t>
            </w:r>
          </w:p>
        </w:tc>
        <w:tc>
          <w:tcPr>
            <w:tcW w:w="2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(b)</w:t>
            </w: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December 2018</w:t>
            </w:r>
          </w:p>
        </w:tc>
        <w:tc>
          <w:tcPr>
            <w:tcW w:w="0" w:type="dxa"/>
            <w:vAlign w:val="bottom"/>
          </w:tcPr>
          <w:p>
            <w:pPr>
              <w:spacing w:after="0"/>
              <w:rPr>
                <w:sz w:val="1"/>
                <w:szCs w:val="1"/>
                <w:color w:val="auto"/>
              </w:rPr>
            </w:pPr>
          </w:p>
        </w:tc>
      </w:tr>
      <w:tr>
        <w:trPr>
          <w:trHeight w:val="225"/>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Evergy Missouri West</w:t>
            </w:r>
          </w:p>
        </w:tc>
        <w:tc>
          <w:tcPr>
            <w:tcW w:w="2400" w:type="dxa"/>
            <w:vAlign w:val="bottom"/>
            <w:tcBorders>
              <w:bottom w:val="single" w:sz="8" w:color="auto"/>
            </w:tcBorders>
          </w:tcPr>
          <w:p>
            <w:pPr>
              <w:jc w:val="center"/>
              <w:ind w:left="774"/>
              <w:spacing w:after="0"/>
              <w:rPr>
                <w:sz w:val="20"/>
                <w:szCs w:val="20"/>
                <w:color w:val="auto"/>
              </w:rPr>
            </w:pPr>
            <w:r>
              <w:rPr>
                <w:rFonts w:ascii="Arial" w:cs="Arial" w:eastAsia="Arial" w:hAnsi="Arial"/>
                <w:sz w:val="17"/>
                <w:szCs w:val="17"/>
                <w:color w:val="auto"/>
                <w:w w:val="93"/>
              </w:rPr>
              <w:t>MPSC</w:t>
            </w:r>
          </w:p>
        </w:tc>
        <w:tc>
          <w:tcPr>
            <w:tcW w:w="2000" w:type="dxa"/>
            <w:vAlign w:val="bottom"/>
            <w:tcBorders>
              <w:bottom w:val="single" w:sz="8" w:color="auto"/>
            </w:tcBorders>
          </w:tcPr>
          <w:p>
            <w:pPr>
              <w:jc w:val="center"/>
              <w:ind w:left="97"/>
              <w:spacing w:after="0"/>
              <w:rPr>
                <w:sz w:val="20"/>
                <w:szCs w:val="20"/>
                <w:color w:val="auto"/>
              </w:rPr>
            </w:pPr>
            <w:r>
              <w:rPr>
                <w:rFonts w:ascii="Arial" w:cs="Arial" w:eastAsia="Arial" w:hAnsi="Arial"/>
                <w:sz w:val="15"/>
                <w:szCs w:val="15"/>
                <w:color w:val="auto"/>
                <w:w w:val="97"/>
              </w:rPr>
              <w:t>(b)</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(b)</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December 2018</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40" w:hanging="137"/>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The KCC establishes rates for Evergy Kansas Central and Evergy Kansas South on a consolidated basis.</w:t>
      </w:r>
    </w:p>
    <w:p>
      <w:pPr>
        <w:spacing w:after="0" w:line="200" w:lineRule="exact"/>
        <w:rPr>
          <w:rFonts w:ascii="Arial" w:cs="Arial" w:eastAsia="Arial" w:hAnsi="Arial"/>
          <w:sz w:val="16"/>
          <w:szCs w:val="16"/>
          <w:color w:val="auto"/>
          <w:vertAlign w:val="superscript"/>
        </w:rPr>
      </w:pPr>
    </w:p>
    <w:p>
      <w:pPr>
        <w:spacing w:after="0" w:line="320" w:lineRule="exact"/>
        <w:rPr>
          <w:rFonts w:ascii="Arial" w:cs="Arial" w:eastAsia="Arial" w:hAnsi="Arial"/>
          <w:sz w:val="16"/>
          <w:szCs w:val="16"/>
          <w:color w:val="auto"/>
          <w:vertAlign w:val="superscript"/>
        </w:rPr>
      </w:pPr>
    </w:p>
    <w:p>
      <w:pPr>
        <w:ind w:left="5580"/>
        <w:spacing w:after="0"/>
        <w:rPr>
          <w:rFonts w:ascii="Arial" w:cs="Arial" w:eastAsia="Arial" w:hAnsi="Arial"/>
          <w:sz w:val="16"/>
          <w:szCs w:val="16"/>
          <w:color w:val="auto"/>
          <w:vertAlign w:val="superscript"/>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24" w:lineRule="exact"/>
        <w:rPr>
          <w:sz w:val="20"/>
          <w:szCs w:val="20"/>
          <w:color w:val="auto"/>
        </w:rPr>
      </w:pPr>
    </w:p>
    <w:p>
      <w:pPr>
        <w:ind w:left="140" w:hanging="137"/>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Evergy Metro's and Evergy Missouri West's current MPSC rate orders do not contain an allowed return on equity or rate-making equity ratio.</w:t>
      </w:r>
    </w:p>
    <w:p>
      <w:pPr>
        <w:spacing w:after="0" w:line="194" w:lineRule="exact"/>
        <w:rPr>
          <w:sz w:val="20"/>
          <w:szCs w:val="20"/>
          <w:color w:val="auto"/>
        </w:rPr>
      </w:pPr>
    </w:p>
    <w:p>
      <w:pPr>
        <w:ind w:right="420"/>
        <w:spacing w:after="0" w:line="264" w:lineRule="auto"/>
        <w:rPr>
          <w:sz w:val="20"/>
          <w:szCs w:val="20"/>
          <w:color w:val="auto"/>
        </w:rPr>
      </w:pPr>
      <w:r>
        <w:rPr>
          <w:rFonts w:ascii="Arial" w:cs="Arial" w:eastAsia="Arial" w:hAnsi="Arial"/>
          <w:sz w:val="19"/>
          <w:szCs w:val="19"/>
          <w:color w:val="auto"/>
        </w:rPr>
        <w:t>Evergy expects its 2022 Kansas and Missouri jurisdictional retail revenues to be approximately 60% and 40%, respectively, based on historical averages of Evergy Kansas Central's, Evergy Metro's and Evergy Missouri West's total retail revenues.</w:t>
      </w:r>
    </w:p>
    <w:p>
      <w:pPr>
        <w:spacing w:after="0" w:line="164"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See Item 7 MD&amp;A, Critical Accounting Policies section, and Note 4 to the consolidated financial statements for additional information concerning regulatory matters.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23"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Missouri and Kansas continue to operate on the fully integrated and regulated retail utility model. As a result, the Evergy Companies do not compete with others to supply and deliver electricity in their franchised service territories in exchange for agreeing to have their terms of service regulated by state regulatory bodies. If Missouri or Kansas were to pass and implement legislation authorizing or mandating retail choice, Evergy may no longer be able to apply regulated utility accounting principles to deregulated portions of its operations, which may require a surcharge to recover certain costs from legacy customers or could lead to a write-off of certain regulatory assets and liabilities.</w:t>
      </w:r>
    </w:p>
    <w:p>
      <w:pPr>
        <w:spacing w:after="0" w:line="158"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Evergy competes in the wholesale market to sell power in circumstances when the power it generates is not required for retail customers in its service territory. This competition primarily occurs within the SPP Integrated Marketplace, in which Evergy Kansas Central, Evergy Metro and Evergy Missouri West are participants. This marketplace determines which generating units among market participants should run, within the operating constraints of a unit, at any given time for maximum regional cost-effectiveness.</w:t>
      </w:r>
    </w:p>
    <w:p>
      <w:pPr>
        <w:spacing w:after="0" w:line="162" w:lineRule="exact"/>
        <w:rPr>
          <w:sz w:val="20"/>
          <w:szCs w:val="20"/>
          <w:color w:val="auto"/>
        </w:rPr>
      </w:pPr>
    </w:p>
    <w:p>
      <w:pPr>
        <w:ind w:right="420"/>
        <w:spacing w:after="0" w:line="264" w:lineRule="auto"/>
        <w:rPr>
          <w:sz w:val="20"/>
          <w:szCs w:val="20"/>
          <w:color w:val="auto"/>
        </w:rPr>
      </w:pPr>
      <w:r>
        <w:rPr>
          <w:rFonts w:ascii="Arial" w:cs="Arial" w:eastAsia="Arial" w:hAnsi="Arial"/>
          <w:sz w:val="19"/>
          <w:szCs w:val="19"/>
          <w:color w:val="auto"/>
        </w:rPr>
        <w:t>The SPP Integrated Marketplace is similar to other Regional Transmission Organization (RTO) or Independent System Operator (ISO) markets currently operating in other regions of the United States.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 Supply</w:t>
      </w:r>
    </w:p>
    <w:p>
      <w:pPr>
        <w:spacing w:after="0" w:line="23"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Evergy has approximately 15,400 megawatts (MWs) of owned generating capacity and renewable power purchase agreements. Evergy's owned generation and power purchases from others, as a percentage of total megawatt hours (MWhs) generated and purchased, was approximately 70% and 30%, respectively, over the last three years. Evergy purchases power to meet its customers' needs, to satisfy firm power commitments or to meet renewable energy standards. Management believes Evergy will be able to meet its future power purchase needs due to the coordination of planning and operations in the SPP region and existing power purchase agreements; however, price and availability of power purchases may be impacted during periods of high demand or reduced supply.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Evergy's total capacity by fuel type, including both owned generating capacity and power purchase agreements, is detailed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4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Fuel Type</w:t>
            </w:r>
          </w:p>
        </w:tc>
        <w:tc>
          <w:tcPr>
            <w:tcW w:w="414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b w:val="1"/>
                <w:bCs w:val="1"/>
                <w:color w:val="auto"/>
              </w:rPr>
              <w:t>Estimated 2022 MW</w:t>
            </w:r>
          </w:p>
        </w:tc>
        <w:tc>
          <w:tcPr>
            <w:tcW w:w="19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7"/>
                <w:szCs w:val="17"/>
                <w:b w:val="1"/>
                <w:bCs w:val="1"/>
                <w:color w:val="auto"/>
                <w:w w:val="93"/>
              </w:rPr>
              <w:t>Percent of Total Capacity</w:t>
            </w:r>
          </w:p>
        </w:tc>
        <w:tc>
          <w:tcPr>
            <w:tcW w:w="0" w:type="dxa"/>
            <w:vAlign w:val="bottom"/>
          </w:tcPr>
          <w:p>
            <w:pPr>
              <w:spacing w:after="0"/>
              <w:rPr>
                <w:sz w:val="1"/>
                <w:szCs w:val="1"/>
                <w:color w:val="auto"/>
              </w:rPr>
            </w:pPr>
          </w:p>
        </w:tc>
      </w:tr>
      <w:tr>
        <w:trPr>
          <w:trHeight w:val="219"/>
        </w:trPr>
        <w:tc>
          <w:tcPr>
            <w:tcW w:w="5140" w:type="dxa"/>
            <w:vAlign w:val="bottom"/>
            <w:tcBorders>
              <w:bottom w:val="single" w:sz="8" w:color="auto"/>
            </w:tcBorders>
            <w:vMerge w:val="continue"/>
          </w:tcPr>
          <w:p>
            <w:pPr>
              <w:spacing w:after="0"/>
              <w:rPr>
                <w:sz w:val="19"/>
                <w:szCs w:val="19"/>
                <w:color w:val="auto"/>
              </w:rPr>
            </w:pPr>
          </w:p>
        </w:tc>
        <w:tc>
          <w:tcPr>
            <w:tcW w:w="41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Capacity</w:t>
            </w:r>
          </w:p>
        </w:tc>
        <w:tc>
          <w:tcPr>
            <w:tcW w:w="19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Coal</w:t>
            </w:r>
          </w:p>
        </w:tc>
        <w:tc>
          <w:tcPr>
            <w:tcW w:w="4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5,913</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3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14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Wind </w:t>
            </w:r>
            <w:r>
              <w:rPr>
                <w:rFonts w:ascii="Arial" w:cs="Arial" w:eastAsia="Arial" w:hAnsi="Arial"/>
                <w:sz w:val="22"/>
                <w:szCs w:val="22"/>
                <w:color w:val="auto"/>
                <w:vertAlign w:val="superscript"/>
              </w:rPr>
              <w:t>(a)</w:t>
            </w:r>
          </w:p>
        </w:tc>
        <w:tc>
          <w:tcPr>
            <w:tcW w:w="4140" w:type="dxa"/>
            <w:vAlign w:val="bottom"/>
          </w:tcPr>
          <w:p>
            <w:pPr>
              <w:jc w:val="right"/>
              <w:spacing w:after="0"/>
              <w:rPr>
                <w:sz w:val="20"/>
                <w:szCs w:val="20"/>
                <w:color w:val="auto"/>
              </w:rPr>
            </w:pPr>
            <w:r>
              <w:rPr>
                <w:rFonts w:ascii="Arial" w:cs="Arial" w:eastAsia="Arial" w:hAnsi="Arial"/>
                <w:sz w:val="17"/>
                <w:szCs w:val="17"/>
                <w:color w:val="auto"/>
              </w:rPr>
              <w:t>4,326</w:t>
            </w:r>
          </w:p>
        </w:tc>
        <w:tc>
          <w:tcPr>
            <w:tcW w:w="1600" w:type="dxa"/>
            <w:vAlign w:val="bottom"/>
          </w:tcPr>
          <w:p>
            <w:pPr>
              <w:jc w:val="right"/>
              <w:spacing w:after="0"/>
              <w:rPr>
                <w:sz w:val="20"/>
                <w:szCs w:val="20"/>
                <w:color w:val="auto"/>
              </w:rPr>
            </w:pPr>
            <w:r>
              <w:rPr>
                <w:rFonts w:ascii="Arial" w:cs="Arial" w:eastAsia="Arial" w:hAnsi="Arial"/>
                <w:sz w:val="17"/>
                <w:szCs w:val="17"/>
                <w:color w:val="auto"/>
              </w:rPr>
              <w:t>28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Natural gas and oil</w:t>
            </w:r>
          </w:p>
        </w:tc>
        <w:tc>
          <w:tcPr>
            <w:tcW w:w="4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color w:val="auto"/>
              </w:rPr>
              <w:t>Uranium</w:t>
            </w:r>
          </w:p>
        </w:tc>
        <w:tc>
          <w:tcPr>
            <w:tcW w:w="4140" w:type="dxa"/>
            <w:vAlign w:val="bottom"/>
          </w:tcPr>
          <w:p>
            <w:pPr>
              <w:jc w:val="right"/>
              <w:spacing w:after="0"/>
              <w:rPr>
                <w:sz w:val="20"/>
                <w:szCs w:val="20"/>
                <w:color w:val="auto"/>
              </w:rPr>
            </w:pPr>
            <w:r>
              <w:rPr>
                <w:rFonts w:ascii="Arial" w:cs="Arial" w:eastAsia="Arial" w:hAnsi="Arial"/>
                <w:sz w:val="17"/>
                <w:szCs w:val="17"/>
                <w:color w:val="auto"/>
              </w:rPr>
              <w:t>1,108</w:t>
            </w:r>
          </w:p>
        </w:tc>
        <w:tc>
          <w:tcPr>
            <w:tcW w:w="1600" w:type="dxa"/>
            <w:vAlign w:val="bottom"/>
          </w:tcPr>
          <w:p>
            <w:pPr>
              <w:jc w:val="right"/>
              <w:spacing w:after="0"/>
              <w:rPr>
                <w:sz w:val="20"/>
                <w:szCs w:val="20"/>
                <w:color w:val="auto"/>
              </w:rPr>
            </w:pPr>
            <w:r>
              <w:rPr>
                <w:rFonts w:ascii="Arial" w:cs="Arial" w:eastAsia="Arial" w:hAnsi="Arial"/>
                <w:sz w:val="17"/>
                <w:szCs w:val="17"/>
                <w:color w:val="auto"/>
              </w:rPr>
              <w:t>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40" w:type="dxa"/>
            <w:vAlign w:val="bottom"/>
            <w:tcBorders>
              <w:bottom w:val="single" w:sz="8" w:color="auto"/>
            </w:tcBorders>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Solar, landfill gas and hydroelectric </w:t>
            </w:r>
            <w:r>
              <w:rPr>
                <w:rFonts w:ascii="Arial" w:cs="Arial" w:eastAsia="Arial" w:hAnsi="Arial"/>
                <w:sz w:val="22"/>
                <w:szCs w:val="22"/>
                <w:color w:val="auto"/>
                <w:vertAlign w:val="superscript"/>
              </w:rPr>
              <w:t>(b)</w:t>
            </w:r>
          </w:p>
        </w:tc>
        <w:tc>
          <w:tcPr>
            <w:tcW w:w="4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capacity</w:t>
            </w: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3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right="240" w:hanging="157"/>
        <w:spacing w:after="0" w:line="259" w:lineRule="auto"/>
        <w:tabs>
          <w:tab w:leader="none" w:pos="142"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MWs are based on nameplate capacity of the wind facility. Includes owned generating capacity of 579 MWs and long-term power purchase agreements of approximately 3,747 MWs of wind generation that expire from 2028 through 2048. See Item 2, Properties, for additional information.</w:t>
      </w:r>
    </w:p>
    <w:p>
      <w:pPr>
        <w:ind w:left="140" w:hanging="137"/>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Includes a long-term power purchase agreement for approximately 66 MWs of hydroelectric generation that expires in 2023.</w:t>
      </w:r>
    </w:p>
    <w:p>
      <w:pPr>
        <w:spacing w:after="0" w:line="182" w:lineRule="exact"/>
        <w:rPr>
          <w:sz w:val="20"/>
          <w:szCs w:val="20"/>
          <w:color w:val="auto"/>
        </w:rPr>
      </w:pPr>
    </w:p>
    <w:p>
      <w:pPr>
        <w:ind w:right="280"/>
        <w:spacing w:after="0" w:line="264" w:lineRule="auto"/>
        <w:rPr>
          <w:sz w:val="20"/>
          <w:szCs w:val="20"/>
          <w:color w:val="auto"/>
        </w:rPr>
      </w:pPr>
      <w:r>
        <w:rPr>
          <w:rFonts w:ascii="Arial" w:cs="Arial" w:eastAsia="Arial" w:hAnsi="Arial"/>
          <w:sz w:val="19"/>
          <w:szCs w:val="19"/>
          <w:color w:val="auto"/>
        </w:rPr>
        <w:t>Evergy's projected peak summer demand for 2022 is approximately 10,200 MWs. Evergy expects to meet its projected capacity requirements for 2022 with its existing generation assets and power purchases. See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"Transitioning Evergy's Generation Fleet" below for further information regarding Evergy's long-term strategy with regards to its generating assets and power purchases.</w:t>
      </w:r>
    </w:p>
    <w:p>
      <w:pPr>
        <w:spacing w:after="0" w:line="16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Evergy Kansas Central, Evergy Metro and Evergy Missouri West are members of the SPP. The SPP is a FERC-approved RTO with the responsibility to ensure reliable power supply, adequate transmission infrastructure and competitive wholesale electricity prices in the region. As SPP members, Evergy Kansas Central, Evergy Metro and Evergy Missouri West are required to maintain a minimum reserve margin of 12%. This net positive supply of capacity is maintained through generation asset ownership, capacity agreements, power purchase agreements and peak demand reduction programs. The reserve margin is designed to support reliability of the region's electric supply.</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2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Evergy Companies are subject to extensive and evolving federal, state and local environmental laws, regulations and permit requirements relating to air and water quality, waste management and hazardous substance disposal, protected natural resources (such as wetlands, endangered species and other protected wildlife) and health and safety. For example, Evergy Kansas Central, Evergy Metro and Evergy Missouri West combust large amounts of fossil fuels in the production of electricity, which results in significant emissions of carbon dioxide (CO</w:t>
      </w:r>
      <w:r>
        <w:rPr>
          <w:rFonts w:ascii="Arial" w:cs="Arial" w:eastAsia="Arial" w:hAnsi="Arial"/>
          <w:sz w:val="22"/>
          <w:szCs w:val="22"/>
          <w:color w:val="auto"/>
          <w:vertAlign w:val="subscript"/>
        </w:rPr>
        <w:t>2</w:t>
      </w:r>
      <w:r>
        <w:rPr>
          <w:rFonts w:ascii="Arial" w:cs="Arial" w:eastAsia="Arial" w:hAnsi="Arial"/>
          <w:sz w:val="17"/>
          <w:szCs w:val="17"/>
          <w:color w:val="auto"/>
        </w:rPr>
        <w:t>) and other greenhouse gases (GHG). Federal legislation regulates the emission of GHGs and numerous states and regions have adopted programs to stabilize or reduce GHG emissions. The Environmental Protection Agency (EPA), the Kansas Department of Health and Environment (KDHE) and the Missouri Department of Natural Resources (MDNR) regulate emissions under the Clean Air Act Amendments of 1990 (CAA), water under the Clean Water Act (CWA) and waste management under the Resource Conservation and Recovery Act (RCRA), among other laws and regulations. See Note 14 to the consolidated financial statements for additional information. There have been, and management believes there will continue to be, policy, legal and regulatory efforts to influence climate change, such as efforts to reduce GHG emissions, impose a tax on emissions and create incentives for low-carbon generation and energy efficiency. These efforts, and climate change itself, have the potential to adversely affect the Evergy Companies' results of operations, financial position and cash flows. See Part I, Item 1A, Risk Factors, for additional information.</w:t>
      </w:r>
    </w:p>
    <w:p>
      <w:pPr>
        <w:spacing w:after="0" w:line="167"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The Evergy Companies have taken, and will continue to take, proactive measures to mitigate the impact of climate change on its businesses. For example, the Evergy Companies regularly conduct preparedness exercises for a variety of disruptive events, including storms, which may become more frequent or intense due to climate change. In addition, the Evergy Companies have invested, and will continue to invest, in grid resiliency. Much of the Evergy Companies' infrastructure is aged, and grid resiliency efforts include building additional transmission and distribution lines, replacing aged infrastructure and proactively managing the vegetation that can damage systems during severe weather. The Evergy Companies also monitor water conditions at their generating facilities and focus on water conservation at these facilities to address resource depletion.</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Transitioning Evergy's Generation Fleet</w:t>
      </w:r>
    </w:p>
    <w:p>
      <w:pPr>
        <w:spacing w:after="0" w:line="23" w:lineRule="exact"/>
        <w:rPr>
          <w:sz w:val="20"/>
          <w:szCs w:val="20"/>
          <w:color w:val="auto"/>
        </w:rPr>
      </w:pPr>
    </w:p>
    <w:p>
      <w:pPr>
        <w:ind w:right="260"/>
        <w:spacing w:after="0" w:line="208" w:lineRule="auto"/>
        <w:rPr>
          <w:sz w:val="20"/>
          <w:szCs w:val="20"/>
          <w:color w:val="auto"/>
        </w:rPr>
      </w:pPr>
      <w:r>
        <w:rPr>
          <w:rFonts w:ascii="Arial" w:cs="Arial" w:eastAsia="Arial" w:hAnsi="Arial"/>
          <w:sz w:val="18"/>
          <w:szCs w:val="18"/>
          <w:color w:val="auto"/>
        </w:rPr>
        <w:t>The Evergy Companies are committed to a long-term strategy to reduce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in a cost-effective and reliable manner. In 2021, Evergy achieved a reduction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by about half from 2005 levels. Evergy has a goal to achieve net-zero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by 2045, which includes an interim goal of a 70% reduction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from 2005 levels by 2030. The trajectory and timing of reaching Evergy's net-zero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goal are dependent on enabling technology developments, the reliability of the power grid, and supportive energy policies and regulations and could also be impacted by political, legal and regulatory actions.</w:t>
      </w:r>
    </w:p>
    <w:p>
      <w:pPr>
        <w:spacing w:after="0" w:line="19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Public attention is currently focused on transitioning to a low carbon future, including reducing GHG emissions and closing coal-fired generating units. Diversity of fuel supply has historically provided cost and reliability benefits. For example, because renewable generation is intermittent, diversity of baseload generation, including a mix of coal and natural gas, has helped to maintain a consistent availability of power. In addition, the Evergy Companies must prudently utilize the generation assets that regulators have allowed the Evergy Companies to include in rates. The Evergy Companies use a triennial integrated resource plan, which is a detailed analysis that estimates factors that influence the future supply and demand for electricity, to inform the manner in which they supply electricity. The integrated resource plan considers forecasts of future electricity demand, fuel prices, transmission improvements,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2" w:name="page13"/>
    <w:bookmarkEnd w:id="1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460"/>
        <w:spacing w:after="0" w:line="264" w:lineRule="auto"/>
        <w:rPr>
          <w:sz w:val="20"/>
          <w:szCs w:val="20"/>
          <w:color w:val="auto"/>
        </w:rPr>
      </w:pPr>
      <w:r>
        <w:rPr>
          <w:rFonts w:ascii="Arial" w:cs="Arial" w:eastAsia="Arial" w:hAnsi="Arial"/>
          <w:sz w:val="19"/>
          <w:szCs w:val="19"/>
          <w:color w:val="auto"/>
        </w:rPr>
        <w:t>new generating capacity, cost of environmental compliance, integration of renewables, energy storage, energy efficiency and demand response initiatives. Strategies that the Evergy Companies are pursuing to reduce emissions include:</w:t>
      </w:r>
    </w:p>
    <w:p>
      <w:pPr>
        <w:spacing w:after="0" w:line="61"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retiring fossil fuel generation;</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developing renewable energy facilities;</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collaborating with regulators to offer customers the opportunity to procure electricity produced with renewable resources; and</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investing in customer energy efficiency programs.</w:t>
      </w:r>
    </w:p>
    <w:p>
      <w:pPr>
        <w:spacing w:after="0" w:line="2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Since 2005, the Evergy Companies have added over 4,400 MWs of renewable generation, while retiring more than 2,400 MWs of fossil generation. See Item 2, Properties, for additional information regarding the Evergy Companies' renewable generation resources. The Evergy Companies are also committed to transparency. On its website, http://investors.evergy.com, Evergy provides quantitative and qualitative data regarding various environmental, social and governance matters, including information related to emissions, waste and water. The contents of the website, including reports and documents contained therein, are not incorporated into this filing.</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See Note 14 to the consolidated financial statements for information regarding environmental matters.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Fuel</w:t>
      </w:r>
    </w:p>
    <w:p>
      <w:pPr>
        <w:spacing w:after="0" w:line="23" w:lineRule="exact"/>
        <w:rPr>
          <w:sz w:val="20"/>
          <w:szCs w:val="20"/>
          <w:color w:val="auto"/>
        </w:rPr>
      </w:pPr>
    </w:p>
    <w:p>
      <w:pPr>
        <w:ind w:right="240"/>
        <w:spacing w:after="0" w:line="304" w:lineRule="auto"/>
        <w:rPr>
          <w:sz w:val="20"/>
          <w:szCs w:val="20"/>
          <w:color w:val="auto"/>
        </w:rPr>
      </w:pPr>
      <w:r>
        <w:rPr>
          <w:rFonts w:ascii="Arial" w:cs="Arial" w:eastAsia="Arial" w:hAnsi="Arial"/>
          <w:sz w:val="17"/>
          <w:szCs w:val="17"/>
          <w:color w:val="auto"/>
        </w:rPr>
        <w:t>The fuel sources for Evergy's owned generation and power purchase agreements are coal, wind and other renewable sources, uranium and natural gas and oil. The actual 2021 fuel mix and fuel cost in cents per net kilowatt hour (kWh) delivered are outlined in the following table.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Fuel cost in cents per</w:t>
            </w:r>
          </w:p>
        </w:tc>
      </w:tr>
      <w:tr>
        <w:trPr>
          <w:trHeight w:val="228"/>
        </w:trPr>
        <w:tc>
          <w:tcPr>
            <w:tcW w:w="7080" w:type="dxa"/>
            <w:vAlign w:val="bottom"/>
          </w:tcPr>
          <w:p>
            <w:pPr>
              <w:spacing w:after="0"/>
              <w:rPr>
                <w:sz w:val="19"/>
                <w:szCs w:val="19"/>
                <w:color w:val="auto"/>
              </w:rPr>
            </w:pPr>
          </w:p>
        </w:tc>
        <w:tc>
          <w:tcPr>
            <w:tcW w:w="1580" w:type="dxa"/>
            <w:vAlign w:val="bottom"/>
            <w:tcBorders>
              <w:bottom w:val="single" w:sz="8" w:color="auto"/>
            </w:tcBorders>
          </w:tcPr>
          <w:p>
            <w:pPr>
              <w:jc w:val="center"/>
              <w:spacing w:after="0" w:line="227" w:lineRule="exact"/>
              <w:rPr>
                <w:sz w:val="20"/>
                <w:szCs w:val="20"/>
                <w:color w:val="auto"/>
              </w:rPr>
            </w:pPr>
            <w:r>
              <w:rPr>
                <w:rFonts w:ascii="Arial" w:cs="Arial" w:eastAsia="Arial" w:hAnsi="Arial"/>
                <w:sz w:val="17"/>
                <w:szCs w:val="17"/>
                <w:b w:val="1"/>
                <w:bCs w:val="1"/>
                <w:color w:val="auto"/>
                <w:w w:val="90"/>
              </w:rPr>
              <w:t>Fuel Mix</w:t>
            </w:r>
            <w:r>
              <w:rPr>
                <w:rFonts w:ascii="Arial" w:cs="Arial" w:eastAsia="Arial" w:hAnsi="Arial"/>
                <w:sz w:val="22"/>
                <w:szCs w:val="22"/>
                <w:b w:val="1"/>
                <w:bCs w:val="1"/>
                <w:color w:val="auto"/>
                <w:w w:val="90"/>
                <w:vertAlign w:val="superscript"/>
              </w:rPr>
              <w:t>(a)</w:t>
            </w:r>
          </w:p>
        </w:tc>
        <w:tc>
          <w:tcPr>
            <w:tcW w:w="220" w:type="dxa"/>
            <w:vAlign w:val="bottom"/>
          </w:tcPr>
          <w:p>
            <w:pPr>
              <w:spacing w:after="0"/>
              <w:rPr>
                <w:sz w:val="19"/>
                <w:szCs w:val="19"/>
                <w:color w:val="auto"/>
              </w:rPr>
            </w:pPr>
          </w:p>
        </w:tc>
        <w:tc>
          <w:tcPr>
            <w:tcW w:w="2360" w:type="dxa"/>
            <w:vAlign w:val="bottom"/>
            <w:tcBorders>
              <w:bottom w:val="single" w:sz="8" w:color="auto"/>
            </w:tcBorders>
          </w:tcPr>
          <w:p>
            <w:pPr>
              <w:jc w:val="center"/>
              <w:spacing w:after="0" w:line="227" w:lineRule="exact"/>
              <w:rPr>
                <w:sz w:val="20"/>
                <w:szCs w:val="20"/>
                <w:color w:val="auto"/>
              </w:rPr>
            </w:pPr>
            <w:r>
              <w:rPr>
                <w:rFonts w:ascii="Arial" w:cs="Arial" w:eastAsia="Arial" w:hAnsi="Arial"/>
                <w:sz w:val="17"/>
                <w:szCs w:val="17"/>
                <w:b w:val="1"/>
                <w:bCs w:val="1"/>
                <w:color w:val="auto"/>
                <w:w w:val="89"/>
              </w:rPr>
              <w:t xml:space="preserve">net kWh delivered </w:t>
            </w:r>
            <w:r>
              <w:rPr>
                <w:rFonts w:ascii="Arial" w:cs="Arial" w:eastAsia="Arial" w:hAnsi="Arial"/>
                <w:sz w:val="22"/>
                <w:szCs w:val="22"/>
                <w:b w:val="1"/>
                <w:bCs w:val="1"/>
                <w:color w:val="auto"/>
                <w:w w:val="89"/>
                <w:vertAlign w:val="superscript"/>
              </w:rPr>
              <w:t>(b)</w:t>
            </w:r>
          </w:p>
        </w:tc>
      </w:tr>
      <w:tr>
        <w:trPr>
          <w:trHeight w:val="207"/>
        </w:trPr>
        <w:tc>
          <w:tcPr>
            <w:tcW w:w="70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6"/>
              </w:rPr>
              <w:t>Actual</w:t>
            </w:r>
          </w:p>
        </w:tc>
        <w:tc>
          <w:tcPr>
            <w:tcW w:w="2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Arial" w:cs="Arial" w:eastAsia="Arial" w:hAnsi="Arial"/>
                <w:sz w:val="17"/>
                <w:szCs w:val="17"/>
                <w:b w:val="1"/>
                <w:bCs w:val="1"/>
                <w:color w:val="auto"/>
                <w:w w:val="92"/>
              </w:rPr>
              <w:t>Actual</w:t>
            </w:r>
          </w:p>
        </w:tc>
      </w:tr>
      <w:tr>
        <w:trPr>
          <w:trHeight w:val="224"/>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Fuel</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22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2021</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Coal</w:t>
            </w:r>
          </w:p>
        </w:tc>
        <w:tc>
          <w:tcPr>
            <w:tcW w:w="1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50 %</w:t>
            </w:r>
          </w:p>
        </w:tc>
        <w:tc>
          <w:tcPr>
            <w:tcW w:w="2580" w:type="dxa"/>
            <w:vAlign w:val="bottom"/>
            <w:gridSpan w:val="2"/>
            <w:shd w:val="clear" w:color="auto" w:fill="CCEEFF"/>
          </w:tcPr>
          <w:p>
            <w:pPr>
              <w:jc w:val="center"/>
              <w:ind w:left="134"/>
              <w:spacing w:after="0"/>
              <w:rPr>
                <w:sz w:val="20"/>
                <w:szCs w:val="20"/>
                <w:color w:val="auto"/>
              </w:rPr>
            </w:pPr>
            <w:r>
              <w:rPr>
                <w:rFonts w:ascii="Arial" w:cs="Arial" w:eastAsia="Arial" w:hAnsi="Arial"/>
                <w:sz w:val="17"/>
                <w:szCs w:val="17"/>
                <w:color w:val="auto"/>
                <w:w w:val="93"/>
              </w:rPr>
              <w:t>1.94¢</w:t>
            </w:r>
          </w:p>
        </w:tc>
      </w:tr>
      <w:tr>
        <w:trPr>
          <w:trHeight w:val="218"/>
        </w:trPr>
        <w:tc>
          <w:tcPr>
            <w:tcW w:w="7080" w:type="dxa"/>
            <w:vAlign w:val="bottom"/>
          </w:tcPr>
          <w:p>
            <w:pPr>
              <w:ind w:left="20"/>
              <w:spacing w:after="0"/>
              <w:rPr>
                <w:sz w:val="20"/>
                <w:szCs w:val="20"/>
                <w:color w:val="auto"/>
              </w:rPr>
            </w:pPr>
            <w:r>
              <w:rPr>
                <w:rFonts w:ascii="Arial" w:cs="Arial" w:eastAsia="Arial" w:hAnsi="Arial"/>
                <w:sz w:val="17"/>
                <w:szCs w:val="17"/>
                <w:color w:val="auto"/>
              </w:rPr>
              <w:t>Wind, hydroelectric, landfill gas and solar</w:t>
            </w:r>
          </w:p>
        </w:tc>
        <w:tc>
          <w:tcPr>
            <w:tcW w:w="1580" w:type="dxa"/>
            <w:vAlign w:val="bottom"/>
          </w:tcPr>
          <w:p>
            <w:pPr>
              <w:jc w:val="right"/>
              <w:ind w:right="294"/>
              <w:spacing w:after="0"/>
              <w:rPr>
                <w:sz w:val="20"/>
                <w:szCs w:val="20"/>
                <w:color w:val="auto"/>
              </w:rPr>
            </w:pPr>
            <w:r>
              <w:rPr>
                <w:rFonts w:ascii="Arial" w:cs="Arial" w:eastAsia="Arial" w:hAnsi="Arial"/>
                <w:sz w:val="17"/>
                <w:szCs w:val="17"/>
                <w:color w:val="auto"/>
              </w:rPr>
              <w:t>30</w:t>
            </w:r>
          </w:p>
        </w:tc>
        <w:tc>
          <w:tcPr>
            <w:tcW w:w="2580" w:type="dxa"/>
            <w:vAlign w:val="bottom"/>
            <w:gridSpan w:val="2"/>
          </w:tcPr>
          <w:p>
            <w:pPr>
              <w:jc w:val="center"/>
              <w:ind w:left="114"/>
              <w:spacing w:after="0"/>
              <w:rPr>
                <w:sz w:val="20"/>
                <w:szCs w:val="20"/>
                <w:color w:val="auto"/>
              </w:rPr>
            </w:pPr>
            <w:r>
              <w:rPr>
                <w:rFonts w:ascii="Arial" w:cs="Arial" w:eastAsia="Arial" w:hAnsi="Arial"/>
                <w:sz w:val="17"/>
                <w:szCs w:val="17"/>
                <w:color w:val="auto"/>
                <w:w w:val="90"/>
              </w:rPr>
              <w:t>2.06</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Uranium</w:t>
            </w:r>
          </w:p>
        </w:tc>
        <w:tc>
          <w:tcPr>
            <w:tcW w:w="15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16</w:t>
            </w:r>
          </w:p>
        </w:tc>
        <w:tc>
          <w:tcPr>
            <w:tcW w:w="258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0"/>
              </w:rPr>
              <w:t>0.64</w:t>
            </w:r>
          </w:p>
        </w:tc>
      </w:tr>
      <w:tr>
        <w:trPr>
          <w:trHeight w:val="218"/>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Natural gas and oil</w:t>
            </w: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4</w:t>
            </w:r>
          </w:p>
        </w:tc>
        <w:tc>
          <w:tcPr>
            <w:tcW w:w="2580" w:type="dxa"/>
            <w:vAlign w:val="bottom"/>
            <w:tcBorders>
              <w:bottom w:val="single" w:sz="8" w:color="CCEEFF"/>
            </w:tcBorders>
            <w:gridSpan w:val="2"/>
          </w:tcPr>
          <w:p>
            <w:pPr>
              <w:jc w:val="center"/>
              <w:ind w:left="114"/>
              <w:spacing w:after="0"/>
              <w:rPr>
                <w:sz w:val="20"/>
                <w:szCs w:val="20"/>
                <w:color w:val="auto"/>
              </w:rPr>
            </w:pPr>
            <w:r>
              <w:rPr>
                <w:rFonts w:ascii="Arial" w:cs="Arial" w:eastAsia="Arial" w:hAnsi="Arial"/>
                <w:sz w:val="17"/>
                <w:szCs w:val="17"/>
                <w:color w:val="auto"/>
                <w:w w:val="89"/>
              </w:rPr>
              <w:t>11.72</w:t>
            </w:r>
          </w:p>
        </w:tc>
      </w:tr>
      <w:tr>
        <w:trPr>
          <w:trHeight w:val="219"/>
        </w:trPr>
        <w:tc>
          <w:tcPr>
            <w:tcW w:w="7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5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100 %</w:t>
            </w:r>
          </w:p>
        </w:tc>
        <w:tc>
          <w:tcPr>
            <w:tcW w:w="2580" w:type="dxa"/>
            <w:vAlign w:val="bottom"/>
            <w:tcBorders>
              <w:bottom w:val="single" w:sz="8" w:color="auto"/>
            </w:tcBorders>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0"/>
              </w:rPr>
              <w:t>2.12</w:t>
            </w:r>
          </w:p>
        </w:tc>
      </w:tr>
    </w:tbl>
    <w:p>
      <w:pPr>
        <w:spacing w:after="0" w:line="56" w:lineRule="exact"/>
        <w:rPr>
          <w:sz w:val="20"/>
          <w:szCs w:val="20"/>
          <w:color w:val="auto"/>
        </w:rPr>
      </w:pPr>
    </w:p>
    <w:p>
      <w:pPr>
        <w:ind w:left="160" w:hanging="157"/>
        <w:spacing w:after="0"/>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Fuel mix based on percent of net MWhs generated by owned resources and delivered under renewable power purchase agreements.</w:t>
      </w:r>
    </w:p>
    <w:p>
      <w:pPr>
        <w:ind w:left="160" w:hanging="157"/>
        <w:spacing w:after="0" w:line="201" w:lineRule="auto"/>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Fuel cost in cents per net kWh delivered includes costs associated with renewable power purchase agreements.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Coal</w:t>
      </w:r>
    </w:p>
    <w:p>
      <w:pPr>
        <w:spacing w:after="0" w:line="17" w:lineRule="exact"/>
        <w:rPr>
          <w:sz w:val="20"/>
          <w:szCs w:val="20"/>
          <w:color w:val="auto"/>
        </w:rPr>
      </w:pPr>
    </w:p>
    <w:p>
      <w:pPr>
        <w:ind w:left="620" w:right="140"/>
        <w:spacing w:after="0" w:line="242" w:lineRule="auto"/>
        <w:rPr>
          <w:sz w:val="20"/>
          <w:szCs w:val="20"/>
          <w:color w:val="auto"/>
        </w:rPr>
      </w:pPr>
      <w:r>
        <w:rPr>
          <w:rFonts w:ascii="Arial" w:cs="Arial" w:eastAsia="Arial" w:hAnsi="Arial"/>
          <w:sz w:val="19"/>
          <w:szCs w:val="19"/>
          <w:color w:val="auto"/>
        </w:rPr>
        <w:t>During 2022, Evergy's generating units, including jointly-owned units, are projected to use approximately 19 million tons of coal. Evergy Kansas Central, Evergy Metro and Evergy Missouri West have entered into coal-purchase contracts with various suppliers in Wyoming's Powder River Basin (PRB), the nation's principal supply region of low-sulfur coal, and with local suppliers. The coal to be provided under these contracts is expected to satisfy approximately 85% of the projected coal requirements for 2022 and approximately 10% for each of 2023 and 2024. The remainder of the coal requirements is expected to be fulfilled through entering into additional contracts or spot market purchases.</w:t>
      </w:r>
    </w:p>
    <w:p>
      <w:pPr>
        <w:spacing w:after="0" w:line="183" w:lineRule="exact"/>
        <w:rPr>
          <w:sz w:val="20"/>
          <w:szCs w:val="20"/>
          <w:color w:val="auto"/>
        </w:rPr>
      </w:pPr>
    </w:p>
    <w:p>
      <w:pPr>
        <w:ind w:left="620"/>
        <w:spacing w:after="0" w:line="248" w:lineRule="auto"/>
        <w:rPr>
          <w:sz w:val="20"/>
          <w:szCs w:val="20"/>
          <w:color w:val="auto"/>
        </w:rPr>
      </w:pPr>
      <w:r>
        <w:rPr>
          <w:rFonts w:ascii="Arial" w:cs="Arial" w:eastAsia="Arial" w:hAnsi="Arial"/>
          <w:sz w:val="19"/>
          <w:szCs w:val="19"/>
          <w:color w:val="auto"/>
        </w:rPr>
        <w:t>Evergy Kansas Central, Evergy Metro and Evergy Missouri West have also entered into rail transportation contracts with various railroads to transport coal from the PRB and local suppliers to their generating units. The transportation services to be provided under these contracts are expected to satisfy almost all of the projected transportation requirements for 2022, 2023 and 2024. The contract rates adjust for changes in railroad costs.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Nuclear Fuel</w:t>
      </w:r>
    </w:p>
    <w:p>
      <w:pPr>
        <w:spacing w:after="0" w:line="17" w:lineRule="exact"/>
        <w:rPr>
          <w:sz w:val="20"/>
          <w:szCs w:val="20"/>
          <w:color w:val="auto"/>
        </w:rPr>
      </w:pPr>
    </w:p>
    <w:p>
      <w:pPr>
        <w:ind w:left="620" w:right="40"/>
        <w:spacing w:after="0" w:line="277" w:lineRule="auto"/>
        <w:rPr>
          <w:sz w:val="20"/>
          <w:szCs w:val="20"/>
          <w:color w:val="auto"/>
        </w:rPr>
      </w:pPr>
      <w:r>
        <w:rPr>
          <w:rFonts w:ascii="Arial" w:cs="Arial" w:eastAsia="Arial" w:hAnsi="Arial"/>
          <w:sz w:val="17"/>
          <w:szCs w:val="17"/>
          <w:color w:val="auto"/>
        </w:rPr>
        <w:t>Evergy Kansas South and Evergy Metro each owns 47% of Wolf Creek, which is Evergy's only nuclear generating unit. Wolf Creek purchases uranium and has it processed for use as fuel in its reactor. This process involves conversion of uranium concentrates to uranium hexafluoride, enrichment of uranium hexafluoride and fabrication of nuclear fuel assemblies. The owners of Wolf Creek have on hand or under contract all the uranium, uranium enrichment and conversion services needed to operate Wolf Creek through the first quarter of 2030. The owners also have under contract all the uranium fabrication services required to operate Wolf Creek through 2045.</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Natural Gas</w:t>
      </w:r>
    </w:p>
    <w:p>
      <w:pPr>
        <w:spacing w:after="0" w:line="17" w:lineRule="exact"/>
        <w:rPr>
          <w:sz w:val="20"/>
          <w:szCs w:val="20"/>
          <w:color w:val="auto"/>
        </w:rPr>
      </w:pPr>
    </w:p>
    <w:p>
      <w:pPr>
        <w:ind w:left="620" w:right="220"/>
        <w:spacing w:after="0" w:line="286" w:lineRule="auto"/>
        <w:rPr>
          <w:sz w:val="20"/>
          <w:szCs w:val="20"/>
          <w:color w:val="auto"/>
        </w:rPr>
      </w:pPr>
      <w:r>
        <w:rPr>
          <w:rFonts w:ascii="Arial" w:cs="Arial" w:eastAsia="Arial" w:hAnsi="Arial"/>
          <w:sz w:val="17"/>
          <w:szCs w:val="17"/>
          <w:color w:val="auto"/>
        </w:rPr>
        <w:t>Evergy purchases natural gas for use in its generating units primarily through spot market purchases. From time to time, Evergy also may enter into contracts, including the use of derivatives, in an effort to manage the cost of natural gas. For additional information about Evergy's exposure to commodity price risks, see Item 7A., Quantitative and Qualitative Disclosures About Market Risk.</w:t>
      </w:r>
    </w:p>
    <w:p>
      <w:pPr>
        <w:spacing w:after="0" w:line="149" w:lineRule="exact"/>
        <w:rPr>
          <w:sz w:val="20"/>
          <w:szCs w:val="20"/>
          <w:color w:val="auto"/>
        </w:rPr>
      </w:pPr>
    </w:p>
    <w:p>
      <w:pPr>
        <w:ind w:left="620" w:right="180"/>
        <w:spacing w:after="0" w:line="324" w:lineRule="auto"/>
        <w:rPr>
          <w:sz w:val="20"/>
          <w:szCs w:val="20"/>
          <w:color w:val="auto"/>
        </w:rPr>
      </w:pPr>
      <w:r>
        <w:rPr>
          <w:rFonts w:ascii="Arial" w:cs="Arial" w:eastAsia="Arial" w:hAnsi="Arial"/>
          <w:sz w:val="17"/>
          <w:szCs w:val="17"/>
          <w:color w:val="auto"/>
        </w:rPr>
        <w:t>Evergy Kansas Central maintains natural gas transportation arrangements with Southern Star Central Gas Pipeline, Inc. The Southern Star Central Gas Pipeline, Inc. arrangement expires based on the generating unit being served with expiration dates from 2022 to 2030.</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Customer Energy Efficiency Programs</w:t>
      </w:r>
    </w:p>
    <w:p>
      <w:pPr>
        <w:spacing w:after="0" w:line="23" w:lineRule="exact"/>
        <w:rPr>
          <w:sz w:val="20"/>
          <w:szCs w:val="20"/>
          <w:color w:val="auto"/>
        </w:rPr>
      </w:pPr>
    </w:p>
    <w:p>
      <w:pPr>
        <w:ind w:right="200"/>
        <w:spacing w:after="0" w:line="242" w:lineRule="auto"/>
        <w:rPr>
          <w:sz w:val="20"/>
          <w:szCs w:val="20"/>
          <w:color w:val="auto"/>
        </w:rPr>
      </w:pPr>
      <w:r>
        <w:rPr>
          <w:rFonts w:ascii="Arial" w:cs="Arial" w:eastAsia="Arial" w:hAnsi="Arial"/>
          <w:sz w:val="19"/>
          <w:szCs w:val="19"/>
          <w:color w:val="auto"/>
        </w:rPr>
        <w:t>The Evergy Companies have implemented, and continue to offer, energy efficiency programs to help customers with their energy efficiency needs and to help manage energy costs. Both Missouri and Kansas have passed legislation promoting the implementation of cost-effective demand-side management programs and allowing for the recovery of these program costs from customers, along with the potential to earn performance incentives based upon certain criteria.</w:t>
      </w:r>
    </w:p>
    <w:p>
      <w:pPr>
        <w:spacing w:after="0" w:line="18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In Missouri, Evergy Metro and Evergy Missouri West currently offer a suite of energy efficiency programs for customers under the Missouri Energy Efficiency Investment Act (MEEIA). The current portfolio of programs was approved by the MPSC in 2019 and provides for the recovery of program costs, throughput disincentive and the opportunity to earn a performance incentive based upon demand and energy savings achieved. The costs of the programs are recovered from customers through a rider mechanism. Evergy Metro's and Evergy Missouri West's current MEEIA programs as authorized by the MPSC expire at the end of 2022 and Evergy Metro and Evergy Missouri West currently anticipate requesting an extension of these programs.</w:t>
      </w:r>
    </w:p>
    <w:p>
      <w:pPr>
        <w:spacing w:after="0" w:line="183"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In Kansas, Evergy Kansas Central and Evergy Metro requested KCC authorization in December 2021 for a suite of energy efficiency programs for customers under the Kansas Energy Efficiency Investment Act (KEEIA). The requested portfolio of programs would provide for the recovery of program costs, throughput disincentive and the opportunity to earn a performance incentive based upon demand and energy savings achieved. The costs of the program would be recovered from customers through a rider mechanism. Evergy Kansas Central's and Evergy Metro's proposed programs would be effective in 2023 and would expire in 2026. The KCC's decision on Evergy Kansas Central's and Evergy Metro's KEEIA request is expected in the second half of 2022.</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 Resources</w:t>
      </w:r>
    </w:p>
    <w:p>
      <w:pPr>
        <w:spacing w:after="0" w:line="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December 31, 2021, the Evergy Companies had 4,930 employees, including 2,632 represented by five local unions of the International Brotherhood of Electrical Workers (IBEW) and one local union of the United Government Security Officers of America (UGSOA). The Evergy Companies currently have three labor agreements that expire in 2024 and three labor agreements currently under negotiation that have expired and are operating under an extension. The Evergy Companies employ 1,750 generation employees, 1,452 transmission and distribution employees and 1,728 support employees that work primarily in the states of Kansas and Missouri.</w:t>
      </w:r>
    </w:p>
    <w:p>
      <w:pPr>
        <w:spacing w:after="0" w:line="169" w:lineRule="exact"/>
        <w:rPr>
          <w:sz w:val="20"/>
          <w:szCs w:val="20"/>
          <w:color w:val="auto"/>
        </w:rPr>
      </w:pPr>
    </w:p>
    <w:p>
      <w:pPr>
        <w:ind w:right="580"/>
        <w:spacing w:after="0" w:line="264" w:lineRule="auto"/>
        <w:rPr>
          <w:sz w:val="20"/>
          <w:szCs w:val="20"/>
          <w:color w:val="auto"/>
        </w:rPr>
      </w:pPr>
      <w:r>
        <w:rPr>
          <w:rFonts w:ascii="Arial" w:cs="Arial" w:eastAsia="Arial" w:hAnsi="Arial"/>
          <w:sz w:val="19"/>
          <w:szCs w:val="19"/>
          <w:color w:val="auto"/>
        </w:rPr>
        <w:t>Evergy's mission is to empower a better future and a key component of this mission is maintaining a culture that emphasizes safety, integrity, ownership and adaptability.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Safety is a crucial part of Evergy's values. The components of Evergy's safety program include a strong management commitment to a safety-conscious work environment, hazard recognition and control, worksite analysis, contractor safety management and training. Evergy also conducts regular safety audits and assessments. During the COVID-19 pandemic, Evergy has prioritized the safety of its employees while continuing to serve its customers and community by providing appropriate personal protective equipment, establishing additional training and protocols and directing employees to work remotely when possible.</w:t>
      </w:r>
    </w:p>
    <w:p>
      <w:pPr>
        <w:spacing w:after="0" w:line="182" w:lineRule="exact"/>
        <w:rPr>
          <w:sz w:val="20"/>
          <w:szCs w:val="20"/>
          <w:color w:val="auto"/>
        </w:rPr>
      </w:pPr>
    </w:p>
    <w:p>
      <w:pPr>
        <w:jc w:val="both"/>
        <w:ind w:right="140"/>
        <w:spacing w:after="0" w:line="296" w:lineRule="auto"/>
        <w:rPr>
          <w:sz w:val="20"/>
          <w:szCs w:val="20"/>
          <w:color w:val="auto"/>
        </w:rPr>
      </w:pPr>
      <w:r>
        <w:rPr>
          <w:rFonts w:ascii="Arial" w:cs="Arial" w:eastAsia="Arial" w:hAnsi="Arial"/>
          <w:sz w:val="17"/>
          <w:szCs w:val="17"/>
          <w:color w:val="auto"/>
        </w:rPr>
        <w:t>Evergy is also working to build a more diverse and inclusive workforce through recruiting and hiring practices, performance management, training and data analysis and reporting initiatives. As of December 31, 2021, Evergy's workforce was 77% male and 23% female, and women represented 24% of Evergy's officer team. The ethnicity of Evergy's workforce was 85% White, 5% Black, 4% Hispanic and 6% other.</w:t>
      </w:r>
    </w:p>
    <w:p>
      <w:pPr>
        <w:spacing w:after="0" w:line="141"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Evergy offers a competitive package of compensation and benefits to attract and retain talented employees, including market-competitive pay, healthcare and retirement benefits, paid time off, family leave and tuition reimbursement. Evergy also allows employees to participate in a comprehensive well-being program that includes health and wellness-related activities and incentives, business resource groups, gym membership reimbursement, paid volunteer hours, charitable donation match and free access to an employee assistance program.</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About Evergy's Executive Officers</w:t>
      </w:r>
    </w:p>
    <w:p>
      <w:pPr>
        <w:spacing w:after="0" w:line="23"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Set forth below is information relating to the executive officers of Evergy, Inc. Each executive officer holds the same position with each of Evergy Kansas Central, Inc., Evergy Metro, Inc., Evergy Kansas South, Inc. and Evergy Missouri West, Inc. as the executive officer holds with Evergy, Inc. Executive officers serve at the pleasure of the board of directors. There are no family relationships among any of the executive officers, nor any arrangements or understandings between any executive officer and other persons pursuant to which he or she was appointed as an executive officer.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54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jc w:val="center"/>
              <w:ind w:left="574"/>
              <w:spacing w:after="0" w:line="194" w:lineRule="exact"/>
              <w:rPr>
                <w:sz w:val="20"/>
                <w:szCs w:val="20"/>
                <w:color w:val="auto"/>
              </w:rPr>
            </w:pPr>
            <w:r>
              <w:rPr>
                <w:rFonts w:ascii="Arial" w:cs="Arial" w:eastAsia="Arial" w:hAnsi="Arial"/>
                <w:sz w:val="17"/>
                <w:szCs w:val="17"/>
                <w:b w:val="1"/>
                <w:bCs w:val="1"/>
                <w:color w:val="auto"/>
                <w:w w:val="94"/>
              </w:rPr>
              <w:t>Year First</w:t>
            </w:r>
          </w:p>
        </w:tc>
        <w:tc>
          <w:tcPr>
            <w:tcW w:w="0" w:type="dxa"/>
            <w:vAlign w:val="bottom"/>
          </w:tcPr>
          <w:p>
            <w:pPr>
              <w:spacing w:after="0"/>
              <w:rPr>
                <w:sz w:val="1"/>
                <w:szCs w:val="1"/>
                <w:color w:val="auto"/>
              </w:rPr>
            </w:pPr>
          </w:p>
        </w:tc>
      </w:tr>
      <w:tr>
        <w:trPr>
          <w:trHeight w:val="168"/>
        </w:trPr>
        <w:tc>
          <w:tcPr>
            <w:tcW w:w="2560" w:type="dxa"/>
            <w:vAlign w:val="bottom"/>
            <w:vMerge w:val="restart"/>
          </w:tcPr>
          <w:p>
            <w:pPr>
              <w:ind w:left="1260"/>
              <w:spacing w:after="0"/>
              <w:rPr>
                <w:sz w:val="20"/>
                <w:szCs w:val="20"/>
                <w:color w:val="auto"/>
              </w:rPr>
            </w:pPr>
            <w:r>
              <w:rPr>
                <w:rFonts w:ascii="Arial" w:cs="Arial" w:eastAsia="Arial" w:hAnsi="Arial"/>
                <w:sz w:val="17"/>
                <w:szCs w:val="17"/>
                <w:b w:val="1"/>
                <w:bCs w:val="1"/>
                <w:color w:val="auto"/>
              </w:rPr>
              <w:t>Name</w:t>
            </w:r>
          </w:p>
        </w:tc>
        <w:tc>
          <w:tcPr>
            <w:tcW w:w="1220" w:type="dxa"/>
            <w:vAlign w:val="bottom"/>
            <w:vMerge w:val="restart"/>
          </w:tcPr>
          <w:p>
            <w:pPr>
              <w:jc w:val="center"/>
              <w:ind w:left="454"/>
              <w:spacing w:after="0"/>
              <w:rPr>
                <w:sz w:val="20"/>
                <w:szCs w:val="20"/>
                <w:color w:val="auto"/>
              </w:rPr>
            </w:pPr>
            <w:r>
              <w:rPr>
                <w:rFonts w:ascii="Arial" w:cs="Arial" w:eastAsia="Arial" w:hAnsi="Arial"/>
                <w:sz w:val="17"/>
                <w:szCs w:val="17"/>
                <w:b w:val="1"/>
                <w:bCs w:val="1"/>
                <w:color w:val="auto"/>
                <w:w w:val="87"/>
              </w:rPr>
              <w:t>Age</w:t>
            </w:r>
          </w:p>
        </w:tc>
        <w:tc>
          <w:tcPr>
            <w:tcW w:w="5440" w:type="dxa"/>
            <w:vAlign w:val="bottom"/>
            <w:vMerge w:val="restart"/>
          </w:tcPr>
          <w:p>
            <w:pPr>
              <w:ind w:left="2420"/>
              <w:spacing w:after="0"/>
              <w:rPr>
                <w:sz w:val="20"/>
                <w:szCs w:val="20"/>
                <w:color w:val="auto"/>
              </w:rPr>
            </w:pPr>
            <w:r>
              <w:rPr>
                <w:rFonts w:ascii="Arial" w:cs="Arial" w:eastAsia="Arial" w:hAnsi="Arial"/>
                <w:sz w:val="17"/>
                <w:szCs w:val="17"/>
                <w:b w:val="1"/>
                <w:bCs w:val="1"/>
                <w:color w:val="auto"/>
              </w:rPr>
              <w:t>Current Position(s)</w:t>
            </w:r>
          </w:p>
        </w:tc>
        <w:tc>
          <w:tcPr>
            <w:tcW w:w="2000" w:type="dxa"/>
            <w:vAlign w:val="bottom"/>
          </w:tcPr>
          <w:p>
            <w:pPr>
              <w:jc w:val="center"/>
              <w:ind w:left="574"/>
              <w:spacing w:after="0" w:line="167" w:lineRule="exact"/>
              <w:rPr>
                <w:sz w:val="20"/>
                <w:szCs w:val="20"/>
                <w:color w:val="auto"/>
              </w:rPr>
            </w:pPr>
            <w:r>
              <w:rPr>
                <w:rFonts w:ascii="Arial" w:cs="Arial" w:eastAsia="Arial" w:hAnsi="Arial"/>
                <w:sz w:val="17"/>
                <w:szCs w:val="17"/>
                <w:b w:val="1"/>
                <w:bCs w:val="1"/>
                <w:color w:val="auto"/>
                <w:w w:val="88"/>
              </w:rPr>
              <w:t>Assumed an</w:t>
            </w:r>
          </w:p>
        </w:tc>
        <w:tc>
          <w:tcPr>
            <w:tcW w:w="0" w:type="dxa"/>
            <w:vAlign w:val="bottom"/>
          </w:tcPr>
          <w:p>
            <w:pPr>
              <w:spacing w:after="0"/>
              <w:rPr>
                <w:sz w:val="1"/>
                <w:szCs w:val="1"/>
                <w:color w:val="auto"/>
              </w:rPr>
            </w:pPr>
          </w:p>
        </w:tc>
      </w:tr>
      <w:tr>
        <w:trPr>
          <w:trHeight w:val="219"/>
        </w:trPr>
        <w:tc>
          <w:tcPr>
            <w:tcW w:w="25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544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ind w:left="594"/>
              <w:spacing w:after="0"/>
              <w:rPr>
                <w:sz w:val="20"/>
                <w:szCs w:val="20"/>
                <w:color w:val="auto"/>
              </w:rPr>
            </w:pPr>
            <w:r>
              <w:rPr>
                <w:rFonts w:ascii="Arial" w:cs="Arial" w:eastAsia="Arial" w:hAnsi="Arial"/>
                <w:sz w:val="17"/>
                <w:szCs w:val="17"/>
                <w:b w:val="1"/>
                <w:bCs w:val="1"/>
                <w:color w:val="auto"/>
                <w:w w:val="91"/>
              </w:rPr>
              <w:t>Officer Position</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David A. Campbell </w:t>
            </w:r>
            <w:r>
              <w:rPr>
                <w:rFonts w:ascii="Arial" w:cs="Arial" w:eastAsia="Arial" w:hAnsi="Arial"/>
                <w:sz w:val="22"/>
                <w:szCs w:val="22"/>
                <w:color w:val="auto"/>
                <w:vertAlign w:val="superscript"/>
              </w:rPr>
              <w:t>(a)</w:t>
            </w:r>
          </w:p>
        </w:tc>
        <w:tc>
          <w:tcPr>
            <w:tcW w:w="122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4"/>
              </w:rPr>
              <w:t>53</w:t>
            </w:r>
          </w:p>
        </w:tc>
        <w:tc>
          <w:tcPr>
            <w:tcW w:w="5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President and Chief Executive Officer</w:t>
            </w:r>
          </w:p>
        </w:tc>
        <w:tc>
          <w:tcPr>
            <w:tcW w:w="2000" w:type="dxa"/>
            <w:vAlign w:val="bottom"/>
            <w:shd w:val="clear" w:color="auto" w:fill="CCEEFF"/>
          </w:tcPr>
          <w:p>
            <w:pPr>
              <w:jc w:val="center"/>
              <w:ind w:left="574"/>
              <w:spacing w:after="0"/>
              <w:rPr>
                <w:sz w:val="20"/>
                <w:szCs w:val="20"/>
                <w:color w:val="auto"/>
              </w:rPr>
            </w:pPr>
            <w:r>
              <w:rPr>
                <w:rFonts w:ascii="Arial" w:cs="Arial" w:eastAsia="Arial" w:hAnsi="Arial"/>
                <w:sz w:val="17"/>
                <w:szCs w:val="17"/>
                <w:color w:val="auto"/>
                <w:w w:val="89"/>
              </w:rPr>
              <w:t>2021</w:t>
            </w: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line="219" w:lineRule="exact"/>
              <w:rPr>
                <w:sz w:val="20"/>
                <w:szCs w:val="20"/>
                <w:color w:val="auto"/>
              </w:rPr>
            </w:pPr>
            <w:r>
              <w:rPr>
                <w:rFonts w:ascii="Arial" w:cs="Arial" w:eastAsia="Arial" w:hAnsi="Arial"/>
                <w:sz w:val="17"/>
                <w:szCs w:val="17"/>
                <w:color w:val="auto"/>
              </w:rPr>
              <w:t>Kirkland B. Andrews</w:t>
            </w:r>
            <w:r>
              <w:rPr>
                <w:rFonts w:ascii="Arial" w:cs="Arial" w:eastAsia="Arial" w:hAnsi="Arial"/>
                <w:sz w:val="22"/>
                <w:szCs w:val="22"/>
                <w:color w:val="auto"/>
                <w:vertAlign w:val="superscript"/>
              </w:rPr>
              <w:t>(b)</w:t>
            </w:r>
          </w:p>
        </w:tc>
        <w:tc>
          <w:tcPr>
            <w:tcW w:w="1220" w:type="dxa"/>
            <w:vAlign w:val="bottom"/>
          </w:tcPr>
          <w:p>
            <w:pPr>
              <w:jc w:val="center"/>
              <w:ind w:left="474"/>
              <w:spacing w:after="0"/>
              <w:rPr>
                <w:sz w:val="20"/>
                <w:szCs w:val="20"/>
                <w:color w:val="auto"/>
              </w:rPr>
            </w:pPr>
            <w:r>
              <w:rPr>
                <w:rFonts w:ascii="Arial" w:cs="Arial" w:eastAsia="Arial" w:hAnsi="Arial"/>
                <w:sz w:val="17"/>
                <w:szCs w:val="17"/>
                <w:color w:val="auto"/>
                <w:w w:val="94"/>
              </w:rPr>
              <w:t>54</w:t>
            </w:r>
          </w:p>
        </w:tc>
        <w:tc>
          <w:tcPr>
            <w:tcW w:w="5440" w:type="dxa"/>
            <w:vAlign w:val="bottom"/>
          </w:tcPr>
          <w:p>
            <w:pPr>
              <w:ind w:left="180"/>
              <w:spacing w:after="0"/>
              <w:rPr>
                <w:sz w:val="20"/>
                <w:szCs w:val="20"/>
                <w:color w:val="auto"/>
              </w:rPr>
            </w:pPr>
            <w:r>
              <w:rPr>
                <w:rFonts w:ascii="Arial" w:cs="Arial" w:eastAsia="Arial" w:hAnsi="Arial"/>
                <w:sz w:val="17"/>
                <w:szCs w:val="17"/>
                <w:color w:val="auto"/>
              </w:rPr>
              <w:t>Executive Vice President and Chief Financial Officer</w:t>
            </w:r>
          </w:p>
        </w:tc>
        <w:tc>
          <w:tcPr>
            <w:tcW w:w="2000" w:type="dxa"/>
            <w:vAlign w:val="bottom"/>
          </w:tcPr>
          <w:p>
            <w:pPr>
              <w:jc w:val="center"/>
              <w:ind w:left="574"/>
              <w:spacing w:after="0"/>
              <w:rPr>
                <w:sz w:val="20"/>
                <w:szCs w:val="20"/>
                <w:color w:val="auto"/>
              </w:rPr>
            </w:pPr>
            <w:r>
              <w:rPr>
                <w:rFonts w:ascii="Arial" w:cs="Arial" w:eastAsia="Arial" w:hAnsi="Arial"/>
                <w:sz w:val="17"/>
                <w:szCs w:val="17"/>
                <w:color w:val="auto"/>
                <w:w w:val="89"/>
              </w:rPr>
              <w:t>2021</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Kevin E. Bryant </w:t>
            </w:r>
            <w:r>
              <w:rPr>
                <w:rFonts w:ascii="Arial" w:cs="Arial" w:eastAsia="Arial" w:hAnsi="Arial"/>
                <w:sz w:val="22"/>
                <w:szCs w:val="22"/>
                <w:color w:val="auto"/>
                <w:vertAlign w:val="superscript"/>
              </w:rPr>
              <w:t>(c)</w:t>
            </w:r>
          </w:p>
        </w:tc>
        <w:tc>
          <w:tcPr>
            <w:tcW w:w="122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4"/>
              </w:rPr>
              <w:t>46</w:t>
            </w:r>
          </w:p>
        </w:tc>
        <w:tc>
          <w:tcPr>
            <w:tcW w:w="5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Executive Vice President and Chief Operating Officer</w:t>
            </w:r>
          </w:p>
        </w:tc>
        <w:tc>
          <w:tcPr>
            <w:tcW w:w="2000" w:type="dxa"/>
            <w:vAlign w:val="bottom"/>
            <w:shd w:val="clear" w:color="auto" w:fill="CCEEFF"/>
          </w:tcPr>
          <w:p>
            <w:pPr>
              <w:jc w:val="center"/>
              <w:ind w:left="574"/>
              <w:spacing w:after="0"/>
              <w:rPr>
                <w:sz w:val="20"/>
                <w:szCs w:val="20"/>
                <w:color w:val="auto"/>
              </w:rPr>
            </w:pPr>
            <w:r>
              <w:rPr>
                <w:rFonts w:ascii="Arial" w:cs="Arial" w:eastAsia="Arial" w:hAnsi="Arial"/>
                <w:sz w:val="17"/>
                <w:szCs w:val="17"/>
                <w:color w:val="auto"/>
                <w:w w:val="89"/>
              </w:rPr>
              <w:t>2006</w:t>
            </w: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Gregory A. Greenwood </w:t>
            </w:r>
            <w:r>
              <w:rPr>
                <w:rFonts w:ascii="Arial" w:cs="Arial" w:eastAsia="Arial" w:hAnsi="Arial"/>
                <w:sz w:val="22"/>
                <w:szCs w:val="22"/>
                <w:color w:val="auto"/>
                <w:vertAlign w:val="superscript"/>
              </w:rPr>
              <w:t>(d)</w:t>
            </w:r>
          </w:p>
        </w:tc>
        <w:tc>
          <w:tcPr>
            <w:tcW w:w="1220" w:type="dxa"/>
            <w:vAlign w:val="bottom"/>
          </w:tcPr>
          <w:p>
            <w:pPr>
              <w:jc w:val="center"/>
              <w:ind w:left="474"/>
              <w:spacing w:after="0"/>
              <w:rPr>
                <w:sz w:val="20"/>
                <w:szCs w:val="20"/>
                <w:color w:val="auto"/>
              </w:rPr>
            </w:pPr>
            <w:r>
              <w:rPr>
                <w:rFonts w:ascii="Arial" w:cs="Arial" w:eastAsia="Arial" w:hAnsi="Arial"/>
                <w:sz w:val="17"/>
                <w:szCs w:val="17"/>
                <w:color w:val="auto"/>
                <w:w w:val="94"/>
              </w:rPr>
              <w:t>56</w:t>
            </w:r>
          </w:p>
        </w:tc>
        <w:tc>
          <w:tcPr>
            <w:tcW w:w="5440" w:type="dxa"/>
            <w:vAlign w:val="bottom"/>
          </w:tcPr>
          <w:p>
            <w:pPr>
              <w:ind w:left="180"/>
              <w:spacing w:after="0"/>
              <w:rPr>
                <w:sz w:val="20"/>
                <w:szCs w:val="20"/>
                <w:color w:val="auto"/>
              </w:rPr>
            </w:pPr>
            <w:r>
              <w:rPr>
                <w:rFonts w:ascii="Arial" w:cs="Arial" w:eastAsia="Arial" w:hAnsi="Arial"/>
                <w:sz w:val="17"/>
                <w:szCs w:val="17"/>
                <w:color w:val="auto"/>
              </w:rPr>
              <w:t>Executive Vice President and Chief Strategy Officer</w:t>
            </w:r>
          </w:p>
        </w:tc>
        <w:tc>
          <w:tcPr>
            <w:tcW w:w="2000" w:type="dxa"/>
            <w:vAlign w:val="bottom"/>
          </w:tcPr>
          <w:p>
            <w:pPr>
              <w:jc w:val="center"/>
              <w:ind w:left="574"/>
              <w:spacing w:after="0"/>
              <w:rPr>
                <w:sz w:val="20"/>
                <w:szCs w:val="20"/>
                <w:color w:val="auto"/>
              </w:rPr>
            </w:pPr>
            <w:r>
              <w:rPr>
                <w:rFonts w:ascii="Arial" w:cs="Arial" w:eastAsia="Arial" w:hAnsi="Arial"/>
                <w:sz w:val="17"/>
                <w:szCs w:val="17"/>
                <w:color w:val="auto"/>
                <w:w w:val="89"/>
              </w:rPr>
              <w:t>2003</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Lesley L. Elwell </w:t>
            </w:r>
            <w:r>
              <w:rPr>
                <w:rFonts w:ascii="Arial" w:cs="Arial" w:eastAsia="Arial" w:hAnsi="Arial"/>
                <w:sz w:val="22"/>
                <w:szCs w:val="22"/>
                <w:color w:val="auto"/>
                <w:vertAlign w:val="superscript"/>
              </w:rPr>
              <w:t>(e)</w:t>
            </w:r>
          </w:p>
        </w:tc>
        <w:tc>
          <w:tcPr>
            <w:tcW w:w="122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4"/>
              </w:rPr>
              <w:t>51</w:t>
            </w:r>
          </w:p>
        </w:tc>
        <w:tc>
          <w:tcPr>
            <w:tcW w:w="5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Senior Vice President and Chief Human Resources Officer</w:t>
            </w:r>
          </w:p>
        </w:tc>
        <w:tc>
          <w:tcPr>
            <w:tcW w:w="2000" w:type="dxa"/>
            <w:vAlign w:val="bottom"/>
            <w:shd w:val="clear" w:color="auto" w:fill="CCEEFF"/>
          </w:tcPr>
          <w:p>
            <w:pPr>
              <w:jc w:val="center"/>
              <w:ind w:left="574"/>
              <w:spacing w:after="0"/>
              <w:rPr>
                <w:sz w:val="20"/>
                <w:szCs w:val="20"/>
                <w:color w:val="auto"/>
              </w:rPr>
            </w:pPr>
            <w:r>
              <w:rPr>
                <w:rFonts w:ascii="Arial" w:cs="Arial" w:eastAsia="Arial" w:hAnsi="Arial"/>
                <w:sz w:val="17"/>
                <w:szCs w:val="17"/>
                <w:color w:val="auto"/>
                <w:w w:val="89"/>
              </w:rPr>
              <w:t>2021</w:t>
            </w: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Charles A. Caisley </w:t>
            </w:r>
            <w:r>
              <w:rPr>
                <w:rFonts w:ascii="Arial" w:cs="Arial" w:eastAsia="Arial" w:hAnsi="Arial"/>
                <w:sz w:val="22"/>
                <w:szCs w:val="22"/>
                <w:color w:val="auto"/>
                <w:vertAlign w:val="superscript"/>
              </w:rPr>
              <w:t>(f)</w:t>
            </w:r>
          </w:p>
        </w:tc>
        <w:tc>
          <w:tcPr>
            <w:tcW w:w="1220" w:type="dxa"/>
            <w:vAlign w:val="bottom"/>
          </w:tcPr>
          <w:p>
            <w:pPr>
              <w:jc w:val="center"/>
              <w:ind w:left="474"/>
              <w:spacing w:after="0"/>
              <w:rPr>
                <w:sz w:val="20"/>
                <w:szCs w:val="20"/>
                <w:color w:val="auto"/>
              </w:rPr>
            </w:pPr>
            <w:r>
              <w:rPr>
                <w:rFonts w:ascii="Arial" w:cs="Arial" w:eastAsia="Arial" w:hAnsi="Arial"/>
                <w:sz w:val="17"/>
                <w:szCs w:val="17"/>
                <w:color w:val="auto"/>
                <w:w w:val="94"/>
              </w:rPr>
              <w:t>48</w:t>
            </w:r>
          </w:p>
        </w:tc>
        <w:tc>
          <w:tcPr>
            <w:tcW w:w="5440" w:type="dxa"/>
            <w:vAlign w:val="bottom"/>
          </w:tcPr>
          <w:p>
            <w:pPr>
              <w:ind w:left="180"/>
              <w:spacing w:after="0"/>
              <w:rPr>
                <w:sz w:val="20"/>
                <w:szCs w:val="20"/>
                <w:color w:val="auto"/>
              </w:rPr>
            </w:pPr>
            <w:r>
              <w:rPr>
                <w:rFonts w:ascii="Arial" w:cs="Arial" w:eastAsia="Arial" w:hAnsi="Arial"/>
                <w:sz w:val="17"/>
                <w:szCs w:val="17"/>
                <w:color w:val="auto"/>
              </w:rPr>
              <w:t>Senior Vice President, Public Affairs and Chief Customer Officer</w:t>
            </w:r>
          </w:p>
        </w:tc>
        <w:tc>
          <w:tcPr>
            <w:tcW w:w="2000" w:type="dxa"/>
            <w:vAlign w:val="bottom"/>
          </w:tcPr>
          <w:p>
            <w:pPr>
              <w:jc w:val="center"/>
              <w:ind w:left="574"/>
              <w:spacing w:after="0"/>
              <w:rPr>
                <w:sz w:val="20"/>
                <w:szCs w:val="20"/>
                <w:color w:val="auto"/>
              </w:rPr>
            </w:pPr>
            <w:r>
              <w:rPr>
                <w:rFonts w:ascii="Arial" w:cs="Arial" w:eastAsia="Arial" w:hAnsi="Arial"/>
                <w:sz w:val="17"/>
                <w:szCs w:val="17"/>
                <w:color w:val="auto"/>
                <w:w w:val="89"/>
              </w:rPr>
              <w:t>2011</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Heather A. Humphrey </w:t>
            </w:r>
            <w:r>
              <w:rPr>
                <w:rFonts w:ascii="Arial" w:cs="Arial" w:eastAsia="Arial" w:hAnsi="Arial"/>
                <w:sz w:val="22"/>
                <w:szCs w:val="22"/>
                <w:color w:val="auto"/>
                <w:vertAlign w:val="superscript"/>
              </w:rPr>
              <w:t>(g)</w:t>
            </w:r>
          </w:p>
        </w:tc>
        <w:tc>
          <w:tcPr>
            <w:tcW w:w="122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4"/>
              </w:rPr>
              <w:t>51</w:t>
            </w:r>
          </w:p>
        </w:tc>
        <w:tc>
          <w:tcPr>
            <w:tcW w:w="5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Senior Vice President, General Counsel and Corporate Secretary</w:t>
            </w:r>
          </w:p>
        </w:tc>
        <w:tc>
          <w:tcPr>
            <w:tcW w:w="2000" w:type="dxa"/>
            <w:vAlign w:val="bottom"/>
            <w:shd w:val="clear" w:color="auto" w:fill="CCEEFF"/>
          </w:tcPr>
          <w:p>
            <w:pPr>
              <w:jc w:val="center"/>
              <w:ind w:left="574"/>
              <w:spacing w:after="0"/>
              <w:rPr>
                <w:sz w:val="20"/>
                <w:szCs w:val="20"/>
                <w:color w:val="auto"/>
              </w:rPr>
            </w:pPr>
            <w:r>
              <w:rPr>
                <w:rFonts w:ascii="Arial" w:cs="Arial" w:eastAsia="Arial" w:hAnsi="Arial"/>
                <w:sz w:val="17"/>
                <w:szCs w:val="17"/>
                <w:color w:val="auto"/>
                <w:w w:val="89"/>
              </w:rPr>
              <w:t>2010</w:t>
            </w: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Charles L. King </w:t>
            </w:r>
            <w:r>
              <w:rPr>
                <w:rFonts w:ascii="Arial" w:cs="Arial" w:eastAsia="Arial" w:hAnsi="Arial"/>
                <w:sz w:val="22"/>
                <w:szCs w:val="22"/>
                <w:color w:val="auto"/>
                <w:vertAlign w:val="superscript"/>
              </w:rPr>
              <w:t>(h)</w:t>
            </w:r>
          </w:p>
        </w:tc>
        <w:tc>
          <w:tcPr>
            <w:tcW w:w="1220" w:type="dxa"/>
            <w:vAlign w:val="bottom"/>
          </w:tcPr>
          <w:p>
            <w:pPr>
              <w:jc w:val="center"/>
              <w:ind w:left="474"/>
              <w:spacing w:after="0"/>
              <w:rPr>
                <w:sz w:val="20"/>
                <w:szCs w:val="20"/>
                <w:color w:val="auto"/>
              </w:rPr>
            </w:pPr>
            <w:r>
              <w:rPr>
                <w:rFonts w:ascii="Arial" w:cs="Arial" w:eastAsia="Arial" w:hAnsi="Arial"/>
                <w:sz w:val="17"/>
                <w:szCs w:val="17"/>
                <w:color w:val="auto"/>
                <w:w w:val="94"/>
              </w:rPr>
              <w:t>57</w:t>
            </w:r>
          </w:p>
        </w:tc>
        <w:tc>
          <w:tcPr>
            <w:tcW w:w="5440" w:type="dxa"/>
            <w:vAlign w:val="bottom"/>
          </w:tcPr>
          <w:p>
            <w:pPr>
              <w:ind w:left="180"/>
              <w:spacing w:after="0"/>
              <w:rPr>
                <w:sz w:val="20"/>
                <w:szCs w:val="20"/>
                <w:color w:val="auto"/>
              </w:rPr>
            </w:pPr>
            <w:r>
              <w:rPr>
                <w:rFonts w:ascii="Arial" w:cs="Arial" w:eastAsia="Arial" w:hAnsi="Arial"/>
                <w:sz w:val="17"/>
                <w:szCs w:val="17"/>
                <w:color w:val="auto"/>
              </w:rPr>
              <w:t>Senior Vice President and Chief Technology Officer</w:t>
            </w:r>
          </w:p>
        </w:tc>
        <w:tc>
          <w:tcPr>
            <w:tcW w:w="2000" w:type="dxa"/>
            <w:vAlign w:val="bottom"/>
          </w:tcPr>
          <w:p>
            <w:pPr>
              <w:jc w:val="center"/>
              <w:ind w:left="574"/>
              <w:spacing w:after="0"/>
              <w:rPr>
                <w:sz w:val="20"/>
                <w:szCs w:val="20"/>
                <w:color w:val="auto"/>
              </w:rPr>
            </w:pPr>
            <w:r>
              <w:rPr>
                <w:rFonts w:ascii="Arial" w:cs="Arial" w:eastAsia="Arial" w:hAnsi="Arial"/>
                <w:sz w:val="17"/>
                <w:szCs w:val="17"/>
                <w:color w:val="auto"/>
                <w:w w:val="89"/>
              </w:rPr>
              <w:t>2013</w:t>
            </w:r>
          </w:p>
        </w:tc>
        <w:tc>
          <w:tcPr>
            <w:tcW w:w="0" w:type="dxa"/>
            <w:vAlign w:val="bottom"/>
          </w:tcPr>
          <w:p>
            <w:pPr>
              <w:spacing w:after="0"/>
              <w:rPr>
                <w:sz w:val="1"/>
                <w:szCs w:val="1"/>
                <w:color w:val="auto"/>
              </w:rPr>
            </w:pPr>
          </w:p>
        </w:tc>
      </w:tr>
      <w:tr>
        <w:trPr>
          <w:trHeight w:val="225"/>
        </w:trPr>
        <w:tc>
          <w:tcPr>
            <w:tcW w:w="2560" w:type="dxa"/>
            <w:vAlign w:val="bottom"/>
            <w:tcBorders>
              <w:bottom w:val="single" w:sz="8" w:color="auto"/>
            </w:tcBorders>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Steven P. Busser </w:t>
            </w:r>
            <w:r>
              <w:rPr>
                <w:rFonts w:ascii="Arial" w:cs="Arial" w:eastAsia="Arial" w:hAnsi="Arial"/>
                <w:sz w:val="22"/>
                <w:szCs w:val="22"/>
                <w:color w:val="auto"/>
                <w:vertAlign w:val="superscript"/>
              </w:rPr>
              <w:t>(i)</w:t>
            </w:r>
          </w:p>
        </w:tc>
        <w:tc>
          <w:tcPr>
            <w:tcW w:w="122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7"/>
                <w:szCs w:val="17"/>
                <w:color w:val="auto"/>
                <w:w w:val="94"/>
              </w:rPr>
              <w:t>53</w:t>
            </w:r>
          </w:p>
        </w:tc>
        <w:tc>
          <w:tcPr>
            <w:tcW w:w="5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Vice President and Chief Accounting Officer</w:t>
            </w:r>
          </w:p>
        </w:tc>
        <w:tc>
          <w:tcPr>
            <w:tcW w:w="2000" w:type="dxa"/>
            <w:vAlign w:val="bottom"/>
            <w:tcBorders>
              <w:bottom w:val="single" w:sz="8" w:color="auto"/>
            </w:tcBorders>
            <w:shd w:val="clear" w:color="auto" w:fill="CCEEFF"/>
          </w:tcPr>
          <w:p>
            <w:pPr>
              <w:jc w:val="center"/>
              <w:ind w:left="574"/>
              <w:spacing w:after="0"/>
              <w:rPr>
                <w:sz w:val="20"/>
                <w:szCs w:val="20"/>
                <w:color w:val="auto"/>
              </w:rPr>
            </w:pPr>
            <w:r>
              <w:rPr>
                <w:rFonts w:ascii="Arial" w:cs="Arial" w:eastAsia="Arial" w:hAnsi="Arial"/>
                <w:sz w:val="17"/>
                <w:szCs w:val="17"/>
                <w:color w:val="auto"/>
                <w:w w:val="89"/>
              </w:rPr>
              <w:t>2014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20" w:right="120" w:hanging="317"/>
        <w:spacing w:after="0" w:line="283" w:lineRule="auto"/>
        <w:tabs>
          <w:tab w:leader="none" w:pos="317"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Campbell was appointed President and Chief Executive Officer of Evergy, Inc. in January 2021. Mr. Campbell previously served as Executive Vice President and Chief Financial Officer of Vistra Energy Corp. (2019-2020), as President and Chief Executive Officer of InfraREIT, Inc. and President of Hunt Utility Services (2014-2019), as President and Chief Executive Officer of Sharyland Utilities (2016-2019), as President and Chief Operating Officer of Bluescape Resources (2013-2014) and in various roles with TXU Corp. and its affiliated entities after joining the firm in 2004.</w:t>
      </w:r>
    </w:p>
    <w:p>
      <w:pPr>
        <w:spacing w:after="0" w:line="163" w:lineRule="exact"/>
        <w:rPr>
          <w:rFonts w:ascii="Arial" w:cs="Arial" w:eastAsia="Arial" w:hAnsi="Arial"/>
          <w:sz w:val="16"/>
          <w:szCs w:val="16"/>
          <w:color w:val="auto"/>
        </w:rPr>
      </w:pPr>
    </w:p>
    <w:p>
      <w:pPr>
        <w:ind w:left="320" w:hanging="317"/>
        <w:spacing w:after="0" w:line="259" w:lineRule="auto"/>
        <w:tabs>
          <w:tab w:leader="none" w:pos="3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Mr. Andrews was appointed Executive Vice President and Chief Financial Officer of Evergy, Inc. in February 2021. Mr. Andrews previously served as Executive Vice President and Chief Financial Officer of NRG Energy, Inc. (2011-2021) and as Executive Vice President, Chief Financial Officer of Clearway Energy, Inc. (2012-2016). Mr. Andrews also served as Managing Director and Co-Head Investment Banking, Power and Utilities - Americas at Deutsche Bank Securities (2009-2011), and in several capacities at Citigroup Global Markets Inc., including Managing Director, Group Head, North American Power (2007-2009) and Head of Power M&amp;A, Mergers and Acquisitions (2005-2007).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20" w:lineRule="exact"/>
        <w:rPr>
          <w:sz w:val="20"/>
          <w:szCs w:val="20"/>
          <w:color w:val="auto"/>
        </w:rPr>
      </w:pPr>
    </w:p>
    <w:p>
      <w:pPr>
        <w:ind w:left="320" w:right="100" w:hanging="317"/>
        <w:spacing w:after="0" w:line="257" w:lineRule="auto"/>
        <w:tabs>
          <w:tab w:leader="none" w:pos="317" w:val="left"/>
        </w:tabs>
        <w:numPr>
          <w:ilvl w:val="0"/>
          <w:numId w:val="11"/>
        </w:numPr>
        <w:rPr>
          <w:rFonts w:ascii="Arial" w:cs="Arial" w:eastAsia="Arial" w:hAnsi="Arial"/>
          <w:sz w:val="17"/>
          <w:szCs w:val="17"/>
          <w:color w:val="auto"/>
        </w:rPr>
      </w:pPr>
      <w:r>
        <w:rPr>
          <w:rFonts w:ascii="Arial" w:cs="Arial" w:eastAsia="Arial" w:hAnsi="Arial"/>
          <w:sz w:val="17"/>
          <w:szCs w:val="17"/>
          <w:color w:val="auto"/>
        </w:rPr>
        <w:t>Mr. Bryant was appointed Executive Vice President and Chief Operating Officer of Evergy, Inc. in June 2018. Mr. Bryant previously served as Senior Vice President - Finance and Strategy and Chief Financial Officer of Great Plains Energy, Evergy Metro and Evergy Missouri West (2015-2018). He previously served as Vice President - Strategic Planning of Great Plains Energy, Evergy Metro and Evergy Missouri West (2014). He served as Vice President - Investor Relations and Strategic Planning and Treasurer of Great Plains Energy Incorporated (Great Plains Energy), Evergy Metro and Evergy Missouri West (2013). He served as Vice President - Investor Relations and Treasurer of Great Plains Energy, Evergy Metro and Evergy Missouri West (2011-2013). He was Vice President - Strategy and Risk Management of Evergy Metro and Evergy Missouri West (2011) and Vice President - Energy Solutions of Evergy Metro (2006-2011) and Evergy Missouri West (2008-2011).</w:t>
      </w:r>
    </w:p>
    <w:p>
      <w:pPr>
        <w:spacing w:after="0" w:line="184" w:lineRule="exact"/>
        <w:rPr>
          <w:rFonts w:ascii="Arial" w:cs="Arial" w:eastAsia="Arial" w:hAnsi="Arial"/>
          <w:sz w:val="17"/>
          <w:szCs w:val="17"/>
          <w:color w:val="auto"/>
        </w:rPr>
      </w:pPr>
    </w:p>
    <w:p>
      <w:pPr>
        <w:ind w:left="320" w:right="120" w:hanging="317"/>
        <w:spacing w:after="0" w:line="292" w:lineRule="auto"/>
        <w:tabs>
          <w:tab w:leader="none" w:pos="314" w:val="left"/>
        </w:tabs>
        <w:numPr>
          <w:ilvl w:val="0"/>
          <w:numId w:val="11"/>
        </w:numPr>
        <w:rPr>
          <w:rFonts w:ascii="Arial" w:cs="Arial" w:eastAsia="Arial" w:hAnsi="Arial"/>
          <w:sz w:val="15"/>
          <w:szCs w:val="15"/>
          <w:color w:val="auto"/>
        </w:rPr>
      </w:pPr>
      <w:r>
        <w:rPr>
          <w:rFonts w:ascii="Arial" w:cs="Arial" w:eastAsia="Arial" w:hAnsi="Arial"/>
          <w:sz w:val="15"/>
          <w:szCs w:val="15"/>
          <w:color w:val="auto"/>
        </w:rPr>
        <w:t>Mr. Greenwood was appointed Executive Vice President and Chief Strategy Officer of Evergy, Inc. in August 2021. He previously served as Executive Vice President, Strategy and Chief Administrative Officer of Evergy, Inc. (2018-2021). Mr. Greenwood previously served in the following officer roles for Evergy Kansas Central: Senior Vice President, Strategy (2011-2018); Vice President, Major Construction Projects (2006-2011); and Treasurer (2003-2006). Mr.</w:t>
      </w:r>
    </w:p>
    <w:p>
      <w:pPr>
        <w:jc w:val="both"/>
        <w:ind w:left="320" w:right="360"/>
        <w:spacing w:after="0" w:line="283" w:lineRule="auto"/>
        <w:rPr>
          <w:rFonts w:ascii="Arial" w:cs="Arial" w:eastAsia="Arial" w:hAnsi="Arial"/>
          <w:sz w:val="15"/>
          <w:szCs w:val="15"/>
          <w:color w:val="auto"/>
        </w:rPr>
      </w:pPr>
      <w:r>
        <w:rPr>
          <w:rFonts w:ascii="Arial" w:cs="Arial" w:eastAsia="Arial" w:hAnsi="Arial"/>
          <w:sz w:val="16"/>
          <w:szCs w:val="16"/>
          <w:color w:val="auto"/>
        </w:rPr>
        <w:t>Greenwood also served in the following roles for Evergy Kansas Central: Executive/Senior Director, Corporate Finance (1999-2003); Director, Financial Strategy and Acting Director, Internal Audit (1999-2000); and Director, Financial Strategy (1998-1999). Mr. Greenwood joined Evergy Kansas Central in 1993. Mr. Greenwood intends to retire in the middle of 2022 and transition to an advisory role thereafter through 2024.</w:t>
      </w:r>
    </w:p>
    <w:p>
      <w:pPr>
        <w:spacing w:after="0" w:line="163" w:lineRule="exact"/>
        <w:rPr>
          <w:rFonts w:ascii="Arial" w:cs="Arial" w:eastAsia="Arial" w:hAnsi="Arial"/>
          <w:sz w:val="15"/>
          <w:szCs w:val="15"/>
          <w:color w:val="auto"/>
        </w:rPr>
      </w:pPr>
    </w:p>
    <w:p>
      <w:pPr>
        <w:ind w:left="320" w:hanging="317"/>
        <w:spacing w:after="0" w:line="262" w:lineRule="auto"/>
        <w:tabs>
          <w:tab w:leader="none" w:pos="317" w:val="left"/>
        </w:tabs>
        <w:numPr>
          <w:ilvl w:val="0"/>
          <w:numId w:val="11"/>
        </w:numPr>
        <w:rPr>
          <w:rFonts w:ascii="Arial" w:cs="Arial" w:eastAsia="Arial" w:hAnsi="Arial"/>
          <w:sz w:val="17"/>
          <w:szCs w:val="17"/>
          <w:color w:val="auto"/>
        </w:rPr>
      </w:pPr>
      <w:r>
        <w:rPr>
          <w:rFonts w:ascii="Arial" w:cs="Arial" w:eastAsia="Arial" w:hAnsi="Arial"/>
          <w:sz w:val="17"/>
          <w:szCs w:val="17"/>
          <w:color w:val="auto"/>
        </w:rPr>
        <w:t>Ms. Elwell was appointed Senior Vice President and Chief Human Resources Officer of Evergy, Inc. in September 2021. Ms. Elwell previously served as Chief People Officer at JE Dunn (2017-2021), as Vice President People Strategy / HR Business Partner of Walmart Corporation (2016-2017), as Vice President HR Business Partner Operations at DIRECTV (2012-2015), and in various roles of increasing responsibility, including as Vice President, with Sprint (1997-2012; 2015-2016).</w:t>
      </w:r>
    </w:p>
    <w:p>
      <w:pPr>
        <w:spacing w:after="0" w:line="177" w:lineRule="exact"/>
        <w:rPr>
          <w:rFonts w:ascii="Arial" w:cs="Arial" w:eastAsia="Arial" w:hAnsi="Arial"/>
          <w:sz w:val="17"/>
          <w:szCs w:val="17"/>
          <w:color w:val="auto"/>
        </w:rPr>
      </w:pPr>
    </w:p>
    <w:p>
      <w:pPr>
        <w:ind w:left="320" w:right="160" w:hanging="317"/>
        <w:spacing w:after="0" w:line="262" w:lineRule="auto"/>
        <w:tabs>
          <w:tab w:leader="none" w:pos="311" w:val="left"/>
        </w:tabs>
        <w:numPr>
          <w:ilvl w:val="0"/>
          <w:numId w:val="11"/>
        </w:numPr>
        <w:rPr>
          <w:rFonts w:ascii="Arial" w:cs="Arial" w:eastAsia="Arial" w:hAnsi="Arial"/>
          <w:sz w:val="17"/>
          <w:szCs w:val="17"/>
          <w:color w:val="auto"/>
        </w:rPr>
      </w:pPr>
      <w:r>
        <w:rPr>
          <w:rFonts w:ascii="Arial" w:cs="Arial" w:eastAsia="Arial" w:hAnsi="Arial"/>
          <w:sz w:val="17"/>
          <w:szCs w:val="17"/>
          <w:color w:val="auto"/>
        </w:rPr>
        <w:t>Mr. Caisley was appointed Senior Vice President, Public Affairs and Chief Customer Officer of Evergy, Inc. in August 2021. He previously served as Senior Vice President, Marketing and Public Affairs and Chief Customer Officer of Evergy, Inc. (2018-2021). Mr. Caisley served as Vice President - Marketing and Public Affairs of Great Plains Energy, Evergy Metro and Evergy Missouri West (2011-2018). He was Senior Director of Public Affairs (2008-2011) and Director of Governmental Affairs of Evergy Metro (2007-2008).</w:t>
      </w:r>
    </w:p>
    <w:p>
      <w:pPr>
        <w:spacing w:after="0" w:line="177" w:lineRule="exact"/>
        <w:rPr>
          <w:rFonts w:ascii="Arial" w:cs="Arial" w:eastAsia="Arial" w:hAnsi="Arial"/>
          <w:sz w:val="17"/>
          <w:szCs w:val="17"/>
          <w:color w:val="auto"/>
        </w:rPr>
      </w:pPr>
    </w:p>
    <w:p>
      <w:pPr>
        <w:ind w:left="320" w:right="20" w:hanging="317"/>
        <w:spacing w:after="0" w:line="258"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Ms. Humphrey was appointed Senior Vice President, General Counsel and Corporate Secretary of Evergy, Inc. in June 2018. Ms. Humphrey previously served as Senior Vice President - Corporate Services and General Counsel of Great Plains Energy, Evergy Metro and Evergy Missouri West (2016-2018). She previously served as General Counsel (2010-2016) and Senior Vice President - Human Resources of Great Plains Energy, Evergy Metro and Evergy Missouri West (2012-2016). She served as Vice President - Human Resources of Great Plains Energy, Evergy Metro and Evergy Missouri West (2010-2012). She was Senior Director of Human Resources and Interim General Counsel of Great Plains Energy, Evergy Metro and Evergy Missouri West (2010) and Managing Attorney of Evergy Metro (2007-2010).</w:t>
      </w:r>
    </w:p>
    <w:p>
      <w:pPr>
        <w:spacing w:after="0" w:line="183" w:lineRule="exact"/>
        <w:rPr>
          <w:rFonts w:ascii="Arial" w:cs="Arial" w:eastAsia="Arial" w:hAnsi="Arial"/>
          <w:sz w:val="17"/>
          <w:szCs w:val="17"/>
          <w:color w:val="auto"/>
        </w:rPr>
      </w:pPr>
    </w:p>
    <w:p>
      <w:pPr>
        <w:ind w:left="320" w:right="40" w:hanging="317"/>
        <w:spacing w:after="0" w:line="259"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Mr. King was appointed Senior Vice President and Chief Technology Officer of Evergy, Inc. in February 2020. He previously served as Senior Vice President, Information Technology and Chief Information Officer (2019) and Vice President, Information Technology and Chief Information Officer (2018-2019) of Evergy, Inc. Prior to that, he served as Vice President - Information Technology (2013-2018), as Senior Director of Information Technology Applications and Delivery (2013) and Director of Information Technology Applications (2011-2013) of Evergy Metro and Evergy Missouri West. Mr. King also served in various roles, including leadership roles, with Dish Network, CenturyLink, Sprint and Accenture.</w:t>
      </w:r>
    </w:p>
    <w:p>
      <w:pPr>
        <w:spacing w:after="0" w:line="182" w:lineRule="exact"/>
        <w:rPr>
          <w:rFonts w:ascii="Arial" w:cs="Arial" w:eastAsia="Arial" w:hAnsi="Arial"/>
          <w:sz w:val="17"/>
          <w:szCs w:val="17"/>
          <w:color w:val="auto"/>
        </w:rPr>
      </w:pPr>
    </w:p>
    <w:p>
      <w:pPr>
        <w:ind w:left="320" w:right="40" w:hanging="317"/>
        <w:spacing w:after="0" w:line="258" w:lineRule="auto"/>
        <w:tabs>
          <w:tab w:leader="none" w:pos="3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Mr. Busser was appointed Vice President and Chief Accounting Officer of Evergy, Inc. in February 2022. He previously served as Vice President - Risk Management and Controller of Evergy, Inc. (2018-2022). Mr. Busser was appointed Vice President - Risk Management and Controller of Great Plains Energy, Evergy Metro and Evergy Missouri West in 2016. He previously served as Vice President - Business Planning and Controller of Great Plains Energy, Evergy Metro and Evergy Missouri West (2014-2016). He served as Vice President - Treasurer of El Paso Electric Company (2011-2014). Prior to that, he served as Vice President - Treasurer and Chief Risk Officer (2006-2011) and Vice President - Regulatory Affairs and Treasurer (2004-2006) of El Paso Electric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Evergy Kansas Central, Inc.</w:t>
      </w:r>
    </w:p>
    <w:p>
      <w:pPr>
        <w:spacing w:after="0" w:line="21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Evergy Kansas Central, a Kansas corporation incorporated in 1924 and headquartered in Topeka, Kansas, is an integrated, regulated electric utility that engages in the generation, transmission, distribution and sale of electricity. Evergy Kansas Central serves approximately 730,800 customers located in central and eastern Kansas. Customers include approximately 631,300 residences, 94,000 commercial firms, and 5,500 industrials, municipalities and other electric utilities. Evergy Kansas Central's retail revenues averaged approximately 74% of its total operating revenues over the last three years. Wholesale firm power, bulk power sales, transmission and miscellaneous electric revenues accounted for the remainder of Evergy Kansas Central's revenues. Evergy Kansas Central is significantly impacted by seasonality with approximately one-third of its retail revenues recorded in the third quarter.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Evergy Metro, Inc.</w:t>
      </w:r>
    </w:p>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Evergy Metro, a Missouri corporation incorporated in 1922 and headquartered in Kansas City, Missouri, is an integrated, regulated electric utility that engages in the generation, transmission, distribution and sale of electricity. Evergy Metro serves approximately 571,500 customers located in western Missouri and eastern Kansas. Customers include approximately 505,000 residences, 64,600 commercial firms, and 1,900 industrials, municipalities and other electric utilities. Evergy Metro's retail revenues averaged approximately 88% of its total operating revenues over the last three years. Wholesale firm power, bulk power sales and miscellaneous electric revenues accounted for the remainder of Evergy Metro's revenues. Evergy Metro is significantly impacted by seasonality with approximately one-third of its retail revenues recorded in the third quarter. Missouri and Kansas jurisdictional retail revenues for Evergy Metro averaged approximately 55% and 45%, respectively, of total retail revenues over the last three years.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7" w:name="page18"/>
    <w:bookmarkEnd w:id="1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Utility Regulatory Risks: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Prices are established by regulators and may not be sufficient to recover costs or provide for a return on investment.</w:t>
      </w:r>
    </w:p>
    <w:p>
      <w:pPr>
        <w:spacing w:after="0" w:line="17" w:lineRule="exact"/>
        <w:rPr>
          <w:sz w:val="20"/>
          <w:szCs w:val="20"/>
          <w:color w:val="auto"/>
        </w:rPr>
      </w:pPr>
    </w:p>
    <w:p>
      <w:pPr>
        <w:ind w:right="380"/>
        <w:spacing w:after="0" w:line="247" w:lineRule="auto"/>
        <w:rPr>
          <w:sz w:val="20"/>
          <w:szCs w:val="20"/>
          <w:color w:val="auto"/>
        </w:rPr>
      </w:pPr>
      <w:r>
        <w:rPr>
          <w:rFonts w:ascii="Arial" w:cs="Arial" w:eastAsia="Arial" w:hAnsi="Arial"/>
          <w:sz w:val="19"/>
          <w:szCs w:val="19"/>
          <w:color w:val="auto"/>
        </w:rPr>
        <w:t>The prices that the FERC, KCC and MPSC authorize the utility subsidiaries of Evergy to charge significantly influence the Evergy Companies' results of operations, financial position and cash flows.</w:t>
      </w:r>
    </w:p>
    <w:p>
      <w:pPr>
        <w:spacing w:after="0" w:line="17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general, utilities are allowed to recover in customer rates costs that were prudently incurred to provide utility service, plus a reasonable return on invested capital. There can be no assurance, however, that regulators will determine costs to have been prudently incurred. Further, the amounts approved by the regulators may not be sufficient to allow for a recovery of costs or provide for an adequate return on and of capital investments. Also, amounts that were approved by regulators may be appealed, modified, limited or eliminated by subsequent regulatory or legislative actions. A failure to recover costs or earn a reasonable return on invested capital could have a material adverse effect on the results of operations, financial position and cash flows of Evergy and its utility subsidiaries.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Evergy Companies are also exposed to cost-recovery shortfalls due to the inherent "regulatory lag" in the rate-setting process. This is because utility rates are generally based on historical information and, except for certain situations where regulators allow for recovery of expenses through use of a formula that tracks costs, are not subject to adjustment between rate cases. Evergy Kansas Central and Evergy Metro agreed to a five-year base rate moratorium in Kansas beginning in December 2018. In addition, Evergy Metro and Evergy Missouri West utilize a plant-in service accounting (PISA) legislative mechanism in Missouri, which requires each company to keep base rates constant for three years following Evergy Metro's and Evergy Missouri West's last general rate case and limits the extent to which prices can increase thereafter to approximately 3% on an annualized basis. Evergy Metro and Evergy Missouri West are currently operating under PISA constraints. Each filed general rate cases in 2022 and will be subject to PISA constraints for three years following conclusion of the general rate cases. The rate cases are expected to conclude by December 2022. These and other factors may result in under-recovery of costs or failure to earn the authorized return on investment, or both.</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Furthermore, while inflation has been relatively muted in recent years, during 2021, the United States' economy experienced a substantial rise in the inflation rate. While the Federal Reserve Bank has announced certain measures to combat rising inflation, there is increased uncertainty in the near-term outlook as to whether inflation will continue. Increases in inflation raise the Evergy Companies' costs for labor, materials and services. A failure to recover increased capital costs could result in under-recovery of costs.</w:t>
      </w:r>
    </w:p>
    <w:p>
      <w:pPr>
        <w:spacing w:after="0" w:line="1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Failure to timely recover the full investment costs of capital projects, the impact of renewable energy and energy efficiency programs, other utility costs and expenses due to regulatory disallowances, regulatory lag or other factors could lead to lowered credit ratings, reduced access to capital markets, increased financing costs, lower flexibility due to constrained financial resources and increased collateral security requirements or reductions or delays in planned capital expenditures. In response to competitive, economic, political, legislative, public perception and regulatory pressures, Evergy's utility subsidiaries may be subject to rate moratoriums, rate refunds, limits on rate increases, lower allowed returns on investments or rate reductions, including phase-in plans designed to spread the impact of rate increases over an extended period for the benefit of customers. In addition, Transource, which Evergy owns a 13.5% interest, is focused on the development of competitive electric transmission projects across the United States and faces similar risks with respect to projects located in regulatory jurisdictions outside of Kansas and Missouri. Any of these results could have a material adverse effect on the results of operations, financial condition and cash flows of the Evergy Companies.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Legislative and regulatory requirements may increase costs and result in compliance penalties.</w:t>
      </w:r>
    </w:p>
    <w:p>
      <w:pPr>
        <w:spacing w:after="0" w:line="17" w:lineRule="exact"/>
        <w:rPr>
          <w:sz w:val="20"/>
          <w:szCs w:val="20"/>
          <w:color w:val="auto"/>
        </w:rPr>
      </w:pPr>
    </w:p>
    <w:p>
      <w:pPr>
        <w:ind w:right="500"/>
        <w:spacing w:after="0" w:line="247" w:lineRule="auto"/>
        <w:rPr>
          <w:sz w:val="20"/>
          <w:szCs w:val="20"/>
          <w:color w:val="auto"/>
        </w:rPr>
      </w:pPr>
      <w:r>
        <w:rPr>
          <w:rFonts w:ascii="Arial" w:cs="Arial" w:eastAsia="Arial" w:hAnsi="Arial"/>
          <w:sz w:val="19"/>
          <w:szCs w:val="19"/>
          <w:color w:val="auto"/>
        </w:rPr>
        <w:t>FERC, the North American Electric Reliability Corporation (NERC) and SPP have implemented and enforce an extensive set of transmission system reliability, cybersecurity and critical infrastructure protection standards that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8" w:name="page19"/>
    <w:bookmarkEnd w:id="1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apply to public utilities. The MPSC and KCC have the authority to implement utility operational standards and requirements, such as vegetation management standards, facilities inspection requirements and quality of service standards. In addition, Evergy is also subject to health, safety and other requirements enacted by the Occupational Safety and Health Administration, the Department of Transportation, the Department of Labor and other federal and state agencies. As discussed more fully below, the Evergy Companies are also subject to numerous environmental laws and regulations, as well as laws and regulations related to nuclear power generation. The costs of complying with existing, new or modified regulations, standards and other requirements could have a material adverse effect on the results of operations, financial position and cash flows of the Evergy Companies. Furthermore, regulatory changes could result in operational changes that increase costs or adversely impact the Evergy Companies' prospects. In addition, failure to meet quality of service, reliability, cybersecurity, critical infrastructure protection, operational or other standards and requirements could expose the Evergy Companies to penalties, additional compliance costs or adverse rate consequences, any of which could have a material adverse impact on their results of operations, financial position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Risks:</w:t>
      </w:r>
    </w:p>
    <w:p>
      <w:pPr>
        <w:spacing w:after="0" w:line="265"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Costs to comply with environmental laws and regulations, including those relating to air and water quality, waste management and hazardous substance disposal, protected natural resources and health and safety, are significant and may adversely impact operations and financial results. </w:t>
      </w:r>
      <w:r>
        <w:rPr>
          <w:rFonts w:ascii="Arial" w:cs="Arial" w:eastAsia="Arial" w:hAnsi="Arial"/>
          <w:sz w:val="17"/>
          <w:szCs w:val="17"/>
          <w:color w:val="auto"/>
        </w:rPr>
        <w:t>The Evergy Companies are subject to extensive and evolving federal, state and local environmental laws, regulations and permit requirements relating to air and water quality, waste management and hazardous substance disposal, protected natural resources (such as wetlands, endangered species and other protected wildlife) and health and safety. See Item 1. Business - Environmental Matters and Note 14 to the consolidated financial statements for additional information. In general, over time these laws and regulations have become and continue to become increasingly stringent and compliance with these laws and regulations require an increasing share of capital and operating resources, which may reduce the amount of resources available for other business objectives, including capital investments.</w:t>
      </w:r>
    </w:p>
    <w:p>
      <w:pPr>
        <w:spacing w:after="0" w:line="161" w:lineRule="exact"/>
        <w:rPr>
          <w:sz w:val="20"/>
          <w:szCs w:val="20"/>
          <w:color w:val="auto"/>
        </w:rPr>
      </w:pPr>
    </w:p>
    <w:p>
      <w:pPr>
        <w:ind w:right="120"/>
        <w:spacing w:after="0" w:line="245" w:lineRule="auto"/>
        <w:rPr>
          <w:sz w:val="20"/>
          <w:szCs w:val="20"/>
          <w:color w:val="auto"/>
        </w:rPr>
      </w:pPr>
      <w:r>
        <w:rPr>
          <w:rFonts w:ascii="Arial" w:cs="Arial" w:eastAsia="Arial" w:hAnsi="Arial"/>
          <w:sz w:val="19"/>
          <w:szCs w:val="19"/>
          <w:color w:val="auto"/>
        </w:rPr>
        <w:t>Compliance with these laws, regulations and requirements requires significant capital and operating resources. Regulators may also disagree with the Evergy Companies' interpretation or application of these laws, regulations and requirements. The failure to comply with these laws, regulations and requirements could result in substantial fines, injunctive relief and other sanctions. For example, Evergy Kansas Central recently decommissioned the Tecumseh Energy Center and removed all coal combustion residuals (CCRs) from a surface impoundment in a manner it believed complied with federal law, but the EPA has recently commenced an evaluation of whether Evergy Kansas Central should have taken additional or alternative actions, even though the facility is closed.</w:t>
      </w:r>
    </w:p>
    <w:p>
      <w:pPr>
        <w:spacing w:after="0" w:line="183"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The EPA has begun issuing CCR Part A rule extension application determinations for companies that applied for approval to operate unlined or clay-lined impoundments past April 2021. The Evergy Companies did not apply for an extension, however, these proposed determinations include extensive CCR rule interpretations and compliance expectations that may impact all owners of CCR units. The new interpretations could require modified compliance plans such as different methods of CCR unit closure. Additionally, more stringent remediation requirements for units that are in corrective action or forced to go into corrective action could result in substantial costs or operational impacts.</w:t>
      </w:r>
    </w:p>
    <w:p>
      <w:pPr>
        <w:spacing w:after="0" w:line="154"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In January 2022, the EPA announced changes following a tour by the EPA administrator conducted in the second half of 2021 to address issues in communities that are marginalized, underserved and overburdened by pollution. These changes will include additional unannounced inspections of suspected non-compliant facilities, deploying new assets to monitor air pollution and a general increase in overall monitoring and oversight. The EPA's announcement focused on industries in Louisiana, Mississippi and Texas but includes similar agency-wide action in parallel. The Evergy Companies have multiple power plants located in communities that would be considered a higher priority by the EPA based on existing demographics. These sites could be subject to additional monitoring and unannounced inspections in the future.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Environmental permits are subject to periodic renewal, which may result in more stringent permit conditions and limits. New facilities, or modifications of existing facilities, may require new environmental permits or amendments to existing permits. Delays in the environmental permitting process, public opposition and challenges, denials of permit applications, limits or conditions imposed in permits and the associated uncertainty may materially adversely affect the cost and timing of projects, and thus materially adversely affect the results of operations, financial position and cash flows of the Evergy Companies. In addition, compliance with environmental laws, regulations and requirements could alter the way assets are managed, which in turn could result in retiring assets earlier than expected, recording asset retirement obligations (AROs) or having a regulator disallow recovery of costs that had been prudently incurred in connection with those assets. There is also a risk of lawsuits alleging violations of environmental laws, regulations or requirements, claiming creation of a public nuisance or other matters, and seeking injunctions or monetary damages or other relief.</w:t>
      </w:r>
    </w:p>
    <w:p>
      <w:pPr>
        <w:spacing w:after="0" w:line="188"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color w:val="auto"/>
        </w:rPr>
        <w:t>Costs of compliance with environmental laws, regulations and requirements, or fines, penalties or negative lawsuit outcomes, if not recovered in rates from customers, could have a material adverse effect on the results of operations, financial position and cash flows of the Evergy Companies.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Risks:</w:t>
      </w:r>
    </w:p>
    <w:p>
      <w:pPr>
        <w:spacing w:after="0" w:line="265" w:lineRule="exact"/>
        <w:rPr>
          <w:sz w:val="20"/>
          <w:szCs w:val="20"/>
          <w:color w:val="auto"/>
        </w:rPr>
      </w:pPr>
    </w:p>
    <w:p>
      <w:pPr>
        <w:ind w:right="380"/>
        <w:spacing w:after="0" w:line="249" w:lineRule="auto"/>
        <w:rPr>
          <w:sz w:val="20"/>
          <w:szCs w:val="20"/>
          <w:color w:val="auto"/>
        </w:rPr>
      </w:pPr>
      <w:r>
        <w:rPr>
          <w:rFonts w:ascii="Arial" w:cs="Arial" w:eastAsia="Arial" w:hAnsi="Arial"/>
          <w:sz w:val="19"/>
          <w:szCs w:val="19"/>
          <w:b w:val="1"/>
          <w:bCs w:val="1"/>
          <w:i w:val="1"/>
          <w:iCs w:val="1"/>
          <w:color w:val="auto"/>
        </w:rPr>
        <w:t>Financial market disruptions or declines in the Evergy Companies' credit ratings may increase financing costs and limit access to the credit markets, which may adversely affect liquidity and financial results.</w:t>
      </w:r>
    </w:p>
    <w:p>
      <w:pPr>
        <w:spacing w:after="0" w:line="1"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Evergy Companies rely on funds from operations and access to the capital and credit markets to fund capital expenditures and for working capital and liquidity. Disruption in capital or credit markets, increases in interest rates, deterioration in the financial condition of the financial institutions on which the Evergy Companies rely, credit rating downgrades, a decrease in the market price of Evergy's common stock or a decrease or disappearance in the demand for debt securities issued by the Evergy Companies or subsidiaries could have material adverse effects on the Evergy Companies. These effects could include, among others: reduced access to capital and increased cost of borrowed funds and collateral requirements; dilution resulting from equity issuances at reduced prices; increased nuclear decommissioning trust and pension and other post-retirement benefit plan funding requirements; reduced ability to pay dividends; rate case disallowance of costs of capital; reductions in or delays of capital expenditures; and limitations in the ability of Evergy to provide credit support for its subsidiaries.</w:t>
      </w:r>
    </w:p>
    <w:p>
      <w:pPr>
        <w:spacing w:after="0" w:line="15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Evergy Companies plan to make significant capital investments in renewable generation and to enhance the customer experience, improve reliability and resiliency and improve efficiency, which are expected to be funded with cash flows from operations and debt. If cash flows from operations are lower than expected or the costs of these capital investments are higher than expected, additional debt will be required to fund the investments, which, in turn, may create pressure on the Evergy Companies' credit ratings or result in a ratings downgrade and increase their cost of capital. In 2021, a credit ratings agency assigned the Evergy Companies a negative outlook, while affirming ratings, due to perceived risk related to increased capital expenditures and the ability to earn a return of and on those investments through upcoming rate cases. Further, Evergy Kansas Central and Evergy Metro have outstanding tax-exempt bonds that may be put back to the respective issuer at the option of the holders, which could adversely impact liquidity. In addition, market disruption and volatility could have an adverse impact on Evergy's lenders, suppliers and other counterparties or customers, causing them to fail to meet their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is a holding company and relies on the earnings of its subsidiaries to meet its financial obligations.</w:t>
      </w:r>
    </w:p>
    <w:p>
      <w:pPr>
        <w:spacing w:after="0" w:line="1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Evergy is a holding company with no significant operations of its own. The primary source of funds for payment of dividends to its shareholders and its other financial obligations is dividends paid to it by its direct subsidiaries, particularly Evergy Kansas Central, Evergy Metro and Evergy Missouri West. Evergy's subsidiaries are separate legal entities and have no obligation to provide Evergy with funds. The ability of Evergy's subsidiaries to pay dividends or make other distributions, and accordingly, Evergy's ability to pay dividends on its common stock and meet its financial obligations, principally depends on the earnings and cash flows, capital requirements and general financial position of its subsidiaries, as well as regulatory factors, financial covenants, general business conditions and other matters.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the Evergy Companies are subject to certain corporate and regulatory restrictions and financial covenants that could affect their ability to pay dividends. Under the Federal Power Act, Evergy Kansas Central, Evergy Metro and Evergy Missouri West generally can pay dividends only out of retained earnings. Each of Evergy Metro and Evergy Missouri West has committed to Missouri regulators to not pay dividends to Evergy if its credit rating falls below BBB- for S&amp;P Global Ratings or Baa3 for Moody's Investor Services. Each of Evergy Kansas Central and Evergy Metro has committed to Kansas regulators to not pay dividends to Evergy if (i) the payment would result in an increase in the utility's debt level (excluding short-term debt and debt due within one year) above 60 percent of its total capitalization, absent approval from the KCC or (ii) if its credit rating falls below BBB- for S&amp;P Global Ratings or Baa3 for Moody's Investor Services. Under various debt agreements, the Evergy Companies are also required to maintain a consolidated indebtedness to consolidated total capitalization ratio of not more than 0.65 to 1.00, which could restrict the amount of dividends the Evergy Companies are permitted to pay. Evergy cannot guarantee dividends will be paid in the future or that, if paid, dividends will satisfy announced targets or investor expectations or be paid with the same frequency as in the past.</w:t>
      </w:r>
    </w:p>
    <w:p>
      <w:pPr>
        <w:spacing w:after="0" w:line="158"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In addition, from time to time Evergy has in the past and may in the future guarantee debt obligations of its subsidiaries. Under the financing agreements to which Evergy is a party, a guarantee of debt may be considered indebtedness for purposes of complying with financial covenants that dictate the extent to which Evergy can borrow money, and any guarantee payments could adversely affect Evergy's liquidity and ability to service its own debt obligations.</w:t>
      </w:r>
    </w:p>
    <w:p>
      <w:pPr>
        <w:spacing w:after="0" w:line="180" w:lineRule="exact"/>
        <w:rPr>
          <w:sz w:val="20"/>
          <w:szCs w:val="20"/>
          <w:color w:val="auto"/>
        </w:rPr>
      </w:pPr>
    </w:p>
    <w:p>
      <w:pPr>
        <w:ind w:right="560"/>
        <w:spacing w:after="0" w:line="249" w:lineRule="auto"/>
        <w:rPr>
          <w:sz w:val="20"/>
          <w:szCs w:val="20"/>
          <w:color w:val="auto"/>
        </w:rPr>
      </w:pPr>
      <w:r>
        <w:rPr>
          <w:rFonts w:ascii="Arial" w:cs="Arial" w:eastAsia="Arial" w:hAnsi="Arial"/>
          <w:sz w:val="19"/>
          <w:szCs w:val="19"/>
          <w:b w:val="1"/>
          <w:bCs w:val="1"/>
          <w:i w:val="1"/>
          <w:iCs w:val="1"/>
          <w:color w:val="auto"/>
        </w:rPr>
        <w:t>Increasing costs associated with defined benefit retirement and postretirement plans, health care plans and other employee benefits could adversely affect Evergy's financial position and liquidity.</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Evergy maintains defined benefit retirement and other post-retirement employee benefit plans for certain current and former employees. The costs of these plans depend on a number of factors, including the rates of return on plan assets, the level and nature of the provided benefits, discount rates, the interest rates used to measure required minimum funding levels, changes in benefit design, changes in laws or regulations and the amount of any required or voluntary contributions to the plans. The Evergy Companies have substantial unfunded liabilities under these plans. Also, if the rate of retirements exceeds planned levels, these plans experience adverse market returns on investments or interest rates fall, required or voluntary contributions to the plans could be material. In addition, changes in accounting rules and assumptions related to future costs, returns on investments, interest rates and other actuarial assumptions, including projected retirements, could have a significant adverse impact on the results of operations, financial position and cash flows of the Evergy Companies.</w:t>
      </w:r>
    </w:p>
    <w:p>
      <w:pPr>
        <w:spacing w:after="0" w:line="170" w:lineRule="exact"/>
        <w:rPr>
          <w:sz w:val="20"/>
          <w:szCs w:val="20"/>
          <w:color w:val="auto"/>
        </w:rPr>
      </w:pPr>
    </w:p>
    <w:p>
      <w:pPr>
        <w:jc w:val="both"/>
        <w:ind w:right="240"/>
        <w:spacing w:after="0" w:line="322" w:lineRule="auto"/>
        <w:rPr>
          <w:sz w:val="20"/>
          <w:szCs w:val="20"/>
          <w:color w:val="auto"/>
        </w:rPr>
      </w:pPr>
      <w:r>
        <w:rPr>
          <w:rFonts w:ascii="Arial" w:cs="Arial" w:eastAsia="Arial" w:hAnsi="Arial"/>
          <w:sz w:val="16"/>
          <w:szCs w:val="16"/>
          <w:color w:val="auto"/>
        </w:rPr>
        <w:t>The costs of providing health care benefits to employees and retirees have increased in recent years and may continue to rise in the future. Future legislative changes related to health care could also cause significant changes to benefit programs and costs. The increasing costs associated with health care plans could have a significant adverse impact on the results of operations, financial position and cash flows of the Evergy Companies.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Evergy Companies are subject to commodity and other risks associated with energy markets.</w:t>
      </w:r>
    </w:p>
    <w:p>
      <w:pPr>
        <w:spacing w:after="0" w:line="17" w:lineRule="exact"/>
        <w:rPr>
          <w:sz w:val="20"/>
          <w:szCs w:val="20"/>
          <w:color w:val="auto"/>
        </w:rPr>
      </w:pPr>
    </w:p>
    <w:p>
      <w:pPr>
        <w:ind w:right="100"/>
        <w:spacing w:after="0" w:line="231" w:lineRule="auto"/>
        <w:rPr>
          <w:sz w:val="20"/>
          <w:szCs w:val="20"/>
          <w:color w:val="auto"/>
        </w:rPr>
      </w:pPr>
      <w:r>
        <w:rPr>
          <w:rFonts w:ascii="Arial" w:cs="Arial" w:eastAsia="Arial" w:hAnsi="Arial"/>
          <w:sz w:val="19"/>
          <w:szCs w:val="19"/>
          <w:color w:val="auto"/>
        </w:rPr>
        <w:t>The Evergy Companies are required to maintain generation capacity that satisfies regulatory mandates and are obligated to provide power when required by the SPP or pursuant to contractual obligations. Although the Evergy Companies generally have regulatory mechanisms that allow them to recover the cost of fuel and purchased power necessary to satisfy these requirements, regulatory or legislative actions could limit, eliminate or delay recovery of these expenses after the expenses have been incurred.</w:t>
      </w:r>
    </w:p>
    <w:p>
      <w:pPr>
        <w:spacing w:after="0" w:line="200"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The Evergy Companies engage in the wholesale and retail sale of electricity and the wholesale purchase of electricity as part of their regulated electric operations in addition to limited energy marketing activities and the management of third-party generation facilities. These activities expose the Evergy Companies to risks associated with the price of electricity and other energy-related products, as well credit exposure to their counterparties. Exposure to these risks is affected by a number of factors, including the availability and cost of fuel and power that the Evergy Companies purchase on the wholesale markets to serve customer load or to satisfy their regulatory or contractual obligations, the ability or effectiveness of strategies utilized by the Evergy Companies to hedge these risks, the extent to which the Evergy Companies may be required to post collateral for the benefit of third parties and the risk that counterparties fail to fulfill their obligations to the Evergy Companies. Market volatility can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700"/>
        <w:spacing w:after="0" w:line="250" w:lineRule="auto"/>
        <w:rPr>
          <w:sz w:val="20"/>
          <w:szCs w:val="20"/>
          <w:color w:val="auto"/>
        </w:rPr>
      </w:pPr>
      <w:r>
        <w:rPr>
          <w:rFonts w:ascii="Arial" w:cs="Arial" w:eastAsia="Arial" w:hAnsi="Arial"/>
          <w:sz w:val="19"/>
          <w:szCs w:val="19"/>
          <w:color w:val="auto"/>
        </w:rPr>
        <w:t>increase or create unanticipated risks. Regional transmission organizations and independent system operators may also retroactively reprice transactions following execution.</w:t>
      </w:r>
    </w:p>
    <w:p>
      <w:pPr>
        <w:spacing w:after="0" w:line="18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Subject to certain regulatory constraints, the Evergy Companies use derivative instruments, such as transmission congestion rights (TCRs), swaps, options, futures and forwards, to manage commodity and financial risks. Losses could be recognized as a result of volatility in the market values of these contracts, if a counterparty fails to perform or if the underlying transactions, which the derivative instruments are intended to hedge, fail to materialize. The valuation of these financial instruments can involve management’s judgment or the use of estimates. As a result, changes in the underlying assumptions or use of alternative valuation methods could affect the reported fair value of these contracts. The Evergy Companies cannot assure that their risk management practices will be effective or will mitigate all risks.</w:t>
      </w:r>
    </w:p>
    <w:p>
      <w:pPr>
        <w:spacing w:after="0" w:line="197"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The results of operations, financial position and liquidity of the Evergy Companies could be materially adversely affected if the Evergy Companies fail to recover, or experience a delay in the recovery of, fuel and purchased power expenses; if the Evergy Companies fail to adequately hedge or mitigate commodity or energy market risks; if the Evergy Companies are required to provide collateral in amounts greater than planned; if energy marketing transactions are retroactively repriced; or if counterparties fail to fulfill obligations to the Evergy Companies.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legislation and an inability to utilize tax credits could adversely impact results of operations, financial position and liquidity.</w:t>
      </w:r>
    </w:p>
    <w:p>
      <w:pPr>
        <w:spacing w:after="0" w:line="28" w:lineRule="exact"/>
        <w:rPr>
          <w:sz w:val="20"/>
          <w:szCs w:val="20"/>
          <w:color w:val="auto"/>
        </w:rPr>
      </w:pPr>
    </w:p>
    <w:p>
      <w:pPr>
        <w:ind w:right="180"/>
        <w:spacing w:after="0" w:line="242" w:lineRule="auto"/>
        <w:rPr>
          <w:sz w:val="20"/>
          <w:szCs w:val="20"/>
          <w:color w:val="auto"/>
        </w:rPr>
      </w:pPr>
      <w:r>
        <w:rPr>
          <w:rFonts w:ascii="Arial" w:cs="Arial" w:eastAsia="Arial" w:hAnsi="Arial"/>
          <w:sz w:val="19"/>
          <w:szCs w:val="19"/>
          <w:color w:val="auto"/>
        </w:rPr>
        <w:t>Tax laws and regulations can adversely affect, among other things, financial results, liquidity, credit ratings and the valuation of assets, such as deferred income tax assets. The Evergy Companies regularly assess their ability to utilize tax benefits, including those in the form of net operating loss (NOL), tax credit and other tax carryforwards, that are recorded as deferred income tax assets on its balance sheets to determine whether a valuation allowance is necessary. A reduction in, or disallowance of, these tax benefits could have an adverse impact on the financial results and liquidity of the Evergy Companies.</w:t>
      </w:r>
    </w:p>
    <w:p>
      <w:pPr>
        <w:spacing w:after="0" w:line="18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Additionally, changes in corporate tax rates or policy changes, as well as any inability to generate enough taxable income in the future to utilize all tax benefits before they expire, could have an adverse impact on the results of operations, financial position and liquidity of the Evergy Companies. In addition, the Evergy Companies construct and operate renewable energy facilities that generate tax credits that reduce federal income tax obligations. The amount of tax credits is dependent on several factors, including the amount of electricity produced and the applicable tax credit rate. A variety of factors, including transmission constraints, the ability to timely complete construction of renewable energy facilities, adverse weather conditions and breakdown or failure of equipment, could significantly reduce these tax credits, which could have an adverse impact on the results of operations and financial position of the Evergy Companies.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anticipated benefits of the Evergy Companies' strategy may not be realized.</w:t>
      </w:r>
    </w:p>
    <w:p>
      <w:pPr>
        <w:spacing w:after="0" w:line="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Evergy Companies' strategy includes significant planned reductions in operating and maintenance expense and significant planned increases in capital investments. The Evergy Companies' strategy also includes a different mix of capital investments than has been pursued in the past, including significant capital investments in renewable generation. The Evergy Companies' strategy also includes the planned retirement of coal-fired generation resources. If regulators determine that the retirement of coal generation facilities was not prudent, they could prohibit the Evergy Companies from recovering, or earning a return on, the investments in those facilities that were prudent when the investments were originally made. This concept is known as a "stranded asset," and generation retirements outside of those contemplated in the integrated resource plan increase the risk that regulators will disallow the recovery of otherwise prudent investments. In addition, the Evergy Companies may utilize legislative mechanisms known as securitization to facilitate the retirement of coal-fired generation, which will eliminate future returns on the investment that was originally made by the Evergy Companies in those coal-fired generating facilities and reduce the Evergy's Companies results of operations and financial position.</w:t>
      </w:r>
    </w:p>
    <w:p>
      <w:pPr>
        <w:spacing w:after="0" w:line="174"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No assurance can be given that the Evergy Companies will be successful in implementing their strategy in a timely manner or at all, and a failure to do so could have a material adverse effect on the results of operations, financial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position and cash flows of the Evergy Companies and have an adverse impact on the price of Evergy’s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price of Evergy common stock may experience volatility.</w:t>
      </w:r>
    </w:p>
    <w:p>
      <w:pPr>
        <w:spacing w:after="0" w:line="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price of Evergy common stock may be volatile. Some of the factors that could affect the price of Evergy common stock are Evergy's earnings; the ability of the Evergy Companies to implement their strategic plan; the ability of Evergy to deploy capital; actions by regulators; and statements in the press or investment community about the Evergy Companies' strategy, earnings per share or growth prospects, financial condition or results of operations. Negative perceptions or publicity from increasing scrutiny of environmental, social and governance practices could also adversely impact Evergy's stock price. Also, individuals or entities, such as activist shareholders and special interest groups, may seek to influence the Evergy Companies' strategic plan or take other actions that could disrupt the Evergy Companies' business, financial results or operations and could adversely impact Evergy's stock price. In addition, the Evergy Companies operate almost exclusively in Kansas and Missouri and this concentration may increase exposure to risks arising from unique local or regional factors. Furthermore, general market conditions and U.S. economic factors and political events unrelated to the performance of Evergy (including the COVID-19 pandemic) may also affect Evergy's stock price. For these reasons, shareholders should not rely on historical trends in the price of Evergy common stock to predict the future price of Evergy's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has recorded goodwill that could become impaired and adversely affect financial results</w:t>
      </w:r>
      <w:r>
        <w:rPr>
          <w:rFonts w:ascii="Arial" w:cs="Arial" w:eastAsia="Arial" w:hAnsi="Arial"/>
          <w:sz w:val="19"/>
          <w:szCs w:val="19"/>
          <w:b w:val="1"/>
          <w:bCs w:val="1"/>
          <w:color w:val="auto"/>
        </w:rPr>
        <w:t>.</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As required by generally accepted accounting principles (GAAP), Evergy recorded a significant amount of goodwill on its balance sheet in connection with completion of the merger that resulted in the formation of Evergy. Evergy assesses goodwill for impairment on an annual basis or whenever events or circumstances occur that would indicate a potential for impairment. If goodwill is deemed to be impaired, Evergy may be required to incur non-cash charges that could materially adversely affect its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Customer and Weather-Related Risks:</w:t>
      </w:r>
    </w:p>
    <w:p>
      <w:pPr>
        <w:spacing w:after="0" w:line="265"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b w:val="1"/>
          <w:bCs w:val="1"/>
          <w:i w:val="1"/>
          <w:iCs w:val="1"/>
          <w:color w:val="auto"/>
        </w:rPr>
        <w:t xml:space="preserve">Changes in electricity consumption could have a material adverse effect on Evergy's results of operations, financial position and cash flows. </w:t>
      </w:r>
      <w:r>
        <w:rPr>
          <w:rFonts w:ascii="Arial" w:cs="Arial" w:eastAsia="Arial" w:hAnsi="Arial"/>
          <w:sz w:val="17"/>
          <w:szCs w:val="17"/>
          <w:color w:val="auto"/>
        </w:rPr>
        <w:t>Change in customer behaviors in response to energy efficiency programs, changing conditions and preferences or changes in the adoption of technologies could affect the consumption of energy by customers. Federal and state programs exist to influence the way customers use energy and regulators have mandates to promote energy efficiency. Conservation programs and customers' level of participation in the programs could have a material adverse effect on the results of operations, financial position and cash flows of the Evergy Companies.</w:t>
      </w:r>
    </w:p>
    <w:p>
      <w:pPr>
        <w:spacing w:after="0" w:line="15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Technological advances, energy efficiency and other energy conservation measures have reduced and will continue to reduce customer electricity consumption. The Evergy Companies generate electricity at central station power plants to achieve economies of scale and produce electricity at a competitive cost. Self-generation and distributed generation technologies, including microturbines, wind turbines, fuel cells and solar cells, as well as those related to the storage of energy produced by these systems, have become economically competitive with the manner and price at which the Evergy Companies sell electricity. There is also a perception that generating or storing electricity through these technologies is more environmentally friendly than generating electricity with fossil fuels. Increased adoption of these technologies could reduce electricity demand and the pool of customers from whom fixed costs are recovered, resulting in under recovery of the fixed costs of the Evergy Companies. Increased self-generation and the related use of net energy metering, which allows self-generating customers to receive bill credits for surplus power, could put upward price pressure on remaining customers. If the Evergy Companies are unable to adjust to reduced electricity demand and increased self-generation and net energy metering, their financial condition and results of operations could be adversely affected.</w:t>
      </w:r>
    </w:p>
    <w:p>
      <w:pPr>
        <w:spacing w:after="0" w:line="158"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Changes in customer electricity consumption due to sustained financial market disruptions, downturns or sluggishness in the economy or other factors may also adversely affect the results of operations, financial position and cash flows of the Evergy Companies.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b w:val="1"/>
          <w:bCs w:val="1"/>
          <w:i w:val="1"/>
          <w:iCs w:val="1"/>
          <w:color w:val="auto"/>
        </w:rPr>
        <w:t>Weather is a major driver of the results of operations, financial position and cash flows of the Evergy Companies and the Evergy Companies are subject to risks associated with climate change.</w:t>
      </w:r>
    </w:p>
    <w:p>
      <w:pPr>
        <w:spacing w:after="0" w:line="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Weather conditions directly influence the demand for and price of electricity. The Evergy Companies are significantly impacted by seasonality, and, due to energy demand created by air conditioning load, highest revenues are typically recorded in the third quarter. Unusually mild winter or summer weather can adversely affect sales. In addition, severe weather and events, including tornados, snow, fire, rain, flooding, drought and ice storms, can be destructive and cause outages and property damage that can result in increased expenses, lower revenues and additional restoration costs. Storm reserves established by the Evergy Companies may be insufficient and rates may not be adjusted in a timely manner, or at all, to recover these costs. Additionally, because many of the Evergy Companies' generating stations utilize water for cooling, low water and flow levels can increase maintenance costs at these stations, result in limited power production and require modifications to plant operations. High water conditions can also impair planned deliveries of fuel to generating stations or otherwise adversely impact the ability of the Evergy Companies to operate these stations. Climate change may produce more frequent or severe weather events, such as storms, droughts or floods and could also impact the economic health of the Evergy Companies' service territories. An increase in the frequency or severity of extreme weather events or a deterioration in the economic health of Evergy's service territories could have a material adverse effect on the results of operations, financial position and cash flows of the Evergy Companies.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addition, policy, legal and regulatory efforts to influence climate change, such as efforts to reduce GHG emissions, impose a tax on emissions and create incentives for low-carbon generation and energy efficiency, could result in reduced sales and require significant costs to respond to such efforts. These efforts could also result in the early retirement of generation facilities, which could result in stranded costs if regulators disallow recovery of investments that were prudent when originally made and included in rates. The Evergy Companies have a goal to achieve net-zero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emissions by 2045 with an interim goal of a 70% reduction of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emissions from 2005 levels by 2030. The trajectory and timing of reaching the goal could be impacted by many external factors, including enabling technology developments, the reliability of the power grid, availability of transmission capacity, and supportive energy policies and regulations, and other factors. Any of the foregoing could adversely affect the results of operations, financial position and cash flows of the Evergy Companies and the market prices of Evergy's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Operational Risks: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Operational risks may adversely affect the Evergy Companies.</w:t>
      </w:r>
    </w:p>
    <w:p>
      <w:pPr>
        <w:spacing w:after="0" w:line="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operation of electric generation, transmission, distribution and information systems involves many risks, including breakdown or failure of equipment; aging infrastructure; employee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 information systems; transmission scheduling constraints; and catastrophic events such as fires, floods, droughts, explosions, terrorism or acts of war, severe weather, pandemics or other similar occurrences. Many of the Evergy Companies' generation, transmission and distribution resources are aged, which increases the risk of unplanned outages, reduced generation output and higher maintenance expense. Any equipment or system outage or constraint can, among other things, reduce sales, increase costs and affect the ability to meet regulatory service metrics, customer expectations and regulatory reliability and security requirements.</w:t>
      </w:r>
    </w:p>
    <w:p>
      <w:pPr>
        <w:spacing w:after="0" w:line="17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Evergy Companies have general liability and property insurance to cover a portion of their facilities, but such policies do not cover transmission or distribution systems, are subject to certain limits and deductibles and do not include business interruption coverage. Insurance coverage may not be available in the future at reasonable costs or on commercially reasonable terms, and the insurance proceeds received for any loss of, or any damage to, any facilities may not be sufficient to restore the loss or damage. Certain insurers are also choosing to limit their exposure to companies with coal-fired generation, which may result in increased premiums and reduced scope of coverage. These and other operating events may reduce revenues or increase costs, or both, and may materially affect the results of operations, financial position and cash flows of the Evergy Companies.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i w:val="1"/>
          <w:iCs w:val="1"/>
          <w:color w:val="auto"/>
        </w:rPr>
        <w:t>Physical and cybersecurity breaches, criminal activity, terrorist attacks, acts of war and other disruptions to facilities or information technology infrastructure could interfere with operations, expose the Evergy Companies or their customers or employees to a risk of loss, expose the Evergy Companies to legal or regulatory liability and cause reputational and other harm.</w:t>
      </w:r>
    </w:p>
    <w:p>
      <w:pPr>
        <w:spacing w:after="0" w:line="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Evergy Companies rely upon information technology networks and systems to process, transmit and store electronic information, and to manage or support a variety of business processes and activities, including the generation, transmission and distribution of electricity, supply chain functions and the invoicing and collection of payments from customers. The Evergy Companies also use information technology networks and systems to record, process and summarize financial information and results of operations for internal reporting purposes and to comply with financial reporting, legal and tax requirements. These networks and systems are in some cases owned or managed by third-party service providers. In the ordinary course of business, the Evergy Companies collect, store and transmit sensitive data including operating information, proprietary business information and personal information belonging to customers and employees.</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Evergy Companies' information technology networks and infrastructure, as well as the networks and infrastructure belonging to third-party service providers, are vulnerable to damage, disruptions or shutdowns due to attacks or breaches by hackers or other unauthorized third parties; error or malfeasance by employees, contractors or service providers; unintended consequences related to software or hardware upgrades, additions or replacements; malicious software code; vulnerabilities in third-party software code; telecommunication failures; the lack of availability of qualified employees and contractors; natural disasters or other catastrophic events; or criminal activity, terrorist attacks or acts of war. Driven in part by the COVID-19 pandemic, the Evergy Companies have increased the use of technology to enable remote-working arrangements, which may increase or expose previously unknown vulnerabilities. Public reports have indicated an increase in cyberattacks in general since the start of the pandemic due, in part, to the increase in the number of employees working remotely and the proliferation of the different ways in which people interact with their information technology infrastructure.</w:t>
      </w:r>
    </w:p>
    <w:p>
      <w:pPr>
        <w:spacing w:after="0" w:line="17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occurrence of any of these events could, among other things, impact the reliability or safety of the Evergy Companies' generation, transmission and distribution systems and information systems; result in the erasure of data or render the Evergy Companies' equipment, or the equipment of third-party service providers, unusable; impact the Evergy Companies' ability to conduct business in the ordinary course; reduce sales; expose the Evergy Companies and their customers, employees and vendors to a risk of loss or misuse of information; result in legal claims or proceedings, liability or regulatory penalties; damage the Evergy Companies' reputation; or otherwise harm the Evergy Companies' results of operations, financial position and cash flows. The Evergy Companies can provide no assurance that they will be able to identify and remediate all security or system vulnerabilities or that unauthorized access or error will be identified and remediated.</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Evergy Companies are subject to laws and rules issued by multiple government agencies concerning cybersecurity and safeguarding their customer and business information. For example, NERC has issued comprehensive regulations and standards surrounding the security of the bulk power system, including both physical and cybersecurity, and continually evaluates the necessity for updates and new requirements with which the Evergy Companies must comply. The Evergy Companies are subject to recurring, independent, third-party audits with respect to adherence to these regulations and standards. The NRC also has issued regulations and standards related to the protection of critical digital assets at nuclear power plants. Compliance with NERC and NRC rules and standards, and rules and standards promulgated by other regulatory agencies from time to time or future legislation, will increase the Evergy Companies' compliance costs and their exposure to the potential risk of violations of these rules, standards or future legislation, which includes potential financial penalties. Furthermore, the non-compliance by other utilities subject to similar regulations or the occurrence of a serious security event at other utilities could result in increased regulation or oversight, both of which could increase the Evergy Companies' costs and adversely impact their financial results.</w:t>
      </w:r>
    </w:p>
    <w:p>
      <w:pPr>
        <w:spacing w:after="0" w:line="158" w:lineRule="exact"/>
        <w:rPr>
          <w:sz w:val="20"/>
          <w:szCs w:val="20"/>
          <w:color w:val="auto"/>
        </w:rPr>
      </w:pPr>
    </w:p>
    <w:p>
      <w:pPr>
        <w:ind w:right="200"/>
        <w:spacing w:after="0" w:line="248" w:lineRule="auto"/>
        <w:rPr>
          <w:sz w:val="20"/>
          <w:szCs w:val="20"/>
          <w:color w:val="auto"/>
        </w:rPr>
      </w:pPr>
      <w:r>
        <w:rPr>
          <w:rFonts w:ascii="Arial" w:cs="Arial" w:eastAsia="Arial" w:hAnsi="Arial"/>
          <w:sz w:val="19"/>
          <w:szCs w:val="19"/>
          <w:color w:val="auto"/>
        </w:rPr>
        <w:t>Additionally, the Evergy Companies cannot predict the impact that any future information technology or malicious attack may have on the energy industry in general. The electric utility industry, both within the United States and internationally, has experienced physical and cybersecurity attacks on energy infrastructure such as power plants, substations and related assets in the past, and there will likely be more attacks in the future. Geopolitical matters,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5" w:name="page26"/>
    <w:bookmarkEnd w:id="2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including terrorist attacks and acts of war, may increase the likelihood of such attacks. The Evergy Companies have been subject to attempted cyber attacks from time to time, and will likely continue to be subject to such attempted attacks, but these prior attacks have not had a material impact on their operations. However, because technology is increasingly complex and cyber-attacks are increasingly sophisticated and more frequent, there can be no assurance that such incidents will not have a material adverse effect on the Evergy Companies in the future. The Evergy Companies' facilities and systems could be direct targets or indirect casualties of such attacks. The effects of such attacks could include disruption to the Evergy Companies' generation, transmission and distribution, and information systems or to the electrical grid in general, reduced sales and could increase the cost of insurance coverage. Furthermore, although the Evergy Companies maintain information security risk insurance coverage, such insurance may not be adequate to cover any associated losses. Any of the foregoing could have a material adverse impact on the Evergy Companies' results of operations,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cost and schedule of capital projects may materially change and expected performance may not be achieved.</w:t>
      </w:r>
    </w:p>
    <w:p>
      <w:pPr>
        <w:spacing w:after="0" w:line="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Evergy Companies' business is capital intensive and includes significant construction projects. The risks of any capital project include: actual costs may exceed estimated costs; regulators may disallow, limit or delay the recovery of all or part of the cost of, or a return on, a capital project; increased inflation may render previously estimated costs to be inaccurate; risks associated with the capital and credit markets to fund projects; delays in receiving, or failure to receive, necessary permits, approvals and other regulatory authorizations; unforeseen engineering problems or changes in project design or scope; the failure of suppliers and contractors to perform as required under their contracts; inadequate availability or increased cost of labor or materials, including commodities such as steel, copper and aluminum that may be subject to uncertain or increased tariffs; inclement weather; new or changed laws, regulations and requirements, including environmental and health and safety laws, regulations and requirements; and other events beyond the Evergy Companies' control may occur that may materially affect the schedule, cost and performance of these projects.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The Evergy Companies' strategy includes a significant amount of planned capital investments. The Evergy Companies' ability to implement these investments depend, in part, on the availability of adequate internal and external resources, such as employees and qualified contractors and the availability of materials. In this regard, the global COVID-19 pandemic has caused and continues to cause disruptions to the global supply chain and the availability of qualified labor, which, in turn, has increased inflationary pressures.</w:t>
      </w:r>
    </w:p>
    <w:p>
      <w:pPr>
        <w:spacing w:after="0" w:line="180"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These and other risks could cause the Evergy Companies to defer or limit capital expenditures, materially increase the costs of capital projects, delay the in-service dates of projects, adversely affect the performance of the projects and require the purchase of electricity on the wholesale market, at potentially more expensive prices, until the projects are completed. These risks may significantly affect the Evergy Companies' results of operations, financial position and cash flows.</w:t>
      </w:r>
    </w:p>
    <w:p>
      <w:pPr>
        <w:spacing w:after="0" w:line="180" w:lineRule="exact"/>
        <w:rPr>
          <w:sz w:val="20"/>
          <w:szCs w:val="20"/>
          <w:color w:val="auto"/>
        </w:rPr>
      </w:pPr>
    </w:p>
    <w:p>
      <w:pPr>
        <w:ind w:right="120"/>
        <w:spacing w:after="0" w:line="246" w:lineRule="auto"/>
        <w:rPr>
          <w:sz w:val="20"/>
          <w:szCs w:val="20"/>
          <w:color w:val="auto"/>
        </w:rPr>
      </w:pPr>
      <w:r>
        <w:rPr>
          <w:rFonts w:ascii="Arial" w:cs="Arial" w:eastAsia="Arial" w:hAnsi="Arial"/>
          <w:sz w:val="19"/>
          <w:szCs w:val="19"/>
          <w:b w:val="1"/>
          <w:bCs w:val="1"/>
          <w:i w:val="1"/>
          <w:iCs w:val="1"/>
          <w:color w:val="auto"/>
        </w:rPr>
        <w:t>Failure to attract and retain an appropriately qualified workforce or to maintain satisfactory collective bargaining agreements could negatively impact the Evergy Companies' business and operations and adversely impact the Evergy Companies' results of operations, financial position and cash flows.</w:t>
      </w:r>
    </w:p>
    <w:p>
      <w:pPr>
        <w:spacing w:after="0" w:line="2"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The Evergy Companies' workforce includes professional, managerial and technical employees. Failure to attract and retain qualified talent, successfully transition retirements with adequate replacements, or source qualified contractors could impede the Evergy Companies' strategy and/or adversely impact the Evergy Companies' ability to execute on their strategy. For example, certain skills, such as those related to construction, maintenance and repair of transmission and distribution systems are in high demand and have a limited supply. Evergy competes for qualified employees with these skills on a national level.</w:t>
      </w:r>
    </w:p>
    <w:p>
      <w:pPr>
        <w:spacing w:after="0" w:line="185"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In addition, COVID-19 vaccination and testing mandates could result in employee or contractor labor disruptions and complying with any mandates and managing any related labor disruptions could have a significant adverse impact on the Evergy Companies' results of operations, financial position and cash flows.</w:t>
      </w:r>
    </w:p>
    <w:p>
      <w:pPr>
        <w:spacing w:after="0" w:line="176"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A significant portion of the Evergy Companies' workforce is represented by five local unions of the IBEW and one local union of the UGSOA. The Evergy Companies currently have three labor agreements that expire in 2024 and three labor agreements currently under negotiation that have expired and are operating under an extension. 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failure to successfully negotiate these collective bargaining agreements could result in labor disruptions and have a significant adverse impact on the Evergy Companies' results of operations, financial position and cash flows.</w:t>
      </w:r>
    </w:p>
    <w:p>
      <w:pPr>
        <w:spacing w:after="0" w:line="164"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The Evergy Companies' strategic plan includes enhanced technology and transmission and distribution investments and a reduction in reliance on coal-fired generation. The Evergy Companies will need to attract and retain personnel that are qualified to implement the Evergy Companies' strategy and may need to retrain or reskill certain employees to support the Evergy Companies' long-term objectives. A failure to attract and retain qualified employees, retrain or reskill existing employees and maintain satisfactory collective bargaining agreements could have a significant adverse impact on the results of operations, financial position and cash flows of the Evergy Companies.</w:t>
      </w:r>
    </w:p>
    <w:p>
      <w:pPr>
        <w:spacing w:after="0" w:line="154" w:lineRule="exact"/>
        <w:rPr>
          <w:sz w:val="20"/>
          <w:szCs w:val="20"/>
          <w:color w:val="auto"/>
        </w:rPr>
      </w:pPr>
    </w:p>
    <w:p>
      <w:pPr>
        <w:ind w:right="280"/>
        <w:spacing w:after="0" w:line="249" w:lineRule="auto"/>
        <w:rPr>
          <w:sz w:val="20"/>
          <w:szCs w:val="20"/>
          <w:color w:val="auto"/>
        </w:rPr>
      </w:pPr>
      <w:r>
        <w:rPr>
          <w:rFonts w:ascii="Arial" w:cs="Arial" w:eastAsia="Arial" w:hAnsi="Arial"/>
          <w:sz w:val="19"/>
          <w:szCs w:val="19"/>
          <w:b w:val="1"/>
          <w:bCs w:val="1"/>
          <w:i w:val="1"/>
          <w:iCs w:val="1"/>
          <w:color w:val="auto"/>
        </w:rPr>
        <w:t>The Evergy Companies are exposed to risks associated with the ownership and operation of a nuclear generating unit, which could adversely impact the Evergy Companies' business and financial results.</w:t>
      </w:r>
    </w:p>
    <w:p>
      <w:pPr>
        <w:spacing w:after="0" w:line="1" w:lineRule="exact"/>
        <w:rPr>
          <w:sz w:val="20"/>
          <w:szCs w:val="20"/>
          <w:color w:val="auto"/>
        </w:rPr>
      </w:pPr>
    </w:p>
    <w:p>
      <w:pPr>
        <w:ind w:right="260"/>
        <w:spacing w:after="0" w:line="241" w:lineRule="auto"/>
        <w:rPr>
          <w:sz w:val="20"/>
          <w:szCs w:val="20"/>
          <w:color w:val="auto"/>
        </w:rPr>
      </w:pPr>
      <w:r>
        <w:rPr>
          <w:rFonts w:ascii="Arial" w:cs="Arial" w:eastAsia="Arial" w:hAnsi="Arial"/>
          <w:sz w:val="19"/>
          <w:szCs w:val="19"/>
          <w:color w:val="auto"/>
        </w:rPr>
        <w:t>Evergy indirectly owns 94% of Wolf Creek, with Evergy Kansas South and Evergy Metro each owning 47% of the nuclear plant. The NRC has broad authority under federal law to impose licensing and safety-related requirements for the operation of nuclear generation facilities, including Wolf Creek. In the event of non-compliance, the NRC has the authority to impose fines, shut down the facilities, or both, depending upon its assessment of the severity of the situation, until compliance is achieved. Additionally, the non-compliance of other nuclear facility operators with applicable regulations or the occurrence of a serious nuclear incident anywhere in the world could result in increased regulation of the nuclear industry. Such events could increase Wolf Creek's costs and impact the financial results of the Evergy Companies or result in a shutdown of Wolf Creek.</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An extended outage of Wolf Creek, whether resulting from NRC action, an incident at the plant or otherwise, could have a material adverse effect on the results of operations, financial position and cash flows of the Evergy Companies in the event replacement power and other costs are not recovered through rates or insurance. If a long-term outage occurred, the state regulatory commissions could reduce rates by excluding the Wolf Creek investment from rate base. Wolf Creek commenced operations in 1985 and the age of Wolf Creek increases the risk of unplanned outages and results in higher maintenance costs.</w:t>
      </w:r>
    </w:p>
    <w:p>
      <w:pPr>
        <w:spacing w:after="0" w:line="182"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On an annual basis, Evergy Kansas South and Evergy Metro are required to contribute money to tax-qualified trusts that were established to pay for decommissioning costs at the end of the unit's life. The amount of contributions varies depending on estimates of decommissioning expenses and projected return on trust assets. If the actual return on trust assets is below the projected level or actual decommissioning costs are higher than estimated, Evergy Kansas South and Evergy Metro could be responsible for the balance of funds required and may not be allowed to recover the balance through rates.</w:t>
      </w:r>
    </w:p>
    <w:p>
      <w:pPr>
        <w:spacing w:after="0" w:line="182"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The Evergy Companies are also exposed to other risks associated with the ownership and operation of a nuclear generating unit, including, but not limited to, (i) potential liability associated with the potential harmful effects on the environment and human health resulting from the operation of a nuclear generating unit, (ii) the storage, handling, disposal and potential release (by accident, through third-party actions or otherwise) of radioactive materials and (iii) uncertainties with respect to contingencies and assessments if insurance coverage is inadequate. Under the structure for insurance among owners of nuclear generating units, Evergy Kansas South and Evergy Metro are also liable for potential retrospective premium assessments (subject to a cap) per incident at any commercial reactor in the country and losses in excess of insurance coverage.</w:t>
      </w:r>
    </w:p>
    <w:p>
      <w:pPr>
        <w:spacing w:after="0" w:line="153" w:lineRule="exact"/>
        <w:rPr>
          <w:sz w:val="20"/>
          <w:szCs w:val="20"/>
          <w:color w:val="auto"/>
        </w:rPr>
      </w:pPr>
    </w:p>
    <w:p>
      <w:pPr>
        <w:ind w:right="120"/>
        <w:spacing w:after="0" w:line="246" w:lineRule="auto"/>
        <w:rPr>
          <w:sz w:val="20"/>
          <w:szCs w:val="20"/>
          <w:color w:val="auto"/>
        </w:rPr>
      </w:pPr>
      <w:r>
        <w:rPr>
          <w:rFonts w:ascii="Arial" w:cs="Arial" w:eastAsia="Arial" w:hAnsi="Arial"/>
          <w:sz w:val="19"/>
          <w:szCs w:val="19"/>
          <w:color w:val="auto"/>
        </w:rPr>
        <w:t>In addition, Wolf Creek is reliant on a sole supplier for fuel and related services. The supplier has in the past been the subject of Chapter 11 reorganization proceedings, and an extended outage of Wolf Creek could occur if the supplier is not able to perform under its contracts with Wolf Creek. Switching to another supplier could take an extended amount of time and would require NRC approval. An extended outage at Wolf Creek could affect the amount of Wolf Creek investment included in customer rates and could have a material impact on the Evergy Companies' financial results.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120"/>
        <w:spacing w:after="0" w:line="249" w:lineRule="auto"/>
        <w:rPr>
          <w:sz w:val="20"/>
          <w:szCs w:val="20"/>
          <w:color w:val="auto"/>
        </w:rPr>
      </w:pPr>
      <w:r>
        <w:rPr>
          <w:rFonts w:ascii="Arial" w:cs="Arial" w:eastAsia="Arial" w:hAnsi="Arial"/>
          <w:sz w:val="19"/>
          <w:szCs w:val="19"/>
          <w:b w:val="1"/>
          <w:bCs w:val="1"/>
          <w:i w:val="1"/>
          <w:iCs w:val="1"/>
          <w:color w:val="auto"/>
        </w:rPr>
        <w:t>The structure of the regional power market in which the Evergy Companies operate could have an adverse effect on their results of operations, financial position and cash flows.</w:t>
      </w:r>
    </w:p>
    <w:p>
      <w:pPr>
        <w:spacing w:after="0" w:line="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Evergy Kansas Central, Evergy Metro and Evergy Missouri West are members of the SPP regional transmission organization, and each has transferred operational authority (but not ownership) of their transmission facilities to the SPP. The SPP's Integrated Marketplace determines which generating units among market participants should run, within the operating constraints of a unit, at any given time. The SPP's rules are primarily designed to provide for maximum cost-effectiveness, but in certain respects the rules also provide preferential treatment for certain resources based on public policy initiatives, such as increasing the deployment of renewable generation. If Evergy Kansas Central's, Evergy Metro's or Evergy Missouri West's generating resources are not dispatched, each could experience decreased levels of wholesale electricity sales.</w:t>
      </w:r>
    </w:p>
    <w:p>
      <w:pPr>
        <w:spacing w:after="0" w:line="156" w:lineRule="exact"/>
        <w:rPr>
          <w:sz w:val="20"/>
          <w:szCs w:val="20"/>
          <w:color w:val="auto"/>
        </w:rPr>
      </w:pPr>
    </w:p>
    <w:p>
      <w:pPr>
        <w:ind w:right="340"/>
        <w:spacing w:after="0" w:line="248" w:lineRule="auto"/>
        <w:rPr>
          <w:sz w:val="20"/>
          <w:szCs w:val="20"/>
          <w:color w:val="auto"/>
        </w:rPr>
      </w:pPr>
      <w:r>
        <w:rPr>
          <w:rFonts w:ascii="Arial" w:cs="Arial" w:eastAsia="Arial" w:hAnsi="Arial"/>
          <w:sz w:val="19"/>
          <w:szCs w:val="19"/>
          <w:color w:val="auto"/>
        </w:rPr>
        <w:t>The Evergy Companies' strategic plan includes adding a significant amount of renewable generation. Transmission constraints and delays in the transmission planning and construction processes could impair the ability of the Evergy Companies to sell and transmit electricity generated by these renewable generation facilities, which could have an adverse impact on the results of operations and financial position of the Evergy Companies.</w:t>
      </w:r>
    </w:p>
    <w:p>
      <w:pPr>
        <w:spacing w:after="0" w:line="180" w:lineRule="exact"/>
        <w:rPr>
          <w:sz w:val="20"/>
          <w:szCs w:val="20"/>
          <w:color w:val="auto"/>
        </w:rPr>
      </w:pPr>
    </w:p>
    <w:p>
      <w:pPr>
        <w:ind w:right="480"/>
        <w:spacing w:after="0" w:line="264" w:lineRule="auto"/>
        <w:rPr>
          <w:sz w:val="20"/>
          <w:szCs w:val="20"/>
          <w:color w:val="auto"/>
        </w:rPr>
      </w:pPr>
      <w:r>
        <w:rPr>
          <w:rFonts w:ascii="Arial" w:cs="Arial" w:eastAsia="Arial" w:hAnsi="Arial"/>
          <w:sz w:val="19"/>
          <w:szCs w:val="19"/>
          <w:color w:val="auto"/>
        </w:rPr>
        <w:t>In addition, the rules governing the various regional power markets, including the SPP, may change from time to time and such changes could impact the costs and revenues of the Evergy Companies.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Litigation Risks:</w:t>
      </w:r>
    </w:p>
    <w:p>
      <w:pPr>
        <w:spacing w:after="0" w:line="265" w:lineRule="exact"/>
        <w:rPr>
          <w:sz w:val="20"/>
          <w:szCs w:val="20"/>
          <w:color w:val="auto"/>
        </w:rPr>
      </w:pPr>
    </w:p>
    <w:p>
      <w:pPr>
        <w:ind w:right="460"/>
        <w:spacing w:after="0" w:line="249" w:lineRule="auto"/>
        <w:rPr>
          <w:sz w:val="20"/>
          <w:szCs w:val="20"/>
          <w:color w:val="auto"/>
        </w:rPr>
      </w:pPr>
      <w:r>
        <w:rPr>
          <w:rFonts w:ascii="Arial" w:cs="Arial" w:eastAsia="Arial" w:hAnsi="Arial"/>
          <w:sz w:val="19"/>
          <w:szCs w:val="19"/>
          <w:b w:val="1"/>
          <w:bCs w:val="1"/>
          <w:i w:val="1"/>
          <w:iCs w:val="1"/>
          <w:color w:val="auto"/>
        </w:rPr>
        <w:t>The outcome of legal proceedings cannot be predicted. An adverse finding could have a material adverse effect on the Evergy Companies' results of operations, financial position and cash flows.</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The Evergy Companies are parties to various lawsuits and regulatory proceedings in the ordinary course of their respective businesses. The outcome of these matters cannot be determined, nor, in many cases, can the liability that could potentially result from each case be reasonably estimated. The liability that the Evergy Companies may incur with respect to any of these cases may be in excess of amounts currently accrued and insured against with respect to such matters and could adversely impact the financial results for the Evergy Companies.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COVID-19 Risks:</w:t>
      </w:r>
    </w:p>
    <w:p>
      <w:pPr>
        <w:spacing w:after="0" w:line="265" w:lineRule="exact"/>
        <w:rPr>
          <w:sz w:val="20"/>
          <w:szCs w:val="20"/>
          <w:color w:val="auto"/>
        </w:rPr>
      </w:pPr>
    </w:p>
    <w:p>
      <w:pPr>
        <w:ind w:right="80"/>
        <w:spacing w:after="0" w:line="249" w:lineRule="auto"/>
        <w:rPr>
          <w:sz w:val="20"/>
          <w:szCs w:val="20"/>
          <w:color w:val="auto"/>
        </w:rPr>
      </w:pPr>
      <w:r>
        <w:rPr>
          <w:rFonts w:ascii="Arial" w:cs="Arial" w:eastAsia="Arial" w:hAnsi="Arial"/>
          <w:sz w:val="19"/>
          <w:szCs w:val="19"/>
          <w:b w:val="1"/>
          <w:bCs w:val="1"/>
          <w:i w:val="1"/>
          <w:iCs w:val="1"/>
          <w:color w:val="auto"/>
        </w:rPr>
        <w:t>The spread of COVID-19 and resulting impact on business and economic conditions could continue to negatively affect the Evergy Companies' business and operations.</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COVID-19 pandemic has had, and may continue to have, a significant impact on the way that the Evergy Companies conduct their operations and could adversely impact their results of operations, financial condition and cash flows. Further, the spread of COVID-19 has resulted in efforts to contain the virus, such as quarantines, restrictions on travel, closures and reduced operations of businesses, governmental agencies and other institutions. The pandemic, along with the efforts to contain the virus, has caused and could continue to cause an economic slowdown or recession, result in significant disruptions or reductions in various public, commercial or industrial activities, cause employee absences and contractor or third party service provider disruptions, which could interfere with the Evergy Companies' operations or the operations of their customers.</w:t>
      </w:r>
    </w:p>
    <w:p>
      <w:pPr>
        <w:spacing w:after="0" w:line="156" w:lineRule="exact"/>
        <w:rPr>
          <w:sz w:val="20"/>
          <w:szCs w:val="20"/>
          <w:color w:val="auto"/>
        </w:rPr>
      </w:pPr>
    </w:p>
    <w:p>
      <w:pPr>
        <w:jc w:val="both"/>
        <w:ind w:right="160"/>
        <w:spacing w:after="0" w:line="267" w:lineRule="auto"/>
        <w:rPr>
          <w:sz w:val="20"/>
          <w:szCs w:val="20"/>
          <w:color w:val="auto"/>
        </w:rPr>
      </w:pPr>
      <w:r>
        <w:rPr>
          <w:rFonts w:ascii="Arial" w:cs="Arial" w:eastAsia="Arial" w:hAnsi="Arial"/>
          <w:sz w:val="18"/>
          <w:szCs w:val="18"/>
          <w:color w:val="auto"/>
        </w:rPr>
        <w:t>The COVID-19 pandemic has altered electricity usage patterns, including an overall reduction in demand and shifting usage away from customers with relatively higher load requirements, such as industrial and commercial customers, toward customers with relatively lower load requirements, such as residential customers. These changes in electricity usage patterns and the extent to which some of these shifts could become long-term or permanent could result in a significant decrease in the Evergy Companies' sales of electricity.</w:t>
      </w:r>
    </w:p>
    <w:p>
      <w:pPr>
        <w:spacing w:after="0" w:line="162"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The Evergy Companies have also incurred, and will continue to incur, expenses related to monitoring the COVID-19 pandemic and modifying operations in response to the pandemic. In July 2020, the KCC authorized Evergy Kansas Central and Evergy Metro to record to a regulatory asset all net incremental costs incurred with respect to their Kansas operations associated with the COVID-19 pandemic for consideration in their next Kansas rate cases, which are expected to be completed no later than the end of 2023. Additionally, the KCC order stated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8" w:name="page29"/>
    <w:bookmarkEnd w:id="2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that the KCC will also consider granting the recovery of Evergy Kansas Central's and Evergy Metro's lost revenues associated with the COVID-19 pandemic as part of their next Kansas rate cases. In January 2021, the MPSC authorized Evergy Metro and Evergy Missouri West to defer to a regulatory asset certain net incremental costs incurred between March 1, 2020 and March 31, 2021, associated with the COVID-19 pandemic for consideration in their next rate cases. Evergy Metro and Evergy Missouri West can petition the MPSC to extend the period subject to the Accounting Authority Order (AAO). Notwithstanding the foregoing, regulators might not allow for recovery of these amounts in a timely manner, or at all. In addition, Evergy Metro and Evergy Missouri West utilize PISA in Missouri, which requires each company to keep base rates constant for three years following Evergy Metro's and Evergy Missouri West's last general rate case. These and other factors may result in under-recovery of costs or failure to earn the authorized return on investment, or both.</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Evergy Companies have also temporarily implemented policies, and in the future may implement additional policies, that are intended to ease the financial burden of the pandemic on customers, such as temporarily extending payment options and offering incentives for customer payments on overdue balances as well as the elimination of late payment fees and disconnections for non-payment. There is also the possibility that legislation or regulations could be enacted at the federal or state level that would further restrict the Evergy Companies' ability to discontinue service to customers in the event of non-payment or to collect amounts owed from customers for service provided. These measures could result in an overall increase in customer non-payment or delay in the timely receipt of customer payments, which could result in a significant increase in the Evergy Companies' credit loss expense or significant decrease in operating cash flows.</w:t>
      </w:r>
    </w:p>
    <w:p>
      <w:pPr>
        <w:spacing w:after="0" w:line="171"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Evergy Kansas Central, Evergy Metro and Evergy Missouri West sell retail electric accounts receivable to independent outside investors as a source of liquidity. These arrangements include covenants that limit the extent to which accounts receivable can be delinquent or unpaid. A decrease in the amount of, or a delay in receiving, customer collections due to the COVID-19 pandemic or otherwise could, absent a waiver or amendment, result in a breach of these accounts receivable financing arrangements and require the Evergy Companies to repay any outstanding loans. To the extent that the Evergy Companies experience lower electric sales, they may not have sufficient eligible receivables to maximize their borrowing capacity under their receivables sales facilities or could be required to repay additional portions of their borrowings under the facilities.</w:t>
      </w:r>
    </w:p>
    <w:p>
      <w:pPr>
        <w:spacing w:after="0" w:line="153"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color w:val="auto"/>
        </w:rPr>
        <w:t>The Evergy Companies are planning to make significant capital expenditures and they regularly conduct maintenance on their facilities. The pandemic could disrupt the supply chains that provide services and equipment to the Evergy Companies as part of their capital expenditures or maintenance efforts. If the Evergy Companies' supply chains are disrupted, the Evergy Companies may be unable to perform necessary maintenance, which could result in increased costs as the Evergy Companies implement contingency plans to allow them to continue to operate. Supply chain interruptions may also exacerbate inflationary pressures, increase the cost of maintenance and capital expenditures or result in the delay or cancellation of planned projects, any of which could have a material adverse impact on the Evergy Companies' results of operations.</w:t>
      </w:r>
    </w:p>
    <w:p>
      <w:pPr>
        <w:spacing w:after="0" w:line="15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Evergy Companies also have a significant amount of NOLs, tax credits and other tax carryforwards that are recorded as deferred income tax assets on their balance sheets. These tax benefits have various expiration dates and other limitations on the extent to which the benefits can be realized. The Evergy Companies regularly assess their future ability to utilize tax benefits to determine whether a valuation allowance is necessary. A significant reduction in the Evergy Companies' taxable income due to the impacts of the COVID-19 pandemic or otherwise could require the Evergy Companies to record a valuation allowance against a portion of those tax assets, which in turn reduces earnings, and the Evergy Companies may in general not be able to utilize these tax benefits.</w:t>
      </w:r>
    </w:p>
    <w:p>
      <w:pPr>
        <w:spacing w:after="0" w:line="171"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In addition, the COVID-19 pandemic has changed the way the Evergy Companies operate and has increased the use of technology to enable remote-working arrangements, which may increase or expose previously unknown vulnerabilities. Public reports have also indicated an increase in cyberattacks in general since the start of the pandemic due, in part, to the increase in the number of employees working remotely and the proliferation of the different ways in which employees and third parties interact with the Evergy Companies' information technology infrastructure. A successful attack against the Evergy Companies or cyberattacks to interconnected utilities, municipalities, others or widespread attacks to the utility industry could result in disruption to the Evergy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Companies' generation, transmission and distribution and information systems or to the electrical grid in general, reduce sales and could increase the cost of insurance coverage or result in a decline in the U.S. economy. Furthermore, insurance may not be adequate to cover any associated losses.</w:t>
      </w:r>
    </w:p>
    <w:p>
      <w:pPr>
        <w:spacing w:after="0" w:line="117" w:lineRule="exact"/>
        <w:rPr>
          <w:sz w:val="20"/>
          <w:szCs w:val="20"/>
          <w:color w:val="auto"/>
        </w:rPr>
      </w:pPr>
    </w:p>
    <w:p>
      <w:pPr>
        <w:jc w:val="both"/>
        <w:ind w:right="140"/>
        <w:spacing w:after="0" w:line="252" w:lineRule="auto"/>
        <w:rPr>
          <w:sz w:val="20"/>
          <w:szCs w:val="20"/>
          <w:color w:val="auto"/>
        </w:rPr>
      </w:pPr>
      <w:r>
        <w:rPr>
          <w:rFonts w:ascii="Arial" w:cs="Arial" w:eastAsia="Arial" w:hAnsi="Arial"/>
          <w:sz w:val="19"/>
          <w:szCs w:val="19"/>
          <w:color w:val="auto"/>
        </w:rPr>
        <w:t>Any of these circumstances, or other impacts of the COVID-19 pandemic, could adversely affect customer demand or revenues, impact the ability of the Evergy Companies' suppliers, vendors or contractors to perform, or cause other unpredictable events, which could have a significant adverse impact on the results of operations, financial position and cash flows of the Evergy Companies.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1B. UNRESOLVED STAFF COMMENTS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PROPERTIES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Generation Resources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2400" w:type="dxa"/>
            <w:vAlign w:val="bottom"/>
            <w:tcBorders>
              <w:top w:val="single" w:sz="8" w:color="auto"/>
              <w:bottom w:val="single" w:sz="8" w:color="auto"/>
            </w:tcBorders>
            <w:gridSpan w:val="3"/>
          </w:tcPr>
          <w:p>
            <w:pPr>
              <w:jc w:val="right"/>
              <w:ind w:right="31"/>
              <w:spacing w:after="0"/>
              <w:rPr>
                <w:sz w:val="20"/>
                <w:szCs w:val="20"/>
                <w:color w:val="auto"/>
              </w:rPr>
            </w:pPr>
            <w:r>
              <w:rPr>
                <w:rFonts w:ascii="Arial" w:cs="Arial" w:eastAsia="Arial" w:hAnsi="Arial"/>
                <w:sz w:val="15"/>
                <w:szCs w:val="15"/>
                <w:b w:val="1"/>
                <w:bCs w:val="1"/>
                <w:color w:val="auto"/>
                <w:w w:val="96"/>
              </w:rPr>
              <w:t>Unit Capability (MW) By Owner</w:t>
            </w:r>
            <w:r>
              <w:rPr>
                <w:rFonts w:ascii="Arial" w:cs="Arial" w:eastAsia="Arial" w:hAnsi="Arial"/>
                <w:sz w:val="20"/>
                <w:szCs w:val="20"/>
                <w:b w:val="1"/>
                <w:bCs w:val="1"/>
                <w:color w:val="auto"/>
                <w:w w:val="96"/>
                <w:vertAlign w:val="superscript"/>
              </w:rPr>
              <w:t>(a)</w:t>
            </w: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Evergy</w:t>
            </w:r>
          </w:p>
        </w:tc>
        <w:tc>
          <w:tcPr>
            <w:tcW w:w="64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Evergy</w:t>
            </w:r>
          </w:p>
        </w:tc>
        <w:tc>
          <w:tcPr>
            <w:tcW w:w="106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Renewable</w:t>
            </w:r>
          </w:p>
        </w:tc>
        <w:tc>
          <w:tcPr>
            <w:tcW w:w="110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89"/>
              </w:rPr>
              <w:t>Total Generation</w:t>
            </w: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Evergy</w:t>
            </w:r>
          </w:p>
        </w:tc>
        <w:tc>
          <w:tcPr>
            <w:tcW w:w="840" w:type="dxa"/>
            <w:vAlign w:val="bottom"/>
            <w:vMerge w:val="continue"/>
          </w:tcPr>
          <w:p>
            <w:pPr>
              <w:spacing w:after="0"/>
              <w:rPr>
                <w:sz w:val="11"/>
                <w:szCs w:val="11"/>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Total Company</w:t>
            </w:r>
          </w:p>
        </w:tc>
        <w:tc>
          <w:tcPr>
            <w:tcW w:w="840" w:type="dxa"/>
            <w:vAlign w:val="bottom"/>
            <w:gridSpan w:val="2"/>
            <w:vMerge w:val="continue"/>
          </w:tcPr>
          <w:p>
            <w:pPr>
              <w:spacing w:after="0"/>
              <w:rPr>
                <w:sz w:val="11"/>
                <w:szCs w:val="11"/>
                <w:color w:val="auto"/>
              </w:rPr>
            </w:pPr>
          </w:p>
        </w:tc>
        <w:tc>
          <w:tcPr>
            <w:tcW w:w="110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88"/>
              </w:rPr>
              <w:t>and Renewable</w:t>
            </w:r>
          </w:p>
        </w:tc>
        <w:tc>
          <w:tcPr>
            <w:tcW w:w="0" w:type="dxa"/>
            <w:vAlign w:val="bottom"/>
          </w:tcPr>
          <w:p>
            <w:pPr>
              <w:spacing w:after="0"/>
              <w:rPr>
                <w:sz w:val="1"/>
                <w:szCs w:val="1"/>
                <w:color w:val="auto"/>
              </w:rPr>
            </w:pPr>
          </w:p>
        </w:tc>
      </w:tr>
      <w:tr>
        <w:trPr>
          <w:trHeight w:val="129"/>
        </w:trPr>
        <w:tc>
          <w:tcPr>
            <w:tcW w:w="20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Station</w:t>
            </w: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Unit No.</w:t>
            </w:r>
          </w:p>
        </w:tc>
        <w:tc>
          <w:tcPr>
            <w:tcW w:w="960" w:type="dxa"/>
            <w:vAlign w:val="bottom"/>
            <w:vMerge w:val="restart"/>
          </w:tcPr>
          <w:p>
            <w:pPr>
              <w:jc w:val="center"/>
              <w:ind w:left="91"/>
              <w:spacing w:after="0"/>
              <w:rPr>
                <w:sz w:val="20"/>
                <w:szCs w:val="20"/>
                <w:color w:val="auto"/>
              </w:rPr>
            </w:pPr>
            <w:r>
              <w:rPr>
                <w:rFonts w:ascii="Arial" w:cs="Arial" w:eastAsia="Arial" w:hAnsi="Arial"/>
                <w:sz w:val="14"/>
                <w:szCs w:val="14"/>
                <w:b w:val="1"/>
                <w:bCs w:val="1"/>
                <w:color w:val="auto"/>
                <w:w w:val="89"/>
              </w:rPr>
              <w:t>Location</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Year Completed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Fuel</w:t>
            </w:r>
          </w:p>
        </w:tc>
        <w:tc>
          <w:tcPr>
            <w:tcW w:w="92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Kansas</w:t>
            </w:r>
          </w:p>
        </w:tc>
        <w:tc>
          <w:tcPr>
            <w:tcW w:w="640" w:type="dxa"/>
            <w:vAlign w:val="bottom"/>
            <w:vMerge w:val="continue"/>
          </w:tcPr>
          <w:p>
            <w:pPr>
              <w:spacing w:after="0"/>
              <w:rPr>
                <w:sz w:val="11"/>
                <w:szCs w:val="11"/>
                <w:color w:val="auto"/>
              </w:rPr>
            </w:pPr>
          </w:p>
        </w:tc>
        <w:tc>
          <w:tcPr>
            <w:tcW w:w="84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90"/>
              </w:rPr>
              <w:t>Missouri</w:t>
            </w:r>
          </w:p>
        </w:tc>
        <w:tc>
          <w:tcPr>
            <w:tcW w:w="1060" w:type="dxa"/>
            <w:vAlign w:val="bottom"/>
            <w:vMerge w:val="continue"/>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Purchased</w:t>
            </w:r>
          </w:p>
        </w:tc>
        <w:tc>
          <w:tcPr>
            <w:tcW w:w="110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79"/>
        </w:trPr>
        <w:tc>
          <w:tcPr>
            <w:tcW w:w="20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Central</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Metro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West</w:t>
            </w: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Generation</w:t>
            </w: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Power</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Power</w:t>
            </w:r>
          </w:p>
        </w:tc>
        <w:tc>
          <w:tcPr>
            <w:tcW w:w="0" w:type="dxa"/>
            <w:vAlign w:val="bottom"/>
          </w:tcPr>
          <w:p>
            <w:pPr>
              <w:spacing w:after="0"/>
              <w:rPr>
                <w:sz w:val="1"/>
                <w:szCs w:val="1"/>
                <w:color w:val="auto"/>
              </w:rPr>
            </w:pPr>
          </w:p>
        </w:tc>
      </w:tr>
      <w:tr>
        <w:trPr>
          <w:trHeight w:val="173"/>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Renewable Generation:</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Central Plains</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2009</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99</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Flat Ridge</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2009</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50</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50</w:t>
            </w:r>
          </w:p>
        </w:tc>
        <w:tc>
          <w:tcPr>
            <w:tcW w:w="500" w:type="dxa"/>
            <w:vAlign w:val="bottom"/>
          </w:tcPr>
          <w:p>
            <w:pPr>
              <w:jc w:val="right"/>
              <w:spacing w:after="0"/>
              <w:rPr>
                <w:sz w:val="20"/>
                <w:szCs w:val="20"/>
                <w:color w:val="auto"/>
              </w:rPr>
            </w:pPr>
            <w:r>
              <w:rPr>
                <w:rFonts w:ascii="Arial" w:cs="Arial" w:eastAsia="Arial" w:hAnsi="Arial"/>
                <w:sz w:val="14"/>
                <w:szCs w:val="14"/>
                <w:color w:val="auto"/>
              </w:rPr>
              <w:t>44</w:t>
            </w:r>
          </w:p>
        </w:tc>
        <w:tc>
          <w:tcPr>
            <w:tcW w:w="340" w:type="dxa"/>
            <w:vAlign w:val="bottom"/>
          </w:tcPr>
          <w:p>
            <w:pPr>
              <w:ind w:left="40"/>
              <w:spacing w:after="0"/>
              <w:rPr>
                <w:sz w:val="20"/>
                <w:szCs w:val="20"/>
                <w:color w:val="auto"/>
              </w:rPr>
            </w:pPr>
            <w:r>
              <w:rPr>
                <w:rFonts w:ascii="Arial" w:cs="Arial" w:eastAsia="Arial" w:hAnsi="Arial"/>
                <w:sz w:val="14"/>
                <w:szCs w:val="14"/>
                <w:color w:val="auto"/>
              </w:rPr>
              <w:t>(b)</w:t>
            </w:r>
          </w:p>
        </w:tc>
        <w:tc>
          <w:tcPr>
            <w:tcW w:w="110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Flat Ridge 3</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Western Plains</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281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281</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Meridian Way</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Ironwood</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168</w:t>
            </w:r>
          </w:p>
        </w:tc>
        <w:tc>
          <w:tcPr>
            <w:tcW w:w="340" w:type="dxa"/>
            <w:vAlign w:val="bottom"/>
          </w:tcPr>
          <w:p>
            <w:pPr>
              <w:ind w:left="40"/>
              <w:spacing w:after="0"/>
              <w:rPr>
                <w:sz w:val="20"/>
                <w:szCs w:val="20"/>
                <w:color w:val="auto"/>
              </w:rPr>
            </w:pPr>
            <w:r>
              <w:rPr>
                <w:rFonts w:ascii="Arial" w:cs="Arial" w:eastAsia="Arial" w:hAnsi="Arial"/>
                <w:sz w:val="14"/>
                <w:szCs w:val="14"/>
                <w:color w:val="auto"/>
              </w:rPr>
              <w:t>(b)</w:t>
            </w:r>
          </w:p>
        </w:tc>
        <w:tc>
          <w:tcPr>
            <w:tcW w:w="110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Post Rock</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Cedar Bluff</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199</w:t>
            </w:r>
          </w:p>
        </w:tc>
        <w:tc>
          <w:tcPr>
            <w:tcW w:w="340" w:type="dxa"/>
            <w:vAlign w:val="bottom"/>
          </w:tcPr>
          <w:p>
            <w:pPr>
              <w:ind w:left="40"/>
              <w:spacing w:after="0"/>
              <w:rPr>
                <w:sz w:val="20"/>
                <w:szCs w:val="20"/>
                <w:color w:val="auto"/>
              </w:rPr>
            </w:pPr>
            <w:r>
              <w:rPr>
                <w:rFonts w:ascii="Arial" w:cs="Arial" w:eastAsia="Arial" w:hAnsi="Arial"/>
                <w:sz w:val="14"/>
                <w:szCs w:val="14"/>
                <w:color w:val="auto"/>
              </w:rPr>
              <w:t>(b)</w:t>
            </w:r>
          </w:p>
        </w:tc>
        <w:tc>
          <w:tcPr>
            <w:tcW w:w="110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Kay Wind</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0"/>
              </w:rPr>
              <w:t>Oklahoma</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Soldier Creek</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300</w:t>
            </w:r>
          </w:p>
        </w:tc>
        <w:tc>
          <w:tcPr>
            <w:tcW w:w="340" w:type="dxa"/>
            <w:vAlign w:val="bottom"/>
          </w:tcPr>
          <w:p>
            <w:pPr>
              <w:ind w:left="40"/>
              <w:spacing w:after="0"/>
              <w:rPr>
                <w:sz w:val="20"/>
                <w:szCs w:val="20"/>
                <w:color w:val="auto"/>
              </w:rPr>
            </w:pPr>
            <w:r>
              <w:rPr>
                <w:rFonts w:ascii="Arial" w:cs="Arial" w:eastAsia="Arial" w:hAnsi="Arial"/>
                <w:sz w:val="14"/>
                <w:szCs w:val="14"/>
                <w:color w:val="auto"/>
              </w:rPr>
              <w:t>(b)</w:t>
            </w:r>
          </w:p>
        </w:tc>
        <w:tc>
          <w:tcPr>
            <w:tcW w:w="110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Ninnescah</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Kingman 1</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37</w:t>
            </w:r>
          </w:p>
        </w:tc>
        <w:tc>
          <w:tcPr>
            <w:tcW w:w="340" w:type="dxa"/>
            <w:vAlign w:val="bottom"/>
          </w:tcPr>
          <w:p>
            <w:pPr>
              <w:ind w:left="40"/>
              <w:spacing w:after="0"/>
              <w:rPr>
                <w:sz w:val="20"/>
                <w:szCs w:val="20"/>
                <w:color w:val="auto"/>
              </w:rPr>
            </w:pPr>
            <w:r>
              <w:rPr>
                <w:rFonts w:ascii="Arial" w:cs="Arial" w:eastAsia="Arial" w:hAnsi="Arial"/>
                <w:sz w:val="14"/>
                <w:szCs w:val="14"/>
                <w:color w:val="auto"/>
              </w:rPr>
              <w:t>(b)</w:t>
            </w: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Kingman 2</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Rolling Meadows</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Landfill Gas</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ind w:left="40"/>
              <w:spacing w:after="0"/>
              <w:rPr>
                <w:sz w:val="20"/>
                <w:szCs w:val="20"/>
                <w:color w:val="auto"/>
              </w:rPr>
            </w:pPr>
            <w:r>
              <w:rPr>
                <w:rFonts w:ascii="Arial" w:cs="Arial" w:eastAsia="Arial" w:hAnsi="Arial"/>
                <w:sz w:val="14"/>
                <w:szCs w:val="14"/>
                <w:color w:val="auto"/>
              </w:rPr>
              <w:t>(b)</w:t>
            </w:r>
          </w:p>
        </w:tc>
        <w:tc>
          <w:tcPr>
            <w:tcW w:w="11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Hutch Solar</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Solar</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7"/>
        </w:trPr>
        <w:tc>
          <w:tcPr>
            <w:tcW w:w="2000" w:type="dxa"/>
            <w:vAlign w:val="bottom"/>
          </w:tcPr>
          <w:p>
            <w:pPr>
              <w:ind w:left="120"/>
              <w:spacing w:after="0"/>
              <w:rPr>
                <w:sz w:val="20"/>
                <w:szCs w:val="20"/>
                <w:color w:val="auto"/>
              </w:rPr>
            </w:pPr>
            <w:r>
              <w:rPr>
                <w:rFonts w:ascii="Arial" w:cs="Arial" w:eastAsia="Arial" w:hAnsi="Arial"/>
                <w:sz w:val="14"/>
                <w:szCs w:val="14"/>
                <w:color w:val="auto"/>
              </w:rPr>
              <w:t>Ponderosa</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90"/>
              </w:rPr>
              <w:t>Oklahoma</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178</w:t>
            </w:r>
          </w:p>
        </w:tc>
        <w:tc>
          <w:tcPr>
            <w:tcW w:w="340" w:type="dxa"/>
            <w:vAlign w:val="bottom"/>
          </w:tcPr>
          <w:p>
            <w:pPr>
              <w:ind w:left="40"/>
              <w:spacing w:after="0"/>
              <w:rPr>
                <w:sz w:val="20"/>
                <w:szCs w:val="20"/>
                <w:color w:val="auto"/>
              </w:rPr>
            </w:pPr>
            <w:r>
              <w:rPr>
                <w:rFonts w:ascii="Arial" w:cs="Arial" w:eastAsia="Arial" w:hAnsi="Arial"/>
                <w:sz w:val="14"/>
                <w:szCs w:val="14"/>
                <w:color w:val="auto"/>
              </w:rPr>
              <w:t>(c)</w:t>
            </w:r>
          </w:p>
        </w:tc>
        <w:tc>
          <w:tcPr>
            <w:tcW w:w="110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Cimarron II</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7"/>
        </w:trPr>
        <w:tc>
          <w:tcPr>
            <w:tcW w:w="2000" w:type="dxa"/>
            <w:vAlign w:val="bottom"/>
          </w:tcPr>
          <w:p>
            <w:pPr>
              <w:ind w:left="120"/>
              <w:spacing w:after="0"/>
              <w:rPr>
                <w:sz w:val="20"/>
                <w:szCs w:val="20"/>
                <w:color w:val="auto"/>
              </w:rPr>
            </w:pPr>
            <w:r>
              <w:rPr>
                <w:rFonts w:ascii="Arial" w:cs="Arial" w:eastAsia="Arial" w:hAnsi="Arial"/>
                <w:sz w:val="14"/>
                <w:szCs w:val="14"/>
                <w:color w:val="auto"/>
              </w:rPr>
              <w:t>Cimarron Bend III</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150</w:t>
            </w:r>
          </w:p>
        </w:tc>
        <w:tc>
          <w:tcPr>
            <w:tcW w:w="340" w:type="dxa"/>
            <w:vAlign w:val="bottom"/>
          </w:tcPr>
          <w:p>
            <w:pPr>
              <w:ind w:left="40"/>
              <w:spacing w:after="0"/>
              <w:rPr>
                <w:sz w:val="20"/>
                <w:szCs w:val="20"/>
                <w:color w:val="auto"/>
              </w:rPr>
            </w:pPr>
            <w:r>
              <w:rPr>
                <w:rFonts w:ascii="Arial" w:cs="Arial" w:eastAsia="Arial" w:hAnsi="Arial"/>
                <w:sz w:val="14"/>
                <w:szCs w:val="14"/>
                <w:color w:val="auto"/>
              </w:rPr>
              <w:t>(e)</w:t>
            </w:r>
          </w:p>
        </w:tc>
        <w:tc>
          <w:tcPr>
            <w:tcW w:w="110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Spearville 1</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101</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Spearville 2</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48</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Spearville 3</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Gray County</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2001</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110</w:t>
            </w:r>
          </w:p>
        </w:tc>
        <w:tc>
          <w:tcPr>
            <w:tcW w:w="340" w:type="dxa"/>
            <w:vAlign w:val="bottom"/>
          </w:tcPr>
          <w:p>
            <w:pPr>
              <w:ind w:left="40"/>
              <w:spacing w:after="0"/>
              <w:rPr>
                <w:sz w:val="20"/>
                <w:szCs w:val="20"/>
                <w:color w:val="auto"/>
              </w:rPr>
            </w:pPr>
            <w:r>
              <w:rPr>
                <w:rFonts w:ascii="Arial" w:cs="Arial" w:eastAsia="Arial" w:hAnsi="Arial"/>
                <w:sz w:val="14"/>
                <w:szCs w:val="14"/>
                <w:color w:val="auto"/>
              </w:rPr>
              <w:t>(f)</w:t>
            </w:r>
          </w:p>
        </w:tc>
        <w:tc>
          <w:tcPr>
            <w:tcW w:w="110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Ensign</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Waverly</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200</w:t>
            </w:r>
          </w:p>
        </w:tc>
        <w:tc>
          <w:tcPr>
            <w:tcW w:w="340" w:type="dxa"/>
            <w:vAlign w:val="bottom"/>
          </w:tcPr>
          <w:p>
            <w:pPr>
              <w:ind w:left="40"/>
              <w:spacing w:after="0"/>
              <w:rPr>
                <w:sz w:val="20"/>
                <w:szCs w:val="20"/>
                <w:color w:val="auto"/>
              </w:rPr>
            </w:pPr>
            <w:r>
              <w:rPr>
                <w:rFonts w:ascii="Arial" w:cs="Arial" w:eastAsia="Arial" w:hAnsi="Arial"/>
                <w:sz w:val="14"/>
                <w:szCs w:val="14"/>
                <w:color w:val="auto"/>
              </w:rPr>
              <w:t>(d)</w:t>
            </w:r>
          </w:p>
        </w:tc>
        <w:tc>
          <w:tcPr>
            <w:tcW w:w="110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Slate Creek</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Rock Creek</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95"/>
              </w:rPr>
              <w:t>Missouri</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300</w:t>
            </w:r>
          </w:p>
        </w:tc>
        <w:tc>
          <w:tcPr>
            <w:tcW w:w="340" w:type="dxa"/>
            <w:vAlign w:val="bottom"/>
          </w:tcPr>
          <w:p>
            <w:pPr>
              <w:ind w:left="40"/>
              <w:spacing w:after="0"/>
              <w:rPr>
                <w:sz w:val="20"/>
                <w:szCs w:val="20"/>
                <w:color w:val="auto"/>
              </w:rPr>
            </w:pPr>
            <w:r>
              <w:rPr>
                <w:rFonts w:ascii="Arial" w:cs="Arial" w:eastAsia="Arial" w:hAnsi="Arial"/>
                <w:sz w:val="14"/>
                <w:szCs w:val="14"/>
                <w:color w:val="auto"/>
              </w:rPr>
              <w:t>(g)</w:t>
            </w:r>
          </w:p>
        </w:tc>
        <w:tc>
          <w:tcPr>
            <w:tcW w:w="110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Osborn</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5"/>
              </w:rPr>
              <w:t>Missouri</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Pratt</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243</w:t>
            </w:r>
          </w:p>
        </w:tc>
        <w:tc>
          <w:tcPr>
            <w:tcW w:w="340" w:type="dxa"/>
            <w:vAlign w:val="bottom"/>
          </w:tcPr>
          <w:p>
            <w:pPr>
              <w:ind w:left="40"/>
              <w:spacing w:after="0"/>
              <w:rPr>
                <w:sz w:val="20"/>
                <w:szCs w:val="20"/>
                <w:color w:val="auto"/>
              </w:rPr>
            </w:pPr>
            <w:r>
              <w:rPr>
                <w:rFonts w:ascii="Arial" w:cs="Arial" w:eastAsia="Arial" w:hAnsi="Arial"/>
                <w:sz w:val="14"/>
                <w:szCs w:val="14"/>
                <w:color w:val="auto"/>
              </w:rPr>
              <w:t>(g)</w:t>
            </w:r>
          </w:p>
        </w:tc>
        <w:tc>
          <w:tcPr>
            <w:tcW w:w="110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Greenwood Solar</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5"/>
              </w:rPr>
              <w:t>Missouri</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Solar</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7"/>
        </w:trPr>
        <w:tc>
          <w:tcPr>
            <w:tcW w:w="2000" w:type="dxa"/>
            <w:vAlign w:val="bottom"/>
          </w:tcPr>
          <w:p>
            <w:pPr>
              <w:ind w:left="140"/>
              <w:spacing w:after="0"/>
              <w:rPr>
                <w:sz w:val="20"/>
                <w:szCs w:val="20"/>
                <w:color w:val="auto"/>
              </w:rPr>
            </w:pPr>
            <w:r>
              <w:rPr>
                <w:rFonts w:ascii="Arial" w:cs="Arial" w:eastAsia="Arial" w:hAnsi="Arial"/>
                <w:sz w:val="14"/>
                <w:szCs w:val="14"/>
                <w:color w:val="auto"/>
              </w:rPr>
              <w:t>Prairie Queen</w:t>
            </w:r>
          </w:p>
        </w:tc>
        <w:tc>
          <w:tcPr>
            <w:tcW w:w="940" w:type="dxa"/>
            <w:vAlign w:val="bottom"/>
          </w:tcPr>
          <w:p>
            <w:pPr>
              <w:spacing w:after="0"/>
              <w:rPr>
                <w:sz w:val="15"/>
                <w:szCs w:val="15"/>
                <w:color w:val="auto"/>
              </w:rPr>
            </w:pPr>
          </w:p>
        </w:tc>
        <w:tc>
          <w:tcPr>
            <w:tcW w:w="960" w:type="dxa"/>
            <w:vAlign w:val="bottom"/>
          </w:tcPr>
          <w:p>
            <w:pPr>
              <w:jc w:val="center"/>
              <w:ind w:left="71"/>
              <w:spacing w:after="0"/>
              <w:rPr>
                <w:sz w:val="20"/>
                <w:szCs w:val="20"/>
                <w:color w:val="auto"/>
              </w:rPr>
            </w:pPr>
            <w:r>
              <w:rPr>
                <w:rFonts w:ascii="Arial" w:cs="Arial" w:eastAsia="Arial" w:hAnsi="Arial"/>
                <w:sz w:val="14"/>
                <w:szCs w:val="14"/>
                <w:color w:val="auto"/>
                <w:w w:val="81"/>
              </w:rPr>
              <w:t>Kansas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Wind</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200</w:t>
            </w:r>
          </w:p>
        </w:tc>
        <w:tc>
          <w:tcPr>
            <w:tcW w:w="340" w:type="dxa"/>
            <w:vAlign w:val="bottom"/>
          </w:tcPr>
          <w:p>
            <w:pPr>
              <w:ind w:left="40"/>
              <w:spacing w:after="0"/>
              <w:rPr>
                <w:sz w:val="20"/>
                <w:szCs w:val="20"/>
                <w:color w:val="auto"/>
              </w:rPr>
            </w:pPr>
            <w:r>
              <w:rPr>
                <w:rFonts w:ascii="Arial" w:cs="Arial" w:eastAsia="Arial" w:hAnsi="Arial"/>
                <w:sz w:val="14"/>
                <w:szCs w:val="14"/>
                <w:color w:val="auto"/>
              </w:rPr>
              <w:t>(g)</w:t>
            </w:r>
          </w:p>
        </w:tc>
        <w:tc>
          <w:tcPr>
            <w:tcW w:w="110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CNPPID (NE) - Hydro</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83"/>
              </w:rPr>
              <w:t>Nebraska</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1941</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Hydro</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7"/>
        </w:trPr>
        <w:tc>
          <w:tcPr>
            <w:tcW w:w="20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St Joseph Landfill</w:t>
            </w:r>
          </w:p>
        </w:tc>
        <w:tc>
          <w:tcPr>
            <w:tcW w:w="9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color w:val="auto"/>
                <w:w w:val="95"/>
              </w:rPr>
              <w:t>Missouri</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2012</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Landfill Gas</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6"/>
              </w:rPr>
              <w:t>Total Renewable Generation:</w:t>
            </w:r>
          </w:p>
        </w:tc>
        <w:tc>
          <w:tcPr>
            <w:tcW w:w="9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430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584</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3,820</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27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Unit Capability (MW) By Owner</w:t>
            </w:r>
            <w:r>
              <w:rPr>
                <w:rFonts w:ascii="Arial" w:cs="Arial" w:eastAsia="Arial" w:hAnsi="Arial"/>
                <w:sz w:val="20"/>
                <w:szCs w:val="20"/>
                <w:b w:val="1"/>
                <w:bCs w:val="1"/>
                <w:color w:val="auto"/>
                <w:vertAlign w:val="superscript"/>
              </w:rPr>
              <w:t>(a)</w:t>
            </w: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Evergy</w:t>
            </w:r>
          </w:p>
        </w:tc>
        <w:tc>
          <w:tcPr>
            <w:tcW w:w="64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Evergy</w:t>
            </w:r>
          </w:p>
        </w:tc>
        <w:tc>
          <w:tcPr>
            <w:tcW w:w="10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Renewable</w:t>
            </w:r>
          </w:p>
        </w:tc>
        <w:tc>
          <w:tcPr>
            <w:tcW w:w="110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89"/>
              </w:rPr>
              <w:t>Total Generation</w:t>
            </w: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Evergy</w:t>
            </w:r>
          </w:p>
        </w:tc>
        <w:tc>
          <w:tcPr>
            <w:tcW w:w="840" w:type="dxa"/>
            <w:vAlign w:val="bottom"/>
            <w:vMerge w:val="continue"/>
          </w:tcPr>
          <w:p>
            <w:pPr>
              <w:spacing w:after="0"/>
              <w:rPr>
                <w:sz w:val="11"/>
                <w:szCs w:val="11"/>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Total Company</w:t>
            </w:r>
          </w:p>
        </w:tc>
        <w:tc>
          <w:tcPr>
            <w:tcW w:w="840" w:type="dxa"/>
            <w:vAlign w:val="bottom"/>
            <w:vMerge w:val="continue"/>
          </w:tcPr>
          <w:p>
            <w:pPr>
              <w:spacing w:after="0"/>
              <w:rPr>
                <w:sz w:val="11"/>
                <w:szCs w:val="11"/>
                <w:color w:val="auto"/>
              </w:rPr>
            </w:pPr>
          </w:p>
        </w:tc>
        <w:tc>
          <w:tcPr>
            <w:tcW w:w="110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88"/>
              </w:rPr>
              <w:t>and Renewable</w:t>
            </w:r>
          </w:p>
        </w:tc>
        <w:tc>
          <w:tcPr>
            <w:tcW w:w="0" w:type="dxa"/>
            <w:vAlign w:val="bottom"/>
          </w:tcPr>
          <w:p>
            <w:pPr>
              <w:spacing w:after="0"/>
              <w:rPr>
                <w:sz w:val="1"/>
                <w:szCs w:val="1"/>
                <w:color w:val="auto"/>
              </w:rPr>
            </w:pPr>
          </w:p>
        </w:tc>
      </w:tr>
      <w:tr>
        <w:trPr>
          <w:trHeight w:val="129"/>
        </w:trPr>
        <w:tc>
          <w:tcPr>
            <w:tcW w:w="18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Station</w:t>
            </w:r>
          </w:p>
        </w:tc>
        <w:tc>
          <w:tcPr>
            <w:tcW w:w="12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Unit No.</w:t>
            </w:r>
          </w:p>
        </w:tc>
        <w:tc>
          <w:tcPr>
            <w:tcW w:w="900" w:type="dxa"/>
            <w:vAlign w:val="bottom"/>
            <w:vMerge w:val="restart"/>
          </w:tcPr>
          <w:p>
            <w:pPr>
              <w:jc w:val="center"/>
              <w:ind w:left="31"/>
              <w:spacing w:after="0"/>
              <w:rPr>
                <w:sz w:val="20"/>
                <w:szCs w:val="20"/>
                <w:color w:val="auto"/>
              </w:rPr>
            </w:pPr>
            <w:r>
              <w:rPr>
                <w:rFonts w:ascii="Arial" w:cs="Arial" w:eastAsia="Arial" w:hAnsi="Arial"/>
                <w:sz w:val="14"/>
                <w:szCs w:val="14"/>
                <w:b w:val="1"/>
                <w:bCs w:val="1"/>
                <w:color w:val="auto"/>
                <w:w w:val="89"/>
              </w:rPr>
              <w:t>Location</w:t>
            </w: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3"/>
              </w:rPr>
              <w:t>Year Completed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Fuel</w:t>
            </w:r>
          </w:p>
        </w:tc>
        <w:tc>
          <w:tcPr>
            <w:tcW w:w="92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Kansas</w:t>
            </w:r>
          </w:p>
        </w:tc>
        <w:tc>
          <w:tcPr>
            <w:tcW w:w="640" w:type="dxa"/>
            <w:vAlign w:val="bottom"/>
            <w:vMerge w:val="continue"/>
          </w:tcPr>
          <w:p>
            <w:pPr>
              <w:spacing w:after="0"/>
              <w:rPr>
                <w:sz w:val="11"/>
                <w:szCs w:val="11"/>
                <w:color w:val="auto"/>
              </w:rPr>
            </w:pPr>
          </w:p>
        </w:tc>
        <w:tc>
          <w:tcPr>
            <w:tcW w:w="84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90"/>
              </w:rPr>
              <w:t>Missouri</w:t>
            </w:r>
          </w:p>
        </w:tc>
        <w:tc>
          <w:tcPr>
            <w:tcW w:w="1060" w:type="dxa"/>
            <w:vAlign w:val="bottom"/>
            <w:vMerge w:val="continue"/>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Purchased</w:t>
            </w:r>
          </w:p>
        </w:tc>
        <w:tc>
          <w:tcPr>
            <w:tcW w:w="110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86"/>
        </w:trPr>
        <w:tc>
          <w:tcPr>
            <w:tcW w:w="18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Central</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Metro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West</w:t>
            </w: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Generation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Power</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Power</w:t>
            </w:r>
          </w:p>
        </w:tc>
        <w:tc>
          <w:tcPr>
            <w:tcW w:w="0" w:type="dxa"/>
            <w:vAlign w:val="bottom"/>
          </w:tcPr>
          <w:p>
            <w:pPr>
              <w:spacing w:after="0"/>
              <w:rPr>
                <w:sz w:val="1"/>
                <w:szCs w:val="1"/>
                <w:color w:val="auto"/>
              </w:rPr>
            </w:pPr>
          </w:p>
        </w:tc>
      </w:tr>
      <w:tr>
        <w:trPr>
          <w:trHeight w:val="179"/>
        </w:trPr>
        <w:tc>
          <w:tcPr>
            <w:tcW w:w="1800" w:type="dxa"/>
            <w:vAlign w:val="bottom"/>
          </w:tcPr>
          <w:p>
            <w:pPr>
              <w:ind w:left="20"/>
              <w:spacing w:after="0"/>
              <w:rPr>
                <w:sz w:val="20"/>
                <w:szCs w:val="20"/>
                <w:color w:val="auto"/>
              </w:rPr>
            </w:pPr>
            <w:r>
              <w:rPr>
                <w:rFonts w:ascii="Arial" w:cs="Arial" w:eastAsia="Arial" w:hAnsi="Arial"/>
                <w:sz w:val="14"/>
                <w:szCs w:val="14"/>
                <w:b w:val="1"/>
                <w:bCs w:val="1"/>
                <w:color w:val="auto"/>
              </w:rPr>
              <w:t>Nuclear:</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Wolf Creek</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(h)</w:t>
            </w:r>
          </w:p>
        </w:tc>
        <w:tc>
          <w:tcPr>
            <w:tcW w:w="90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4"/>
                <w:szCs w:val="14"/>
                <w:color w:val="auto"/>
                <w:w w:val="81"/>
              </w:rPr>
              <w:t>Kansas</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Uranium</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554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1,108</w:t>
            </w:r>
          </w:p>
        </w:tc>
        <w:tc>
          <w:tcPr>
            <w:tcW w:w="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82"/>
        </w:trPr>
        <w:tc>
          <w:tcPr>
            <w:tcW w:w="1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Nuclear:</w:t>
            </w: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554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1,108</w:t>
            </w: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Coal:</w:t>
            </w: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tcPr>
          <w:p>
            <w:pPr>
              <w:ind w:left="140"/>
              <w:spacing w:after="0"/>
              <w:rPr>
                <w:sz w:val="20"/>
                <w:szCs w:val="20"/>
                <w:color w:val="auto"/>
              </w:rPr>
            </w:pPr>
            <w:r>
              <w:rPr>
                <w:rFonts w:ascii="Arial" w:cs="Arial" w:eastAsia="Arial" w:hAnsi="Arial"/>
                <w:sz w:val="14"/>
                <w:szCs w:val="14"/>
                <w:color w:val="auto"/>
              </w:rPr>
              <w:t>Jeffrey Energy Center</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center"/>
              <w:ind w:left="11"/>
              <w:spacing w:after="0"/>
              <w:rPr>
                <w:sz w:val="20"/>
                <w:szCs w:val="20"/>
                <w:color w:val="auto"/>
              </w:rPr>
            </w:pPr>
            <w:r>
              <w:rPr>
                <w:rFonts w:ascii="Arial" w:cs="Arial" w:eastAsia="Arial" w:hAnsi="Arial"/>
                <w:sz w:val="14"/>
                <w:szCs w:val="14"/>
                <w:color w:val="auto"/>
                <w:w w:val="81"/>
              </w:rPr>
              <w:t>Kansas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80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Steam Turbines</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1-3</w:t>
            </w:r>
          </w:p>
        </w:tc>
        <w:tc>
          <w:tcPr>
            <w:tcW w:w="5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(h)</w:t>
            </w:r>
          </w:p>
        </w:tc>
        <w:tc>
          <w:tcPr>
            <w:tcW w:w="9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2" w:lineRule="exact"/>
              <w:rPr>
                <w:sz w:val="20"/>
                <w:szCs w:val="20"/>
                <w:color w:val="auto"/>
              </w:rPr>
            </w:pPr>
            <w:r>
              <w:rPr>
                <w:rFonts w:ascii="Arial" w:cs="Arial" w:eastAsia="Arial" w:hAnsi="Arial"/>
                <w:sz w:val="14"/>
                <w:szCs w:val="14"/>
                <w:color w:val="auto"/>
                <w:w w:val="88"/>
              </w:rPr>
              <w:t>1978, 1980</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Coal</w:t>
            </w: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2,016</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2,191</w:t>
            </w:r>
          </w:p>
        </w:tc>
        <w:tc>
          <w:tcPr>
            <w:tcW w:w="84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2,191</w:t>
            </w:r>
          </w:p>
        </w:tc>
        <w:tc>
          <w:tcPr>
            <w:tcW w:w="0" w:type="dxa"/>
            <w:vAlign w:val="bottom"/>
          </w:tcPr>
          <w:p>
            <w:pPr>
              <w:spacing w:after="0"/>
              <w:rPr>
                <w:sz w:val="1"/>
                <w:szCs w:val="1"/>
                <w:color w:val="auto"/>
              </w:rPr>
            </w:pPr>
          </w:p>
        </w:tc>
      </w:tr>
      <w:tr>
        <w:trPr>
          <w:trHeight w:val="180"/>
        </w:trPr>
        <w:tc>
          <w:tcPr>
            <w:tcW w:w="18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&amp;1983</w:t>
            </w:r>
          </w:p>
        </w:tc>
        <w:tc>
          <w:tcPr>
            <w:tcW w:w="82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tcPr>
          <w:p>
            <w:pPr>
              <w:ind w:left="140"/>
              <w:spacing w:after="0"/>
              <w:rPr>
                <w:sz w:val="20"/>
                <w:szCs w:val="20"/>
                <w:color w:val="auto"/>
              </w:rPr>
            </w:pPr>
            <w:r>
              <w:rPr>
                <w:rFonts w:ascii="Arial" w:cs="Arial" w:eastAsia="Arial" w:hAnsi="Arial"/>
                <w:sz w:val="14"/>
                <w:szCs w:val="14"/>
                <w:color w:val="auto"/>
              </w:rPr>
              <w:t>Lawrence Energy Center</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center"/>
              <w:ind w:left="11"/>
              <w:spacing w:after="0"/>
              <w:rPr>
                <w:sz w:val="20"/>
                <w:szCs w:val="20"/>
                <w:color w:val="auto"/>
              </w:rPr>
            </w:pPr>
            <w:r>
              <w:rPr>
                <w:rFonts w:ascii="Arial" w:cs="Arial" w:eastAsia="Arial" w:hAnsi="Arial"/>
                <w:sz w:val="14"/>
                <w:szCs w:val="14"/>
                <w:color w:val="auto"/>
                <w:w w:val="81"/>
              </w:rPr>
              <w:t>Kansas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Steam Turbines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4 &amp; 5</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w:t>
            </w: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1960, 1971</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Coal</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485</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485</w:t>
            </w: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77"/>
        </w:trPr>
        <w:tc>
          <w:tcPr>
            <w:tcW w:w="1800" w:type="dxa"/>
            <w:vAlign w:val="bottom"/>
          </w:tcPr>
          <w:p>
            <w:pPr>
              <w:ind w:left="140"/>
              <w:spacing w:after="0"/>
              <w:rPr>
                <w:sz w:val="20"/>
                <w:szCs w:val="20"/>
                <w:color w:val="auto"/>
              </w:rPr>
            </w:pPr>
            <w:r>
              <w:rPr>
                <w:rFonts w:ascii="Arial" w:cs="Arial" w:eastAsia="Arial" w:hAnsi="Arial"/>
                <w:sz w:val="14"/>
                <w:szCs w:val="14"/>
                <w:color w:val="auto"/>
              </w:rPr>
              <w:t>La Cygne</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center"/>
              <w:ind w:left="11"/>
              <w:spacing w:after="0"/>
              <w:rPr>
                <w:sz w:val="20"/>
                <w:szCs w:val="20"/>
                <w:color w:val="auto"/>
              </w:rPr>
            </w:pPr>
            <w:r>
              <w:rPr>
                <w:rFonts w:ascii="Arial" w:cs="Arial" w:eastAsia="Arial" w:hAnsi="Arial"/>
                <w:sz w:val="14"/>
                <w:szCs w:val="14"/>
                <w:color w:val="auto"/>
                <w:w w:val="81"/>
              </w:rPr>
              <w:t>Kansas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Steam Turbines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 &amp; 2</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(h)(j)</w:t>
            </w: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1973, 1977</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Coal</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713</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1,426</w:t>
            </w: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77"/>
        </w:trPr>
        <w:tc>
          <w:tcPr>
            <w:tcW w:w="1800" w:type="dxa"/>
            <w:vAlign w:val="bottom"/>
          </w:tcPr>
          <w:p>
            <w:pPr>
              <w:ind w:left="140"/>
              <w:spacing w:after="0"/>
              <w:rPr>
                <w:sz w:val="20"/>
                <w:szCs w:val="20"/>
                <w:color w:val="auto"/>
              </w:rPr>
            </w:pPr>
            <w:r>
              <w:rPr>
                <w:rFonts w:ascii="Arial" w:cs="Arial" w:eastAsia="Arial" w:hAnsi="Arial"/>
                <w:sz w:val="14"/>
                <w:szCs w:val="14"/>
                <w:color w:val="auto"/>
              </w:rPr>
              <w:t>Iatan</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center"/>
              <w:ind w:left="11"/>
              <w:spacing w:after="0"/>
              <w:rPr>
                <w:sz w:val="20"/>
                <w:szCs w:val="20"/>
                <w:color w:val="auto"/>
              </w:rPr>
            </w:pPr>
            <w:r>
              <w:rPr>
                <w:rFonts w:ascii="Arial" w:cs="Arial" w:eastAsia="Arial" w:hAnsi="Arial"/>
                <w:sz w:val="14"/>
                <w:szCs w:val="14"/>
                <w:color w:val="auto"/>
                <w:w w:val="95"/>
              </w:rPr>
              <w:t>Missouri</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Steam Turbines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 &amp; 2</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w:t>
            </w: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1980, 2010</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Coal</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1,258</w:t>
            </w: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77"/>
        </w:trPr>
        <w:tc>
          <w:tcPr>
            <w:tcW w:w="1800" w:type="dxa"/>
            <w:vAlign w:val="bottom"/>
          </w:tcPr>
          <w:p>
            <w:pPr>
              <w:ind w:left="140"/>
              <w:spacing w:after="0"/>
              <w:rPr>
                <w:sz w:val="20"/>
                <w:szCs w:val="20"/>
                <w:color w:val="auto"/>
              </w:rPr>
            </w:pPr>
            <w:r>
              <w:rPr>
                <w:rFonts w:ascii="Arial" w:cs="Arial" w:eastAsia="Arial" w:hAnsi="Arial"/>
                <w:sz w:val="14"/>
                <w:szCs w:val="14"/>
                <w:color w:val="auto"/>
              </w:rPr>
              <w:t>Hawthorn</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center"/>
              <w:ind w:left="11"/>
              <w:spacing w:after="0"/>
              <w:rPr>
                <w:sz w:val="20"/>
                <w:szCs w:val="20"/>
                <w:color w:val="auto"/>
              </w:rPr>
            </w:pPr>
            <w:r>
              <w:rPr>
                <w:rFonts w:ascii="Arial" w:cs="Arial" w:eastAsia="Arial" w:hAnsi="Arial"/>
                <w:sz w:val="14"/>
                <w:szCs w:val="14"/>
                <w:color w:val="auto"/>
                <w:w w:val="95"/>
              </w:rPr>
              <w:t>Missouri</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Steam Turbines</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(k)</w:t>
            </w:r>
          </w:p>
        </w:tc>
        <w:tc>
          <w:tcPr>
            <w:tcW w:w="9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1969</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Coal</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553</w:t>
            </w:r>
          </w:p>
        </w:tc>
        <w:tc>
          <w:tcPr>
            <w:tcW w:w="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82"/>
        </w:trPr>
        <w:tc>
          <w:tcPr>
            <w:tcW w:w="1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Coal:</w:t>
            </w: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3,214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5,913</w:t>
            </w: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5,913</w:t>
            </w: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Gas and Oil:</w:t>
            </w: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tcPr>
          <w:p>
            <w:pPr>
              <w:ind w:left="140"/>
              <w:spacing w:after="0"/>
              <w:rPr>
                <w:sz w:val="20"/>
                <w:szCs w:val="20"/>
                <w:color w:val="auto"/>
              </w:rPr>
            </w:pPr>
            <w:r>
              <w:rPr>
                <w:rFonts w:ascii="Arial" w:cs="Arial" w:eastAsia="Arial" w:hAnsi="Arial"/>
                <w:sz w:val="14"/>
                <w:szCs w:val="14"/>
                <w:color w:val="auto"/>
              </w:rPr>
              <w:t>Emporia Energy Center</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center"/>
              <w:ind w:left="11"/>
              <w:spacing w:after="0"/>
              <w:rPr>
                <w:sz w:val="20"/>
                <w:szCs w:val="20"/>
                <w:color w:val="auto"/>
              </w:rPr>
            </w:pPr>
            <w:r>
              <w:rPr>
                <w:rFonts w:ascii="Arial" w:cs="Arial" w:eastAsia="Arial" w:hAnsi="Arial"/>
                <w:sz w:val="14"/>
                <w:szCs w:val="14"/>
                <w:color w:val="auto"/>
                <w:w w:val="81"/>
              </w:rPr>
              <w:t>Kansas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1 - 7</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2008 - 2009</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654</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654</w:t>
            </w: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77"/>
        </w:trPr>
        <w:tc>
          <w:tcPr>
            <w:tcW w:w="1800" w:type="dxa"/>
            <w:vAlign w:val="bottom"/>
          </w:tcPr>
          <w:p>
            <w:pPr>
              <w:ind w:left="140"/>
              <w:spacing w:after="0"/>
              <w:rPr>
                <w:sz w:val="20"/>
                <w:szCs w:val="20"/>
                <w:color w:val="auto"/>
              </w:rPr>
            </w:pPr>
            <w:r>
              <w:rPr>
                <w:rFonts w:ascii="Arial" w:cs="Arial" w:eastAsia="Arial" w:hAnsi="Arial"/>
                <w:sz w:val="14"/>
                <w:szCs w:val="14"/>
                <w:color w:val="auto"/>
                <w:w w:val="89"/>
              </w:rPr>
              <w:t>Gordon Evans Energy Center</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center"/>
              <w:ind w:left="11"/>
              <w:spacing w:after="0"/>
              <w:rPr>
                <w:sz w:val="20"/>
                <w:szCs w:val="20"/>
                <w:color w:val="auto"/>
              </w:rPr>
            </w:pPr>
            <w:r>
              <w:rPr>
                <w:rFonts w:ascii="Arial" w:cs="Arial" w:eastAsia="Arial" w:hAnsi="Arial"/>
                <w:sz w:val="14"/>
                <w:szCs w:val="14"/>
                <w:color w:val="auto"/>
                <w:w w:val="81"/>
              </w:rPr>
              <w:t>Kansas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1 - 3</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2000 - 2001</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294</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294</w:t>
            </w: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77"/>
        </w:trPr>
        <w:tc>
          <w:tcPr>
            <w:tcW w:w="1800" w:type="dxa"/>
            <w:vAlign w:val="bottom"/>
          </w:tcPr>
          <w:p>
            <w:pPr>
              <w:ind w:left="140"/>
              <w:spacing w:after="0"/>
              <w:rPr>
                <w:sz w:val="20"/>
                <w:szCs w:val="20"/>
                <w:color w:val="auto"/>
              </w:rPr>
            </w:pPr>
            <w:r>
              <w:rPr>
                <w:rFonts w:ascii="Arial" w:cs="Arial" w:eastAsia="Arial" w:hAnsi="Arial"/>
                <w:sz w:val="14"/>
                <w:szCs w:val="14"/>
                <w:color w:val="auto"/>
                <w:w w:val="99"/>
              </w:rPr>
              <w:t>Hutchinson Energy Center</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center"/>
              <w:ind w:left="11"/>
              <w:spacing w:after="0"/>
              <w:rPr>
                <w:sz w:val="20"/>
                <w:szCs w:val="20"/>
                <w:color w:val="auto"/>
              </w:rPr>
            </w:pPr>
            <w:r>
              <w:rPr>
                <w:rFonts w:ascii="Arial" w:cs="Arial" w:eastAsia="Arial" w:hAnsi="Arial"/>
                <w:sz w:val="14"/>
                <w:szCs w:val="14"/>
                <w:color w:val="auto"/>
                <w:w w:val="81"/>
              </w:rPr>
              <w:t>Kansas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1 - 3</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166</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166</w:t>
            </w: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77"/>
        </w:trPr>
        <w:tc>
          <w:tcPr>
            <w:tcW w:w="18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1975</w:t>
            </w:r>
          </w:p>
        </w:tc>
        <w:tc>
          <w:tcPr>
            <w:tcW w:w="820" w:type="dxa"/>
            <w:vAlign w:val="bottom"/>
          </w:tcPr>
          <w:p>
            <w:pPr>
              <w:jc w:val="center"/>
              <w:spacing w:after="0"/>
              <w:rPr>
                <w:sz w:val="20"/>
                <w:szCs w:val="20"/>
                <w:color w:val="auto"/>
              </w:rPr>
            </w:pPr>
            <w:r>
              <w:rPr>
                <w:rFonts w:ascii="Arial" w:cs="Arial" w:eastAsia="Arial" w:hAnsi="Arial"/>
                <w:sz w:val="14"/>
                <w:szCs w:val="14"/>
                <w:color w:val="auto"/>
              </w:rPr>
              <w:t>Oil</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74</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74</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Spring Creek Energy Center</w:t>
            </w: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11"/>
              <w:spacing w:after="0"/>
              <w:rPr>
                <w:sz w:val="20"/>
                <w:szCs w:val="20"/>
                <w:color w:val="auto"/>
              </w:rPr>
            </w:pPr>
            <w:r>
              <w:rPr>
                <w:rFonts w:ascii="Arial" w:cs="Arial" w:eastAsia="Arial" w:hAnsi="Arial"/>
                <w:sz w:val="14"/>
                <w:szCs w:val="14"/>
                <w:color w:val="auto"/>
                <w:w w:val="90"/>
              </w:rPr>
              <w:t>Oklahoma</w:t>
            </w: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tcPr>
          <w:p>
            <w:pPr>
              <w:ind w:left="220"/>
              <w:spacing w:after="0"/>
              <w:rPr>
                <w:sz w:val="20"/>
                <w:szCs w:val="20"/>
                <w:color w:val="auto"/>
              </w:rPr>
            </w:pPr>
            <w:r>
              <w:rPr>
                <w:rFonts w:ascii="Arial" w:cs="Arial" w:eastAsia="Arial" w:hAnsi="Arial"/>
                <w:sz w:val="14"/>
                <w:szCs w:val="14"/>
                <w:color w:val="auto"/>
              </w:rPr>
              <w:t>Combustion Turbines</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1 - 4</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2001</w:t>
            </w: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Natural Gas</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269</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269</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Line</w:t>
            </w: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11"/>
              <w:spacing w:after="0"/>
              <w:rPr>
                <w:sz w:val="20"/>
                <w:szCs w:val="20"/>
                <w:color w:val="auto"/>
              </w:rPr>
            </w:pPr>
            <w:r>
              <w:rPr>
                <w:rFonts w:ascii="Arial" w:cs="Arial" w:eastAsia="Arial" w:hAnsi="Arial"/>
                <w:sz w:val="14"/>
                <w:szCs w:val="14"/>
                <w:color w:val="auto"/>
                <w:w w:val="95"/>
              </w:rPr>
              <w:t>Missouri</w:t>
            </w: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0" w:type="dxa"/>
            <w:vAlign w:val="bottom"/>
            <w:vMerge w:val="restart"/>
          </w:tcPr>
          <w:p>
            <w:pPr>
              <w:ind w:left="220"/>
              <w:spacing w:after="0"/>
              <w:rPr>
                <w:sz w:val="20"/>
                <w:szCs w:val="20"/>
                <w:color w:val="auto"/>
              </w:rPr>
            </w:pPr>
            <w:r>
              <w:rPr>
                <w:rFonts w:ascii="Arial" w:cs="Arial" w:eastAsia="Arial" w:hAnsi="Arial"/>
                <w:sz w:val="14"/>
                <w:szCs w:val="14"/>
                <w:color w:val="auto"/>
              </w:rPr>
              <w:t>Combined Cycle</w:t>
            </w:r>
          </w:p>
        </w:tc>
        <w:tc>
          <w:tcPr>
            <w:tcW w:w="680" w:type="dxa"/>
            <w:vAlign w:val="bottom"/>
          </w:tcPr>
          <w:p>
            <w:pPr>
              <w:jc w:val="center"/>
              <w:spacing w:after="0" w:line="129" w:lineRule="exact"/>
              <w:rPr>
                <w:sz w:val="20"/>
                <w:szCs w:val="20"/>
                <w:color w:val="auto"/>
              </w:rPr>
            </w:pPr>
            <w:r>
              <w:rPr>
                <w:rFonts w:ascii="Arial" w:cs="Arial" w:eastAsia="Arial" w:hAnsi="Arial"/>
                <w:sz w:val="14"/>
                <w:szCs w:val="14"/>
                <w:color w:val="auto"/>
              </w:rPr>
              <w:t>2-1, 2-2 &amp;</w:t>
            </w:r>
          </w:p>
        </w:tc>
        <w:tc>
          <w:tcPr>
            <w:tcW w:w="520" w:type="dxa"/>
            <w:vAlign w:val="bottom"/>
            <w:vMerge w:val="restart"/>
          </w:tcPr>
          <w:p>
            <w:pPr>
              <w:ind w:left="20"/>
              <w:spacing w:after="0"/>
              <w:rPr>
                <w:sz w:val="20"/>
                <w:szCs w:val="20"/>
                <w:color w:val="auto"/>
              </w:rPr>
            </w:pPr>
            <w:r>
              <w:rPr>
                <w:rFonts w:ascii="Arial" w:cs="Arial" w:eastAsia="Arial" w:hAnsi="Arial"/>
                <w:sz w:val="14"/>
                <w:szCs w:val="14"/>
                <w:color w:val="auto"/>
              </w:rPr>
              <w:t>(h)</w:t>
            </w:r>
          </w:p>
        </w:tc>
        <w:tc>
          <w:tcPr>
            <w:tcW w:w="90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89"/>
              </w:rPr>
              <w:t>2001</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88"/>
              </w:rPr>
              <w:t>Natural Gas</w:t>
            </w: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color w:val="auto"/>
              </w:rPr>
              <w:t>200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51"/>
              <w:spacing w:after="0"/>
              <w:rPr>
                <w:sz w:val="20"/>
                <w:szCs w:val="20"/>
                <w:color w:val="auto"/>
              </w:rPr>
            </w:pPr>
            <w:r>
              <w:rPr>
                <w:rFonts w:ascii="Arial" w:cs="Arial" w:eastAsia="Arial" w:hAnsi="Arial"/>
                <w:sz w:val="14"/>
                <w:szCs w:val="14"/>
                <w:color w:val="auto"/>
              </w:rPr>
              <w:t>200</w:t>
            </w:r>
          </w:p>
        </w:tc>
        <w:tc>
          <w:tcPr>
            <w:tcW w:w="84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7"/>
        </w:trPr>
        <w:tc>
          <w:tcPr>
            <w:tcW w:w="1800" w:type="dxa"/>
            <w:vAlign w:val="bottom"/>
            <w:vMerge w:val="continue"/>
          </w:tcPr>
          <w:p>
            <w:pPr>
              <w:spacing w:after="0"/>
              <w:rPr>
                <w:sz w:val="15"/>
                <w:szCs w:val="15"/>
                <w:color w:val="auto"/>
              </w:rPr>
            </w:pPr>
          </w:p>
        </w:tc>
        <w:tc>
          <w:tcPr>
            <w:tcW w:w="680" w:type="dxa"/>
            <w:vAlign w:val="bottom"/>
          </w:tcPr>
          <w:p>
            <w:pPr>
              <w:jc w:val="right"/>
              <w:ind w:right="411"/>
              <w:spacing w:after="0"/>
              <w:rPr>
                <w:sz w:val="20"/>
                <w:szCs w:val="20"/>
                <w:color w:val="auto"/>
              </w:rPr>
            </w:pPr>
            <w:r>
              <w:rPr>
                <w:rFonts w:ascii="Arial" w:cs="Arial" w:eastAsia="Arial" w:hAnsi="Arial"/>
                <w:sz w:val="14"/>
                <w:szCs w:val="14"/>
                <w:color w:val="auto"/>
                <w:w w:val="88"/>
              </w:rPr>
              <w:t>2-3</w:t>
            </w:r>
          </w:p>
        </w:tc>
        <w:tc>
          <w:tcPr>
            <w:tcW w:w="5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Hawthorn</w:t>
            </w: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11"/>
              <w:spacing w:after="0"/>
              <w:rPr>
                <w:sz w:val="20"/>
                <w:szCs w:val="20"/>
                <w:color w:val="auto"/>
              </w:rPr>
            </w:pPr>
            <w:r>
              <w:rPr>
                <w:rFonts w:ascii="Arial" w:cs="Arial" w:eastAsia="Arial" w:hAnsi="Arial"/>
                <w:sz w:val="14"/>
                <w:szCs w:val="14"/>
                <w:color w:val="auto"/>
                <w:w w:val="95"/>
              </w:rPr>
              <w:t>Missouri</w:t>
            </w: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tcPr>
          <w:p>
            <w:pPr>
              <w:ind w:left="220"/>
              <w:spacing w:after="0"/>
              <w:rPr>
                <w:sz w:val="20"/>
                <w:szCs w:val="20"/>
                <w:color w:val="auto"/>
              </w:rPr>
            </w:pPr>
            <w:r>
              <w:rPr>
                <w:rFonts w:ascii="Arial" w:cs="Arial" w:eastAsia="Arial" w:hAnsi="Arial"/>
                <w:sz w:val="14"/>
                <w:szCs w:val="14"/>
                <w:color w:val="auto"/>
              </w:rPr>
              <w:t>Combined Cycle</w:t>
            </w: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6/9</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2000</w:t>
            </w: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Natural Gas</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221</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221</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7 &amp; 8</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2000</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154</w:t>
            </w: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38"/>
        </w:trPr>
        <w:tc>
          <w:tcPr>
            <w:tcW w:w="18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7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740" w:type="dxa"/>
            <w:vAlign w:val="bottom"/>
            <w:tcBorders>
              <w:top w:val="single" w:sz="8" w:color="auto"/>
              <w:bottom w:val="single" w:sz="8" w:color="auto"/>
            </w:tcBorders>
            <w:gridSpan w:val="3"/>
          </w:tcPr>
          <w:p>
            <w:pPr>
              <w:jc w:val="right"/>
              <w:ind w:right="371"/>
              <w:spacing w:after="0"/>
              <w:rPr>
                <w:sz w:val="20"/>
                <w:szCs w:val="20"/>
                <w:color w:val="auto"/>
              </w:rPr>
            </w:pPr>
            <w:r>
              <w:rPr>
                <w:rFonts w:ascii="Arial" w:cs="Arial" w:eastAsia="Arial" w:hAnsi="Arial"/>
                <w:sz w:val="15"/>
                <w:szCs w:val="15"/>
                <w:b w:val="1"/>
                <w:bCs w:val="1"/>
                <w:color w:val="auto"/>
                <w:w w:val="96"/>
              </w:rPr>
              <w:t>Unit Capability (MW) By Owner</w:t>
            </w:r>
            <w:r>
              <w:rPr>
                <w:rFonts w:ascii="Arial" w:cs="Arial" w:eastAsia="Arial" w:hAnsi="Arial"/>
                <w:sz w:val="20"/>
                <w:szCs w:val="20"/>
                <w:b w:val="1"/>
                <w:bCs w:val="1"/>
                <w:color w:val="auto"/>
                <w:w w:val="96"/>
                <w:vertAlign w:val="superscript"/>
              </w:rPr>
              <w:t>(a)</w:t>
            </w: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Evergy</w:t>
            </w:r>
          </w:p>
        </w:tc>
        <w:tc>
          <w:tcPr>
            <w:tcW w:w="6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Evergy</w:t>
            </w:r>
          </w:p>
        </w:tc>
        <w:tc>
          <w:tcPr>
            <w:tcW w:w="10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Renewable</w:t>
            </w:r>
          </w:p>
        </w:tc>
        <w:tc>
          <w:tcPr>
            <w:tcW w:w="110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89"/>
              </w:rPr>
              <w:t>Total Generation</w:t>
            </w:r>
          </w:p>
        </w:tc>
        <w:tc>
          <w:tcPr>
            <w:tcW w:w="0" w:type="dxa"/>
            <w:vAlign w:val="bottom"/>
          </w:tcPr>
          <w:p>
            <w:pPr>
              <w:spacing w:after="0"/>
              <w:rPr>
                <w:sz w:val="1"/>
                <w:szCs w:val="1"/>
                <w:color w:val="auto"/>
              </w:rPr>
            </w:pPr>
          </w:p>
        </w:tc>
      </w:tr>
      <w:tr>
        <w:trPr>
          <w:trHeight w:val="129"/>
        </w:trPr>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Evergy</w:t>
            </w:r>
          </w:p>
        </w:tc>
        <w:tc>
          <w:tcPr>
            <w:tcW w:w="840" w:type="dxa"/>
            <w:vAlign w:val="bottom"/>
            <w:vMerge w:val="continue"/>
          </w:tcPr>
          <w:p>
            <w:pPr>
              <w:spacing w:after="0"/>
              <w:rPr>
                <w:sz w:val="11"/>
                <w:szCs w:val="11"/>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Total Company</w:t>
            </w:r>
          </w:p>
        </w:tc>
        <w:tc>
          <w:tcPr>
            <w:tcW w:w="840" w:type="dxa"/>
            <w:vAlign w:val="bottom"/>
            <w:vMerge w:val="continue"/>
          </w:tcPr>
          <w:p>
            <w:pPr>
              <w:spacing w:after="0"/>
              <w:rPr>
                <w:sz w:val="11"/>
                <w:szCs w:val="11"/>
                <w:color w:val="auto"/>
              </w:rPr>
            </w:pPr>
          </w:p>
        </w:tc>
        <w:tc>
          <w:tcPr>
            <w:tcW w:w="110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88"/>
              </w:rPr>
              <w:t>and Renewable</w:t>
            </w:r>
          </w:p>
        </w:tc>
        <w:tc>
          <w:tcPr>
            <w:tcW w:w="0" w:type="dxa"/>
            <w:vAlign w:val="bottom"/>
          </w:tcPr>
          <w:p>
            <w:pPr>
              <w:spacing w:after="0"/>
              <w:rPr>
                <w:sz w:val="1"/>
                <w:szCs w:val="1"/>
                <w:color w:val="auto"/>
              </w:rPr>
            </w:pPr>
          </w:p>
        </w:tc>
      </w:tr>
      <w:tr>
        <w:trPr>
          <w:trHeight w:val="129"/>
        </w:trPr>
        <w:tc>
          <w:tcPr>
            <w:tcW w:w="17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Station</w:t>
            </w:r>
          </w:p>
        </w:tc>
        <w:tc>
          <w:tcPr>
            <w:tcW w:w="3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Unit No.</w:t>
            </w:r>
          </w:p>
        </w:tc>
        <w:tc>
          <w:tcPr>
            <w:tcW w:w="98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w w:val="89"/>
              </w:rPr>
              <w:t>Location</w:t>
            </w: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3"/>
              </w:rPr>
              <w:t>Year Completed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Fuel</w:t>
            </w:r>
          </w:p>
        </w:tc>
        <w:tc>
          <w:tcPr>
            <w:tcW w:w="90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Kansas</w:t>
            </w:r>
          </w:p>
        </w:tc>
        <w:tc>
          <w:tcPr>
            <w:tcW w:w="660" w:type="dxa"/>
            <w:vAlign w:val="bottom"/>
            <w:vMerge w:val="continue"/>
          </w:tcPr>
          <w:p>
            <w:pPr>
              <w:spacing w:after="0"/>
              <w:rPr>
                <w:sz w:val="11"/>
                <w:szCs w:val="11"/>
                <w:color w:val="auto"/>
              </w:rPr>
            </w:pPr>
          </w:p>
        </w:tc>
        <w:tc>
          <w:tcPr>
            <w:tcW w:w="84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90"/>
              </w:rPr>
              <w:t>Missouri</w:t>
            </w:r>
          </w:p>
        </w:tc>
        <w:tc>
          <w:tcPr>
            <w:tcW w:w="1060" w:type="dxa"/>
            <w:vAlign w:val="bottom"/>
            <w:vMerge w:val="continue"/>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Purchased</w:t>
            </w:r>
          </w:p>
        </w:tc>
        <w:tc>
          <w:tcPr>
            <w:tcW w:w="110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86"/>
        </w:trPr>
        <w:tc>
          <w:tcPr>
            <w:tcW w:w="1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Central</w:t>
            </w: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Metro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West</w:t>
            </w: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Generation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Power</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Power</w:t>
            </w:r>
          </w:p>
        </w:tc>
        <w:tc>
          <w:tcPr>
            <w:tcW w:w="0" w:type="dxa"/>
            <w:vAlign w:val="bottom"/>
          </w:tcPr>
          <w:p>
            <w:pPr>
              <w:spacing w:after="0"/>
              <w:rPr>
                <w:sz w:val="1"/>
                <w:szCs w:val="1"/>
                <w:color w:val="auto"/>
              </w:rPr>
            </w:pPr>
          </w:p>
        </w:tc>
      </w:tr>
      <w:tr>
        <w:trPr>
          <w:trHeight w:val="175"/>
        </w:trPr>
        <w:tc>
          <w:tcPr>
            <w:tcW w:w="1780" w:type="dxa"/>
            <w:vAlign w:val="bottom"/>
          </w:tcPr>
          <w:p>
            <w:pPr>
              <w:ind w:left="140"/>
              <w:spacing w:after="0"/>
              <w:rPr>
                <w:sz w:val="20"/>
                <w:szCs w:val="20"/>
                <w:color w:val="auto"/>
              </w:rPr>
            </w:pPr>
            <w:r>
              <w:rPr>
                <w:rFonts w:ascii="Arial" w:cs="Arial" w:eastAsia="Arial" w:hAnsi="Arial"/>
                <w:sz w:val="14"/>
                <w:szCs w:val="14"/>
                <w:b w:val="1"/>
                <w:bCs w:val="1"/>
                <w:color w:val="auto"/>
                <w:w w:val="99"/>
              </w:rPr>
              <w:t>Gas and Oil (continued):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40"/>
              <w:spacing w:after="0"/>
              <w:rPr>
                <w:sz w:val="20"/>
                <w:szCs w:val="20"/>
                <w:color w:val="auto"/>
              </w:rPr>
            </w:pPr>
            <w:r>
              <w:rPr>
                <w:rFonts w:ascii="Arial" w:cs="Arial" w:eastAsia="Arial" w:hAnsi="Arial"/>
                <w:sz w:val="14"/>
                <w:szCs w:val="14"/>
                <w:color w:val="auto"/>
              </w:rPr>
              <w:t>West Gardner</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ind w:left="91"/>
              <w:spacing w:after="0"/>
              <w:rPr>
                <w:sz w:val="20"/>
                <w:szCs w:val="20"/>
                <w:color w:val="auto"/>
              </w:rPr>
            </w:pPr>
            <w:r>
              <w:rPr>
                <w:rFonts w:ascii="Arial" w:cs="Arial" w:eastAsia="Arial" w:hAnsi="Arial"/>
                <w:sz w:val="14"/>
                <w:szCs w:val="14"/>
                <w:color w:val="auto"/>
                <w:w w:val="81"/>
              </w:rPr>
              <w:t>Kansas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- 4</w:t>
            </w:r>
          </w:p>
        </w:tc>
        <w:tc>
          <w:tcPr>
            <w:tcW w:w="98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309</w:t>
            </w:r>
          </w:p>
        </w:tc>
        <w:tc>
          <w:tcPr>
            <w:tcW w:w="84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77"/>
        </w:trPr>
        <w:tc>
          <w:tcPr>
            <w:tcW w:w="1780" w:type="dxa"/>
            <w:vAlign w:val="bottom"/>
          </w:tcPr>
          <w:p>
            <w:pPr>
              <w:ind w:left="140"/>
              <w:spacing w:after="0"/>
              <w:rPr>
                <w:sz w:val="20"/>
                <w:szCs w:val="20"/>
                <w:color w:val="auto"/>
              </w:rPr>
            </w:pPr>
            <w:r>
              <w:rPr>
                <w:rFonts w:ascii="Arial" w:cs="Arial" w:eastAsia="Arial" w:hAnsi="Arial"/>
                <w:sz w:val="14"/>
                <w:szCs w:val="14"/>
                <w:color w:val="auto"/>
              </w:rPr>
              <w:t>Osawatomie</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ind w:left="91"/>
              <w:spacing w:after="0"/>
              <w:rPr>
                <w:sz w:val="20"/>
                <w:szCs w:val="20"/>
                <w:color w:val="auto"/>
              </w:rPr>
            </w:pPr>
            <w:r>
              <w:rPr>
                <w:rFonts w:ascii="Arial" w:cs="Arial" w:eastAsia="Arial" w:hAnsi="Arial"/>
                <w:sz w:val="14"/>
                <w:szCs w:val="14"/>
                <w:color w:val="auto"/>
                <w:w w:val="81"/>
              </w:rPr>
              <w:t>Kansas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4"/>
                <w:szCs w:val="14"/>
                <w:color w:val="auto"/>
              </w:rPr>
              <w:t>1</w:t>
            </w:r>
          </w:p>
        </w:tc>
        <w:tc>
          <w:tcPr>
            <w:tcW w:w="9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w:t>
            </w:r>
          </w:p>
        </w:tc>
        <w:tc>
          <w:tcPr>
            <w:tcW w:w="84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7"/>
        </w:trPr>
        <w:tc>
          <w:tcPr>
            <w:tcW w:w="1780" w:type="dxa"/>
            <w:vAlign w:val="bottom"/>
          </w:tcPr>
          <w:p>
            <w:pPr>
              <w:ind w:left="140"/>
              <w:spacing w:after="0"/>
              <w:rPr>
                <w:sz w:val="20"/>
                <w:szCs w:val="20"/>
                <w:color w:val="auto"/>
              </w:rPr>
            </w:pPr>
            <w:r>
              <w:rPr>
                <w:rFonts w:ascii="Arial" w:cs="Arial" w:eastAsia="Arial" w:hAnsi="Arial"/>
                <w:sz w:val="14"/>
                <w:szCs w:val="14"/>
                <w:color w:val="auto"/>
              </w:rPr>
              <w:t>Ralph Green</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ind w:left="91"/>
              <w:spacing w:after="0"/>
              <w:rPr>
                <w:sz w:val="20"/>
                <w:szCs w:val="20"/>
                <w:color w:val="auto"/>
              </w:rPr>
            </w:pPr>
            <w:r>
              <w:rPr>
                <w:rFonts w:ascii="Arial" w:cs="Arial" w:eastAsia="Arial" w:hAnsi="Arial"/>
                <w:sz w:val="14"/>
                <w:szCs w:val="14"/>
                <w:color w:val="auto"/>
                <w:w w:val="95"/>
              </w:rPr>
              <w:t>Missouri</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4"/>
                <w:szCs w:val="14"/>
                <w:color w:val="auto"/>
              </w:rPr>
              <w:t>3</w:t>
            </w:r>
          </w:p>
        </w:tc>
        <w:tc>
          <w:tcPr>
            <w:tcW w:w="9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1981</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69</w:t>
            </w:r>
          </w:p>
        </w:tc>
        <w:tc>
          <w:tcPr>
            <w:tcW w:w="84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7"/>
        </w:trPr>
        <w:tc>
          <w:tcPr>
            <w:tcW w:w="1780" w:type="dxa"/>
            <w:vAlign w:val="bottom"/>
          </w:tcPr>
          <w:p>
            <w:pPr>
              <w:ind w:left="140"/>
              <w:spacing w:after="0"/>
              <w:rPr>
                <w:sz w:val="20"/>
                <w:szCs w:val="20"/>
                <w:color w:val="auto"/>
              </w:rPr>
            </w:pPr>
            <w:r>
              <w:rPr>
                <w:rFonts w:ascii="Arial" w:cs="Arial" w:eastAsia="Arial" w:hAnsi="Arial"/>
                <w:sz w:val="14"/>
                <w:szCs w:val="14"/>
                <w:color w:val="auto"/>
              </w:rPr>
              <w:t>Nevada</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ind w:left="91"/>
              <w:spacing w:after="0"/>
              <w:rPr>
                <w:sz w:val="20"/>
                <w:szCs w:val="20"/>
                <w:color w:val="auto"/>
              </w:rPr>
            </w:pPr>
            <w:r>
              <w:rPr>
                <w:rFonts w:ascii="Arial" w:cs="Arial" w:eastAsia="Arial" w:hAnsi="Arial"/>
                <w:sz w:val="14"/>
                <w:szCs w:val="14"/>
                <w:color w:val="auto"/>
                <w:w w:val="95"/>
              </w:rPr>
              <w:t>Missouri</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4"/>
                <w:szCs w:val="14"/>
                <w:color w:val="auto"/>
              </w:rPr>
              <w:t>1</w:t>
            </w:r>
          </w:p>
        </w:tc>
        <w:tc>
          <w:tcPr>
            <w:tcW w:w="9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Oil</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w:t>
            </w:r>
          </w:p>
        </w:tc>
        <w:tc>
          <w:tcPr>
            <w:tcW w:w="84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7"/>
        </w:trPr>
        <w:tc>
          <w:tcPr>
            <w:tcW w:w="1780" w:type="dxa"/>
            <w:vAlign w:val="bottom"/>
          </w:tcPr>
          <w:p>
            <w:pPr>
              <w:ind w:left="140"/>
              <w:spacing w:after="0"/>
              <w:rPr>
                <w:sz w:val="20"/>
                <w:szCs w:val="20"/>
                <w:color w:val="auto"/>
              </w:rPr>
            </w:pPr>
            <w:r>
              <w:rPr>
                <w:rFonts w:ascii="Arial" w:cs="Arial" w:eastAsia="Arial" w:hAnsi="Arial"/>
                <w:sz w:val="14"/>
                <w:szCs w:val="14"/>
                <w:color w:val="auto"/>
              </w:rPr>
              <w:t>Lake Road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ind w:left="91"/>
              <w:spacing w:after="0"/>
              <w:rPr>
                <w:sz w:val="20"/>
                <w:szCs w:val="20"/>
                <w:color w:val="auto"/>
              </w:rPr>
            </w:pPr>
            <w:r>
              <w:rPr>
                <w:rFonts w:ascii="Arial" w:cs="Arial" w:eastAsia="Arial" w:hAnsi="Arial"/>
                <w:sz w:val="14"/>
                <w:szCs w:val="14"/>
                <w:color w:val="auto"/>
                <w:w w:val="95"/>
              </w:rPr>
              <w:t>Missouri</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78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- 3</w:t>
            </w:r>
          </w:p>
        </w:tc>
        <w:tc>
          <w:tcPr>
            <w:tcW w:w="98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2" w:lineRule="exact"/>
              <w:rPr>
                <w:sz w:val="20"/>
                <w:szCs w:val="20"/>
                <w:color w:val="auto"/>
              </w:rPr>
            </w:pPr>
            <w:r>
              <w:rPr>
                <w:rFonts w:ascii="Arial" w:cs="Arial" w:eastAsia="Arial" w:hAnsi="Arial"/>
                <w:sz w:val="14"/>
                <w:szCs w:val="14"/>
                <w:color w:val="auto"/>
                <w:w w:val="91"/>
              </w:rPr>
              <w:t>1951, 1958 &amp;</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49</w:t>
            </w:r>
          </w:p>
        </w:tc>
        <w:tc>
          <w:tcPr>
            <w:tcW w:w="840" w:type="dxa"/>
            <w:vAlign w:val="bottom"/>
            <w:vMerge w:val="restart"/>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0"/>
        </w:trPr>
        <w:tc>
          <w:tcPr>
            <w:tcW w:w="178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1962</w:t>
            </w:r>
          </w:p>
        </w:tc>
        <w:tc>
          <w:tcPr>
            <w:tcW w:w="8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8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20" w:type="dxa"/>
            <w:vAlign w:val="bottom"/>
            <w:vMerge w:val="restart"/>
          </w:tcPr>
          <w:p>
            <w:pPr>
              <w:ind w:left="20"/>
              <w:spacing w:after="0"/>
              <w:rPr>
                <w:sz w:val="20"/>
                <w:szCs w:val="20"/>
                <w:color w:val="auto"/>
              </w:rPr>
            </w:pPr>
            <w:r>
              <w:rPr>
                <w:rFonts w:ascii="Arial" w:cs="Arial" w:eastAsia="Arial" w:hAnsi="Arial"/>
                <w:sz w:val="14"/>
                <w:szCs w:val="14"/>
                <w:color w:val="auto"/>
              </w:rPr>
              <w:t>- 7</w:t>
            </w:r>
          </w:p>
        </w:tc>
        <w:tc>
          <w:tcPr>
            <w:tcW w:w="98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color w:val="auto"/>
                <w:w w:val="91"/>
              </w:rPr>
              <w:t>1974, 1989 &amp;</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Oil</w:t>
            </w: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1060" w:type="dxa"/>
            <w:vAlign w:val="bottom"/>
            <w:vMerge w:val="restart"/>
          </w:tcPr>
          <w:p>
            <w:pPr>
              <w:jc w:val="right"/>
              <w:ind w:right="51"/>
              <w:spacing w:after="0"/>
              <w:rPr>
                <w:sz w:val="20"/>
                <w:szCs w:val="20"/>
                <w:color w:val="auto"/>
              </w:rPr>
            </w:pPr>
            <w:r>
              <w:rPr>
                <w:rFonts w:ascii="Arial" w:cs="Arial" w:eastAsia="Arial" w:hAnsi="Arial"/>
                <w:sz w:val="14"/>
                <w:szCs w:val="14"/>
                <w:color w:val="auto"/>
              </w:rPr>
              <w:t>89</w:t>
            </w:r>
          </w:p>
        </w:tc>
        <w:tc>
          <w:tcPr>
            <w:tcW w:w="840" w:type="dxa"/>
            <w:vAlign w:val="bottom"/>
            <w:vMerge w:val="restart"/>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1990</w:t>
            </w:r>
          </w:p>
        </w:tc>
        <w:tc>
          <w:tcPr>
            <w:tcW w:w="8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Steam Turbines</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4"/>
                <w:szCs w:val="14"/>
                <w:color w:val="auto"/>
              </w:rPr>
              <w:t>4</w:t>
            </w:r>
          </w:p>
        </w:tc>
        <w:tc>
          <w:tcPr>
            <w:tcW w:w="9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1967</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95</w:t>
            </w:r>
          </w:p>
        </w:tc>
        <w:tc>
          <w:tcPr>
            <w:tcW w:w="84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77"/>
        </w:trPr>
        <w:tc>
          <w:tcPr>
            <w:tcW w:w="1780" w:type="dxa"/>
            <w:vAlign w:val="bottom"/>
          </w:tcPr>
          <w:p>
            <w:pPr>
              <w:ind w:left="140"/>
              <w:spacing w:after="0"/>
              <w:rPr>
                <w:sz w:val="20"/>
                <w:szCs w:val="20"/>
                <w:color w:val="auto"/>
              </w:rPr>
            </w:pPr>
            <w:r>
              <w:rPr>
                <w:rFonts w:ascii="Arial" w:cs="Arial" w:eastAsia="Arial" w:hAnsi="Arial"/>
                <w:sz w:val="14"/>
                <w:szCs w:val="14"/>
                <w:color w:val="auto"/>
              </w:rPr>
              <w:t>Northeast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ind w:left="91"/>
              <w:spacing w:after="0"/>
              <w:rPr>
                <w:sz w:val="20"/>
                <w:szCs w:val="20"/>
                <w:color w:val="auto"/>
              </w:rPr>
            </w:pPr>
            <w:r>
              <w:rPr>
                <w:rFonts w:ascii="Arial" w:cs="Arial" w:eastAsia="Arial" w:hAnsi="Arial"/>
                <w:sz w:val="14"/>
                <w:szCs w:val="14"/>
                <w:color w:val="auto"/>
                <w:w w:val="95"/>
              </w:rPr>
              <w:t>Missouri</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- 18</w:t>
            </w:r>
          </w:p>
        </w:tc>
        <w:tc>
          <w:tcPr>
            <w:tcW w:w="9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1972 - 1977</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Oil</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380</w:t>
            </w:r>
          </w:p>
        </w:tc>
        <w:tc>
          <w:tcPr>
            <w:tcW w:w="84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77"/>
        </w:trPr>
        <w:tc>
          <w:tcPr>
            <w:tcW w:w="1780" w:type="dxa"/>
            <w:vAlign w:val="bottom"/>
          </w:tcPr>
          <w:p>
            <w:pPr>
              <w:ind w:left="140"/>
              <w:spacing w:after="0"/>
              <w:rPr>
                <w:sz w:val="20"/>
                <w:szCs w:val="20"/>
                <w:color w:val="auto"/>
              </w:rPr>
            </w:pPr>
            <w:r>
              <w:rPr>
                <w:rFonts w:ascii="Arial" w:cs="Arial" w:eastAsia="Arial" w:hAnsi="Arial"/>
                <w:sz w:val="14"/>
                <w:szCs w:val="14"/>
                <w:color w:val="auto"/>
              </w:rPr>
              <w:t>South Harper</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ind w:left="91"/>
              <w:spacing w:after="0"/>
              <w:rPr>
                <w:sz w:val="20"/>
                <w:szCs w:val="20"/>
                <w:color w:val="auto"/>
              </w:rPr>
            </w:pPr>
            <w:r>
              <w:rPr>
                <w:rFonts w:ascii="Arial" w:cs="Arial" w:eastAsia="Arial" w:hAnsi="Arial"/>
                <w:sz w:val="14"/>
                <w:szCs w:val="14"/>
                <w:color w:val="auto"/>
                <w:w w:val="95"/>
              </w:rPr>
              <w:t>Missouri</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- 3</w:t>
            </w:r>
          </w:p>
        </w:tc>
        <w:tc>
          <w:tcPr>
            <w:tcW w:w="9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2005</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311</w:t>
            </w:r>
          </w:p>
        </w:tc>
        <w:tc>
          <w:tcPr>
            <w:tcW w:w="84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77"/>
        </w:trPr>
        <w:tc>
          <w:tcPr>
            <w:tcW w:w="1780" w:type="dxa"/>
            <w:vAlign w:val="bottom"/>
          </w:tcPr>
          <w:p>
            <w:pPr>
              <w:ind w:left="140"/>
              <w:spacing w:after="0"/>
              <w:rPr>
                <w:sz w:val="20"/>
                <w:szCs w:val="20"/>
                <w:color w:val="auto"/>
              </w:rPr>
            </w:pPr>
            <w:r>
              <w:rPr>
                <w:rFonts w:ascii="Arial" w:cs="Arial" w:eastAsia="Arial" w:hAnsi="Arial"/>
                <w:sz w:val="14"/>
                <w:szCs w:val="14"/>
                <w:color w:val="auto"/>
                <w:w w:val="97"/>
              </w:rPr>
              <w:t>Greenwood Energy Center</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ind w:left="91"/>
              <w:spacing w:after="0"/>
              <w:rPr>
                <w:sz w:val="20"/>
                <w:szCs w:val="20"/>
                <w:color w:val="auto"/>
              </w:rPr>
            </w:pPr>
            <w:r>
              <w:rPr>
                <w:rFonts w:ascii="Arial" w:cs="Arial" w:eastAsia="Arial" w:hAnsi="Arial"/>
                <w:sz w:val="14"/>
                <w:szCs w:val="14"/>
                <w:color w:val="auto"/>
                <w:w w:val="95"/>
              </w:rPr>
              <w:t>Missouri</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- 4</w:t>
            </w:r>
          </w:p>
        </w:tc>
        <w:tc>
          <w:tcPr>
            <w:tcW w:w="9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1975 - 1979</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251</w:t>
            </w:r>
          </w:p>
        </w:tc>
        <w:tc>
          <w:tcPr>
            <w:tcW w:w="84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77"/>
        </w:trPr>
        <w:tc>
          <w:tcPr>
            <w:tcW w:w="1780" w:type="dxa"/>
            <w:vAlign w:val="bottom"/>
          </w:tcPr>
          <w:p>
            <w:pPr>
              <w:ind w:left="140"/>
              <w:spacing w:after="0"/>
              <w:rPr>
                <w:sz w:val="20"/>
                <w:szCs w:val="20"/>
                <w:color w:val="auto"/>
              </w:rPr>
            </w:pPr>
            <w:r>
              <w:rPr>
                <w:rFonts w:ascii="Arial" w:cs="Arial" w:eastAsia="Arial" w:hAnsi="Arial"/>
                <w:sz w:val="14"/>
                <w:szCs w:val="14"/>
                <w:color w:val="auto"/>
                <w:w w:val="97"/>
              </w:rPr>
              <w:t>Crossroads Energy Center</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ind w:left="91"/>
              <w:spacing w:after="0"/>
              <w:rPr>
                <w:sz w:val="20"/>
                <w:szCs w:val="20"/>
                <w:color w:val="auto"/>
              </w:rPr>
            </w:pPr>
            <w:r>
              <w:rPr>
                <w:rFonts w:ascii="Arial" w:cs="Arial" w:eastAsia="Arial" w:hAnsi="Arial"/>
                <w:sz w:val="14"/>
                <w:szCs w:val="14"/>
                <w:color w:val="auto"/>
                <w:w w:val="91"/>
              </w:rPr>
              <w:t>Mississippi</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Combustion Turbines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- 4</w:t>
            </w:r>
          </w:p>
        </w:tc>
        <w:tc>
          <w:tcPr>
            <w:tcW w:w="9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2002</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Natural Gas</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295</w:t>
            </w:r>
          </w:p>
        </w:tc>
        <w:tc>
          <w:tcPr>
            <w:tcW w:w="8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73"/>
        </w:trPr>
        <w:tc>
          <w:tcPr>
            <w:tcW w:w="17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Gas and Oil</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1,657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3,971</w:t>
            </w: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3,971</w:t>
            </w:r>
          </w:p>
        </w:tc>
        <w:tc>
          <w:tcPr>
            <w:tcW w:w="0" w:type="dxa"/>
            <w:vAlign w:val="bottom"/>
          </w:tcPr>
          <w:p>
            <w:pPr>
              <w:spacing w:after="0"/>
              <w:rPr>
                <w:sz w:val="1"/>
                <w:szCs w:val="1"/>
                <w:color w:val="auto"/>
              </w:rPr>
            </w:pPr>
          </w:p>
        </w:tc>
      </w:tr>
      <w:tr>
        <w:trPr>
          <w:trHeight w:val="182"/>
        </w:trPr>
        <w:tc>
          <w:tcPr>
            <w:tcW w:w="1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5,855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11,576</w:t>
            </w:r>
          </w:p>
        </w:tc>
        <w:tc>
          <w:tcPr>
            <w:tcW w:w="8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rPr>
              <w:t>3,820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15,396</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right="140" w:hanging="157"/>
        <w:spacing w:after="0" w:line="259" w:lineRule="auto"/>
        <w:tabs>
          <w:tab w:leader="none" w:pos="142"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Capability (except for wind generating facilities) represents estimated 2022 net generating capacity. Capability for wind generating facilities represents the nameplate capacity. Due to the intermittent nature of wind generation, these facilities are associated with a total of 1,788 MW of accredited generating capacity pursuant to SPP reliability standards.</w:t>
      </w:r>
    </w:p>
    <w:p>
      <w:pPr>
        <w:ind w:left="140" w:hanging="137"/>
        <w:spacing w:after="0" w:line="235"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Evergy Kansas Central renewable power purchase agreement.</w:t>
      </w:r>
    </w:p>
    <w:p>
      <w:pPr>
        <w:ind w:left="140" w:hanging="137"/>
        <w:spacing w:after="0" w:line="221" w:lineRule="auto"/>
        <w:tabs>
          <w:tab w:leader="none" w:pos="14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Evergy Kansas Central and Evergy Metro renewable power purchase agreement.</w:t>
      </w:r>
    </w:p>
    <w:p>
      <w:pPr>
        <w:ind w:left="140" w:hanging="137"/>
        <w:spacing w:after="0" w:line="235"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Evergy Metro renewable power purchase agreement.</w:t>
      </w:r>
    </w:p>
    <w:p>
      <w:pPr>
        <w:ind w:left="140" w:hanging="137"/>
        <w:spacing w:after="0" w:line="235"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Evergy Kansas Central and Evergy Missouri West renewable power purchase agreement.</w:t>
      </w:r>
    </w:p>
    <w:p>
      <w:pPr>
        <w:ind w:left="120" w:hanging="117"/>
        <w:spacing w:after="0" w:line="209" w:lineRule="auto"/>
        <w:tabs>
          <w:tab w:leader="none" w:pos="1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Evergy Missouri West renewable power purchase agreement.</w:t>
      </w:r>
    </w:p>
    <w:p>
      <w:pPr>
        <w:ind w:left="140" w:hanging="137"/>
        <w:spacing w:after="0" w:line="235"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Evergy Metro and Evergy Missouri West renewable power purchase agreement.</w:t>
      </w:r>
    </w:p>
    <w:p>
      <w:pPr>
        <w:ind w:left="140" w:hanging="137"/>
        <w:spacing w:after="0" w:line="235"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Share of a jointly owned unit.</w:t>
      </w:r>
    </w:p>
    <w:p>
      <w:pPr>
        <w:ind w:left="160" w:right="240" w:hanging="157"/>
        <w:spacing w:after="0" w:line="215" w:lineRule="auto"/>
        <w:tabs>
          <w:tab w:leader="none" w:pos="139"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See Note 4 to the consolidated financial statements for more information regarding the planned retirement of Lawrence Energy Center (LEC) Unit 4 which is expected to occur between December 2023 and the first half of 2024.</w:t>
      </w:r>
    </w:p>
    <w:p>
      <w:pPr>
        <w:ind w:left="160" w:right="400" w:hanging="157"/>
        <w:spacing w:after="0" w:line="217" w:lineRule="auto"/>
        <w:tabs>
          <w:tab w:leader="none" w:pos="12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In 1987, Evergy Kansas South entered into a sale-leaseback transaction involving its 50% interest in the La Cygne Unit 2. Evergy and Evergy Kansas Central consolidate the leasing entity as a variable interest entity (VIE). See Note 18 to the consolidated financial statements for more information.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40" w:hanging="137"/>
        <w:spacing w:after="0"/>
        <w:tabs>
          <w:tab w:leader="none" w:pos="14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Although the plant was completed in 1969, a new boiler, air quality control equipment and an uprated turbine were placed in service at the Hawthorn Generating Station in 2001.</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Transmission and Distribution Resources</w:t>
      </w:r>
    </w:p>
    <w:p>
      <w:pPr>
        <w:spacing w:after="0" w:line="2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Evergy's electric transmission system interconnects with systems of other utilities for reliability and to permit wholesale transactions with other electricity suppliers. Evergy has approximately 10,200 circuit miles of transmission lines, 44,900 circuit miles of overhead distribution lines and 15,500 circuit miles of underground distribution lines in Missouri and Kansas. Evergy has all material franchise rights necessary to sell electricity within its retail service territory. Evergy's transmission and distribution systems are routinely monitored for adequacy to meet customer needs. Management believes the current system has adequate capacity to serve customers.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Evergy's generating plants are located on property owned (or co-owned) by the Evergy Companies, except for certain facilities that are located on easements or are contractually controlled. Evergy's headquarters, service centers, electric substations and a portion of its transmission and distribution systems are located on property owned or leased by Evergy. Evergy's transmission and distribution systems are for the most part located above or underneath highways, streets, other public places or property owned by others. Evergy believes that it has satisfactory rights to use those places or properties in the form of permits, grants, easements, licenses or franchise rights; however, it has not necessarily undertaken efforts to examine the underlying title to the land upon which the rights rest.</w:t>
      </w:r>
    </w:p>
    <w:p>
      <w:pPr>
        <w:spacing w:after="0" w:line="170" w:lineRule="exact"/>
        <w:rPr>
          <w:sz w:val="20"/>
          <w:szCs w:val="20"/>
          <w:color w:val="auto"/>
        </w:rPr>
      </w:pPr>
    </w:p>
    <w:p>
      <w:pPr>
        <w:ind w:right="80"/>
        <w:spacing w:after="0" w:line="322" w:lineRule="auto"/>
        <w:rPr>
          <w:sz w:val="20"/>
          <w:szCs w:val="20"/>
          <w:color w:val="auto"/>
        </w:rPr>
      </w:pPr>
      <w:r>
        <w:rPr>
          <w:rFonts w:ascii="Arial" w:cs="Arial" w:eastAsia="Arial" w:hAnsi="Arial"/>
          <w:sz w:val="16"/>
          <w:szCs w:val="16"/>
          <w:color w:val="auto"/>
        </w:rPr>
        <w:t>Substantially all of the fixed property and franchises of the Evergy Companies, which consist principally of electric generating stations, electric transmission and distribution lines and systems, and buildings (subject to exceptions, reservations and releases), are subject to mortgage indentures pursuant to which bonds have been issued and are outstanding. See Note 12 to the consolidated financial statements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213" w:lineRule="exact"/>
        <w:rPr>
          <w:sz w:val="20"/>
          <w:szCs w:val="20"/>
          <w:color w:val="auto"/>
        </w:rPr>
      </w:pPr>
    </w:p>
    <w:p>
      <w:pPr>
        <w:jc w:val="both"/>
        <w:ind w:right="660"/>
        <w:spacing w:after="0" w:line="252" w:lineRule="auto"/>
        <w:rPr>
          <w:sz w:val="20"/>
          <w:szCs w:val="20"/>
          <w:color w:val="auto"/>
        </w:rPr>
      </w:pPr>
      <w:r>
        <w:rPr>
          <w:rFonts w:ascii="Arial" w:cs="Arial" w:eastAsia="Arial" w:hAnsi="Arial"/>
          <w:sz w:val="19"/>
          <w:szCs w:val="19"/>
          <w:color w:val="auto"/>
        </w:rPr>
        <w:t>The Evergy Companies are parties to various lawsuits and regulatory proceedings in the ordinary course of their respective businesses. For information regarding material lawsuits and proceedings, see Notes 4 and 14 to the consolidated financial statements. Such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4" w:name="page35"/>
    <w:bookmarkEnd w:id="3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INC.</w:t>
      </w:r>
    </w:p>
    <w:p>
      <w:pPr>
        <w:spacing w:after="0" w:line="23" w:lineRule="exact"/>
        <w:rPr>
          <w:sz w:val="20"/>
          <w:szCs w:val="20"/>
          <w:color w:val="auto"/>
        </w:rPr>
      </w:pPr>
    </w:p>
    <w:p>
      <w:pPr>
        <w:ind w:right="80"/>
        <w:spacing w:after="0" w:line="247" w:lineRule="auto"/>
        <w:rPr>
          <w:sz w:val="20"/>
          <w:szCs w:val="20"/>
          <w:color w:val="auto"/>
        </w:rPr>
      </w:pPr>
      <w:r>
        <w:rPr>
          <w:rFonts w:ascii="Arial" w:cs="Arial" w:eastAsia="Arial" w:hAnsi="Arial"/>
          <w:sz w:val="19"/>
          <w:szCs w:val="19"/>
          <w:color w:val="auto"/>
        </w:rPr>
        <w:t>Evergy's common stock is listed on the New York Stock Exchange under the symbol "EVRG." At February 18, 2022, Evergy's common stock was held by 18,297 shareholders of record.</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Graph</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following graph compares the performance of Evergy's common stock during the period that began on June 5, 2018 (the first day that Evergy's common stock traded), and ended on December 31, 2021, to the performance of the Standard &amp; Poor's 500 Index (S&amp;P 500) and the Standard &amp; Poor's Electric Utility Index (S&amp;P 500 Electric Utilities). The graph assumes a $100 investment in Evergy's common stock and in each of the indices at the beginning of the period and a reinvestment of dividends paid on such investments throughout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53340</wp:posOffset>
            </wp:positionV>
            <wp:extent cx="5026660" cy="3929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26660" cy="392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35" w:name="page36"/>
    <w:bookmarkEnd w:id="3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Purchases of Equity Securities</w:t>
      </w:r>
    </w:p>
    <w:p>
      <w:pPr>
        <w:spacing w:after="0" w:line="23" w:lineRule="exact"/>
        <w:rPr>
          <w:sz w:val="20"/>
          <w:szCs w:val="20"/>
          <w:color w:val="auto"/>
        </w:rPr>
      </w:pPr>
    </w:p>
    <w:p>
      <w:pPr>
        <w:ind w:right="380"/>
        <w:spacing w:after="0" w:line="247" w:lineRule="auto"/>
        <w:rPr>
          <w:sz w:val="20"/>
          <w:szCs w:val="20"/>
          <w:color w:val="auto"/>
        </w:rPr>
      </w:pPr>
      <w:r>
        <w:rPr>
          <w:rFonts w:ascii="Arial" w:cs="Arial" w:eastAsia="Arial" w:hAnsi="Arial"/>
          <w:sz w:val="19"/>
          <w:szCs w:val="19"/>
          <w:color w:val="auto"/>
        </w:rPr>
        <w:t>The following table provides information regarding purchases by Evergy of its equity securities that are registered pursuant to Section 12 of the Exchange Act during the three months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13867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center"/>
              <w:ind w:right="14"/>
              <w:spacing w:after="0" w:line="162" w:lineRule="exact"/>
              <w:rPr>
                <w:sz w:val="20"/>
                <w:szCs w:val="20"/>
                <w:color w:val="auto"/>
              </w:rPr>
            </w:pPr>
            <w:r>
              <w:rPr>
                <w:rFonts w:ascii="Arial" w:cs="Arial" w:eastAsia="Arial" w:hAnsi="Arial"/>
                <w:sz w:val="17"/>
                <w:szCs w:val="17"/>
                <w:b w:val="1"/>
                <w:bCs w:val="1"/>
                <w:color w:val="auto"/>
                <w:w w:val="92"/>
              </w:rPr>
              <w:t>Total Number of</w:t>
            </w:r>
          </w:p>
        </w:tc>
        <w:tc>
          <w:tcPr>
            <w:tcW w:w="232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7"/>
                <w:szCs w:val="17"/>
                <w:b w:val="1"/>
                <w:bCs w:val="1"/>
                <w:color w:val="auto"/>
                <w:w w:val="99"/>
              </w:rPr>
              <w:t>Maximum</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90"/>
              </w:rPr>
              <w:t>Shares (or Units)</w:t>
            </w:r>
          </w:p>
        </w:tc>
        <w:tc>
          <w:tcPr>
            <w:tcW w:w="232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1"/>
              </w:rPr>
              <w:t>Number of</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3100" w:type="dxa"/>
            <w:vAlign w:val="bottom"/>
            <w:vMerge w:val="restart"/>
          </w:tcPr>
          <w:p>
            <w:pPr>
              <w:jc w:val="center"/>
              <w:ind w:left="994"/>
              <w:spacing w:after="0"/>
              <w:rPr>
                <w:sz w:val="20"/>
                <w:szCs w:val="20"/>
                <w:color w:val="auto"/>
              </w:rPr>
            </w:pPr>
            <w:r>
              <w:rPr>
                <w:rFonts w:ascii="Arial" w:cs="Arial" w:eastAsia="Arial" w:hAnsi="Arial"/>
                <w:sz w:val="17"/>
                <w:szCs w:val="17"/>
                <w:b w:val="1"/>
                <w:bCs w:val="1"/>
                <w:color w:val="auto"/>
                <w:w w:val="93"/>
              </w:rPr>
              <w:t>Total Number of</w:t>
            </w:r>
          </w:p>
        </w:tc>
        <w:tc>
          <w:tcPr>
            <w:tcW w:w="1540" w:type="dxa"/>
            <w:vAlign w:val="bottom"/>
            <w:vMerge w:val="restart"/>
          </w:tcPr>
          <w:p>
            <w:pPr>
              <w:jc w:val="center"/>
              <w:ind w:right="154"/>
              <w:spacing w:after="0"/>
              <w:rPr>
                <w:sz w:val="20"/>
                <w:szCs w:val="20"/>
                <w:color w:val="auto"/>
              </w:rPr>
            </w:pPr>
            <w:r>
              <w:rPr>
                <w:rFonts w:ascii="Arial" w:cs="Arial" w:eastAsia="Arial" w:hAnsi="Arial"/>
                <w:sz w:val="17"/>
                <w:szCs w:val="17"/>
                <w:b w:val="1"/>
                <w:bCs w:val="1"/>
                <w:color w:val="auto"/>
                <w:w w:val="89"/>
              </w:rPr>
              <w:t>Average Price</w:t>
            </w:r>
          </w:p>
        </w:tc>
        <w:tc>
          <w:tcPr>
            <w:tcW w:w="162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86"/>
              </w:rPr>
              <w:t>Purchased as</w:t>
            </w:r>
          </w:p>
        </w:tc>
        <w:tc>
          <w:tcPr>
            <w:tcW w:w="232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1"/>
              </w:rPr>
              <w:t>Shares (or Units)</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62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93"/>
              </w:rPr>
              <w:t>Part of Publicly</w:t>
            </w:r>
          </w:p>
        </w:tc>
        <w:tc>
          <w:tcPr>
            <w:tcW w:w="232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3"/>
              </w:rPr>
              <w:t>that May Yet Be</w:t>
            </w:r>
          </w:p>
        </w:tc>
        <w:tc>
          <w:tcPr>
            <w:tcW w:w="0" w:type="dxa"/>
            <w:vAlign w:val="bottom"/>
          </w:tcPr>
          <w:p>
            <w:pPr>
              <w:spacing w:after="0"/>
              <w:rPr>
                <w:sz w:val="1"/>
                <w:szCs w:val="1"/>
                <w:color w:val="auto"/>
              </w:rPr>
            </w:pPr>
          </w:p>
        </w:tc>
      </w:tr>
      <w:tr>
        <w:trPr>
          <w:trHeight w:val="168"/>
        </w:trPr>
        <w:tc>
          <w:tcPr>
            <w:tcW w:w="26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Month</w:t>
            </w:r>
          </w:p>
        </w:tc>
        <w:tc>
          <w:tcPr>
            <w:tcW w:w="3100" w:type="dxa"/>
            <w:vAlign w:val="bottom"/>
          </w:tcPr>
          <w:p>
            <w:pPr>
              <w:jc w:val="center"/>
              <w:ind w:left="1014"/>
              <w:spacing w:after="0" w:line="167" w:lineRule="exact"/>
              <w:rPr>
                <w:sz w:val="20"/>
                <w:szCs w:val="20"/>
                <w:color w:val="auto"/>
              </w:rPr>
            </w:pPr>
            <w:r>
              <w:rPr>
                <w:rFonts w:ascii="Arial" w:cs="Arial" w:eastAsia="Arial" w:hAnsi="Arial"/>
                <w:sz w:val="17"/>
                <w:szCs w:val="17"/>
                <w:b w:val="1"/>
                <w:bCs w:val="1"/>
                <w:color w:val="auto"/>
                <w:w w:val="90"/>
              </w:rPr>
              <w:t>Shares (or Units)</w:t>
            </w:r>
          </w:p>
        </w:tc>
        <w:tc>
          <w:tcPr>
            <w:tcW w:w="1540" w:type="dxa"/>
            <w:vAlign w:val="bottom"/>
          </w:tcPr>
          <w:p>
            <w:pPr>
              <w:jc w:val="center"/>
              <w:ind w:right="114"/>
              <w:spacing w:after="0" w:line="167" w:lineRule="exact"/>
              <w:rPr>
                <w:sz w:val="20"/>
                <w:szCs w:val="20"/>
                <w:color w:val="auto"/>
              </w:rPr>
            </w:pPr>
            <w:r>
              <w:rPr>
                <w:rFonts w:ascii="Arial" w:cs="Arial" w:eastAsia="Arial" w:hAnsi="Arial"/>
                <w:sz w:val="17"/>
                <w:szCs w:val="17"/>
                <w:b w:val="1"/>
                <w:bCs w:val="1"/>
                <w:color w:val="auto"/>
                <w:w w:val="92"/>
              </w:rPr>
              <w:t>Paid per Share</w:t>
            </w:r>
          </w:p>
        </w:tc>
        <w:tc>
          <w:tcPr>
            <w:tcW w:w="162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89"/>
              </w:rPr>
              <w:t>Announced Plans</w:t>
            </w:r>
          </w:p>
        </w:tc>
        <w:tc>
          <w:tcPr>
            <w:tcW w:w="232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0"/>
              </w:rPr>
              <w:t>Purchased Under the Plans or</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auto"/>
            </w:tcBorders>
            <w:vMerge w:val="continue"/>
          </w:tcPr>
          <w:p>
            <w:pPr>
              <w:spacing w:after="0"/>
              <w:rPr>
                <w:sz w:val="19"/>
                <w:szCs w:val="19"/>
                <w:color w:val="auto"/>
              </w:rPr>
            </w:pPr>
          </w:p>
        </w:tc>
        <w:tc>
          <w:tcPr>
            <w:tcW w:w="3100" w:type="dxa"/>
            <w:vAlign w:val="bottom"/>
            <w:tcBorders>
              <w:bottom w:val="single" w:sz="8" w:color="auto"/>
            </w:tcBorders>
          </w:tcPr>
          <w:p>
            <w:pPr>
              <w:jc w:val="center"/>
              <w:ind w:left="994"/>
              <w:spacing w:after="0" w:line="219" w:lineRule="exact"/>
              <w:rPr>
                <w:sz w:val="20"/>
                <w:szCs w:val="20"/>
                <w:color w:val="auto"/>
              </w:rPr>
            </w:pPr>
            <w:r>
              <w:rPr>
                <w:rFonts w:ascii="Arial" w:cs="Arial" w:eastAsia="Arial" w:hAnsi="Arial"/>
                <w:sz w:val="17"/>
                <w:szCs w:val="17"/>
                <w:b w:val="1"/>
                <w:bCs w:val="1"/>
                <w:color w:val="auto"/>
                <w:w w:val="85"/>
              </w:rPr>
              <w:t>Purchased</w:t>
            </w:r>
            <w:r>
              <w:rPr>
                <w:rFonts w:ascii="Arial" w:cs="Arial" w:eastAsia="Arial" w:hAnsi="Arial"/>
                <w:sz w:val="22"/>
                <w:szCs w:val="22"/>
                <w:b w:val="1"/>
                <w:bCs w:val="1"/>
                <w:color w:val="auto"/>
                <w:w w:val="85"/>
                <w:vertAlign w:val="superscript"/>
              </w:rPr>
              <w:t>(a)</w:t>
            </w:r>
          </w:p>
        </w:tc>
        <w:tc>
          <w:tcPr>
            <w:tcW w:w="154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6"/>
              </w:rPr>
              <w:t>(or Unit)</w:t>
            </w:r>
          </w:p>
        </w:tc>
        <w:tc>
          <w:tcPr>
            <w:tcW w:w="16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0"/>
              </w:rPr>
              <w:t>or Programs</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Programs</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1 - 31</w:t>
            </w:r>
          </w:p>
        </w:tc>
        <w:tc>
          <w:tcPr>
            <w:tcW w:w="31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2320" w:type="dxa"/>
            <w:vAlign w:val="bottom"/>
            <w:shd w:val="clear" w:color="auto" w:fill="CCEEFF"/>
          </w:tcPr>
          <w:p>
            <w:pPr>
              <w:ind w:left="2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660" w:type="dxa"/>
            <w:vAlign w:val="bottom"/>
          </w:tcPr>
          <w:p>
            <w:pPr>
              <w:ind w:left="20"/>
              <w:spacing w:after="0"/>
              <w:rPr>
                <w:sz w:val="20"/>
                <w:szCs w:val="20"/>
                <w:color w:val="auto"/>
              </w:rPr>
            </w:pPr>
            <w:r>
              <w:rPr>
                <w:rFonts w:ascii="Arial" w:cs="Arial" w:eastAsia="Arial" w:hAnsi="Arial"/>
                <w:sz w:val="17"/>
                <w:szCs w:val="17"/>
                <w:color w:val="auto"/>
              </w:rPr>
              <w:t>November 1 - 30</w:t>
            </w:r>
          </w:p>
        </w:tc>
        <w:tc>
          <w:tcPr>
            <w:tcW w:w="3100" w:type="dxa"/>
            <w:vAlign w:val="bottom"/>
          </w:tcPr>
          <w:p>
            <w:pPr>
              <w:jc w:val="right"/>
              <w:ind w:right="74"/>
              <w:spacing w:after="0"/>
              <w:rPr>
                <w:sz w:val="20"/>
                <w:szCs w:val="20"/>
                <w:color w:val="auto"/>
              </w:rPr>
            </w:pPr>
            <w:r>
              <w:rPr>
                <w:rFonts w:ascii="Arial" w:cs="Arial" w:eastAsia="Arial" w:hAnsi="Arial"/>
                <w:sz w:val="17"/>
                <w:szCs w:val="17"/>
                <w:color w:val="auto"/>
              </w:rPr>
              <w:t>680</w:t>
            </w:r>
          </w:p>
        </w:tc>
        <w:tc>
          <w:tcPr>
            <w:tcW w:w="1540" w:type="dxa"/>
            <w:vAlign w:val="bottom"/>
          </w:tcPr>
          <w:p>
            <w:pPr>
              <w:jc w:val="right"/>
              <w:ind w:right="54"/>
              <w:spacing w:after="0"/>
              <w:rPr>
                <w:sz w:val="20"/>
                <w:szCs w:val="20"/>
                <w:color w:val="auto"/>
              </w:rPr>
            </w:pPr>
            <w:r>
              <w:rPr>
                <w:rFonts w:ascii="Arial" w:cs="Arial" w:eastAsia="Arial" w:hAnsi="Arial"/>
                <w:sz w:val="17"/>
                <w:szCs w:val="17"/>
                <w:color w:val="auto"/>
              </w:rPr>
              <w:t>$64.92</w:t>
            </w:r>
          </w:p>
        </w:tc>
        <w:tc>
          <w:tcPr>
            <w:tcW w:w="1620" w:type="dxa"/>
            <w:vAlign w:val="bottom"/>
          </w:tcPr>
          <w:p>
            <w:pPr>
              <w:ind w:left="1400"/>
              <w:spacing w:after="0"/>
              <w:rPr>
                <w:sz w:val="20"/>
                <w:szCs w:val="20"/>
                <w:color w:val="auto"/>
              </w:rPr>
            </w:pPr>
            <w:r>
              <w:rPr>
                <w:rFonts w:ascii="Arial" w:cs="Arial" w:eastAsia="Arial" w:hAnsi="Arial"/>
                <w:sz w:val="17"/>
                <w:szCs w:val="17"/>
                <w:color w:val="auto"/>
              </w:rPr>
              <w:t>—</w:t>
            </w:r>
          </w:p>
        </w:tc>
        <w:tc>
          <w:tcPr>
            <w:tcW w:w="2320" w:type="dxa"/>
            <w:vAlign w:val="bottom"/>
          </w:tcPr>
          <w:p>
            <w:pPr>
              <w:ind w:left="2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December 1 - 31</w:t>
            </w:r>
          </w:p>
        </w:tc>
        <w:tc>
          <w:tcPr>
            <w:tcW w:w="3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8,495</w:t>
            </w:r>
          </w:p>
        </w:tc>
        <w:tc>
          <w:tcPr>
            <w:tcW w:w="15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$68.56</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2320" w:type="dxa"/>
            <w:vAlign w:val="bottom"/>
            <w:tcBorders>
              <w:bottom w:val="single" w:sz="8" w:color="auto"/>
            </w:tcBorders>
            <w:shd w:val="clear" w:color="auto" w:fill="CCEEFF"/>
          </w:tcPr>
          <w:p>
            <w:pPr>
              <w:ind w:left="2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w:t>
            </w:r>
          </w:p>
        </w:tc>
        <w:tc>
          <w:tcPr>
            <w:tcW w:w="3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9,175</w:t>
            </w:r>
          </w:p>
        </w:tc>
        <w:tc>
          <w:tcPr>
            <w:tcW w:w="15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$68.29</w:t>
            </w:r>
          </w:p>
        </w:tc>
        <w:tc>
          <w:tcPr>
            <w:tcW w:w="162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rPr>
              <w:t>—</w:t>
            </w:r>
          </w:p>
        </w:tc>
        <w:tc>
          <w:tcPr>
            <w:tcW w:w="2320" w:type="dxa"/>
            <w:vAlign w:val="bottom"/>
            <w:tcBorders>
              <w:bottom w:val="single" w:sz="8" w:color="auto"/>
            </w:tcBorders>
          </w:tcPr>
          <w:p>
            <w:pPr>
              <w:ind w:left="2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60" w:hanging="157"/>
        <w:spacing w:after="0"/>
        <w:tabs>
          <w:tab w:leader="none" w:pos="16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Represents shares Evergy purchased for withholding taxes related to the vesting of restricted stock or restricted stock units.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Restrictions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For information regarding dividend restrictions, see Note 17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SELECTED FINANCIAL DATA</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The following combined MD&amp;A should be read in conjunction with the consolidated financial statements and accompanying notes in this combined annual report on Form 10-K. None of the registrants make any representation as to information related solely to Evergy, Evergy Kansas Central or Evergy Metro other than itself.</w:t>
      </w:r>
    </w:p>
    <w:p>
      <w:pPr>
        <w:spacing w:after="0" w:line="188" w:lineRule="exact"/>
        <w:rPr>
          <w:sz w:val="20"/>
          <w:szCs w:val="20"/>
          <w:color w:val="auto"/>
        </w:rPr>
      </w:pPr>
    </w:p>
    <w:p>
      <w:pPr>
        <w:jc w:val="both"/>
        <w:ind w:right="100"/>
        <w:spacing w:after="0" w:line="252" w:lineRule="auto"/>
        <w:rPr>
          <w:sz w:val="20"/>
          <w:szCs w:val="20"/>
          <w:color w:val="auto"/>
        </w:rPr>
      </w:pPr>
      <w:r>
        <w:rPr>
          <w:rFonts w:ascii="Arial" w:cs="Arial" w:eastAsia="Arial" w:hAnsi="Arial"/>
          <w:sz w:val="19"/>
          <w:szCs w:val="19"/>
          <w:color w:val="auto"/>
        </w:rPr>
        <w:t>The following MD&amp;A generally discusses 2021 and 2020 items and year-to-year comparisons between 2021 and 2020. Discussions of 2019 items and year-to-year comparisons between 2020 and 2019 can be found in MD&amp;A in Part II, Item 7, of the Evergy Companies' combined annual report on Form 10-K for the fiscal year ended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EVERGY, INC.</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EXECUTIVE SUMMARY</w:t>
      </w:r>
    </w:p>
    <w:p>
      <w:pPr>
        <w:spacing w:after="0" w:line="213"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Evergy is a public utility holding company incorporated in 2017 and headquartered in Kansas City, Missouri. Evergy operates primarily through the following wholly-owned direct subsidiaries listed below.</w:t>
      </w:r>
    </w:p>
    <w:p>
      <w:pPr>
        <w:spacing w:after="0" w:line="164" w:lineRule="exact"/>
        <w:rPr>
          <w:sz w:val="20"/>
          <w:szCs w:val="20"/>
          <w:color w:val="auto"/>
        </w:rPr>
      </w:pPr>
    </w:p>
    <w:p>
      <w:pPr>
        <w:ind w:left="620" w:right="60" w:hanging="307"/>
        <w:spacing w:after="0" w:line="264" w:lineRule="auto"/>
        <w:tabs>
          <w:tab w:leader="none" w:pos="609" w:val="left"/>
        </w:tabs>
        <w:numPr>
          <w:ilvl w:val="0"/>
          <w:numId w:val="15"/>
        </w:numPr>
        <w:rPr>
          <w:rFonts w:ascii="Arial" w:cs="Arial" w:eastAsia="Arial" w:hAnsi="Arial"/>
          <w:sz w:val="19"/>
          <w:szCs w:val="19"/>
          <w:color w:val="auto"/>
        </w:rPr>
      </w:pPr>
      <w:r>
        <w:rPr>
          <w:rFonts w:ascii="Arial" w:cs="Arial" w:eastAsia="Arial" w:hAnsi="Arial"/>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60" w:lineRule="exact"/>
        <w:rPr>
          <w:rFonts w:ascii="Arial" w:cs="Arial" w:eastAsia="Arial" w:hAnsi="Arial"/>
          <w:sz w:val="19"/>
          <w:szCs w:val="19"/>
          <w:color w:val="auto"/>
        </w:rPr>
      </w:pPr>
    </w:p>
    <w:p>
      <w:pPr>
        <w:ind w:left="620" w:hanging="30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Evergy Metro is an integrated, regulated electric utility that provides electricity to customers in the states of Missouri and Kansas.</w:t>
      </w:r>
    </w:p>
    <w:p>
      <w:pPr>
        <w:spacing w:after="0" w:line="115" w:lineRule="exact"/>
        <w:rPr>
          <w:rFonts w:ascii="Arial" w:cs="Arial" w:eastAsia="Arial" w:hAnsi="Arial"/>
          <w:sz w:val="18"/>
          <w:szCs w:val="18"/>
          <w:color w:val="auto"/>
        </w:rPr>
      </w:pPr>
    </w:p>
    <w:p>
      <w:pPr>
        <w:ind w:left="620" w:hanging="307"/>
        <w:spacing w:after="0"/>
        <w:tabs>
          <w:tab w:leader="none" w:pos="6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Evergy Missouri West is an integrated, regulated electric utility that provides electricity to customers in the state of Missouri.</w:t>
      </w:r>
    </w:p>
    <w:p>
      <w:pPr>
        <w:spacing w:after="0" w:line="103" w:lineRule="exact"/>
        <w:rPr>
          <w:rFonts w:ascii="Arial" w:cs="Arial" w:eastAsia="Arial" w:hAnsi="Arial"/>
          <w:sz w:val="19"/>
          <w:szCs w:val="19"/>
          <w:color w:val="auto"/>
        </w:rPr>
      </w:pPr>
    </w:p>
    <w:p>
      <w:pPr>
        <w:ind w:left="620" w:right="420" w:hanging="307"/>
        <w:spacing w:after="0" w:line="264" w:lineRule="auto"/>
        <w:tabs>
          <w:tab w:leader="none" w:pos="609" w:val="left"/>
        </w:tabs>
        <w:numPr>
          <w:ilvl w:val="0"/>
          <w:numId w:val="15"/>
        </w:numPr>
        <w:rPr>
          <w:rFonts w:ascii="Arial" w:cs="Arial" w:eastAsia="Arial" w:hAnsi="Arial"/>
          <w:sz w:val="19"/>
          <w:szCs w:val="19"/>
          <w:color w:val="auto"/>
        </w:rPr>
      </w:pPr>
      <w:r>
        <w:rPr>
          <w:rFonts w:ascii="Arial" w:cs="Arial" w:eastAsia="Arial" w:hAnsi="Arial"/>
          <w:sz w:val="19"/>
          <w:szCs w:val="19"/>
          <w:color w:val="auto"/>
        </w:rPr>
        <w:t>Evergy Transmission Company owns 13.5% of Transource with the remaining 86.5% owned by AEP Transmission Holding Company, LLC, a subsidiary of AEP. Transource is focused on the development 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left="620" w:right="520"/>
        <w:spacing w:after="0" w:line="264" w:lineRule="auto"/>
        <w:rPr>
          <w:sz w:val="20"/>
          <w:szCs w:val="20"/>
          <w:color w:val="auto"/>
        </w:rPr>
      </w:pPr>
      <w:r>
        <w:rPr>
          <w:rFonts w:ascii="Arial" w:cs="Arial" w:eastAsia="Arial" w:hAnsi="Arial"/>
          <w:sz w:val="19"/>
          <w:szCs w:val="19"/>
          <w:color w:val="auto"/>
        </w:rPr>
        <w:t>competitive electric transmission projects. Evergy Transmission Company accounts for its investment in Transource under the equity method.</w:t>
      </w:r>
    </w:p>
    <w:p>
      <w:pPr>
        <w:spacing w:after="0" w:line="164"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57"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1.6 million customers in the states of Kansas and Missouri. The Evergy Companies assess financial performance and allocate resources on a consolidated basis (i.e., operate in one segment).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Strategy</w:t>
      </w:r>
    </w:p>
    <w:p>
      <w:pPr>
        <w:spacing w:after="0" w:line="23" w:lineRule="exact"/>
        <w:rPr>
          <w:sz w:val="20"/>
          <w:szCs w:val="20"/>
          <w:color w:val="auto"/>
        </w:rPr>
      </w:pPr>
    </w:p>
    <w:p>
      <w:pPr>
        <w:ind w:right="300"/>
        <w:spacing w:after="0" w:line="304" w:lineRule="auto"/>
        <w:rPr>
          <w:sz w:val="20"/>
          <w:szCs w:val="20"/>
          <w:color w:val="auto"/>
        </w:rPr>
      </w:pPr>
      <w:r>
        <w:rPr>
          <w:rFonts w:ascii="Arial" w:cs="Arial" w:eastAsia="Arial" w:hAnsi="Arial"/>
          <w:sz w:val="17"/>
          <w:szCs w:val="17"/>
          <w:color w:val="auto"/>
        </w:rPr>
        <w:t>Evergy expects to continue operating its integrated utilities within the currently existing regulatory frameworks and is focused on empowering a better future for its customers, communities, employees and shareholders. The core tenets of Evergy's strategy are as follows:</w:t>
      </w:r>
    </w:p>
    <w:p>
      <w:pPr>
        <w:spacing w:after="0" w:line="30"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Affordability - working to keep rates affordable and improve regional rate competitiveness;</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Reliability - targeting top-tier performance in reliability, customer service and generation; and</w:t>
      </w:r>
    </w:p>
    <w:p>
      <w:pPr>
        <w:spacing w:after="0" w:line="30" w:lineRule="exact"/>
        <w:rPr>
          <w:rFonts w:ascii="Arial" w:cs="Arial" w:eastAsia="Arial" w:hAnsi="Arial"/>
          <w:sz w:val="19"/>
          <w:szCs w:val="19"/>
          <w:color w:val="auto"/>
        </w:rPr>
      </w:pPr>
    </w:p>
    <w:p>
      <w:pPr>
        <w:ind w:left="620" w:hanging="307"/>
        <w:spacing w:after="0"/>
        <w:tabs>
          <w:tab w:leader="none" w:pos="6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Sustainability - advancing ongoing CO</w:t>
      </w:r>
      <w:r>
        <w:rPr>
          <w:rFonts w:ascii="Arial" w:cs="Arial" w:eastAsia="Arial" w:hAnsi="Arial"/>
          <w:sz w:val="24"/>
          <w:szCs w:val="24"/>
          <w:color w:val="auto"/>
          <w:vertAlign w:val="subscript"/>
        </w:rPr>
        <w:t>2</w:t>
      </w:r>
      <w:r>
        <w:rPr>
          <w:rFonts w:ascii="Arial" w:cs="Arial" w:eastAsia="Arial" w:hAnsi="Arial"/>
          <w:sz w:val="19"/>
          <w:szCs w:val="19"/>
          <w:color w:val="auto"/>
        </w:rPr>
        <w:t xml:space="preserve"> emissions reductions and generation fleet transition.</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Significant elements of Evergy's plan to achieve its strategic objectives include:</w:t>
      </w:r>
    </w:p>
    <w:p>
      <w:pPr>
        <w:spacing w:after="0" w:line="104" w:lineRule="exact"/>
        <w:rPr>
          <w:sz w:val="20"/>
          <w:szCs w:val="20"/>
          <w:color w:val="auto"/>
        </w:rPr>
      </w:pPr>
    </w:p>
    <w:p>
      <w:pPr>
        <w:ind w:left="620" w:right="40" w:hanging="307"/>
        <w:spacing w:after="0" w:line="252" w:lineRule="auto"/>
        <w:tabs>
          <w:tab w:leader="none" w:pos="609" w:val="left"/>
        </w:tabs>
        <w:numPr>
          <w:ilvl w:val="0"/>
          <w:numId w:val="17"/>
        </w:numPr>
        <w:rPr>
          <w:rFonts w:ascii="Arial" w:cs="Arial" w:eastAsia="Arial" w:hAnsi="Arial"/>
          <w:sz w:val="19"/>
          <w:szCs w:val="19"/>
          <w:color w:val="auto"/>
        </w:rPr>
      </w:pPr>
      <w:r>
        <w:rPr>
          <w:rFonts w:ascii="Arial" w:cs="Arial" w:eastAsia="Arial" w:hAnsi="Arial"/>
          <w:sz w:val="19"/>
          <w:szCs w:val="19"/>
          <w:color w:val="auto"/>
        </w:rPr>
        <w:t>targeting an annual reduction of approximately $345 million of operating and maintenance expense by 2025 from 2018 adjusted operating and maintenance expense (non-GAAP) (see "Non-GAAP Measures" within this Executive Summary for a reconciliation of this non-GAAP measure to the most directly comparable GAAP measure);</w:t>
      </w:r>
    </w:p>
    <w:p>
      <w:pPr>
        <w:spacing w:after="0" w:line="72" w:lineRule="exact"/>
        <w:rPr>
          <w:rFonts w:ascii="Arial" w:cs="Arial" w:eastAsia="Arial" w:hAnsi="Arial"/>
          <w:sz w:val="19"/>
          <w:szCs w:val="19"/>
          <w:color w:val="auto"/>
        </w:rPr>
      </w:pPr>
    </w:p>
    <w:p>
      <w:pPr>
        <w:ind w:left="620" w:right="60" w:hanging="307"/>
        <w:spacing w:after="0" w:line="251" w:lineRule="auto"/>
        <w:tabs>
          <w:tab w:leader="none" w:pos="609" w:val="left"/>
        </w:tabs>
        <w:numPr>
          <w:ilvl w:val="0"/>
          <w:numId w:val="17"/>
        </w:numPr>
        <w:rPr>
          <w:rFonts w:ascii="Arial" w:cs="Arial" w:eastAsia="Arial" w:hAnsi="Arial"/>
          <w:sz w:val="19"/>
          <w:szCs w:val="19"/>
          <w:color w:val="auto"/>
        </w:rPr>
      </w:pPr>
      <w:r>
        <w:rPr>
          <w:rFonts w:ascii="Arial" w:cs="Arial" w:eastAsia="Arial" w:hAnsi="Arial"/>
          <w:sz w:val="19"/>
          <w:szCs w:val="19"/>
          <w:color w:val="auto"/>
        </w:rPr>
        <w:t>targeting approximately $10.7 billion of expected base capital investments through 2026 including approximately $2.0 billion in renewable generation. See "Liquidity and Capital Resources; Capital Expenditures", for further information regarding Evergy's projected capital expenditures through 2026; and</w:t>
      </w:r>
    </w:p>
    <w:p>
      <w:pPr>
        <w:spacing w:after="0" w:line="1" w:lineRule="exact"/>
        <w:rPr>
          <w:rFonts w:ascii="Arial" w:cs="Arial" w:eastAsia="Arial" w:hAnsi="Arial"/>
          <w:sz w:val="19"/>
          <w:szCs w:val="19"/>
          <w:color w:val="auto"/>
        </w:rPr>
      </w:pPr>
    </w:p>
    <w:p>
      <w:pPr>
        <w:ind w:left="620" w:right="80" w:hanging="307"/>
        <w:spacing w:after="0" w:line="259" w:lineRule="auto"/>
        <w:tabs>
          <w:tab w:leader="none" w:pos="609" w:val="left"/>
        </w:tabs>
        <w:numPr>
          <w:ilvl w:val="0"/>
          <w:numId w:val="17"/>
        </w:numPr>
        <w:rPr>
          <w:rFonts w:ascii="Arial" w:cs="Arial" w:eastAsia="Arial" w:hAnsi="Arial"/>
          <w:sz w:val="19"/>
          <w:szCs w:val="19"/>
          <w:color w:val="auto"/>
        </w:rPr>
      </w:pPr>
      <w:r>
        <w:rPr>
          <w:rFonts w:ascii="Arial" w:cs="Arial" w:eastAsia="Arial" w:hAnsi="Arial"/>
          <w:sz w:val="19"/>
          <w:szCs w:val="19"/>
          <w:color w:val="auto"/>
        </w:rPr>
        <w:t>targeting a 70% reduction of CO</w:t>
      </w:r>
      <w:r>
        <w:rPr>
          <w:rFonts w:ascii="Arial" w:cs="Arial" w:eastAsia="Arial" w:hAnsi="Arial"/>
          <w:sz w:val="24"/>
          <w:szCs w:val="24"/>
          <w:color w:val="auto"/>
          <w:vertAlign w:val="subscript"/>
        </w:rPr>
        <w:t>2</w:t>
      </w:r>
      <w:r>
        <w:rPr>
          <w:rFonts w:ascii="Arial" w:cs="Arial" w:eastAsia="Arial" w:hAnsi="Arial"/>
          <w:sz w:val="19"/>
          <w:szCs w:val="19"/>
          <w:color w:val="auto"/>
        </w:rPr>
        <w:t xml:space="preserve"> emissions by 2030 (from 2005 levels) and net-zero by 2045 through the continued growth of Evergy's renewable energy portfolio and the retirement of older and less efficient fossil fuel plants. See "Transitioning Evergy's Generation Fleet" in Part I, Item 1., Business,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See "Cautionary Statements Regarding Certain Forward-Looking Information" and Part I, Item 1A, Risk Factors,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Regulatory Proceedings</w:t>
      </w:r>
    </w:p>
    <w:p>
      <w:pPr>
        <w:spacing w:after="0" w:line="2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January 2022, Evergy Metro and Evergy Missouri West filed applications with the MPSC to request increases to their retail electric revenues of $43.9 million and $27.7 million, respectively, before rebasing fuel and purchased power expense, with a return on equity of 10%. The requests reflect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Metro and Evergy Missouri West are also requesting the implementation of tracking mechanisms for both property tax expense and credit loss expense and the creation of a storm reserve as part of their requests with the MPSC.</w:t>
      </w:r>
    </w:p>
    <w:p>
      <w:pPr>
        <w:spacing w:after="0" w:line="156" w:lineRule="exact"/>
        <w:rPr>
          <w:sz w:val="20"/>
          <w:szCs w:val="20"/>
          <w:color w:val="auto"/>
        </w:rPr>
      </w:pPr>
    </w:p>
    <w:p>
      <w:pPr>
        <w:ind w:right="360"/>
        <w:spacing w:after="0" w:line="264" w:lineRule="auto"/>
        <w:rPr>
          <w:sz w:val="20"/>
          <w:szCs w:val="20"/>
          <w:color w:val="auto"/>
        </w:rPr>
      </w:pPr>
      <w:r>
        <w:rPr>
          <w:rFonts w:ascii="Arial" w:cs="Arial" w:eastAsia="Arial" w:hAnsi="Arial"/>
          <w:sz w:val="19"/>
          <w:szCs w:val="19"/>
          <w:color w:val="auto"/>
        </w:rPr>
        <w:t>See Note 4 to the consolidated financial statements for further information regarding the Missouri rate cases in addition to information on other regulatory proceedings.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7" w:name="page38"/>
    <w:bookmarkEnd w:id="3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Equity Investment</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time to time, Evergy makes limited equity investments in early-stage energy solution companies. These investments have historically not had a significant impact on Evergy's results of operations. In October 2021, an equity investment in which Evergy held a minority stake through an initial investment of $3.7 million was acquired through a transaction involving a special purpose acquisition company (SPAC). As a result of its equity investment in the company that was acquired in the SPAC transaction, Evergy received shares of the resulting public company upon the closing of the transaction, which are subject to a restriction on sale for 150 days. Evergy recorded a $27.7 million unrealized gain in the fourth quarter of 2021 for the conversion of its shares into the newly formed public company and based on the closing share price as of December 31, 2021 adjusted to reflect the restriction on the sale of the shares. The fair value of Evergy's investment is largely dependent on the performance of the new public company's stock, which is subject to significant market volatility and also affected by the restriction on sale of the shares until March 2022, when the restriction expires. Evergy uses adjusted earnings (non-GAAP) and adjusted EPS (non-GAAP) to evaluate earnings and EPS without the gains or losses related to equity investments which are subject to a restriction on sale that can create period to period volatility. See "Non-GAAP Measures" within this Executive Summary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LEC Unit 4 Securitization</w:t>
      </w:r>
    </w:p>
    <w:p>
      <w:pPr>
        <w:spacing w:after="0" w:line="23" w:lineRule="exact"/>
        <w:rPr>
          <w:sz w:val="20"/>
          <w:szCs w:val="20"/>
          <w:color w:val="auto"/>
        </w:rPr>
      </w:pPr>
    </w:p>
    <w:p>
      <w:pPr>
        <w:ind w:right="200"/>
        <w:spacing w:after="0" w:line="241" w:lineRule="auto"/>
        <w:rPr>
          <w:sz w:val="20"/>
          <w:szCs w:val="20"/>
          <w:color w:val="auto"/>
        </w:rPr>
      </w:pPr>
      <w:r>
        <w:rPr>
          <w:rFonts w:ascii="Arial" w:cs="Arial" w:eastAsia="Arial" w:hAnsi="Arial"/>
          <w:sz w:val="19"/>
          <w:szCs w:val="19"/>
          <w:color w:val="auto"/>
        </w:rPr>
        <w:t>In April 2021, the state of Kansas passed the Utility Financing and Securitization Act (UFSA) which allows certain public utilities, including Evergy Kansas Central and Evergy Metro, to securitize utility assets in order to recover energy transition costs relating to the early retirement of certain generating assets. To recover the energy transition costs through securitization as allowed in the UFSA, a public utility must obtain a predetermination order from the KCC finding that the retirement of the subject generation facility is reasonable. Upon the receipt of a successful predetermination order, the public utility must then file an application with the KCC for a financing order to issue securitized bonds to recover the energy transition costs. The UFSA also allows the pursuit of securitization to help finance qualified extraordinary expenses, such as fuel costs incurred during extreme weather events.</w:t>
      </w:r>
    </w:p>
    <w:p>
      <w:pPr>
        <w:spacing w:after="0" w:line="189"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In September 2021, Evergy Kansas Central filed a predetermination request with the KCC for the ratemaking principles and treatment related to its planned investment in approximately 190 MW of solar generation and the planned retirement of coal-fired LEC Unit 4 and related coal-handling facilities for LEC Units 4 and 5, both of which are expected to occur between December 2023 and the first half of 2024. In February 2022, Evergy Kansas Central withdrew its predetermination request with the KCC in order to finalize definitive documentation associated with the solar investment and to develop additional information to enable the KCC to evaluate its predetermination request. Evergy Kansas Central anticipates refiling its predetermination request, including this additional information, later in 2022.</w:t>
      </w:r>
    </w:p>
    <w:p>
      <w:pPr>
        <w:spacing w:after="0" w:line="153"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If the KCC finds that Evergy Kansas Central's planned retirement of LEC Unit 4 and investment in 190 MW of solar generation is prudent as part of a predetermination request, Evergy Kansas Central then plans to file an application with the KCC for a financing order authorizing the issuance of securitized bonds to recover energy transition costs associated with the retirement of LEC Unit 4 and the related coal-handling facilities for LEC Units 4 and 5.</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February 2021 Winter Weather Event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much of the central and southern United States, including the service territories of the Evergy Companies, experienced a</w:t>
      </w:r>
    </w:p>
    <w:p>
      <w:pPr>
        <w:spacing w:after="0" w:line="2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significant winter weather event that resulted in extremely cold temperatures over a multi-day period (February 2021 winter weather event). The February 2021 winter weather event resulted in an increase in the demand for natural gas used by the Evergy Companies for generating electricity and also contributed to the limited availability of other generation resources, including coal and renewables, within the SPP Integrated Marketplace. As part of the February 2021 winter weather event, Evergy incurred natural gas and purchased power costs, net of wholesale revenues, of $365.5 million. This $365.5 million of net fuel and purchased power costs was primarily driven by $296.4 million of costs at Evergy Missouri West and $133.9 million of costs at Evergy Kansas Central, partially offset by $64.8 million of net wholesale revenues at Evergy Metro. The amount of purchased power costs incurred by the Evergy Companies during the February 2021 winter weather event is subject to resettlement activity and further review by the SPP. This review and any subsequent resettlement activity could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280"/>
        <w:spacing w:after="0" w:line="264" w:lineRule="auto"/>
        <w:rPr>
          <w:sz w:val="20"/>
          <w:szCs w:val="20"/>
          <w:color w:val="auto"/>
        </w:rPr>
      </w:pPr>
      <w:r>
        <w:rPr>
          <w:rFonts w:ascii="Arial" w:cs="Arial" w:eastAsia="Arial" w:hAnsi="Arial"/>
          <w:sz w:val="19"/>
          <w:szCs w:val="19"/>
          <w:color w:val="auto"/>
        </w:rPr>
        <w:t>result in increases or decreases to the final amount of purchased power costs incurred by the Evergy Companies during the February 2021 winter weather event and these changes could be material.</w:t>
      </w:r>
    </w:p>
    <w:p>
      <w:pPr>
        <w:spacing w:after="0" w:line="16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As of December 31, 2021, the Evergy Companies have deferred substantially all of the fuel and purchased power costs, net of wholesale revenues, related to the February 2021 winter weather event to a regulatory asset or liability pursuant to their fuel recovery mechanisms and an emergency AAO issued by the KCC in February 2021. Further, in June 2021, Evergy Metro and Evergy Missouri West filed a joint request for an AAO with the MPSC regarding the deferral and subsequent recovery or refund of the February 2021 winter weather event amounts. While the Evergy Companies expect to recover substantially all of any increased fuel and purchased power costs related to the February 2021 winter weather event from customers, the timing of the cost recovery could be delayed or spread over a longer than typical recovery timeframe by the KCC or the MPSC to help moderate monthly customer bill impacts given the extraordinary nature of the February 2021 winter weather event.</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across the central and southern United States driven by the February 2021 winter weather event discussed above, Evergy and Evergy Kansas Central recorded $94.5 million of energy marketing margins in 2021 related to the February 2021 winter weather event, primarily driven by activities in the Electric Reliability Council of Texas (ERCOT).</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See Notes 1 and 4 to the consolidated financial statements for additional information regarding the February 2021 winter weather event and related AAOs.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Bluescape Energy Partners, LLC (Bluescape) Securities Purchase Agreement</w:t>
      </w:r>
    </w:p>
    <w:p>
      <w:pPr>
        <w:spacing w:after="0" w:line="23"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See Note 17 to the consolidated financial statements for information regarding Evergy's securities purchase agreement with an affiliate of Bluescape to purchase Evergy's common stock and a warrant that was completed in April 2021.</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Impact of COVID-19</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See Part I, Item 1A, Risk Factors for information regarding the impact of COVID-19 on the Evergy Companies.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Earnings Overview</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Evergy's net income and diluted earnings per share (EPS).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9"/>
              </w:rPr>
              <w:t>Change</w:t>
            </w:r>
          </w:p>
        </w:tc>
        <w:tc>
          <w:tcPr>
            <w:tcW w:w="3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2020</w:t>
            </w:r>
          </w:p>
        </w:tc>
      </w:tr>
      <w:tr>
        <w:trPr>
          <w:trHeight w:val="196"/>
        </w:trPr>
        <w:tc>
          <w:tcPr>
            <w:tcW w:w="52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320" w:type="dxa"/>
            <w:vAlign w:val="bottom"/>
            <w:gridSpan w:val="5"/>
          </w:tcPr>
          <w:p>
            <w:pPr>
              <w:jc w:val="right"/>
              <w:ind w:right="554"/>
              <w:spacing w:after="0"/>
              <w:rPr>
                <w:sz w:val="20"/>
                <w:szCs w:val="20"/>
                <w:color w:val="auto"/>
              </w:rPr>
            </w:pPr>
            <w:r>
              <w:rPr>
                <w:rFonts w:ascii="Arial" w:cs="Arial" w:eastAsia="Arial" w:hAnsi="Arial"/>
                <w:sz w:val="15"/>
                <w:szCs w:val="15"/>
                <w:color w:val="auto"/>
              </w:rPr>
              <w:t>(millions, except per share amounts)</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Evergy, Inc.</w:t>
            </w:r>
          </w:p>
        </w:tc>
        <w:tc>
          <w:tcPr>
            <w:tcW w:w="27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879.7</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261.4</w:t>
            </w: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618.3</w:t>
            </w:r>
          </w:p>
        </w:tc>
      </w:tr>
      <w:tr>
        <w:trPr>
          <w:trHeight w:val="22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Earnings per common share, diluted</w:t>
            </w:r>
          </w:p>
        </w:tc>
        <w:tc>
          <w:tcPr>
            <w:tcW w:w="2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3.83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1.11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r>
    </w:tbl>
    <w:p>
      <w:pPr>
        <w:spacing w:after="0" w:line="280" w:lineRule="exact"/>
        <w:rPr>
          <w:sz w:val="20"/>
          <w:szCs w:val="20"/>
          <w:color w:val="auto"/>
        </w:rPr>
      </w:pPr>
    </w:p>
    <w:p>
      <w:pPr>
        <w:jc w:val="both"/>
        <w:ind w:right="280"/>
        <w:spacing w:after="0" w:line="267" w:lineRule="auto"/>
        <w:rPr>
          <w:sz w:val="20"/>
          <w:szCs w:val="20"/>
          <w:color w:val="auto"/>
        </w:rPr>
      </w:pPr>
      <w:r>
        <w:rPr>
          <w:rFonts w:ascii="Arial" w:cs="Arial" w:eastAsia="Arial" w:hAnsi="Arial"/>
          <w:sz w:val="18"/>
          <w:szCs w:val="18"/>
          <w:color w:val="auto"/>
        </w:rPr>
        <w:t>Net income attributable to Evergy, Inc. increased in 2021, compared to 2020, primarily due to non-regulated energy marketing margins related to the February 2021 winter weather event, higher retail sales driven by favorable weather and demand, lower operating and maintenance expenses, higher equity allowance for funds used during construction (AFUDC), higher investment earnings and lower interest expense; partially offset by higher property taxes, higher depreciation expense and higher income tax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increased in 2021, compared to 2020, primarily due to the increase in net income attributable to Evergy, Inc. discussed above.</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Measures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Adjusted Earnings (non-GAAP) and Adjusted EPS (non-GAAP)</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Evergy's adjusted earnings (non-GAAP) and adjusted EPS (non-GAAP) for 2021 were $812.6 million or $3.54 per share, respectively. For 2020, Evergy's adjusted earnings (non-GAAP) and adjusted EPS (non-GAAP) were $705.5 million or $3.10 per share, respectively. In addition to net income attributable to Evergy, Inc. and diluted EPS, Evergy's management uses adjusted earnings (non-GAAP) and adjusted EPS (non-GAAP) to evaluate earnings and EPS without the income or costs resulting from non-regulated energy marketing margins from the February 2021 winter weather event and gains or losses related to equity investments which are subject to a restriction on sale that can create period to period volatility, as well as costs resulting from executive transition, severance, advisor expenses, COVID-19 vaccine incentives and the revaluation of deferred tax assets and liabilities from the Kansas corporate income tax rate change.</w:t>
      </w:r>
    </w:p>
    <w:p>
      <w:pPr>
        <w:spacing w:after="0" w:line="173"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Adjusted earnings (non-GAAP) and adjusted EPS (non-GAAP) are intended to enhance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80" w:lineRule="exact"/>
        <w:rPr>
          <w:sz w:val="20"/>
          <w:szCs w:val="20"/>
          <w:color w:val="auto"/>
        </w:rPr>
      </w:pPr>
    </w:p>
    <w:p>
      <w:pPr>
        <w:ind w:right="380"/>
        <w:spacing w:after="0" w:line="264" w:lineRule="auto"/>
        <w:rPr>
          <w:sz w:val="20"/>
          <w:szCs w:val="20"/>
          <w:color w:val="auto"/>
        </w:rPr>
      </w:pPr>
      <w:r>
        <w:rPr>
          <w:rFonts w:ascii="Arial" w:cs="Arial" w:eastAsia="Arial" w:hAnsi="Arial"/>
          <w:sz w:val="19"/>
          <w:szCs w:val="19"/>
          <w:color w:val="auto"/>
        </w:rPr>
        <w:t>The following table provides a reconciliation between net income attributable to Evergy, Inc. and diluted EPS as determined in accordance with GAAP and adjusted earnings (non-GAAP) and adjusted EPS (non-GAAP).</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194"/>
              <w:spacing w:after="0"/>
              <w:rPr>
                <w:sz w:val="20"/>
                <w:szCs w:val="20"/>
                <w:color w:val="auto"/>
              </w:rPr>
            </w:pPr>
            <w:r>
              <w:rPr>
                <w:rFonts w:ascii="Arial" w:cs="Arial" w:eastAsia="Arial" w:hAnsi="Arial"/>
                <w:sz w:val="17"/>
                <w:szCs w:val="17"/>
                <w:b w:val="1"/>
                <w:bCs w:val="1"/>
                <w:color w:val="auto"/>
                <w:w w:val="93"/>
              </w:rPr>
              <w:t>Earnings</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b w:val="1"/>
                <w:bCs w:val="1"/>
                <w:color w:val="auto"/>
                <w:w w:val="98"/>
              </w:rPr>
              <w:t>Earnings</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ind w:right="194"/>
              <w:spacing w:after="0"/>
              <w:rPr>
                <w:sz w:val="20"/>
                <w:szCs w:val="20"/>
                <w:color w:val="auto"/>
              </w:rPr>
            </w:pPr>
            <w:r>
              <w:rPr>
                <w:rFonts w:ascii="Arial" w:cs="Arial" w:eastAsia="Arial" w:hAnsi="Arial"/>
                <w:sz w:val="17"/>
                <w:szCs w:val="17"/>
                <w:b w:val="1"/>
                <w:bCs w:val="1"/>
                <w:color w:val="auto"/>
                <w:w w:val="96"/>
              </w:rPr>
              <w:t>Earnings</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34"/>
              <w:spacing w:after="0" w:line="194" w:lineRule="exact"/>
              <w:rPr>
                <w:sz w:val="20"/>
                <w:szCs w:val="20"/>
                <w:color w:val="auto"/>
              </w:rPr>
            </w:pPr>
            <w:r>
              <w:rPr>
                <w:rFonts w:ascii="Arial" w:cs="Arial" w:eastAsia="Arial" w:hAnsi="Arial"/>
                <w:sz w:val="17"/>
                <w:szCs w:val="17"/>
                <w:b w:val="1"/>
                <w:bCs w:val="1"/>
                <w:color w:val="auto"/>
                <w:w w:val="90"/>
              </w:rPr>
              <w:t>Earnings</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34"/>
              <w:spacing w:after="0" w:line="167" w:lineRule="exact"/>
              <w:rPr>
                <w:sz w:val="20"/>
                <w:szCs w:val="20"/>
                <w:color w:val="auto"/>
              </w:rPr>
            </w:pPr>
            <w:r>
              <w:rPr>
                <w:rFonts w:ascii="Arial" w:cs="Arial" w:eastAsia="Arial" w:hAnsi="Arial"/>
                <w:sz w:val="17"/>
                <w:szCs w:val="17"/>
                <w:b w:val="1"/>
                <w:bCs w:val="1"/>
                <w:color w:val="auto"/>
                <w:w w:val="92"/>
              </w:rPr>
              <w:t>(Loss) per</w:t>
            </w: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34"/>
              <w:spacing w:after="0" w:line="167" w:lineRule="exact"/>
              <w:rPr>
                <w:sz w:val="20"/>
                <w:szCs w:val="20"/>
                <w:color w:val="auto"/>
              </w:rPr>
            </w:pPr>
            <w:r>
              <w:rPr>
                <w:rFonts w:ascii="Arial" w:cs="Arial" w:eastAsia="Arial" w:hAnsi="Arial"/>
                <w:sz w:val="17"/>
                <w:szCs w:val="17"/>
                <w:b w:val="1"/>
                <w:bCs w:val="1"/>
                <w:color w:val="auto"/>
                <w:w w:val="89"/>
              </w:rPr>
              <w:t>(Loss) per</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(Loss)</w:t>
            </w: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w w:val="98"/>
              </w:rPr>
              <w:t>Diluted Share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(Loss)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3"/>
              </w:rPr>
              <w:t>Diluted Share</w:t>
            </w:r>
          </w:p>
        </w:tc>
        <w:tc>
          <w:tcPr>
            <w:tcW w:w="0" w:type="dxa"/>
            <w:vAlign w:val="bottom"/>
          </w:tcPr>
          <w:p>
            <w:pPr>
              <w:spacing w:after="0"/>
              <w:rPr>
                <w:sz w:val="1"/>
                <w:szCs w:val="1"/>
                <w:color w:val="auto"/>
              </w:rPr>
            </w:pPr>
          </w:p>
        </w:tc>
      </w:tr>
      <w:tr>
        <w:trPr>
          <w:trHeight w:val="212"/>
        </w:trPr>
        <w:tc>
          <w:tcPr>
            <w:tcW w:w="5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2021</w:t>
            </w: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60" w:type="dxa"/>
            <w:vAlign w:val="bottom"/>
            <w:gridSpan w:val="4"/>
          </w:tcPr>
          <w:p>
            <w:pPr>
              <w:ind w:left="100"/>
              <w:spacing w:after="0"/>
              <w:rPr>
                <w:sz w:val="20"/>
                <w:szCs w:val="20"/>
                <w:color w:val="auto"/>
              </w:rPr>
            </w:pPr>
            <w:r>
              <w:rPr>
                <w:rFonts w:ascii="Arial" w:cs="Arial" w:eastAsia="Arial" w:hAnsi="Arial"/>
                <w:sz w:val="15"/>
                <w:szCs w:val="15"/>
                <w:color w:val="auto"/>
                <w:w w:val="96"/>
              </w:rPr>
              <w:t>(millions, except per share amounts)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Evergy, Inc.</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879.7</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3.83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618.3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Arial" w:cs="Arial" w:eastAsia="Arial" w:hAnsi="Arial"/>
                <w:sz w:val="17"/>
                <w:szCs w:val="17"/>
                <w:color w:val="auto"/>
              </w:rPr>
              <w:t>Non-GAAP reconciling items:</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680" w:type="dxa"/>
            <w:vAlign w:val="bottom"/>
            <w:shd w:val="clear" w:color="auto" w:fill="CCEEFF"/>
          </w:tcPr>
          <w:p>
            <w:pPr>
              <w:ind w:left="320"/>
              <w:spacing w:after="0" w:line="168" w:lineRule="exact"/>
              <w:rPr>
                <w:sz w:val="20"/>
                <w:szCs w:val="20"/>
                <w:color w:val="auto"/>
              </w:rPr>
            </w:pPr>
            <w:r>
              <w:rPr>
                <w:rFonts w:ascii="Arial" w:cs="Arial" w:eastAsia="Arial" w:hAnsi="Arial"/>
                <w:sz w:val="17"/>
                <w:szCs w:val="17"/>
                <w:color w:val="auto"/>
              </w:rPr>
              <w:t>Non-regulated energy marketing margin related to February 2021</w:t>
            </w:r>
          </w:p>
        </w:tc>
        <w:tc>
          <w:tcPr>
            <w:tcW w:w="9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(94.5)</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(0.41)</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460"/>
              <w:spacing w:after="0" w:line="219" w:lineRule="exact"/>
              <w:rPr>
                <w:sz w:val="20"/>
                <w:szCs w:val="20"/>
                <w:color w:val="auto"/>
              </w:rPr>
            </w:pPr>
            <w:r>
              <w:rPr>
                <w:rFonts w:ascii="Arial" w:cs="Arial" w:eastAsia="Arial" w:hAnsi="Arial"/>
                <w:sz w:val="17"/>
                <w:szCs w:val="17"/>
                <w:color w:val="auto"/>
              </w:rPr>
              <w:t>winter weather event, pre-tax</w:t>
            </w:r>
            <w:r>
              <w:rPr>
                <w:rFonts w:ascii="Arial" w:cs="Arial" w:eastAsia="Arial" w:hAnsi="Arial"/>
                <w:sz w:val="22"/>
                <w:szCs w:val="22"/>
                <w:color w:val="auto"/>
                <w:vertAlign w:val="superscript"/>
              </w:rPr>
              <w:t>(a)</w:t>
            </w:r>
          </w:p>
        </w:tc>
        <w:tc>
          <w:tcPr>
            <w:tcW w:w="9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680" w:type="dxa"/>
            <w:vAlign w:val="bottom"/>
          </w:tcPr>
          <w:p>
            <w:pPr>
              <w:ind w:left="320"/>
              <w:spacing w:after="0" w:line="167" w:lineRule="exact"/>
              <w:rPr>
                <w:sz w:val="20"/>
                <w:szCs w:val="20"/>
                <w:color w:val="auto"/>
              </w:rPr>
            </w:pPr>
            <w:r>
              <w:rPr>
                <w:rFonts w:ascii="Arial" w:cs="Arial" w:eastAsia="Arial" w:hAnsi="Arial"/>
                <w:sz w:val="17"/>
                <w:szCs w:val="17"/>
                <w:color w:val="auto"/>
              </w:rPr>
              <w:t>Non-regulated energy marketing costs related to February 2021</w:t>
            </w:r>
          </w:p>
        </w:tc>
        <w:tc>
          <w:tcPr>
            <w:tcW w:w="980" w:type="dxa"/>
            <w:vAlign w:val="bottom"/>
          </w:tcPr>
          <w:p>
            <w:pPr>
              <w:spacing w:after="0"/>
              <w:rPr>
                <w:sz w:val="14"/>
                <w:szCs w:val="14"/>
                <w:color w:val="auto"/>
              </w:rPr>
            </w:pPr>
          </w:p>
        </w:tc>
        <w:tc>
          <w:tcPr>
            <w:tcW w:w="980" w:type="dxa"/>
            <w:vAlign w:val="bottom"/>
            <w:vMerge w:val="restart"/>
          </w:tcPr>
          <w:p>
            <w:pPr>
              <w:jc w:val="right"/>
              <w:ind w:right="54"/>
              <w:spacing w:after="0"/>
              <w:rPr>
                <w:sz w:val="20"/>
                <w:szCs w:val="20"/>
                <w:color w:val="auto"/>
              </w:rPr>
            </w:pPr>
            <w:r>
              <w:rPr>
                <w:rFonts w:ascii="Arial" w:cs="Arial" w:eastAsia="Arial" w:hAnsi="Arial"/>
                <w:sz w:val="17"/>
                <w:szCs w:val="17"/>
                <w:color w:val="auto"/>
              </w:rPr>
              <w:t>7.9</w:t>
            </w:r>
          </w:p>
        </w:tc>
        <w:tc>
          <w:tcPr>
            <w:tcW w:w="220" w:type="dxa"/>
            <w:vAlign w:val="bottom"/>
          </w:tcPr>
          <w:p>
            <w:pPr>
              <w:spacing w:after="0"/>
              <w:rPr>
                <w:sz w:val="14"/>
                <w:szCs w:val="14"/>
                <w:color w:val="auto"/>
              </w:rPr>
            </w:pPr>
          </w:p>
        </w:tc>
        <w:tc>
          <w:tcPr>
            <w:tcW w:w="1000" w:type="dxa"/>
            <w:vAlign w:val="bottom"/>
            <w:vMerge w:val="restart"/>
          </w:tcPr>
          <w:p>
            <w:pPr>
              <w:jc w:val="right"/>
              <w:ind w:right="54"/>
              <w:spacing w:after="0"/>
              <w:rPr>
                <w:sz w:val="20"/>
                <w:szCs w:val="20"/>
                <w:color w:val="auto"/>
              </w:rPr>
            </w:pPr>
            <w:r>
              <w:rPr>
                <w:rFonts w:ascii="Arial" w:cs="Arial" w:eastAsia="Arial" w:hAnsi="Arial"/>
                <w:sz w:val="17"/>
                <w:szCs w:val="17"/>
                <w:color w:val="auto"/>
              </w:rPr>
              <w:t>0.03</w:t>
            </w:r>
          </w:p>
        </w:tc>
        <w:tc>
          <w:tcPr>
            <w:tcW w:w="240" w:type="dxa"/>
            <w:vAlign w:val="bottom"/>
          </w:tcPr>
          <w:p>
            <w:pPr>
              <w:spacing w:after="0"/>
              <w:rPr>
                <w:sz w:val="14"/>
                <w:szCs w:val="14"/>
                <w:color w:val="auto"/>
              </w:rPr>
            </w:pPr>
          </w:p>
        </w:tc>
        <w:tc>
          <w:tcPr>
            <w:tcW w:w="100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460"/>
              <w:spacing w:after="0" w:line="219" w:lineRule="exact"/>
              <w:rPr>
                <w:sz w:val="20"/>
                <w:szCs w:val="20"/>
                <w:color w:val="auto"/>
              </w:rPr>
            </w:pPr>
            <w:r>
              <w:rPr>
                <w:rFonts w:ascii="Arial" w:cs="Arial" w:eastAsia="Arial" w:hAnsi="Arial"/>
                <w:sz w:val="17"/>
                <w:szCs w:val="17"/>
                <w:color w:val="auto"/>
              </w:rPr>
              <w:t>winter weather event, pre-tax</w:t>
            </w:r>
            <w:r>
              <w:rPr>
                <w:rFonts w:ascii="Arial" w:cs="Arial" w:eastAsia="Arial" w:hAnsi="Arial"/>
                <w:sz w:val="22"/>
                <w:szCs w:val="22"/>
                <w:color w:val="auto"/>
                <w:vertAlign w:val="superscript"/>
              </w:rPr>
              <w:t>(b)</w:t>
            </w:r>
          </w:p>
        </w:tc>
        <w:tc>
          <w:tcPr>
            <w:tcW w:w="9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320"/>
              <w:spacing w:after="0" w:line="219" w:lineRule="exact"/>
              <w:rPr>
                <w:sz w:val="20"/>
                <w:szCs w:val="20"/>
                <w:color w:val="auto"/>
              </w:rPr>
            </w:pPr>
            <w:r>
              <w:rPr>
                <w:rFonts w:ascii="Arial" w:cs="Arial" w:eastAsia="Arial" w:hAnsi="Arial"/>
                <w:sz w:val="17"/>
                <w:szCs w:val="17"/>
                <w:color w:val="auto"/>
              </w:rPr>
              <w:t>Executive transition costs, pre-tax</w:t>
            </w:r>
            <w:r>
              <w:rPr>
                <w:rFonts w:ascii="Arial" w:cs="Arial" w:eastAsia="Arial" w:hAnsi="Arial"/>
                <w:sz w:val="22"/>
                <w:szCs w:val="22"/>
                <w:color w:val="auto"/>
                <w:vertAlign w:val="superscript"/>
              </w:rPr>
              <w:t>(c)</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0.05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320"/>
              <w:spacing w:after="0" w:line="219" w:lineRule="exact"/>
              <w:rPr>
                <w:sz w:val="20"/>
                <w:szCs w:val="20"/>
                <w:color w:val="auto"/>
              </w:rPr>
            </w:pPr>
            <w:r>
              <w:rPr>
                <w:rFonts w:ascii="Arial" w:cs="Arial" w:eastAsia="Arial" w:hAnsi="Arial"/>
                <w:sz w:val="17"/>
                <w:szCs w:val="17"/>
                <w:color w:val="auto"/>
              </w:rPr>
              <w:t>Severance costs, pre-tax</w:t>
            </w:r>
            <w:r>
              <w:rPr>
                <w:rFonts w:ascii="Arial" w:cs="Arial" w:eastAsia="Arial" w:hAnsi="Arial"/>
                <w:sz w:val="22"/>
                <w:szCs w:val="22"/>
                <w:color w:val="auto"/>
                <w:vertAlign w:val="superscript"/>
              </w:rPr>
              <w:t>(d)</w:t>
            </w:r>
          </w:p>
        </w:tc>
        <w:tc>
          <w:tcPr>
            <w:tcW w:w="9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0.01</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66.3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320"/>
              <w:spacing w:after="0" w:line="219" w:lineRule="exact"/>
              <w:rPr>
                <w:sz w:val="20"/>
                <w:szCs w:val="20"/>
                <w:color w:val="auto"/>
              </w:rPr>
            </w:pPr>
            <w:r>
              <w:rPr>
                <w:rFonts w:ascii="Arial" w:cs="Arial" w:eastAsia="Arial" w:hAnsi="Arial"/>
                <w:sz w:val="17"/>
                <w:szCs w:val="17"/>
                <w:color w:val="auto"/>
              </w:rPr>
              <w:t>Advisor expenses, pre-tax</w:t>
            </w:r>
            <w:r>
              <w:rPr>
                <w:rFonts w:ascii="Arial" w:cs="Arial" w:eastAsia="Arial" w:hAnsi="Arial"/>
                <w:sz w:val="22"/>
                <w:szCs w:val="22"/>
                <w:color w:val="auto"/>
                <w:vertAlign w:val="superscript"/>
              </w:rPr>
              <w:t>(e)</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11.6</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0.05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32.3</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19"/>
        </w:trPr>
        <w:tc>
          <w:tcPr>
            <w:tcW w:w="5680" w:type="dxa"/>
            <w:vAlign w:val="bottom"/>
          </w:tcPr>
          <w:p>
            <w:pPr>
              <w:ind w:left="320"/>
              <w:spacing w:after="0" w:line="219" w:lineRule="exact"/>
              <w:rPr>
                <w:sz w:val="20"/>
                <w:szCs w:val="20"/>
                <w:color w:val="auto"/>
              </w:rPr>
            </w:pPr>
            <w:r>
              <w:rPr>
                <w:rFonts w:ascii="Arial" w:cs="Arial" w:eastAsia="Arial" w:hAnsi="Arial"/>
                <w:sz w:val="17"/>
                <w:szCs w:val="17"/>
                <w:color w:val="auto"/>
              </w:rPr>
              <w:t>COVID-19 vaccine incentive, pre-tax</w:t>
            </w:r>
            <w:r>
              <w:rPr>
                <w:rFonts w:ascii="Arial" w:cs="Arial" w:eastAsia="Arial" w:hAnsi="Arial"/>
                <w:sz w:val="22"/>
                <w:szCs w:val="22"/>
                <w:color w:val="auto"/>
                <w:vertAlign w:val="superscript"/>
              </w:rPr>
              <w:t>(f)</w:t>
            </w:r>
          </w:p>
        </w:tc>
        <w:tc>
          <w:tcPr>
            <w:tcW w:w="9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0.01</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320"/>
              <w:spacing w:after="0" w:line="219" w:lineRule="exact"/>
              <w:rPr>
                <w:sz w:val="20"/>
                <w:szCs w:val="20"/>
                <w:color w:val="auto"/>
              </w:rPr>
            </w:pPr>
            <w:r>
              <w:rPr>
                <w:rFonts w:ascii="Arial" w:cs="Arial" w:eastAsia="Arial" w:hAnsi="Arial"/>
                <w:sz w:val="17"/>
                <w:szCs w:val="17"/>
                <w:color w:val="auto"/>
              </w:rPr>
              <w:t>Restricted equity investment gains, pre-tax</w:t>
            </w:r>
            <w:r>
              <w:rPr>
                <w:rFonts w:ascii="Arial" w:cs="Arial" w:eastAsia="Arial" w:hAnsi="Arial"/>
                <w:sz w:val="22"/>
                <w:szCs w:val="22"/>
                <w:color w:val="auto"/>
                <w:vertAlign w:val="superscript"/>
              </w:rPr>
              <w:t>(g)</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(27.7)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(0.12)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320"/>
              <w:spacing w:after="0" w:line="219" w:lineRule="exact"/>
              <w:rPr>
                <w:sz w:val="20"/>
                <w:szCs w:val="20"/>
                <w:color w:val="auto"/>
              </w:rPr>
            </w:pPr>
            <w:r>
              <w:rPr>
                <w:rFonts w:ascii="Arial" w:cs="Arial" w:eastAsia="Arial" w:hAnsi="Arial"/>
                <w:sz w:val="17"/>
                <w:szCs w:val="17"/>
                <w:color w:val="auto"/>
              </w:rPr>
              <w:t>Income tax expense (benefit)</w:t>
            </w:r>
            <w:r>
              <w:rPr>
                <w:rFonts w:ascii="Arial" w:cs="Arial" w:eastAsia="Arial" w:hAnsi="Arial"/>
                <w:sz w:val="22"/>
                <w:szCs w:val="22"/>
                <w:color w:val="auto"/>
                <w:vertAlign w:val="superscript"/>
              </w:rPr>
              <w:t>(h)</w:t>
            </w:r>
          </w:p>
        </w:tc>
        <w:tc>
          <w:tcPr>
            <w:tcW w:w="9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20.8</w:t>
            </w:r>
          </w:p>
        </w:tc>
        <w:tc>
          <w:tcPr>
            <w:tcW w:w="22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0.09</w:t>
            </w:r>
          </w:p>
        </w:tc>
        <w:tc>
          <w:tcPr>
            <w:tcW w:w="24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(25.2)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auto"/>
            </w:tcBorders>
            <w:shd w:val="clear" w:color="auto" w:fill="CCEEFF"/>
          </w:tcPr>
          <w:p>
            <w:pPr>
              <w:ind w:left="320"/>
              <w:spacing w:after="0" w:line="219" w:lineRule="exact"/>
              <w:rPr>
                <w:sz w:val="20"/>
                <w:szCs w:val="20"/>
                <w:color w:val="auto"/>
              </w:rPr>
            </w:pPr>
            <w:r>
              <w:rPr>
                <w:rFonts w:ascii="Arial" w:cs="Arial" w:eastAsia="Arial" w:hAnsi="Arial"/>
                <w:sz w:val="17"/>
                <w:szCs w:val="17"/>
                <w:color w:val="auto"/>
              </w:rPr>
              <w:t>Kansas corporate income tax change</w:t>
            </w:r>
            <w:r>
              <w:rPr>
                <w:rFonts w:ascii="Arial" w:cs="Arial" w:eastAsia="Arial" w:hAnsi="Arial"/>
                <w:sz w:val="22"/>
                <w:szCs w:val="22"/>
                <w:color w:val="auto"/>
                <w:vertAlign w:val="superscript"/>
              </w:rPr>
              <w:t>(i)</w:t>
            </w:r>
          </w:p>
        </w:tc>
        <w:tc>
          <w:tcPr>
            <w:tcW w:w="9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13.8</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8"/>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earnings (non-GAAP)</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812.6</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705.5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right="360" w:hanging="157"/>
        <w:spacing w:after="0" w:line="243" w:lineRule="auto"/>
        <w:tabs>
          <w:tab w:leader="none" w:pos="155"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Reflects non-regulated energy marketing margins related to the February 2021 winter weather event and are included in operating revenues on the consolidated statements of comprehensive income.</w:t>
      </w:r>
    </w:p>
    <w:p>
      <w:pPr>
        <w:ind w:left="160" w:right="120" w:hanging="157"/>
        <w:spacing w:after="0" w:line="251" w:lineRule="auto"/>
        <w:tabs>
          <w:tab w:leader="none" w:pos="148"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Reflects non-regulated energy marketing incentive compensation costs related to the February 2021 winter weather event and are included in operating and maintenance expense on the consolidated statements of comprehensive income.</w:t>
      </w:r>
    </w:p>
    <w:p>
      <w:pPr>
        <w:ind w:left="160" w:right="460" w:hanging="157"/>
        <w:spacing w:after="0" w:line="235" w:lineRule="auto"/>
        <w:tabs>
          <w:tab w:leader="none" w:pos="155"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Reflects costs associated with executive transition including inducement bonuses, severance agreements and other transition expenses of which $10.5 million is included in operating and maintenance expense and $0.3 million is included in other expense in 2021 on the consolidated statements of comprehensive income.</w:t>
      </w:r>
    </w:p>
    <w:p>
      <w:pPr>
        <w:ind w:left="160" w:right="200" w:hanging="157"/>
        <w:spacing w:after="0" w:line="271" w:lineRule="auto"/>
        <w:tabs>
          <w:tab w:leader="none" w:pos="148"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Reflects severance costs incurred associated with certain voluntary severance programs at the Evergy Companies and are included in operating and maintenance expense on the consolidated statements of comprehensive income.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24" w:lineRule="exact"/>
        <w:rPr>
          <w:sz w:val="20"/>
          <w:szCs w:val="20"/>
          <w:color w:val="auto"/>
        </w:rPr>
      </w:pPr>
    </w:p>
    <w:p>
      <w:pPr>
        <w:ind w:left="160" w:right="260" w:hanging="157"/>
        <w:spacing w:after="0" w:line="243" w:lineRule="auto"/>
        <w:tabs>
          <w:tab w:leader="none" w:pos="155"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Reflects advisor expenses incurred associated with strategic planning and are included in operating and maintenance expense on the consolidated statements of comprehensive income.</w:t>
      </w:r>
    </w:p>
    <w:p>
      <w:pPr>
        <w:ind w:left="160" w:right="120" w:hanging="157"/>
        <w:spacing w:after="0" w:line="215" w:lineRule="auto"/>
        <w:tabs>
          <w:tab w:leader="none" w:pos="157"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Reflects incentive compensation costs incurred associated with employees becoming fully vaccinated against COVID-19 and are included in operating and maintenance expense on the consolidated statements of comprehensive income.</w:t>
      </w:r>
    </w:p>
    <w:p>
      <w:pPr>
        <w:ind w:left="160" w:right="300" w:hanging="157"/>
        <w:spacing w:after="0"/>
        <w:tabs>
          <w:tab w:leader="none" w:pos="148"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Reflects gains related to equity investments which are subject to a restriction on sale and are included in investment earnings on the consolidated statements of comprehensive income.</w:t>
      </w:r>
    </w:p>
    <w:p>
      <w:pPr>
        <w:spacing w:after="0" w:line="165" w:lineRule="exact"/>
        <w:rPr>
          <w:rFonts w:ascii="Arial" w:cs="Arial" w:eastAsia="Arial" w:hAnsi="Arial"/>
          <w:sz w:val="17"/>
          <w:szCs w:val="17"/>
          <w:color w:val="auto"/>
          <w:vertAlign w:val="superscript"/>
        </w:rPr>
      </w:pPr>
    </w:p>
    <w:p>
      <w:pPr>
        <w:ind w:left="140" w:hanging="137"/>
        <w:spacing w:after="0" w:line="235" w:lineRule="auto"/>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Reflects an income tax effect calculated at a statutory rate of approximately 22% in 2021 and 26% in 2020, with the exception of certain non-deductible items.</w:t>
      </w:r>
    </w:p>
    <w:p>
      <w:pPr>
        <w:ind w:left="160" w:right="160" w:hanging="157"/>
        <w:spacing w:after="0" w:line="217" w:lineRule="auto"/>
        <w:tabs>
          <w:tab w:leader="none" w:pos="152"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Reflects the revaluation of Evergy Kansas Central's, Evergy Metro's and Evergy Missouri West's deferred income tax assets and liabilities from the Kansas corporate income tax rate change and are included in income tax expense on the consolidated statements of comprehensive income.</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2018 Adjusted Operating and Maintenance Expense</w:t>
      </w:r>
    </w:p>
    <w:p>
      <w:pPr>
        <w:spacing w:after="0" w:line="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provides a reconciliation between 2018 operating and maintenance expense and 2018 pro forma operating and maintenance expense as determined in accordance with GAAP and 2018 adjusted operating and maintenance expense (non-GAAP). Evergy's 2018 adjusted operating and maintenance expense (non-GAAP) is used as the base for Evergy's targeted operating and maintenance expense reductions by 2025.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75"/>
              <w:spacing w:after="0"/>
              <w:rPr>
                <w:sz w:val="20"/>
                <w:szCs w:val="20"/>
                <w:color w:val="auto"/>
              </w:rPr>
            </w:pPr>
            <w:r>
              <w:rPr>
                <w:rFonts w:ascii="Arial" w:cs="Arial" w:eastAsia="Arial" w:hAnsi="Arial"/>
                <w:sz w:val="15"/>
                <w:szCs w:val="15"/>
                <w:color w:val="auto"/>
              </w:rPr>
              <w:t>(millions)</w:t>
            </w:r>
          </w:p>
        </w:tc>
      </w:tr>
      <w:tr>
        <w:trPr>
          <w:trHeight w:val="222"/>
        </w:trPr>
        <w:tc>
          <w:tcPr>
            <w:tcW w:w="10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2018 Operating and maintenance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1,115.8</w:t>
            </w:r>
          </w:p>
        </w:tc>
      </w:tr>
      <w:tr>
        <w:trPr>
          <w:trHeight w:val="219"/>
        </w:trPr>
        <w:tc>
          <w:tcPr>
            <w:tcW w:w="10120" w:type="dxa"/>
            <w:vAlign w:val="bottom"/>
          </w:tcPr>
          <w:p>
            <w:pPr>
              <w:ind w:left="20"/>
              <w:spacing w:after="0" w:line="219" w:lineRule="exact"/>
              <w:rPr>
                <w:sz w:val="20"/>
                <w:szCs w:val="20"/>
                <w:color w:val="auto"/>
              </w:rPr>
            </w:pPr>
            <w:r>
              <w:rPr>
                <w:rFonts w:ascii="Arial" w:cs="Arial" w:eastAsia="Arial" w:hAnsi="Arial"/>
                <w:sz w:val="17"/>
                <w:szCs w:val="17"/>
                <w:color w:val="auto"/>
              </w:rPr>
              <w:t>Pro forma adjustments</w:t>
            </w:r>
            <w:r>
              <w:rPr>
                <w:rFonts w:ascii="Arial" w:cs="Arial" w:eastAsia="Arial" w:hAnsi="Arial"/>
                <w:sz w:val="22"/>
                <w:szCs w:val="22"/>
                <w:color w:val="auto"/>
                <w:vertAlign w:val="superscript"/>
              </w:rPr>
              <w:t>(a)</w:t>
            </w: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10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Great Plains Energy operating and maintenance expense prior to the merger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w:t>
            </w:r>
          </w:p>
        </w:tc>
      </w:tr>
      <w:tr>
        <w:trPr>
          <w:trHeight w:val="218"/>
        </w:trPr>
        <w:tc>
          <w:tcPr>
            <w:tcW w:w="101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Non-recurring merger costs and other</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(101.3)</w:t>
            </w:r>
          </w:p>
        </w:tc>
      </w:tr>
      <w:tr>
        <w:trPr>
          <w:trHeight w:val="213"/>
        </w:trPr>
        <w:tc>
          <w:tcPr>
            <w:tcW w:w="10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2018 Pro forma operating and maintenance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1,332.4</w:t>
            </w:r>
          </w:p>
        </w:tc>
      </w:tr>
      <w:tr>
        <w:trPr>
          <w:trHeight w:val="218"/>
        </w:trPr>
        <w:tc>
          <w:tcPr>
            <w:tcW w:w="10120" w:type="dxa"/>
            <w:vAlign w:val="bottom"/>
          </w:tcPr>
          <w:p>
            <w:pPr>
              <w:ind w:left="20"/>
              <w:spacing w:after="0"/>
              <w:rPr>
                <w:sz w:val="20"/>
                <w:szCs w:val="20"/>
                <w:color w:val="auto"/>
              </w:rPr>
            </w:pPr>
            <w:r>
              <w:rPr>
                <w:rFonts w:ascii="Arial" w:cs="Arial" w:eastAsia="Arial" w:hAnsi="Arial"/>
                <w:sz w:val="17"/>
                <w:szCs w:val="17"/>
                <w:color w:val="auto"/>
              </w:rPr>
              <w:t>Non-GAAP reconciling items: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1012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Voluntary severance costs</w:t>
            </w:r>
            <w:r>
              <w:rPr>
                <w:rFonts w:ascii="Arial" w:cs="Arial" w:eastAsia="Arial" w:hAnsi="Arial"/>
                <w:sz w:val="22"/>
                <w:szCs w:val="22"/>
                <w:color w:val="auto"/>
                <w:vertAlign w:val="superscript"/>
              </w:rPr>
              <w:t>(b)</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r>
      <w:tr>
        <w:trPr>
          <w:trHeight w:val="219"/>
        </w:trPr>
        <w:tc>
          <w:tcPr>
            <w:tcW w:w="10120" w:type="dxa"/>
            <w:vAlign w:val="bottom"/>
          </w:tcPr>
          <w:p>
            <w:pPr>
              <w:ind w:left="140"/>
              <w:spacing w:after="0" w:line="219" w:lineRule="exact"/>
              <w:rPr>
                <w:sz w:val="20"/>
                <w:szCs w:val="20"/>
                <w:color w:val="auto"/>
              </w:rPr>
            </w:pPr>
            <w:r>
              <w:rPr>
                <w:rFonts w:ascii="Arial" w:cs="Arial" w:eastAsia="Arial" w:hAnsi="Arial"/>
                <w:sz w:val="17"/>
                <w:szCs w:val="17"/>
                <w:color w:val="auto"/>
              </w:rPr>
              <w:t>Deferral of merger transition costs</w:t>
            </w:r>
            <w:r>
              <w:rPr>
                <w:rFonts w:ascii="Arial" w:cs="Arial" w:eastAsia="Arial" w:hAnsi="Arial"/>
                <w:sz w:val="22"/>
                <w:szCs w:val="22"/>
                <w:color w:val="auto"/>
                <w:vertAlign w:val="superscript"/>
              </w:rPr>
              <w:t>(c)</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28.5</w:t>
            </w:r>
          </w:p>
        </w:tc>
      </w:tr>
      <w:tr>
        <w:trPr>
          <w:trHeight w:val="219"/>
        </w:trPr>
        <w:tc>
          <w:tcPr>
            <w:tcW w:w="10120" w:type="dxa"/>
            <w:vAlign w:val="bottom"/>
            <w:tcBorders>
              <w:bottom w:val="single" w:sz="8" w:color="auto"/>
            </w:tcBorders>
            <w:shd w:val="clear" w:color="auto" w:fill="CCEEFF"/>
          </w:tcPr>
          <w:p>
            <w:pPr>
              <w:ind w:left="140"/>
              <w:spacing w:after="0" w:line="219" w:lineRule="exact"/>
              <w:rPr>
                <w:sz w:val="20"/>
                <w:szCs w:val="20"/>
                <w:color w:val="auto"/>
              </w:rPr>
            </w:pPr>
            <w:r>
              <w:rPr>
                <w:rFonts w:ascii="Arial" w:cs="Arial" w:eastAsia="Arial" w:hAnsi="Arial"/>
                <w:sz w:val="17"/>
                <w:szCs w:val="17"/>
                <w:color w:val="auto"/>
              </w:rPr>
              <w:t>Inventory write-offs at retiring generating units</w:t>
            </w:r>
            <w:r>
              <w:rPr>
                <w:rFonts w:ascii="Arial" w:cs="Arial" w:eastAsia="Arial" w:hAnsi="Arial"/>
                <w:sz w:val="22"/>
                <w:szCs w:val="22"/>
                <w:color w:val="auto"/>
                <w:vertAlign w:val="superscript"/>
              </w:rPr>
              <w:t>(d)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w:t>
            </w:r>
          </w:p>
        </w:tc>
      </w:tr>
      <w:tr>
        <w:trPr>
          <w:trHeight w:val="218"/>
        </w:trPr>
        <w:tc>
          <w:tcPr>
            <w:tcW w:w="10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2018 Adjusted operating and maintenance expense (non-GAAP)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1,306.4</w:t>
            </w:r>
          </w:p>
        </w:tc>
      </w:tr>
    </w:tbl>
    <w:p>
      <w:pPr>
        <w:spacing w:after="0" w:line="82" w:lineRule="exact"/>
        <w:rPr>
          <w:sz w:val="20"/>
          <w:szCs w:val="20"/>
          <w:color w:val="auto"/>
        </w:rPr>
      </w:pPr>
    </w:p>
    <w:p>
      <w:pPr>
        <w:ind w:left="160" w:right="60" w:hanging="157"/>
        <w:spacing w:after="0" w:line="243" w:lineRule="auto"/>
        <w:tabs>
          <w:tab w:leader="none" w:pos="155"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 xml:space="preserve">Reflects pro forma adjustments made in accordance with Article 11 of Regulation S-X and ASC 805 - </w:t>
      </w:r>
      <w:r>
        <w:rPr>
          <w:rFonts w:ascii="Arial" w:cs="Arial" w:eastAsia="Arial" w:hAnsi="Arial"/>
          <w:sz w:val="14"/>
          <w:szCs w:val="14"/>
          <w:i w:val="1"/>
          <w:iCs w:val="1"/>
          <w:color w:val="auto"/>
        </w:rPr>
        <w:t>Business Combinations</w:t>
      </w:r>
      <w:r>
        <w:rPr>
          <w:rFonts w:ascii="Arial" w:cs="Arial" w:eastAsia="Arial" w:hAnsi="Arial"/>
          <w:sz w:val="14"/>
          <w:szCs w:val="14"/>
          <w:color w:val="auto"/>
        </w:rPr>
        <w:t>. See Note 2 to the consolidated financial statements in the Evergy Companies' combined 2018 Annual Report on Form 10-K for further information regarding these adjustments.</w:t>
      </w:r>
    </w:p>
    <w:p>
      <w:pPr>
        <w:ind w:left="160" w:right="200" w:hanging="157"/>
        <w:spacing w:after="0" w:line="251" w:lineRule="auto"/>
        <w:tabs>
          <w:tab w:leader="none" w:pos="148"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Reflects severance costs incurred associated with certain voluntary severance programs at the Evergy Companies and are included in operating and maintenance expense on the 2018 consolidated statements of comprehensive income in the Evergy Companies' combined 2018 Annual Report on Form 10-K.</w:t>
      </w:r>
    </w:p>
    <w:p>
      <w:pPr>
        <w:ind w:left="160" w:right="260" w:hanging="157"/>
        <w:spacing w:after="0" w:line="245" w:lineRule="auto"/>
        <w:tabs>
          <w:tab w:leader="none" w:pos="155"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Reflects the portion of the $47.8 million deferral of merger transition costs to a regulatory asset in June 2018 that related to costs incurred prior to 2018. The remaining merger transition costs included within the $47.8 million deferral were both incurred and deferred in 2018 and did not impact earnings. This item is included in operating and maintenance expense on the 2018 consolidated statements of comprehensive income in the Evergy Companies' combined 2018 Annual Report on Form 10-K.</w:t>
      </w:r>
    </w:p>
    <w:p>
      <w:pPr>
        <w:spacing w:after="0" w:line="1" w:lineRule="exact"/>
        <w:rPr>
          <w:rFonts w:ascii="Arial" w:cs="Arial" w:eastAsia="Arial" w:hAnsi="Arial"/>
          <w:sz w:val="18"/>
          <w:szCs w:val="18"/>
          <w:color w:val="auto"/>
          <w:vertAlign w:val="superscript"/>
        </w:rPr>
      </w:pPr>
    </w:p>
    <w:p>
      <w:pPr>
        <w:ind w:left="160" w:right="60" w:hanging="157"/>
        <w:spacing w:after="0" w:line="275" w:lineRule="auto"/>
        <w:tabs>
          <w:tab w:leader="none" w:pos="148"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Reflects obsolete inventory write-offs for Evergy Kansas Central's Unit 7 at Tecumseh Energy Center, Units 3 and 4 at Murray Gill Energy Center, Units 1 and 2 at Gordon Evans Energy Center, Evergy Metro's Montrose Station and Evergy Missouri West's Sibley Station and are included in operating and maintenance expense on the 2018 consolidated statements of comprehensive income in the Evergy Companies' combined 2018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Wolf Creek Refueling Outage</w:t>
      </w:r>
    </w:p>
    <w:p>
      <w:pPr>
        <w:spacing w:after="0" w:line="23"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Wolf Creek's most recent refueling outage began in March 2021 and the unit returned to service in May 2021. Wolf Creek's next refueling outage is planned to begin in the third quarter of 2022.</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ENVIRONMENTAL MATTERS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See Note 14 to the consolidated financial statements for information regarding environmental matters.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RELATED PARTY TRANSACTIONS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See Note 16 to the consolidated financial statements for information regarding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CRITICAL ACCOUNTING POLICIES AND ESTIMATES</w:t>
      </w:r>
    </w:p>
    <w:p>
      <w:pPr>
        <w:spacing w:after="0" w:line="21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reported amounts and related disclosures. Management considers an accounting estimate to be critical if it requires assumptions to be made that were uncertain at the time the estimate was made and changes in the estimate, or different estimates that could have been used, could have a material impact on Evergy's results of operations and financial position. Management has identified the following accounting policies as critical to the understanding of Evergy's results of operations and financial position. Management has discussed the development and selection of these critical accounting policies with the Audit Committee of the Evergy Board.</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Pensions</w:t>
      </w:r>
    </w:p>
    <w:p>
      <w:pPr>
        <w:spacing w:after="0" w:line="23"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Evergy incurs significant costs in providing non-contributory defined pension benefits. The costs are measured using actuarial valuations that are dependent upon numerous factors derived from actual plan experience and assumptions of future plan experience.</w:t>
      </w:r>
    </w:p>
    <w:p>
      <w:pPr>
        <w:spacing w:after="0" w:line="156"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color w:val="auto"/>
        </w:rPr>
        <w:t>Pension costs are impacted by actual employee demographics (including age, life expectancies, compensation levels and employment periods), earnings on plan assets, the level of contributions made to the plan, and plan amendments. In addition, pension costs are also affected by changes in key actuarial assumptions, including anticipated rates of return on plan assets and the discount rates used in determining the projected benefit obligation and pension costs.</w:t>
      </w:r>
    </w:p>
    <w:p>
      <w:pPr>
        <w:spacing w:after="0" w:line="180"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The assumed rate of return on plan assets was developed based on the weighted-average of long-term returns forecast for the expected portfolio mix of investments held by the plan. The assumed discount rate was selected based on the prevailing market rate of fixed income debt instruments with maturities matching the expected timing of the benefit obligation. These assumptions, updated annually at the measurement date, are based on management's best estimates and judgment; however, material changes may occur if these assumptions differ from actual events. See Note 9 to the consolidated financial statements for information regarding the assumptions used to determine benefit obligations and net costs.</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color w:val="auto"/>
        </w:rPr>
        <w:t>The following table reflects the sensitivities associated with a 0.5% increase or a 0.5% decrease in key actuarial assumptions for Evergy's qualified pension plans. Each sensitivity reflects the impact of the change based on a change in that assumption only.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320" w:type="dxa"/>
            <w:vAlign w:val="bottom"/>
            <w:tcBorders>
              <w:top w:val="single" w:sz="8" w:color="auto"/>
            </w:tcBorders>
          </w:tcPr>
          <w:p>
            <w:pPr>
              <w:spacing w:after="0"/>
              <w:rPr>
                <w:sz w:val="20"/>
                <w:szCs w:val="20"/>
                <w:color w:val="auto"/>
              </w:rPr>
            </w:pPr>
          </w:p>
        </w:tc>
        <w:tc>
          <w:tcPr>
            <w:tcW w:w="38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255"/>
              <w:spacing w:after="0"/>
              <w:rPr>
                <w:sz w:val="20"/>
                <w:szCs w:val="20"/>
                <w:color w:val="auto"/>
              </w:rPr>
            </w:pPr>
            <w:r>
              <w:rPr>
                <w:rFonts w:ascii="Arial" w:cs="Arial" w:eastAsia="Arial" w:hAnsi="Arial"/>
                <w:sz w:val="17"/>
                <w:szCs w:val="17"/>
                <w:b w:val="1"/>
                <w:bCs w:val="1"/>
                <w:color w:val="auto"/>
                <w:w w:val="92"/>
              </w:rPr>
              <w:t>Impact on</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center"/>
              <w:ind w:right="254"/>
              <w:spacing w:after="0"/>
              <w:rPr>
                <w:sz w:val="20"/>
                <w:szCs w:val="20"/>
                <w:color w:val="auto"/>
              </w:rPr>
            </w:pPr>
            <w:r>
              <w:rPr>
                <w:rFonts w:ascii="Arial" w:cs="Arial" w:eastAsia="Arial" w:hAnsi="Arial"/>
                <w:sz w:val="17"/>
                <w:szCs w:val="17"/>
                <w:b w:val="1"/>
                <w:bCs w:val="1"/>
                <w:color w:val="auto"/>
                <w:w w:val="94"/>
              </w:rPr>
              <w:t>Impact on</w:t>
            </w:r>
          </w:p>
        </w:tc>
      </w:tr>
      <w:tr>
        <w:trPr>
          <w:trHeight w:val="219"/>
        </w:trPr>
        <w:tc>
          <w:tcPr>
            <w:tcW w:w="43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center"/>
              <w:ind w:right="255"/>
              <w:spacing w:after="0"/>
              <w:rPr>
                <w:sz w:val="20"/>
                <w:szCs w:val="20"/>
                <w:color w:val="auto"/>
              </w:rPr>
            </w:pPr>
            <w:r>
              <w:rPr>
                <w:rFonts w:ascii="Arial" w:cs="Arial" w:eastAsia="Arial" w:hAnsi="Arial"/>
                <w:sz w:val="17"/>
                <w:szCs w:val="17"/>
                <w:b w:val="1"/>
                <w:bCs w:val="1"/>
                <w:color w:val="auto"/>
                <w:w w:val="90"/>
              </w:rPr>
              <w:t>Projected</w:t>
            </w:r>
          </w:p>
        </w:tc>
        <w:tc>
          <w:tcPr>
            <w:tcW w:w="320" w:type="dxa"/>
            <w:vAlign w:val="bottom"/>
          </w:tcPr>
          <w:p>
            <w:pPr>
              <w:spacing w:after="0"/>
              <w:rPr>
                <w:sz w:val="19"/>
                <w:szCs w:val="19"/>
                <w:color w:val="auto"/>
              </w:rPr>
            </w:pPr>
          </w:p>
        </w:tc>
        <w:tc>
          <w:tcPr>
            <w:tcW w:w="1100" w:type="dxa"/>
            <w:vAlign w:val="bottom"/>
          </w:tcPr>
          <w:p>
            <w:pPr>
              <w:jc w:val="center"/>
              <w:ind w:right="234"/>
              <w:spacing w:after="0"/>
              <w:rPr>
                <w:sz w:val="20"/>
                <w:szCs w:val="20"/>
                <w:color w:val="auto"/>
              </w:rPr>
            </w:pPr>
            <w:r>
              <w:rPr>
                <w:rFonts w:ascii="Arial" w:cs="Arial" w:eastAsia="Arial" w:hAnsi="Arial"/>
                <w:sz w:val="17"/>
                <w:szCs w:val="17"/>
                <w:b w:val="1"/>
                <w:bCs w:val="1"/>
                <w:color w:val="auto"/>
                <w:w w:val="89"/>
              </w:rPr>
              <w:t>2022</w:t>
            </w:r>
          </w:p>
        </w:tc>
      </w:tr>
      <w:tr>
        <w:trPr>
          <w:trHeight w:val="219"/>
        </w:trPr>
        <w:tc>
          <w:tcPr>
            <w:tcW w:w="4320" w:type="dxa"/>
            <w:vAlign w:val="bottom"/>
          </w:tcPr>
          <w:p>
            <w:pPr>
              <w:spacing w:after="0"/>
              <w:rPr>
                <w:sz w:val="19"/>
                <w:szCs w:val="19"/>
                <w:color w:val="auto"/>
              </w:rPr>
            </w:pPr>
          </w:p>
        </w:tc>
        <w:tc>
          <w:tcPr>
            <w:tcW w:w="3840" w:type="dxa"/>
            <w:vAlign w:val="bottom"/>
          </w:tcPr>
          <w:p>
            <w:pPr>
              <w:jc w:val="center"/>
              <w:ind w:left="1814"/>
              <w:spacing w:after="0"/>
              <w:rPr>
                <w:sz w:val="20"/>
                <w:szCs w:val="20"/>
                <w:color w:val="auto"/>
              </w:rPr>
            </w:pPr>
            <w:r>
              <w:rPr>
                <w:rFonts w:ascii="Arial" w:cs="Arial" w:eastAsia="Arial" w:hAnsi="Arial"/>
                <w:sz w:val="17"/>
                <w:szCs w:val="17"/>
                <w:b w:val="1"/>
                <w:bCs w:val="1"/>
                <w:color w:val="auto"/>
                <w:w w:val="89"/>
              </w:rPr>
              <w:t>Change in</w:t>
            </w:r>
          </w:p>
        </w:tc>
        <w:tc>
          <w:tcPr>
            <w:tcW w:w="560" w:type="dxa"/>
            <w:vAlign w:val="bottom"/>
          </w:tcPr>
          <w:p>
            <w:pPr>
              <w:spacing w:after="0"/>
              <w:rPr>
                <w:sz w:val="19"/>
                <w:szCs w:val="19"/>
                <w:color w:val="auto"/>
              </w:rPr>
            </w:pPr>
          </w:p>
        </w:tc>
        <w:tc>
          <w:tcPr>
            <w:tcW w:w="1080" w:type="dxa"/>
            <w:vAlign w:val="bottom"/>
          </w:tcPr>
          <w:p>
            <w:pPr>
              <w:jc w:val="center"/>
              <w:ind w:right="255"/>
              <w:spacing w:after="0"/>
              <w:rPr>
                <w:sz w:val="20"/>
                <w:szCs w:val="20"/>
                <w:color w:val="auto"/>
              </w:rPr>
            </w:pPr>
            <w:r>
              <w:rPr>
                <w:rFonts w:ascii="Arial" w:cs="Arial" w:eastAsia="Arial" w:hAnsi="Arial"/>
                <w:sz w:val="17"/>
                <w:szCs w:val="17"/>
                <w:b w:val="1"/>
                <w:bCs w:val="1"/>
                <w:color w:val="auto"/>
                <w:w w:val="93"/>
              </w:rPr>
              <w:t>Benefit</w:t>
            </w:r>
          </w:p>
        </w:tc>
        <w:tc>
          <w:tcPr>
            <w:tcW w:w="320" w:type="dxa"/>
            <w:vAlign w:val="bottom"/>
          </w:tcPr>
          <w:p>
            <w:pPr>
              <w:spacing w:after="0"/>
              <w:rPr>
                <w:sz w:val="19"/>
                <w:szCs w:val="19"/>
                <w:color w:val="auto"/>
              </w:rPr>
            </w:pPr>
          </w:p>
        </w:tc>
        <w:tc>
          <w:tcPr>
            <w:tcW w:w="1100" w:type="dxa"/>
            <w:vAlign w:val="bottom"/>
          </w:tcPr>
          <w:p>
            <w:pPr>
              <w:jc w:val="center"/>
              <w:ind w:right="254"/>
              <w:spacing w:after="0"/>
              <w:rPr>
                <w:sz w:val="20"/>
                <w:szCs w:val="20"/>
                <w:color w:val="auto"/>
              </w:rPr>
            </w:pPr>
            <w:r>
              <w:rPr>
                <w:rFonts w:ascii="Arial" w:cs="Arial" w:eastAsia="Arial" w:hAnsi="Arial"/>
                <w:sz w:val="17"/>
                <w:szCs w:val="17"/>
                <w:b w:val="1"/>
                <w:bCs w:val="1"/>
                <w:color w:val="auto"/>
                <w:w w:val="84"/>
              </w:rPr>
              <w:t>Pension</w:t>
            </w:r>
          </w:p>
        </w:tc>
      </w:tr>
      <w:tr>
        <w:trPr>
          <w:trHeight w:val="224"/>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Actuarial assumption</w:t>
            </w:r>
          </w:p>
        </w:tc>
        <w:tc>
          <w:tcPr>
            <w:tcW w:w="3840" w:type="dxa"/>
            <w:vAlign w:val="bottom"/>
            <w:tcBorders>
              <w:bottom w:val="single" w:sz="8" w:color="auto"/>
            </w:tcBorders>
          </w:tcPr>
          <w:p>
            <w:pPr>
              <w:jc w:val="center"/>
              <w:ind w:left="1814"/>
              <w:spacing w:after="0"/>
              <w:rPr>
                <w:sz w:val="20"/>
                <w:szCs w:val="20"/>
                <w:color w:val="auto"/>
              </w:rPr>
            </w:pPr>
            <w:r>
              <w:rPr>
                <w:rFonts w:ascii="Arial" w:cs="Arial" w:eastAsia="Arial" w:hAnsi="Arial"/>
                <w:sz w:val="17"/>
                <w:szCs w:val="17"/>
                <w:b w:val="1"/>
                <w:bCs w:val="1"/>
                <w:color w:val="auto"/>
                <w:w w:val="87"/>
              </w:rPr>
              <w:t>Assumption</w:t>
            </w:r>
          </w:p>
        </w:tc>
        <w:tc>
          <w:tcPr>
            <w:tcW w:w="1640" w:type="dxa"/>
            <w:vAlign w:val="bottom"/>
            <w:tcBorders>
              <w:bottom w:val="single" w:sz="8" w:color="auto"/>
            </w:tcBorders>
            <w:gridSpan w:val="2"/>
          </w:tcPr>
          <w:p>
            <w:pPr>
              <w:jc w:val="center"/>
              <w:ind w:left="134"/>
              <w:spacing w:after="0"/>
              <w:rPr>
                <w:sz w:val="20"/>
                <w:szCs w:val="20"/>
                <w:color w:val="auto"/>
              </w:rPr>
            </w:pPr>
            <w:r>
              <w:rPr>
                <w:rFonts w:ascii="Arial" w:cs="Arial" w:eastAsia="Arial" w:hAnsi="Arial"/>
                <w:sz w:val="17"/>
                <w:szCs w:val="17"/>
                <w:b w:val="1"/>
                <w:bCs w:val="1"/>
                <w:color w:val="auto"/>
                <w:w w:val="92"/>
              </w:rPr>
              <w:t>Obligation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7"/>
                <w:szCs w:val="17"/>
                <w:b w:val="1"/>
                <w:bCs w:val="1"/>
                <w:color w:val="auto"/>
                <w:w w:val="85"/>
              </w:rPr>
              <w:t>Expense</w:t>
            </w:r>
          </w:p>
        </w:tc>
      </w:tr>
      <w:tr>
        <w:trPr>
          <w:trHeight w:val="197"/>
        </w:trPr>
        <w:tc>
          <w:tcPr>
            <w:tcW w:w="4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(millions)</w:t>
            </w:r>
          </w:p>
        </w:tc>
        <w:tc>
          <w:tcPr>
            <w:tcW w:w="1100" w:type="dxa"/>
            <w:vAlign w:val="bottom"/>
          </w:tcPr>
          <w:p>
            <w:pPr>
              <w:spacing w:after="0"/>
              <w:rPr>
                <w:sz w:val="17"/>
                <w:szCs w:val="17"/>
                <w:color w:val="auto"/>
              </w:rPr>
            </w:pPr>
          </w:p>
        </w:tc>
      </w:tr>
      <w:tr>
        <w:trPr>
          <w:trHeight w:val="222"/>
        </w:trPr>
        <w:tc>
          <w:tcPr>
            <w:tcW w:w="4320" w:type="dxa"/>
            <w:vAlign w:val="bottom"/>
            <w:shd w:val="clear" w:color="auto" w:fill="BFE4FF"/>
          </w:tcPr>
          <w:p>
            <w:pPr>
              <w:ind w:left="20"/>
              <w:spacing w:after="0"/>
              <w:rPr>
                <w:sz w:val="20"/>
                <w:szCs w:val="20"/>
                <w:color w:val="auto"/>
              </w:rPr>
            </w:pPr>
            <w:r>
              <w:rPr>
                <w:rFonts w:ascii="Arial" w:cs="Arial" w:eastAsia="Arial" w:hAnsi="Arial"/>
                <w:sz w:val="17"/>
                <w:szCs w:val="17"/>
                <w:color w:val="auto"/>
              </w:rPr>
              <w:t>Discount rate</w:t>
            </w:r>
          </w:p>
        </w:tc>
        <w:tc>
          <w:tcPr>
            <w:tcW w:w="3840" w:type="dxa"/>
            <w:vAlign w:val="bottom"/>
            <w:shd w:val="clear" w:color="auto" w:fill="BFE4FF"/>
          </w:tcPr>
          <w:p>
            <w:pPr>
              <w:jc w:val="center"/>
              <w:ind w:left="1794"/>
              <w:spacing w:after="0"/>
              <w:rPr>
                <w:sz w:val="20"/>
                <w:szCs w:val="20"/>
                <w:color w:val="auto"/>
              </w:rPr>
            </w:pPr>
            <w:r>
              <w:rPr>
                <w:rFonts w:ascii="Arial" w:cs="Arial" w:eastAsia="Arial" w:hAnsi="Arial"/>
                <w:sz w:val="17"/>
                <w:szCs w:val="17"/>
                <w:color w:val="auto"/>
                <w:w w:val="88"/>
              </w:rPr>
              <w:t>0.5 % increase</w:t>
            </w:r>
          </w:p>
        </w:tc>
        <w:tc>
          <w:tcPr>
            <w:tcW w:w="56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BFE4FF"/>
          </w:tcPr>
          <w:p>
            <w:pPr>
              <w:jc w:val="right"/>
              <w:ind w:right="155"/>
              <w:spacing w:after="0"/>
              <w:rPr>
                <w:sz w:val="20"/>
                <w:szCs w:val="20"/>
                <w:color w:val="auto"/>
              </w:rPr>
            </w:pPr>
            <w:r>
              <w:rPr>
                <w:rFonts w:ascii="Arial" w:cs="Arial" w:eastAsia="Arial" w:hAnsi="Arial"/>
                <w:sz w:val="17"/>
                <w:szCs w:val="17"/>
                <w:color w:val="auto"/>
              </w:rPr>
              <w:t>(193.6)</w:t>
            </w:r>
          </w:p>
        </w:tc>
        <w:tc>
          <w:tcPr>
            <w:tcW w:w="3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BFE4FF"/>
          </w:tcPr>
          <w:p>
            <w:pPr>
              <w:jc w:val="right"/>
              <w:ind w:right="174"/>
              <w:spacing w:after="0"/>
              <w:rPr>
                <w:sz w:val="20"/>
                <w:szCs w:val="20"/>
                <w:color w:val="auto"/>
              </w:rPr>
            </w:pPr>
            <w:r>
              <w:rPr>
                <w:rFonts w:ascii="Arial" w:cs="Arial" w:eastAsia="Arial" w:hAnsi="Arial"/>
                <w:sz w:val="17"/>
                <w:szCs w:val="17"/>
                <w:color w:val="auto"/>
              </w:rPr>
              <w:t>(18.5)</w:t>
            </w:r>
          </w:p>
        </w:tc>
      </w:tr>
      <w:tr>
        <w:trPr>
          <w:trHeight w:val="218"/>
        </w:trPr>
        <w:tc>
          <w:tcPr>
            <w:tcW w:w="4320" w:type="dxa"/>
            <w:vAlign w:val="bottom"/>
          </w:tcPr>
          <w:p>
            <w:pPr>
              <w:ind w:left="20"/>
              <w:spacing w:after="0"/>
              <w:rPr>
                <w:sz w:val="20"/>
                <w:szCs w:val="20"/>
                <w:color w:val="auto"/>
              </w:rPr>
            </w:pPr>
            <w:r>
              <w:rPr>
                <w:rFonts w:ascii="Arial" w:cs="Arial" w:eastAsia="Arial" w:hAnsi="Arial"/>
                <w:sz w:val="17"/>
                <w:szCs w:val="17"/>
                <w:color w:val="auto"/>
              </w:rPr>
              <w:t>Rate of return on plan assets</w:t>
            </w:r>
          </w:p>
        </w:tc>
        <w:tc>
          <w:tcPr>
            <w:tcW w:w="3840" w:type="dxa"/>
            <w:vAlign w:val="bottom"/>
          </w:tcPr>
          <w:p>
            <w:pPr>
              <w:jc w:val="center"/>
              <w:ind w:left="1794"/>
              <w:spacing w:after="0"/>
              <w:rPr>
                <w:sz w:val="20"/>
                <w:szCs w:val="20"/>
                <w:color w:val="auto"/>
              </w:rPr>
            </w:pPr>
            <w:r>
              <w:rPr>
                <w:rFonts w:ascii="Arial" w:cs="Arial" w:eastAsia="Arial" w:hAnsi="Arial"/>
                <w:sz w:val="17"/>
                <w:szCs w:val="17"/>
                <w:color w:val="auto"/>
                <w:w w:val="88"/>
              </w:rPr>
              <w:t>0.5 % increase</w:t>
            </w:r>
          </w:p>
        </w:tc>
        <w:tc>
          <w:tcPr>
            <w:tcW w:w="56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7"/>
                <w:szCs w:val="17"/>
                <w:color w:val="auto"/>
              </w:rPr>
              <w:t>(7.9)</w:t>
            </w:r>
          </w:p>
        </w:tc>
      </w:tr>
      <w:tr>
        <w:trPr>
          <w:trHeight w:val="220"/>
        </w:trPr>
        <w:tc>
          <w:tcPr>
            <w:tcW w:w="4320" w:type="dxa"/>
            <w:vAlign w:val="bottom"/>
            <w:shd w:val="clear" w:color="auto" w:fill="BFE4FF"/>
          </w:tcPr>
          <w:p>
            <w:pPr>
              <w:ind w:left="20"/>
              <w:spacing w:after="0"/>
              <w:rPr>
                <w:sz w:val="20"/>
                <w:szCs w:val="20"/>
                <w:color w:val="auto"/>
              </w:rPr>
            </w:pPr>
            <w:r>
              <w:rPr>
                <w:rFonts w:ascii="Arial" w:cs="Arial" w:eastAsia="Arial" w:hAnsi="Arial"/>
                <w:sz w:val="17"/>
                <w:szCs w:val="17"/>
                <w:color w:val="auto"/>
              </w:rPr>
              <w:t>Rate of compensation</w:t>
            </w:r>
          </w:p>
        </w:tc>
        <w:tc>
          <w:tcPr>
            <w:tcW w:w="3840" w:type="dxa"/>
            <w:vAlign w:val="bottom"/>
            <w:shd w:val="clear" w:color="auto" w:fill="BFE4FF"/>
          </w:tcPr>
          <w:p>
            <w:pPr>
              <w:jc w:val="center"/>
              <w:ind w:left="1794"/>
              <w:spacing w:after="0"/>
              <w:rPr>
                <w:sz w:val="20"/>
                <w:szCs w:val="20"/>
                <w:color w:val="auto"/>
              </w:rPr>
            </w:pPr>
            <w:r>
              <w:rPr>
                <w:rFonts w:ascii="Arial" w:cs="Arial" w:eastAsia="Arial" w:hAnsi="Arial"/>
                <w:sz w:val="17"/>
                <w:szCs w:val="17"/>
                <w:color w:val="auto"/>
                <w:w w:val="88"/>
              </w:rPr>
              <w:t>0.5 % increase</w:t>
            </w:r>
          </w:p>
        </w:tc>
        <w:tc>
          <w:tcPr>
            <w:tcW w:w="560" w:type="dxa"/>
            <w:vAlign w:val="bottom"/>
            <w:shd w:val="clear" w:color="auto" w:fill="BFE4FF"/>
          </w:tcPr>
          <w:p>
            <w:pPr>
              <w:spacing w:after="0"/>
              <w:rPr>
                <w:sz w:val="19"/>
                <w:szCs w:val="19"/>
                <w:color w:val="auto"/>
              </w:rPr>
            </w:pPr>
          </w:p>
        </w:tc>
        <w:tc>
          <w:tcPr>
            <w:tcW w:w="1080" w:type="dxa"/>
            <w:vAlign w:val="bottom"/>
            <w:shd w:val="clear" w:color="auto" w:fill="BFE4FF"/>
          </w:tcPr>
          <w:p>
            <w:pPr>
              <w:jc w:val="right"/>
              <w:ind w:right="195"/>
              <w:spacing w:after="0"/>
              <w:rPr>
                <w:sz w:val="20"/>
                <w:szCs w:val="20"/>
                <w:color w:val="auto"/>
              </w:rPr>
            </w:pPr>
            <w:r>
              <w:rPr>
                <w:rFonts w:ascii="Arial" w:cs="Arial" w:eastAsia="Arial" w:hAnsi="Arial"/>
                <w:sz w:val="17"/>
                <w:szCs w:val="17"/>
                <w:color w:val="auto"/>
              </w:rPr>
              <w:t>50.7</w:t>
            </w:r>
          </w:p>
        </w:tc>
        <w:tc>
          <w:tcPr>
            <w:tcW w:w="320" w:type="dxa"/>
            <w:vAlign w:val="bottom"/>
            <w:shd w:val="clear" w:color="auto" w:fill="BFE4FF"/>
          </w:tcPr>
          <w:p>
            <w:pPr>
              <w:spacing w:after="0"/>
              <w:rPr>
                <w:sz w:val="19"/>
                <w:szCs w:val="19"/>
                <w:color w:val="auto"/>
              </w:rPr>
            </w:pPr>
          </w:p>
        </w:tc>
        <w:tc>
          <w:tcPr>
            <w:tcW w:w="1100" w:type="dxa"/>
            <w:vAlign w:val="bottom"/>
            <w:shd w:val="clear" w:color="auto" w:fill="BFE4FF"/>
          </w:tcPr>
          <w:p>
            <w:pPr>
              <w:jc w:val="right"/>
              <w:ind w:right="214"/>
              <w:spacing w:after="0"/>
              <w:rPr>
                <w:sz w:val="20"/>
                <w:szCs w:val="20"/>
                <w:color w:val="auto"/>
              </w:rPr>
            </w:pPr>
            <w:r>
              <w:rPr>
                <w:rFonts w:ascii="Arial" w:cs="Arial" w:eastAsia="Arial" w:hAnsi="Arial"/>
                <w:sz w:val="17"/>
                <w:szCs w:val="17"/>
                <w:color w:val="auto"/>
              </w:rPr>
              <w:t>9.4</w:t>
            </w:r>
          </w:p>
        </w:tc>
      </w:tr>
      <w:tr>
        <w:trPr>
          <w:trHeight w:val="218"/>
        </w:trPr>
        <w:tc>
          <w:tcPr>
            <w:tcW w:w="4320" w:type="dxa"/>
            <w:vAlign w:val="bottom"/>
          </w:tcPr>
          <w:p>
            <w:pPr>
              <w:ind w:left="20"/>
              <w:spacing w:after="0"/>
              <w:rPr>
                <w:sz w:val="20"/>
                <w:szCs w:val="20"/>
                <w:color w:val="auto"/>
              </w:rPr>
            </w:pPr>
            <w:r>
              <w:rPr>
                <w:rFonts w:ascii="Arial" w:cs="Arial" w:eastAsia="Arial" w:hAnsi="Arial"/>
                <w:sz w:val="17"/>
                <w:szCs w:val="17"/>
                <w:color w:val="auto"/>
              </w:rPr>
              <w:t>Discount rate</w:t>
            </w:r>
          </w:p>
        </w:tc>
        <w:tc>
          <w:tcPr>
            <w:tcW w:w="3840" w:type="dxa"/>
            <w:vAlign w:val="bottom"/>
          </w:tcPr>
          <w:p>
            <w:pPr>
              <w:jc w:val="center"/>
              <w:ind w:left="1814"/>
              <w:spacing w:after="0"/>
              <w:rPr>
                <w:sz w:val="20"/>
                <w:szCs w:val="20"/>
                <w:color w:val="auto"/>
              </w:rPr>
            </w:pPr>
            <w:r>
              <w:rPr>
                <w:rFonts w:ascii="Arial" w:cs="Arial" w:eastAsia="Arial" w:hAnsi="Arial"/>
                <w:sz w:val="17"/>
                <w:szCs w:val="17"/>
                <w:color w:val="auto"/>
                <w:w w:val="86"/>
              </w:rPr>
              <w:t>0.5 % decrease</w:t>
            </w:r>
          </w:p>
        </w:tc>
        <w:tc>
          <w:tcPr>
            <w:tcW w:w="56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219.6</w:t>
            </w:r>
          </w:p>
        </w:tc>
        <w:tc>
          <w:tcPr>
            <w:tcW w:w="32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20.7</w:t>
            </w:r>
          </w:p>
        </w:tc>
      </w:tr>
      <w:tr>
        <w:trPr>
          <w:trHeight w:val="220"/>
        </w:trPr>
        <w:tc>
          <w:tcPr>
            <w:tcW w:w="4320" w:type="dxa"/>
            <w:vAlign w:val="bottom"/>
            <w:shd w:val="clear" w:color="auto" w:fill="BFE4FF"/>
          </w:tcPr>
          <w:p>
            <w:pPr>
              <w:ind w:left="20"/>
              <w:spacing w:after="0"/>
              <w:rPr>
                <w:sz w:val="20"/>
                <w:szCs w:val="20"/>
                <w:color w:val="auto"/>
              </w:rPr>
            </w:pPr>
            <w:r>
              <w:rPr>
                <w:rFonts w:ascii="Arial" w:cs="Arial" w:eastAsia="Arial" w:hAnsi="Arial"/>
                <w:sz w:val="17"/>
                <w:szCs w:val="17"/>
                <w:color w:val="auto"/>
              </w:rPr>
              <w:t>Rate of return on plan assets</w:t>
            </w:r>
          </w:p>
        </w:tc>
        <w:tc>
          <w:tcPr>
            <w:tcW w:w="3840" w:type="dxa"/>
            <w:vAlign w:val="bottom"/>
            <w:shd w:val="clear" w:color="auto" w:fill="BFE4FF"/>
          </w:tcPr>
          <w:p>
            <w:pPr>
              <w:jc w:val="center"/>
              <w:ind w:left="1814"/>
              <w:spacing w:after="0"/>
              <w:rPr>
                <w:sz w:val="20"/>
                <w:szCs w:val="20"/>
                <w:color w:val="auto"/>
              </w:rPr>
            </w:pPr>
            <w:r>
              <w:rPr>
                <w:rFonts w:ascii="Arial" w:cs="Arial" w:eastAsia="Arial" w:hAnsi="Arial"/>
                <w:sz w:val="17"/>
                <w:szCs w:val="17"/>
                <w:color w:val="auto"/>
                <w:w w:val="86"/>
              </w:rPr>
              <w:t>0.5 % decrease</w:t>
            </w:r>
          </w:p>
        </w:tc>
        <w:tc>
          <w:tcPr>
            <w:tcW w:w="560" w:type="dxa"/>
            <w:vAlign w:val="bottom"/>
            <w:shd w:val="clear" w:color="auto" w:fill="BFE4FF"/>
          </w:tcPr>
          <w:p>
            <w:pPr>
              <w:spacing w:after="0"/>
              <w:rPr>
                <w:sz w:val="19"/>
                <w:szCs w:val="19"/>
                <w:color w:val="auto"/>
              </w:rPr>
            </w:pPr>
          </w:p>
        </w:tc>
        <w:tc>
          <w:tcPr>
            <w:tcW w:w="1080" w:type="dxa"/>
            <w:vAlign w:val="bottom"/>
            <w:shd w:val="clear" w:color="auto" w:fill="BFE4FF"/>
          </w:tcPr>
          <w:p>
            <w:pPr>
              <w:jc w:val="right"/>
              <w:ind w:right="195"/>
              <w:spacing w:after="0"/>
              <w:rPr>
                <w:sz w:val="20"/>
                <w:szCs w:val="20"/>
                <w:color w:val="auto"/>
              </w:rPr>
            </w:pPr>
            <w:r>
              <w:rPr>
                <w:rFonts w:ascii="Arial" w:cs="Arial" w:eastAsia="Arial" w:hAnsi="Arial"/>
                <w:sz w:val="17"/>
                <w:szCs w:val="17"/>
                <w:color w:val="auto"/>
              </w:rPr>
              <w:t>—</w:t>
            </w:r>
          </w:p>
        </w:tc>
        <w:tc>
          <w:tcPr>
            <w:tcW w:w="320" w:type="dxa"/>
            <w:vAlign w:val="bottom"/>
            <w:shd w:val="clear" w:color="auto" w:fill="BFE4FF"/>
          </w:tcPr>
          <w:p>
            <w:pPr>
              <w:spacing w:after="0"/>
              <w:rPr>
                <w:sz w:val="19"/>
                <w:szCs w:val="19"/>
                <w:color w:val="auto"/>
              </w:rPr>
            </w:pPr>
          </w:p>
        </w:tc>
        <w:tc>
          <w:tcPr>
            <w:tcW w:w="1100" w:type="dxa"/>
            <w:vAlign w:val="bottom"/>
            <w:shd w:val="clear" w:color="auto" w:fill="BFE4FF"/>
          </w:tcPr>
          <w:p>
            <w:pPr>
              <w:jc w:val="right"/>
              <w:ind w:right="214"/>
              <w:spacing w:after="0"/>
              <w:rPr>
                <w:sz w:val="20"/>
                <w:szCs w:val="20"/>
                <w:color w:val="auto"/>
              </w:rPr>
            </w:pPr>
            <w:r>
              <w:rPr>
                <w:rFonts w:ascii="Arial" w:cs="Arial" w:eastAsia="Arial" w:hAnsi="Arial"/>
                <w:sz w:val="17"/>
                <w:szCs w:val="17"/>
                <w:color w:val="auto"/>
              </w:rPr>
              <w:t>7.9</w:t>
            </w:r>
          </w:p>
        </w:tc>
      </w:tr>
      <w:tr>
        <w:trPr>
          <w:trHeight w:val="225"/>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Rate of compensation</w:t>
            </w:r>
          </w:p>
        </w:tc>
        <w:tc>
          <w:tcPr>
            <w:tcW w:w="3840" w:type="dxa"/>
            <w:vAlign w:val="bottom"/>
            <w:tcBorders>
              <w:bottom w:val="single" w:sz="8" w:color="auto"/>
            </w:tcBorders>
          </w:tcPr>
          <w:p>
            <w:pPr>
              <w:jc w:val="center"/>
              <w:ind w:left="1814"/>
              <w:spacing w:after="0"/>
              <w:rPr>
                <w:sz w:val="20"/>
                <w:szCs w:val="20"/>
                <w:color w:val="auto"/>
              </w:rPr>
            </w:pPr>
            <w:r>
              <w:rPr>
                <w:rFonts w:ascii="Arial" w:cs="Arial" w:eastAsia="Arial" w:hAnsi="Arial"/>
                <w:sz w:val="17"/>
                <w:szCs w:val="17"/>
                <w:color w:val="auto"/>
                <w:w w:val="86"/>
              </w:rPr>
              <w:t>0.5 % decrease</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(47.3)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(8.8)</w:t>
            </w:r>
          </w:p>
        </w:tc>
      </w:tr>
    </w:tbl>
    <w:p>
      <w:pPr>
        <w:spacing w:after="0" w:line="280" w:lineRule="exact"/>
        <w:rPr>
          <w:sz w:val="20"/>
          <w:szCs w:val="20"/>
          <w:color w:val="auto"/>
        </w:rPr>
      </w:pPr>
    </w:p>
    <w:p>
      <w:pPr>
        <w:jc w:val="both"/>
        <w:ind w:right="40"/>
        <w:spacing w:after="0" w:line="252" w:lineRule="auto"/>
        <w:rPr>
          <w:sz w:val="20"/>
          <w:szCs w:val="20"/>
          <w:color w:val="auto"/>
        </w:rPr>
      </w:pPr>
      <w:r>
        <w:rPr>
          <w:rFonts w:ascii="Arial" w:cs="Arial" w:eastAsia="Arial" w:hAnsi="Arial"/>
          <w:sz w:val="19"/>
          <w:szCs w:val="19"/>
          <w:color w:val="auto"/>
        </w:rPr>
        <w:t>Pension expense for Evergy Kansas Central, Evergy Metro and Evergy Missouri West is recorded in accordance with rate orders from the KCC and MPSC. The orders allow the difference between pension costs under GAAP and pension costs for ratemaking to be recorded as a regulatory asset or liability with future ratemaking recovery or refunds, as appropriate.</w:t>
      </w:r>
    </w:p>
    <w:p>
      <w:pPr>
        <w:spacing w:after="0" w:line="176" w:lineRule="exact"/>
        <w:rPr>
          <w:sz w:val="20"/>
          <w:szCs w:val="20"/>
          <w:color w:val="auto"/>
        </w:rPr>
      </w:pPr>
    </w:p>
    <w:p>
      <w:pPr>
        <w:jc w:val="both"/>
        <w:ind w:right="60"/>
        <w:spacing w:after="0" w:line="252" w:lineRule="auto"/>
        <w:rPr>
          <w:sz w:val="20"/>
          <w:szCs w:val="20"/>
          <w:color w:val="auto"/>
        </w:rPr>
      </w:pPr>
      <w:r>
        <w:rPr>
          <w:rFonts w:ascii="Arial" w:cs="Arial" w:eastAsia="Arial" w:hAnsi="Arial"/>
          <w:sz w:val="19"/>
          <w:szCs w:val="19"/>
          <w:color w:val="auto"/>
        </w:rPr>
        <w:t>In 2021, Evergy's pension expense was $153.7 million under GAAP and $171.0 million for ratemaking. The impact on 2022 pension expense in the table above reflects the impact on GAAP pension costs. Under the Evergy Companies' rate agreements, any increase or decrease in GAAP pension expense is deferred to a regulatory asset 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liability for future ratemaking treatment. See Note 9 to the consolidated financial statements for additional information regarding the accounting for pensions.</w:t>
      </w:r>
    </w:p>
    <w:p>
      <w:pPr>
        <w:spacing w:after="0" w:line="164" w:lineRule="exact"/>
        <w:rPr>
          <w:sz w:val="20"/>
          <w:szCs w:val="20"/>
          <w:color w:val="auto"/>
        </w:rPr>
      </w:pPr>
    </w:p>
    <w:p>
      <w:pPr>
        <w:ind w:right="460"/>
        <w:spacing w:after="0" w:line="264" w:lineRule="auto"/>
        <w:rPr>
          <w:sz w:val="20"/>
          <w:szCs w:val="20"/>
          <w:color w:val="auto"/>
        </w:rPr>
      </w:pPr>
      <w:r>
        <w:rPr>
          <w:rFonts w:ascii="Arial" w:cs="Arial" w:eastAsia="Arial" w:hAnsi="Arial"/>
          <w:sz w:val="19"/>
          <w:szCs w:val="19"/>
          <w:color w:val="auto"/>
        </w:rPr>
        <w:t>Market conditions and interest rates significantly affect the future assets and liabilities of the plan. It is difficult to predict future pension costs, changes in pension liability and cash funding requirements due to the inherent uncertainty of market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Recognition</w:t>
      </w:r>
    </w:p>
    <w:p>
      <w:pPr>
        <w:spacing w:after="0" w:line="2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Evergy recognizes revenue on the sale of electricity to customers over time as the service is provided in the amount it has the right to invoice. Revenues recorded include electric services provided but not yet billed by Evergy. Unbilled revenues are recorded for kWh usage in the period following the customers' billing cycle to the end of the month. This estimate is based on net system kWh usage less actual billed kWhs. Evergy's estimated unbilled kWhs are allocated and priced by regulatory jurisdiction across the rate classes based on actual billing rates. Evergy's unbilled revenue estimate is affected by factors including fluctuations in energy demand, weather, line losses and changes in the composition of customer classes. See Note 3 to the consolidated financial statements for the balance of unbilled receivables for Evergy as of December 31, 2021 and 2020.</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Regulatory Assets and Liabilities</w:t>
      </w:r>
    </w:p>
    <w:p>
      <w:pPr>
        <w:spacing w:after="0" w:line="23" w:lineRule="exact"/>
        <w:rPr>
          <w:sz w:val="20"/>
          <w:szCs w:val="20"/>
          <w:color w:val="auto"/>
        </w:rPr>
      </w:pPr>
    </w:p>
    <w:p>
      <w:pPr>
        <w:ind w:right="220"/>
        <w:spacing w:after="0" w:line="243" w:lineRule="auto"/>
        <w:rPr>
          <w:sz w:val="20"/>
          <w:szCs w:val="20"/>
          <w:color w:val="auto"/>
        </w:rPr>
      </w:pPr>
      <w:r>
        <w:rPr>
          <w:rFonts w:ascii="Arial" w:cs="Arial" w:eastAsia="Arial" w:hAnsi="Arial"/>
          <w:sz w:val="19"/>
          <w:szCs w:val="19"/>
          <w:color w:val="auto"/>
        </w:rPr>
        <w:t>Evergy has recorded assets and liabilities on its consolidated balance sheets resulting from the effects of the ratemaking process, which would not otherwise be recorded under GAAP. Regulatory assets represent incurred costs that are probable of recovery from future revenues. Regulatory liabilities represent future reductions in revenues or refunds to customers.</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Management regularly assesses whether regulatory assets and liabilities are probable of future recovery or refund by considering factors such as decisions by the MPSC, KCC or FERC in Evergy's rate case filings; decisions in other regulatory proceedings, including decisions related to other companies that establish precedent on matters applicable to Evergy; and changes in laws and regulations. If recovery or refund of regulatory assets or liabilities is not approved by regulators or is no longer deemed probable, these regulatory assets or liabilities are recognized in the current period results of operations. Evergy's continued ability to meet the criteria for recording regulatory assets and liabilities may be affected in the future by restructuring and deregulation in the electric industry or changes in accounting rules. In the event that the criteria no longer applied to all or a portion of Evergy's operations, the related regulatory assets and liabilities would be written off unless an appropriate regulatory recovery mechanism were provided. Additionally, these factors could result in an impairment on utility plant assets. See Note 4 to the consolidated financial statements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Impairments of Assets and Goodwill</w:t>
      </w:r>
    </w:p>
    <w:p>
      <w:pPr>
        <w:spacing w:after="0" w:line="23" w:lineRule="exact"/>
        <w:rPr>
          <w:sz w:val="20"/>
          <w:szCs w:val="20"/>
          <w:color w:val="auto"/>
        </w:rPr>
      </w:pPr>
    </w:p>
    <w:p>
      <w:pPr>
        <w:ind w:right="160"/>
        <w:spacing w:after="0" w:line="247" w:lineRule="auto"/>
        <w:rPr>
          <w:sz w:val="20"/>
          <w:szCs w:val="20"/>
          <w:color w:val="auto"/>
        </w:rPr>
      </w:pPr>
      <w:r>
        <w:rPr>
          <w:rFonts w:ascii="Arial" w:cs="Arial" w:eastAsia="Arial" w:hAnsi="Arial"/>
          <w:sz w:val="19"/>
          <w:szCs w:val="19"/>
          <w:color w:val="auto"/>
        </w:rPr>
        <w:t>Long-lived assets are required to be reviewed for impairment whenever events or changes in circumstances indicate that the carrying amount of an asset may not be recoverable as prescribed under GAAP.</w:t>
      </w:r>
    </w:p>
    <w:p>
      <w:pPr>
        <w:spacing w:after="0" w:line="179" w:lineRule="exact"/>
        <w:rPr>
          <w:sz w:val="20"/>
          <w:szCs w:val="20"/>
          <w:color w:val="auto"/>
        </w:rPr>
      </w:pPr>
    </w:p>
    <w:p>
      <w:pPr>
        <w:ind w:right="180"/>
        <w:spacing w:after="0" w:line="244" w:lineRule="auto"/>
        <w:rPr>
          <w:sz w:val="20"/>
          <w:szCs w:val="20"/>
          <w:color w:val="auto"/>
        </w:rPr>
      </w:pPr>
      <w:r>
        <w:rPr>
          <w:rFonts w:ascii="Arial" w:cs="Arial" w:eastAsia="Arial" w:hAnsi="Arial"/>
          <w:sz w:val="19"/>
          <w:szCs w:val="19"/>
          <w:color w:val="auto"/>
        </w:rPr>
        <w:t>Accounting rules require goodwill to be tested for impairment annually and when an event occurs indicating the possibility that an impairment exists.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annual impairment test for the $2,336.6 million of goodwill from the Great Plains Energy and Evergy Kansas Central merger was conducted as of May 1, 2021. The fair value of the reporting unit substantially exceeded the carrying amount, including goodwill. As a result, there was no impairment of goodwill.</w:t>
      </w:r>
    </w:p>
    <w:p>
      <w:pPr>
        <w:spacing w:after="0" w:line="183"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auto"/>
        </w:rPr>
        <w:t>The determination of fair value for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240"/>
        <w:spacing w:after="0" w:line="264" w:lineRule="auto"/>
        <w:rPr>
          <w:sz w:val="20"/>
          <w:szCs w:val="20"/>
          <w:color w:val="auto"/>
        </w:rPr>
      </w:pPr>
      <w:r>
        <w:rPr>
          <w:rFonts w:ascii="Arial" w:cs="Arial" w:eastAsia="Arial" w:hAnsi="Arial"/>
          <w:sz w:val="19"/>
          <w:szCs w:val="19"/>
          <w:color w:val="auto"/>
        </w:rPr>
        <w:t>were evaluated and weighted to determine a point within the range that management considered representative of fair value for the reporting unit, which involves a significant amount of management judgment.</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discounted cash flow analysis is most significantly impacted by two assumptions: estimated future cash flows and the discount rate applied to those cash flows. Management determines the appropriate discount rate to be based on the reporting unit's weighted average cost of capital (WACC). The WACC takes into account both the return on equity authorized by the KCC and MPSC and after-tax cost of debt. Estimated future cash flows are based on Evergy's internal business plan, which assumes the occurrence of certain events in the future, such as the outcome of future rate filings, future approved rates of return on equity, anticipated returns of and earnings on future capital investments, continued recovery of cost of service and the renewal of certain contracts. Management also makes assumptions regarding the run rate of operations, maintenance and general and administrative costs based on the expected outcome of the aforementioned events. Should the actual outcome of some or all of these assumptions differ significantly from the current assumptions, revisions to current cash flow assumptions could cause the fair value of the Evergy reporting unit under the income approach to be significantly different in future periods and could result in a future impairment charge to goodwill.</w:t>
      </w:r>
    </w:p>
    <w:p>
      <w:pPr>
        <w:spacing w:after="0" w:line="163" w:lineRule="exact"/>
        <w:rPr>
          <w:sz w:val="20"/>
          <w:szCs w:val="20"/>
          <w:color w:val="auto"/>
        </w:rPr>
      </w:pPr>
    </w:p>
    <w:p>
      <w:pPr>
        <w:ind w:right="140"/>
        <w:spacing w:after="0" w:line="245" w:lineRule="auto"/>
        <w:rPr>
          <w:sz w:val="20"/>
          <w:szCs w:val="20"/>
          <w:color w:val="auto"/>
        </w:rPr>
      </w:pPr>
      <w:r>
        <w:rPr>
          <w:rFonts w:ascii="Arial" w:cs="Arial" w:eastAsia="Arial" w:hAnsi="Arial"/>
          <w:sz w:val="19"/>
          <w:szCs w:val="19"/>
          <w:color w:val="auto"/>
        </w:rPr>
        <w:t>The market approach analysis is most significantly impacted by management's selection of relevant peer companies as well as the determination of an appropriate control premium to be added to the calculated invested capital of the reporting unit, as control premiums associated with a controlling interest are not reflected in the quoted market price of a single share of stock. Management determines an appropriate control premium by using an average of control premiums for recent acquisitions in the industry. Changes in results of peer companies, selection of different peer companies and future acquisitions with significantly different control premiums could result in a significantly different fair value of the Evergy reporting unit.</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Taxes</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Income taxes are accounted for using the asset/liability approach. Deferred tax assets and liabilities are determined based on the temporary differences between the financial reporting and tax bases of assets and liabilities, applying enacted statutory tax rates in effect for the year in which the differences are expected to reverse. Deferred investment tax credits are amortized ratably over the life of the related property. Deferred tax assets are also recorded for net operating losses, capital losses and tax credit carryforwards. Evergy is required to estimate the amount of taxes payable or refundable for the current year and the deferred tax liabilities and assets for future tax consequences of events reflected in Evergy's consolidated financial statements or tax returns. Actual results could differ from these estimates for a variety of reasons including changes in income tax laws, enacted tax rates and results of audits by taxing authorities. This process also requires management to make assessments regarding the timing and probability of the ultimate tax impact from which actual results may differ. Evergy records valuation allowances on deferred tax assets if it is determined that it is more likely than not that the asset will not be realized. See Note 19 to the consolidated financial statements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Asset Retirement Obligations</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Evergy has recognized legal obligations associated with the disposal of long-lived assets that result from the acquisition, construction, development or normal operation of such assets. Concurrent with the recognition of the liability, the estimated cost of the ARO incurred at the time the related long-lived assets were either acquired, placed in service or when regulations establishing the obligation became effective is also recorded to property, plant and equipment, net on the consolidated balance sheets. The recording of AROs for regulated operations has no income statement impact due to the deferral of the adjustments through the establishment of a regulatory asset or an offset to a regulatory liability.</w:t>
      </w:r>
    </w:p>
    <w:p>
      <w:pPr>
        <w:spacing w:after="0" w:line="15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Evergy initially recorded AROs at fair value for the estimated cost to decommission Wolf Creek (94% indirect share), retire wind generating facilities, dispose of asbestos insulating material at its power plants, remediate ash disposal ponds and close ash landfills, among other items. ARO refers to a legal obligation to perform an asset retirement activity in which the timing and/or method of settlement may be conditional on a future event that may or may not be within the control of the entity. In determining Evergy's AROs, assumptions are made regarding probable future disposal costs and the timing of their occurrence. The results of these assumptions are discounted using credit-adjusted risk-free rates (CARFR). The CARFR is determined as the current U.S. Treasury bonds rates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corresponding to the period of expected settlement activities and is adjusted for the associated bond rates Evergy would be charged to borrow for the specific time period. Any change in these assumptions could have a significant impact on Evergy's AROs reflected on its consolidated balance sheets.</w:t>
      </w:r>
    </w:p>
    <w:p>
      <w:pPr>
        <w:spacing w:after="0" w:line="176"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As of December 31, 2021 and 2020, Evergy had recorded AROs of $960.1 million and $941.9 million, respectively. See Note 6 to the consolidated financial statements for more information regarding Evergy's AROs.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EVERGY RESULTS OF OPERATIONS</w:t>
      </w:r>
    </w:p>
    <w:p>
      <w:pPr>
        <w:spacing w:after="0" w:line="213" w:lineRule="exact"/>
        <w:rPr>
          <w:sz w:val="20"/>
          <w:szCs w:val="20"/>
          <w:color w:val="auto"/>
        </w:rPr>
      </w:pPr>
    </w:p>
    <w:p>
      <w:pPr>
        <w:ind w:right="500"/>
        <w:spacing w:after="0" w:line="264" w:lineRule="auto"/>
        <w:rPr>
          <w:sz w:val="20"/>
          <w:szCs w:val="20"/>
          <w:color w:val="auto"/>
        </w:rPr>
      </w:pPr>
      <w:r>
        <w:rPr>
          <w:rFonts w:ascii="Arial" w:cs="Arial" w:eastAsia="Arial" w:hAnsi="Arial"/>
          <w:sz w:val="19"/>
          <w:szCs w:val="19"/>
          <w:color w:val="auto"/>
        </w:rPr>
        <w:t>Evergy's results of operations and financial position are affected by a variety of factors including rate regulation, fuel costs, weather, customer behavior and demand, the economy and competitive forces.</w:t>
      </w:r>
    </w:p>
    <w:p>
      <w:pPr>
        <w:spacing w:after="0" w:line="164"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color w:val="auto"/>
        </w:rPr>
        <w:t>Substantially all of Evergy's revenues are subject to state or federal regulation. This regulation has a significant impact on the price the Evergy Companies charge for electric service. Evergy's results of operations and financial position are affected by its ability to align overall spending, both operating and capital, within the frameworks established by its regulators.</w:t>
      </w:r>
    </w:p>
    <w:p>
      <w:pPr>
        <w:spacing w:after="0" w:line="176" w:lineRule="exact"/>
        <w:rPr>
          <w:sz w:val="20"/>
          <w:szCs w:val="20"/>
          <w:color w:val="auto"/>
        </w:rPr>
      </w:pPr>
    </w:p>
    <w:p>
      <w:pPr>
        <w:ind w:right="400"/>
        <w:spacing w:after="0" w:line="264" w:lineRule="auto"/>
        <w:rPr>
          <w:sz w:val="20"/>
          <w:szCs w:val="20"/>
          <w:color w:val="auto"/>
        </w:rPr>
      </w:pPr>
      <w:r>
        <w:rPr>
          <w:rFonts w:ascii="Arial" w:cs="Arial" w:eastAsia="Arial" w:hAnsi="Arial"/>
          <w:sz w:val="19"/>
          <w:szCs w:val="19"/>
          <w:color w:val="auto"/>
        </w:rPr>
        <w:t>Wholesale revenues are impacted by, among other factors, demand, cost and availability of fuel and purchased power, price volatility, available generation capacity, transmission availability and weather.</w:t>
      </w:r>
    </w:p>
    <w:p>
      <w:pPr>
        <w:spacing w:after="0" w:line="164" w:lineRule="exact"/>
        <w:rPr>
          <w:sz w:val="20"/>
          <w:szCs w:val="20"/>
          <w:color w:val="auto"/>
        </w:rPr>
      </w:pPr>
    </w:p>
    <w:p>
      <w:pPr>
        <w:ind w:right="120"/>
        <w:spacing w:after="0" w:line="245" w:lineRule="auto"/>
        <w:rPr>
          <w:sz w:val="20"/>
          <w:szCs w:val="20"/>
          <w:color w:val="auto"/>
        </w:rPr>
      </w:pPr>
      <w:r>
        <w:rPr>
          <w:rFonts w:ascii="Arial" w:cs="Arial" w:eastAsia="Arial" w:hAnsi="Arial"/>
          <w:sz w:val="19"/>
          <w:szCs w:val="19"/>
          <w:color w:val="auto"/>
        </w:rPr>
        <w:t>The Evergy Companies use coal, uranium and gas for the generation of electricity for their customers and also purchase power through renewable power purchase agreements or on the open market. The prices for fuel used in generation or the market price of power purchases can fluctuate significantly due to a variety of factors including supply, demand, weather and the broader economic environment. Evergy Kansas Central, Evergy Metro and Evergy Missouri West have fuel recovery mechanisms in their Kansas and Missouri jurisdictions, as applicable, that allow them to defer and subsequently recover or refund, through customer rates, substantially all of the variance in net energy costs from the amount set in base rates without a general rate case proceeding.</w:t>
      </w:r>
    </w:p>
    <w:p>
      <w:pPr>
        <w:spacing w:after="0" w:line="183"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Weather significantly affects the amount of electricity that Evergy's customers use as electricity sales are seasonal. As summer peaking utilities, the third quarter typically accounts for the greatest electricity sales by the Evergy Companies. Hot summer temperatures and cold winter temperatures prompt more demand, especially among residential and commercial customers, and to a lesser extent, industrial customers. Mild weather reduces customer demand.</w:t>
      </w:r>
    </w:p>
    <w:p>
      <w:pPr>
        <w:spacing w:after="0" w:line="180" w:lineRule="exact"/>
        <w:rPr>
          <w:sz w:val="20"/>
          <w:szCs w:val="20"/>
          <w:color w:val="auto"/>
        </w:rPr>
      </w:pPr>
    </w:p>
    <w:p>
      <w:pPr>
        <w:ind w:right="280"/>
        <w:spacing w:after="0" w:line="296" w:lineRule="auto"/>
        <w:rPr>
          <w:sz w:val="20"/>
          <w:szCs w:val="20"/>
          <w:color w:val="auto"/>
        </w:rPr>
      </w:pPr>
      <w:r>
        <w:rPr>
          <w:rFonts w:ascii="Arial" w:cs="Arial" w:eastAsia="Arial" w:hAnsi="Arial"/>
          <w:sz w:val="17"/>
          <w:szCs w:val="17"/>
          <w:color w:val="auto"/>
        </w:rPr>
        <w:t>Energy efficiency investments by customers and the Evergy Companies also can affect the demand for electric service. Through MEEIA, Evergy Metro and Evergy Missouri West offer energy efficiency and demand side management programs to their Missouri retail customers and recover program costs, throughput disincentive, and as applicable, certain earnings opportunities in retail rates through a rider mechanism.</w:t>
      </w:r>
    </w:p>
    <w:p>
      <w:pPr>
        <w:spacing w:after="0" w:line="141"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The Evergy Companies' taxes other than income taxes, of which property taxes are a significant component, can fluctuate significantly due to a variety of factors, including changes in taxable values and property tax rates. Evergy Kansas Central and Evergy Metro's Kansas jurisdiction have property tax surcharges that allow them to defer and subsequently recover or refund, through customer rates, substantially all of the variance in property tax costs from the amounts set in base rates without a general rate case proceeding.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Evergy's comparative results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Change</w:t>
            </w:r>
          </w:p>
        </w:tc>
        <w:tc>
          <w:tcPr>
            <w:tcW w:w="3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2020</w:t>
            </w:r>
          </w:p>
        </w:tc>
      </w:tr>
      <w:tr>
        <w:trPr>
          <w:trHeight w:val="209"/>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15"/>
              <w:spacing w:after="0"/>
              <w:rPr>
                <w:sz w:val="20"/>
                <w:szCs w:val="20"/>
                <w:color w:val="auto"/>
              </w:rPr>
            </w:pPr>
            <w:r>
              <w:rPr>
                <w:rFonts w:ascii="Arial" w:cs="Arial" w:eastAsia="Arial" w:hAnsi="Arial"/>
                <w:sz w:val="15"/>
                <w:szCs w:val="15"/>
                <w:color w:val="auto"/>
              </w:rPr>
              <w:t>(millions)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revenues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5,586.7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673.3</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4,913.4</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Fuel and purchased power</w:t>
            </w:r>
          </w:p>
        </w:tc>
        <w:tc>
          <w:tcPr>
            <w:tcW w:w="2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1,557.0</w:t>
            </w:r>
          </w:p>
        </w:tc>
        <w:tc>
          <w:tcPr>
            <w:tcW w:w="2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458.0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1,099.0</w:t>
            </w:r>
          </w:p>
        </w:tc>
      </w:tr>
      <w:tr>
        <w:trPr>
          <w:trHeight w:val="220"/>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SPP network transmission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290.4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27.2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263.2</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Operating and maintenance</w:t>
            </w:r>
          </w:p>
        </w:tc>
        <w:tc>
          <w:tcPr>
            <w:tcW w:w="2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1,107.5</w:t>
            </w:r>
          </w:p>
        </w:tc>
        <w:tc>
          <w:tcPr>
            <w:tcW w:w="28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(55.5)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1,163.0</w:t>
            </w:r>
          </w:p>
        </w:tc>
      </w:tr>
      <w:tr>
        <w:trPr>
          <w:trHeight w:val="220"/>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896.4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880.1</w:t>
            </w:r>
          </w:p>
        </w:tc>
      </w:tr>
      <w:tr>
        <w:trPr>
          <w:trHeight w:val="218"/>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Taxes other than income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380.5</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16.3</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364.2</w:t>
            </w:r>
          </w:p>
        </w:tc>
      </w:tr>
      <w:tr>
        <w:trPr>
          <w:trHeight w:val="213"/>
        </w:trPr>
        <w:tc>
          <w:tcPr>
            <w:tcW w:w="7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1,354.9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211.0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1,143.9</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18.8</w:t>
            </w:r>
          </w:p>
        </w:tc>
        <w:tc>
          <w:tcPr>
            <w:tcW w:w="2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54.9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(36.1)</w:t>
            </w:r>
          </w:p>
        </w:tc>
      </w:tr>
      <w:tr>
        <w:trPr>
          <w:trHeight w:val="220"/>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372.6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383.9</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117.4</w:t>
            </w:r>
          </w:p>
        </w:tc>
        <w:tc>
          <w:tcPr>
            <w:tcW w:w="2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15.2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102.2</w:t>
            </w:r>
          </w:p>
        </w:tc>
      </w:tr>
      <w:tr>
        <w:trPr>
          <w:trHeight w:val="220"/>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of equity method investees, net of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1"/>
        </w:trPr>
        <w:tc>
          <w:tcPr>
            <w:tcW w:w="770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2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891.9</w:t>
            </w:r>
          </w:p>
        </w:tc>
        <w:tc>
          <w:tcPr>
            <w:tcW w:w="2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261.9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630.0</w:t>
            </w:r>
          </w:p>
        </w:tc>
      </w:tr>
      <w:tr>
        <w:trPr>
          <w:trHeight w:val="220"/>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0.5</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18"/>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attributable to Evergy, Inc.</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879.7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261.4</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618.3</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Utility Gross Margin and MWh Sales</w:t>
      </w:r>
    </w:p>
    <w:p>
      <w:pPr>
        <w:spacing w:after="0" w:line="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Utility gross margin is a financial measure that is not calculated in accordance with GAAP. Utility gross margin,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See Note 2 to the consolidated financial statements for additional information regarding the manner in which the Evergy Companies' reflect SPP revenues and expenses.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Management believes that utility gross margin provides a meaningful basis for evaluating the Evergy Companies' operations across periods because utility gross margin excludes the revenue effect of fluctuations in these expenses. Utility gross margin is used internally to measure performance against budget and in reports for management and the Evergy Board. Utility gross margin should be viewed as a supplement to, and not a substitute for, income from operations, which is the most directly comparable financial measure prepared in accordance with GAAP. The Evergy Companies' definition of utility gross margin may differ from similar terms used by other companies.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Evergy's utility gross margin and MWhs sold.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gridSpan w:val="4"/>
          </w:tcPr>
          <w:p>
            <w:pPr>
              <w:jc w:val="center"/>
              <w:ind w:left="494"/>
              <w:spacing w:after="0"/>
              <w:rPr>
                <w:sz w:val="20"/>
                <w:szCs w:val="20"/>
                <w:color w:val="auto"/>
              </w:rPr>
            </w:pPr>
            <w:r>
              <w:rPr>
                <w:rFonts w:ascii="Arial" w:cs="Arial" w:eastAsia="Arial" w:hAnsi="Arial"/>
                <w:sz w:val="17"/>
                <w:szCs w:val="17"/>
                <w:b w:val="1"/>
                <w:bCs w:val="1"/>
                <w:color w:val="auto"/>
                <w:w w:val="86"/>
              </w:rPr>
              <w:t>Revenues and Expenses</w:t>
            </w: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3"/>
              </w:rPr>
              <w:t>MWhs Sold</w:t>
            </w:r>
          </w:p>
        </w:tc>
        <w:tc>
          <w:tcPr>
            <w:tcW w:w="980" w:type="dxa"/>
            <w:vAlign w:val="bottom"/>
            <w:tcBorders>
              <w:top w:val="single" w:sz="8" w:color="auto"/>
            </w:tcBorders>
          </w:tcPr>
          <w:p>
            <w:pPr>
              <w:spacing w:after="0"/>
              <w:rPr>
                <w:sz w:val="20"/>
                <w:szCs w:val="20"/>
                <w:color w:val="auto"/>
              </w:rPr>
            </w:pPr>
          </w:p>
        </w:tc>
      </w:tr>
      <w:tr>
        <w:trPr>
          <w:trHeight w:val="224"/>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Utility Gross Margin</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w w:val="89"/>
              </w:rPr>
              <w:t>Change</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2020</w:t>
            </w:r>
          </w:p>
        </w:tc>
        <w:tc>
          <w:tcPr>
            <w:tcW w:w="136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89"/>
              </w:rPr>
              <w:t>Change</w:t>
            </w: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2020</w:t>
            </w:r>
          </w:p>
        </w:tc>
      </w:tr>
      <w:tr>
        <w:trPr>
          <w:trHeight w:val="212"/>
        </w:trPr>
        <w:tc>
          <w:tcPr>
            <w:tcW w:w="3980" w:type="dxa"/>
            <w:vAlign w:val="bottom"/>
          </w:tcPr>
          <w:p>
            <w:pPr>
              <w:ind w:left="20"/>
              <w:spacing w:after="0"/>
              <w:rPr>
                <w:sz w:val="20"/>
                <w:szCs w:val="20"/>
                <w:color w:val="auto"/>
              </w:rPr>
            </w:pPr>
            <w:r>
              <w:rPr>
                <w:rFonts w:ascii="Arial" w:cs="Arial" w:eastAsia="Arial" w:hAnsi="Arial"/>
                <w:sz w:val="17"/>
                <w:szCs w:val="17"/>
                <w:color w:val="auto"/>
              </w:rPr>
              <w:t>Retail 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175"/>
              <w:spacing w:after="0"/>
              <w:rPr>
                <w:sz w:val="20"/>
                <w:szCs w:val="20"/>
                <w:color w:val="auto"/>
              </w:rPr>
            </w:pPr>
            <w:r>
              <w:rPr>
                <w:rFonts w:ascii="Arial" w:cs="Arial" w:eastAsia="Arial" w:hAnsi="Arial"/>
                <w:sz w:val="15"/>
                <w:szCs w:val="15"/>
                <w:color w:val="auto"/>
                <w:w w:val="99"/>
              </w:rPr>
              <w:t>(millions)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center"/>
              <w:ind w:right="115"/>
              <w:spacing w:after="0"/>
              <w:rPr>
                <w:sz w:val="20"/>
                <w:szCs w:val="20"/>
                <w:color w:val="auto"/>
              </w:rPr>
            </w:pPr>
            <w:r>
              <w:rPr>
                <w:rFonts w:ascii="Arial" w:cs="Arial" w:eastAsia="Arial" w:hAnsi="Arial"/>
                <w:sz w:val="15"/>
                <w:szCs w:val="15"/>
                <w:color w:val="auto"/>
                <w:w w:val="90"/>
              </w:rPr>
              <w:t>(thousands)</w:t>
            </w:r>
          </w:p>
        </w:tc>
        <w:tc>
          <w:tcPr>
            <w:tcW w:w="980" w:type="dxa"/>
            <w:vAlign w:val="bottom"/>
          </w:tcPr>
          <w:p>
            <w:pPr>
              <w:spacing w:after="0"/>
              <w:rPr>
                <w:sz w:val="18"/>
                <w:szCs w:val="18"/>
                <w:color w:val="auto"/>
              </w:rPr>
            </w:pPr>
          </w:p>
        </w:tc>
      </w:tr>
      <w:tr>
        <w:trPr>
          <w:trHeight w:val="220"/>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Residential</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1,918.3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9.1</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1,909.2</w:t>
            </w:r>
          </w:p>
        </w:tc>
        <w:tc>
          <w:tcPr>
            <w:tcW w:w="13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15,715</w:t>
            </w:r>
          </w:p>
        </w:tc>
        <w:tc>
          <w:tcPr>
            <w:tcW w:w="13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232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15,483</w:t>
            </w:r>
          </w:p>
        </w:tc>
      </w:tr>
      <w:tr>
        <w:trPr>
          <w:trHeight w:val="218"/>
        </w:trPr>
        <w:tc>
          <w:tcPr>
            <w:tcW w:w="398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240" w:type="dxa"/>
            <w:vAlign w:val="bottom"/>
          </w:tcPr>
          <w:p>
            <w:pPr>
              <w:spacing w:after="0"/>
              <w:rPr>
                <w:sz w:val="18"/>
                <w:szCs w:val="18"/>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1,681.3</w:t>
            </w:r>
          </w:p>
        </w:tc>
        <w:tc>
          <w:tcPr>
            <w:tcW w:w="26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39.6</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1,641.7</w:t>
            </w:r>
          </w:p>
        </w:tc>
        <w:tc>
          <w:tcPr>
            <w:tcW w:w="1360" w:type="dxa"/>
            <w:vAlign w:val="bottom"/>
            <w:gridSpan w:val="2"/>
          </w:tcPr>
          <w:p>
            <w:pPr>
              <w:jc w:val="right"/>
              <w:ind w:right="114"/>
              <w:spacing w:after="0"/>
              <w:rPr>
                <w:sz w:val="20"/>
                <w:szCs w:val="20"/>
                <w:color w:val="auto"/>
              </w:rPr>
            </w:pPr>
            <w:r>
              <w:rPr>
                <w:rFonts w:ascii="Arial" w:cs="Arial" w:eastAsia="Arial" w:hAnsi="Arial"/>
                <w:sz w:val="17"/>
                <w:szCs w:val="17"/>
                <w:color w:val="auto"/>
              </w:rPr>
              <w:t>17,659</w:t>
            </w:r>
          </w:p>
        </w:tc>
        <w:tc>
          <w:tcPr>
            <w:tcW w:w="1360" w:type="dxa"/>
            <w:vAlign w:val="bottom"/>
          </w:tcPr>
          <w:p>
            <w:pPr>
              <w:jc w:val="right"/>
              <w:ind w:right="235"/>
              <w:spacing w:after="0"/>
              <w:rPr>
                <w:sz w:val="20"/>
                <w:szCs w:val="20"/>
                <w:color w:val="auto"/>
              </w:rPr>
            </w:pPr>
            <w:r>
              <w:rPr>
                <w:rFonts w:ascii="Arial" w:cs="Arial" w:eastAsia="Arial" w:hAnsi="Arial"/>
                <w:sz w:val="17"/>
                <w:szCs w:val="17"/>
                <w:color w:val="auto"/>
              </w:rPr>
              <w:t>664</w:t>
            </w:r>
          </w:p>
        </w:tc>
        <w:tc>
          <w:tcPr>
            <w:tcW w:w="980" w:type="dxa"/>
            <w:vAlign w:val="bottom"/>
          </w:tcPr>
          <w:p>
            <w:pPr>
              <w:jc w:val="right"/>
              <w:spacing w:after="0"/>
              <w:rPr>
                <w:sz w:val="20"/>
                <w:szCs w:val="20"/>
                <w:color w:val="auto"/>
              </w:rPr>
            </w:pPr>
            <w:r>
              <w:rPr>
                <w:rFonts w:ascii="Arial" w:cs="Arial" w:eastAsia="Arial" w:hAnsi="Arial"/>
                <w:sz w:val="17"/>
                <w:szCs w:val="17"/>
                <w:color w:val="auto"/>
              </w:rPr>
              <w:t>16,995</w:t>
            </w:r>
          </w:p>
        </w:tc>
      </w:tr>
      <w:tr>
        <w:trPr>
          <w:trHeight w:val="220"/>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Industrial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597.0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588.7</w:t>
            </w:r>
          </w:p>
        </w:tc>
        <w:tc>
          <w:tcPr>
            <w:tcW w:w="13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8,608</w:t>
            </w:r>
          </w:p>
        </w:tc>
        <w:tc>
          <w:tcPr>
            <w:tcW w:w="13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365</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8,243</w:t>
            </w:r>
          </w:p>
        </w:tc>
      </w:tr>
      <w:tr>
        <w:trPr>
          <w:trHeight w:val="218"/>
        </w:trPr>
        <w:tc>
          <w:tcPr>
            <w:tcW w:w="39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retail revenues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33.1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(5.4)</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131</w:t>
            </w:r>
          </w:p>
        </w:tc>
        <w:tc>
          <w:tcPr>
            <w:tcW w:w="13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r>
      <w:tr>
        <w:trPr>
          <w:trHeight w:val="213"/>
        </w:trPr>
        <w:tc>
          <w:tcPr>
            <w:tcW w:w="3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electric retail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4,229.7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51.6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4,178.1</w:t>
            </w:r>
          </w:p>
        </w:tc>
        <w:tc>
          <w:tcPr>
            <w:tcW w:w="13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42,113</w:t>
            </w:r>
          </w:p>
        </w:tc>
        <w:tc>
          <w:tcPr>
            <w:tcW w:w="13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1,260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40,853</w:t>
            </w: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Wholesale revenues</w:t>
            </w:r>
          </w:p>
        </w:tc>
        <w:tc>
          <w:tcPr>
            <w:tcW w:w="240" w:type="dxa"/>
            <w:vAlign w:val="bottom"/>
          </w:tcPr>
          <w:p>
            <w:pPr>
              <w:spacing w:after="0"/>
              <w:rPr>
                <w:sz w:val="18"/>
                <w:szCs w:val="18"/>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717.2</w:t>
            </w:r>
          </w:p>
        </w:tc>
        <w:tc>
          <w:tcPr>
            <w:tcW w:w="26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453.2</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264.0</w:t>
            </w:r>
          </w:p>
        </w:tc>
        <w:tc>
          <w:tcPr>
            <w:tcW w:w="1360" w:type="dxa"/>
            <w:vAlign w:val="bottom"/>
            <w:gridSpan w:val="2"/>
          </w:tcPr>
          <w:p>
            <w:pPr>
              <w:jc w:val="right"/>
              <w:ind w:right="114"/>
              <w:spacing w:after="0"/>
              <w:rPr>
                <w:sz w:val="20"/>
                <w:szCs w:val="20"/>
                <w:color w:val="auto"/>
              </w:rPr>
            </w:pPr>
            <w:r>
              <w:rPr>
                <w:rFonts w:ascii="Arial" w:cs="Arial" w:eastAsia="Arial" w:hAnsi="Arial"/>
                <w:sz w:val="17"/>
                <w:szCs w:val="17"/>
                <w:color w:val="auto"/>
              </w:rPr>
              <w:t>15,916</w:t>
            </w:r>
          </w:p>
        </w:tc>
        <w:tc>
          <w:tcPr>
            <w:tcW w:w="1360" w:type="dxa"/>
            <w:vAlign w:val="bottom"/>
          </w:tcPr>
          <w:p>
            <w:pPr>
              <w:jc w:val="right"/>
              <w:ind w:right="235"/>
              <w:spacing w:after="0"/>
              <w:rPr>
                <w:sz w:val="20"/>
                <w:szCs w:val="20"/>
                <w:color w:val="auto"/>
              </w:rPr>
            </w:pPr>
            <w:r>
              <w:rPr>
                <w:rFonts w:ascii="Arial" w:cs="Arial" w:eastAsia="Arial" w:hAnsi="Arial"/>
                <w:sz w:val="17"/>
                <w:szCs w:val="17"/>
                <w:color w:val="auto"/>
              </w:rPr>
              <w:t>1,056</w:t>
            </w:r>
          </w:p>
        </w:tc>
        <w:tc>
          <w:tcPr>
            <w:tcW w:w="980" w:type="dxa"/>
            <w:vAlign w:val="bottom"/>
          </w:tcPr>
          <w:p>
            <w:pPr>
              <w:jc w:val="right"/>
              <w:spacing w:after="0"/>
              <w:rPr>
                <w:sz w:val="20"/>
                <w:szCs w:val="20"/>
                <w:color w:val="auto"/>
              </w:rPr>
            </w:pPr>
            <w:r>
              <w:rPr>
                <w:rFonts w:ascii="Arial" w:cs="Arial" w:eastAsia="Arial" w:hAnsi="Arial"/>
                <w:sz w:val="17"/>
                <w:szCs w:val="17"/>
                <w:color w:val="auto"/>
              </w:rPr>
              <w:t>14,860</w:t>
            </w: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Transmission revenues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356.8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38.3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N/A</w:t>
            </w:r>
          </w:p>
        </w:tc>
        <w:tc>
          <w:tcPr>
            <w:tcW w:w="1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8"/>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revenues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283.0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130.2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152.8</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N/A</w:t>
            </w: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N/A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r>
      <w:tr>
        <w:trPr>
          <w:trHeight w:val="213"/>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5,586.7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673.3</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4,913.4</w:t>
            </w:r>
          </w:p>
        </w:tc>
        <w:tc>
          <w:tcPr>
            <w:tcW w:w="13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58,029</w:t>
            </w:r>
          </w:p>
        </w:tc>
        <w:tc>
          <w:tcPr>
            <w:tcW w:w="13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2,316</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55,713</w:t>
            </w: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Fuel and purchased power</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(1,557.0)</w:t>
            </w:r>
          </w:p>
        </w:tc>
        <w:tc>
          <w:tcPr>
            <w:tcW w:w="26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(458.0)</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(1,099.0)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SPP network transmission costs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(290.4)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(27.2)</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2"/>
        </w:trPr>
        <w:tc>
          <w:tcPr>
            <w:tcW w:w="3980" w:type="dxa"/>
            <w:vAlign w:val="bottom"/>
          </w:tcPr>
          <w:p>
            <w:pPr>
              <w:ind w:left="20"/>
              <w:spacing w:after="0" w:line="212" w:lineRule="exact"/>
              <w:rPr>
                <w:sz w:val="20"/>
                <w:szCs w:val="20"/>
                <w:color w:val="auto"/>
              </w:rPr>
            </w:pPr>
            <w:r>
              <w:rPr>
                <w:rFonts w:ascii="Arial" w:cs="Arial" w:eastAsia="Arial" w:hAnsi="Arial"/>
                <w:sz w:val="17"/>
                <w:szCs w:val="17"/>
                <w:b w:val="1"/>
                <w:bCs w:val="1"/>
                <w:color w:val="auto"/>
              </w:rPr>
              <w:t xml:space="preserve">Utility gross margin </w:t>
            </w:r>
            <w:r>
              <w:rPr>
                <w:rFonts w:ascii="Arial" w:cs="Arial" w:eastAsia="Arial" w:hAnsi="Arial"/>
                <w:sz w:val="22"/>
                <w:szCs w:val="22"/>
                <w:b w:val="1"/>
                <w:bCs w:val="1"/>
                <w:color w:val="auto"/>
                <w:vertAlign w:val="superscript"/>
              </w:rPr>
              <w:t>(a)</w:t>
            </w:r>
          </w:p>
        </w:tc>
        <w:tc>
          <w:tcPr>
            <w:tcW w:w="240" w:type="dxa"/>
            <w:vAlign w:val="bottom"/>
          </w:tcPr>
          <w:p>
            <w:pPr>
              <w:spacing w:after="0"/>
              <w:rPr>
                <w:sz w:val="18"/>
                <w:szCs w:val="18"/>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b w:val="1"/>
                <w:bCs w:val="1"/>
                <w:color w:val="auto"/>
              </w:rPr>
              <w:t>3,739.3</w:t>
            </w:r>
          </w:p>
        </w:tc>
        <w:tc>
          <w:tcPr>
            <w:tcW w:w="26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auto"/>
              </w:rPr>
              <w:t>188.1</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3,551.2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and maintenance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(1,107.5)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55.5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(896.4)</w:t>
            </w:r>
          </w:p>
        </w:tc>
        <w:tc>
          <w:tcPr>
            <w:tcW w:w="26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(16.3)</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(880.1)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Taxes other than income tax</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(380.5)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(16.3)</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1,354.9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211.0</w:t>
            </w:r>
          </w:p>
        </w:tc>
        <w:tc>
          <w:tcPr>
            <w:tcW w:w="3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1,143.9</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bl>
    <w:p>
      <w:pPr>
        <w:spacing w:after="0" w:line="56" w:lineRule="exact"/>
        <w:rPr>
          <w:sz w:val="20"/>
          <w:szCs w:val="20"/>
          <w:color w:val="auto"/>
        </w:rPr>
      </w:pPr>
    </w:p>
    <w:p>
      <w:pPr>
        <w:ind w:left="140" w:hanging="137"/>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Utility gross margin is a non-GAAP financial measure. See explanation of utility gross margin above.</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Evergy's utility gross margin increased $188.1 million in 2021, compared to 2020, driven by:</w:t>
      </w:r>
    </w:p>
    <w:p>
      <w:pPr>
        <w:spacing w:after="0" w:line="104" w:lineRule="exact"/>
        <w:rPr>
          <w:sz w:val="20"/>
          <w:szCs w:val="20"/>
          <w:color w:val="auto"/>
        </w:rPr>
      </w:pPr>
    </w:p>
    <w:p>
      <w:pPr>
        <w:ind w:left="620" w:right="80" w:hanging="307"/>
        <w:spacing w:after="0" w:line="264" w:lineRule="auto"/>
        <w:tabs>
          <w:tab w:leader="none" w:pos="609" w:val="left"/>
        </w:tabs>
        <w:numPr>
          <w:ilvl w:val="0"/>
          <w:numId w:val="22"/>
        </w:numPr>
        <w:rPr>
          <w:rFonts w:ascii="Arial" w:cs="Arial" w:eastAsia="Arial" w:hAnsi="Arial"/>
          <w:sz w:val="19"/>
          <w:szCs w:val="19"/>
          <w:color w:val="auto"/>
        </w:rPr>
      </w:pPr>
      <w:r>
        <w:rPr>
          <w:rFonts w:ascii="Arial" w:cs="Arial" w:eastAsia="Arial" w:hAnsi="Arial"/>
          <w:sz w:val="19"/>
          <w:szCs w:val="19"/>
          <w:color w:val="auto"/>
        </w:rPr>
        <w:t>$94.5 million of non-regulated energy marketing margins recognized at Evergy Kansas Central related to the February 2021 winter weather event;</w:t>
      </w:r>
    </w:p>
    <w:p>
      <w:pPr>
        <w:spacing w:after="0" w:line="60" w:lineRule="exact"/>
        <w:rPr>
          <w:rFonts w:ascii="Arial" w:cs="Arial" w:eastAsia="Arial" w:hAnsi="Arial"/>
          <w:sz w:val="19"/>
          <w:szCs w:val="19"/>
          <w:color w:val="auto"/>
        </w:rPr>
      </w:pPr>
    </w:p>
    <w:p>
      <w:pPr>
        <w:ind w:left="620" w:hanging="307"/>
        <w:spacing w:after="0" w:line="252" w:lineRule="auto"/>
        <w:tabs>
          <w:tab w:leader="none" w:pos="609"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 $84.1 million increase primarily due to higher retail sales driven by favorable weather (cooling degree days increased 13%, partially offset by a 5% decrease in heating degree days) and an increase in weather-normalized commercial and industrial demand partially offset by a decrease in weather-normalized residential demand;</w:t>
      </w:r>
    </w:p>
    <w:p>
      <w:pPr>
        <w:spacing w:after="0" w:line="72" w:lineRule="exact"/>
        <w:rPr>
          <w:rFonts w:ascii="Arial" w:cs="Arial" w:eastAsia="Arial" w:hAnsi="Arial"/>
          <w:sz w:val="19"/>
          <w:szCs w:val="19"/>
          <w:color w:val="auto"/>
        </w:rPr>
      </w:pPr>
    </w:p>
    <w:p>
      <w:pPr>
        <w:ind w:left="620" w:right="320" w:hanging="307"/>
        <w:spacing w:after="0" w:line="264" w:lineRule="auto"/>
        <w:tabs>
          <w:tab w:leader="none" w:pos="609"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$38.3 million increase in transmission revenue primarily due to updated transmission costs reflected in Evergy Kansas Central's FERC transmission formula rate (TFR) effective in January 2021; and</w:t>
      </w:r>
    </w:p>
    <w:p>
      <w:pPr>
        <w:spacing w:after="0" w:line="60" w:lineRule="exact"/>
        <w:rPr>
          <w:rFonts w:ascii="Arial" w:cs="Arial" w:eastAsia="Arial" w:hAnsi="Arial"/>
          <w:sz w:val="19"/>
          <w:szCs w:val="19"/>
          <w:color w:val="auto"/>
        </w:rPr>
      </w:pPr>
    </w:p>
    <w:p>
      <w:pPr>
        <w:ind w:left="620" w:hanging="307"/>
        <w:spacing w:after="0"/>
        <w:tabs>
          <w:tab w:leader="none" w:pos="6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$1.4 million net increase due to other impacts from the February 2021 winter weather event driven by:</w:t>
      </w:r>
    </w:p>
    <w:p>
      <w:pPr>
        <w:spacing w:after="0" w:line="103" w:lineRule="exact"/>
        <w:rPr>
          <w:rFonts w:ascii="Arial" w:cs="Arial" w:eastAsia="Arial" w:hAnsi="Arial"/>
          <w:sz w:val="19"/>
          <w:szCs w:val="19"/>
          <w:color w:val="auto"/>
        </w:rPr>
      </w:pPr>
    </w:p>
    <w:p>
      <w:pPr>
        <w:ind w:left="1240" w:right="120" w:hanging="309"/>
        <w:spacing w:after="0" w:line="324" w:lineRule="auto"/>
        <w:tabs>
          <w:tab w:leader="none" w:pos="1229" w:val="left"/>
        </w:tabs>
        <w:numPr>
          <w:ilvl w:val="1"/>
          <w:numId w:val="22"/>
        </w:numPr>
        <w:rPr>
          <w:rFonts w:ascii="Arial" w:cs="Arial" w:eastAsia="Arial" w:hAnsi="Arial"/>
          <w:sz w:val="17"/>
          <w:szCs w:val="17"/>
          <w:color w:val="auto"/>
        </w:rPr>
      </w:pPr>
      <w:r>
        <w:rPr>
          <w:rFonts w:ascii="Arial" w:cs="Arial" w:eastAsia="Arial" w:hAnsi="Arial"/>
          <w:sz w:val="17"/>
          <w:szCs w:val="17"/>
          <w:color w:val="auto"/>
        </w:rPr>
        <w:t>a $33.8 million increase at Evergy Kansas Central driven by higher utility gross margin at its non-regulated 8% ownership share of Jeffrey Energy Center (JEC) due to higher wholesale sales prices and MWhs sold in February 2021; partially offset by</w:t>
      </w:r>
    </w:p>
    <w:p>
      <w:pPr>
        <w:spacing w:after="0" w:line="13" w:lineRule="exact"/>
        <w:rPr>
          <w:rFonts w:ascii="Arial" w:cs="Arial" w:eastAsia="Arial" w:hAnsi="Arial"/>
          <w:sz w:val="17"/>
          <w:szCs w:val="17"/>
          <w:color w:val="auto"/>
        </w:rPr>
      </w:pPr>
    </w:p>
    <w:p>
      <w:pPr>
        <w:ind w:left="1240" w:right="20" w:hanging="309"/>
        <w:spacing w:after="0" w:line="252" w:lineRule="auto"/>
        <w:tabs>
          <w:tab w:leader="none" w:pos="1229" w:val="left"/>
        </w:tabs>
        <w:numPr>
          <w:ilvl w:val="1"/>
          <w:numId w:val="22"/>
        </w:numPr>
        <w:rPr>
          <w:rFonts w:ascii="Arial" w:cs="Arial" w:eastAsia="Arial" w:hAnsi="Arial"/>
          <w:sz w:val="19"/>
          <w:szCs w:val="19"/>
          <w:color w:val="auto"/>
        </w:rPr>
      </w:pPr>
      <w:r>
        <w:rPr>
          <w:rFonts w:ascii="Arial" w:cs="Arial" w:eastAsia="Arial" w:hAnsi="Arial"/>
          <w:sz w:val="19"/>
          <w:szCs w:val="19"/>
          <w:color w:val="auto"/>
        </w:rPr>
        <w:t>a $21.0 million decrease at Evergy Missouri West driven by $14.8 million of increased fuel and purchased power costs in February 2021 that are not currently recoverable from customers through its fuel recovery mechanism and a $6.2 million decrease related to a special requirements contract with an industrial customer; and</w:t>
      </w:r>
    </w:p>
    <w:p>
      <w:pPr>
        <w:spacing w:after="0" w:line="72" w:lineRule="exact"/>
        <w:rPr>
          <w:rFonts w:ascii="Arial" w:cs="Arial" w:eastAsia="Arial" w:hAnsi="Arial"/>
          <w:sz w:val="19"/>
          <w:szCs w:val="19"/>
          <w:color w:val="auto"/>
        </w:rPr>
      </w:pPr>
    </w:p>
    <w:p>
      <w:pPr>
        <w:ind w:left="1240" w:right="240" w:hanging="309"/>
        <w:spacing w:after="0" w:line="252" w:lineRule="auto"/>
        <w:tabs>
          <w:tab w:leader="none" w:pos="1229" w:val="left"/>
        </w:tabs>
        <w:numPr>
          <w:ilvl w:val="1"/>
          <w:numId w:val="22"/>
        </w:numPr>
        <w:rPr>
          <w:rFonts w:ascii="Arial" w:cs="Arial" w:eastAsia="Arial" w:hAnsi="Arial"/>
          <w:sz w:val="19"/>
          <w:szCs w:val="19"/>
          <w:color w:val="auto"/>
        </w:rPr>
      </w:pPr>
      <w:r>
        <w:rPr>
          <w:rFonts w:ascii="Arial" w:cs="Arial" w:eastAsia="Arial" w:hAnsi="Arial"/>
          <w:sz w:val="19"/>
          <w:szCs w:val="19"/>
          <w:color w:val="auto"/>
        </w:rPr>
        <w:t>an $11.4 million decrease at Evergy Metro primarily driven by jurisdictional allocation differences currently present between its fuel recovery mechanisms in Missouri and Kansas regarding its refund to customers for the net increase in wholesale revenues in February 2021; partially offset by</w:t>
      </w:r>
    </w:p>
    <w:p>
      <w:pPr>
        <w:spacing w:after="0" w:line="72" w:lineRule="exact"/>
        <w:rPr>
          <w:rFonts w:ascii="Arial" w:cs="Arial" w:eastAsia="Arial" w:hAnsi="Arial"/>
          <w:sz w:val="19"/>
          <w:szCs w:val="19"/>
          <w:color w:val="auto"/>
        </w:rPr>
      </w:pPr>
    </w:p>
    <w:p>
      <w:pPr>
        <w:ind w:left="620" w:right="500" w:hanging="307"/>
        <w:spacing w:after="0" w:line="264" w:lineRule="auto"/>
        <w:tabs>
          <w:tab w:leader="none" w:pos="609"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$30.2 million decrease in revenues at Evergy Kansas Central and Evergy Metro due to rate reductions beginning January 1, 2021, in Kansas to reflect their exemption from Kansas corporate income taxes.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7" w:name="page48"/>
    <w:bookmarkEnd w:id="4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and Maintenance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Evergy's operating and maintenance expense decreased $55.5 million in 2021, compared to 2020, primarily driven by:</w:t>
      </w:r>
    </w:p>
    <w:p>
      <w:pPr>
        <w:spacing w:after="0" w:line="88" w:lineRule="exact"/>
        <w:rPr>
          <w:sz w:val="20"/>
          <w:szCs w:val="20"/>
          <w:color w:val="auto"/>
        </w:rPr>
      </w:pPr>
    </w:p>
    <w:p>
      <w:pPr>
        <w:jc w:val="both"/>
        <w:ind w:left="620" w:right="380" w:hanging="307"/>
        <w:spacing w:after="0" w:line="296" w:lineRule="auto"/>
        <w:tabs>
          <w:tab w:leader="none" w:pos="609"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$63.5 million decrease in voluntary severance expenses due to a $55.9 million decrease at Evergy Kansas Central, Evergy Metro and Evergy Missouri West related to Evergy voluntary exit programs in 2020 and a $7.6 million decrease in voluntary severance expenses incurred at Evergy Kansas Central and Evergy Metro related to Wolf Creek voluntary exit programs in 2020;</w:t>
      </w:r>
    </w:p>
    <w:p>
      <w:pPr>
        <w:spacing w:after="0" w:line="37"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$20.7 million decrease in advisor expenses incurred in 2021 associated with strategic planning; and</w:t>
      </w:r>
    </w:p>
    <w:p>
      <w:pPr>
        <w:spacing w:after="0" w:line="103" w:lineRule="exact"/>
        <w:rPr>
          <w:rFonts w:ascii="Arial" w:cs="Arial" w:eastAsia="Arial" w:hAnsi="Arial"/>
          <w:sz w:val="19"/>
          <w:szCs w:val="19"/>
          <w:color w:val="auto"/>
        </w:rPr>
      </w:pPr>
    </w:p>
    <w:p>
      <w:pPr>
        <w:ind w:left="620" w:right="360" w:hanging="307"/>
        <w:spacing w:after="0" w:line="292" w:lineRule="auto"/>
        <w:tabs>
          <w:tab w:leader="none" w:pos="6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$8.8 million decrease in various transmission and distribution operating and maintenance expenses primarily due to lower labor and contractor costs primarily driven by a higher mix of transmission capital projects in 2021; partially offset by</w:t>
      </w:r>
    </w:p>
    <w:p>
      <w:pPr>
        <w:spacing w:after="0" w:line="37" w:lineRule="exact"/>
        <w:rPr>
          <w:rFonts w:ascii="Arial" w:cs="Arial" w:eastAsia="Arial" w:hAnsi="Arial"/>
          <w:sz w:val="18"/>
          <w:szCs w:val="18"/>
          <w:color w:val="auto"/>
        </w:rPr>
      </w:pPr>
    </w:p>
    <w:p>
      <w:pPr>
        <w:ind w:left="620" w:right="640" w:hanging="307"/>
        <w:spacing w:after="0" w:line="264" w:lineRule="auto"/>
        <w:tabs>
          <w:tab w:leader="none" w:pos="609" w:val="left"/>
        </w:tabs>
        <w:numPr>
          <w:ilvl w:val="0"/>
          <w:numId w:val="23"/>
        </w:numPr>
        <w:rPr>
          <w:rFonts w:ascii="Arial" w:cs="Arial" w:eastAsia="Arial" w:hAnsi="Arial"/>
          <w:sz w:val="19"/>
          <w:szCs w:val="19"/>
          <w:color w:val="auto"/>
        </w:rPr>
      </w:pPr>
      <w:r>
        <w:rPr>
          <w:rFonts w:ascii="Arial" w:cs="Arial" w:eastAsia="Arial" w:hAnsi="Arial"/>
          <w:sz w:val="19"/>
          <w:szCs w:val="19"/>
          <w:color w:val="auto"/>
        </w:rPr>
        <w:t>$10.5 million of costs associated with executive transition in 2021, including inducement bonuses, severance agreements and other transition expenses;</w:t>
      </w:r>
    </w:p>
    <w:p>
      <w:pPr>
        <w:spacing w:after="0" w:line="60" w:lineRule="exact"/>
        <w:rPr>
          <w:rFonts w:ascii="Arial" w:cs="Arial" w:eastAsia="Arial" w:hAnsi="Arial"/>
          <w:sz w:val="19"/>
          <w:szCs w:val="19"/>
          <w:color w:val="auto"/>
        </w:rPr>
      </w:pPr>
    </w:p>
    <w:p>
      <w:pPr>
        <w:ind w:left="620" w:right="300" w:hanging="307"/>
        <w:spacing w:after="0" w:line="264" w:lineRule="auto"/>
        <w:tabs>
          <w:tab w:leader="none" w:pos="609" w:val="left"/>
        </w:tabs>
        <w:numPr>
          <w:ilvl w:val="0"/>
          <w:numId w:val="23"/>
        </w:numPr>
        <w:rPr>
          <w:rFonts w:ascii="Arial" w:cs="Arial" w:eastAsia="Arial" w:hAnsi="Arial"/>
          <w:sz w:val="19"/>
          <w:szCs w:val="19"/>
          <w:color w:val="auto"/>
        </w:rPr>
      </w:pPr>
      <w:r>
        <w:rPr>
          <w:rFonts w:ascii="Arial" w:cs="Arial" w:eastAsia="Arial" w:hAnsi="Arial"/>
          <w:sz w:val="19"/>
          <w:szCs w:val="19"/>
          <w:color w:val="auto"/>
        </w:rPr>
        <w:t>$7.9 million of costs at Evergy Kansas Central related to non-regulated energy marketing margins recognized during the February 2021 winter weather event;</w:t>
      </w:r>
    </w:p>
    <w:p>
      <w:pPr>
        <w:spacing w:after="0" w:line="60" w:lineRule="exact"/>
        <w:rPr>
          <w:rFonts w:ascii="Arial" w:cs="Arial" w:eastAsia="Arial" w:hAnsi="Arial"/>
          <w:sz w:val="19"/>
          <w:szCs w:val="19"/>
          <w:color w:val="auto"/>
        </w:rPr>
      </w:pPr>
    </w:p>
    <w:p>
      <w:pPr>
        <w:ind w:left="620" w:hanging="307"/>
        <w:spacing w:after="0" w:line="324" w:lineRule="auto"/>
        <w:tabs>
          <w:tab w:leader="none" w:pos="609"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$6.7 million increase in plant operating and maintenance expense at fossil-fuel generating units primarily due to a $6.3 million increase at Evergy Kansas Central primarily driven by a major maintenance outage at JEC in 2021 and higher material and supplies costs; and</w:t>
      </w:r>
    </w:p>
    <w:p>
      <w:pPr>
        <w:spacing w:after="0" w:line="13" w:lineRule="exact"/>
        <w:rPr>
          <w:rFonts w:ascii="Arial" w:cs="Arial" w:eastAsia="Arial" w:hAnsi="Arial"/>
          <w:sz w:val="17"/>
          <w:szCs w:val="17"/>
          <w:color w:val="auto"/>
        </w:rPr>
      </w:pPr>
    </w:p>
    <w:p>
      <w:pPr>
        <w:ind w:left="620" w:right="420" w:hanging="307"/>
        <w:spacing w:after="0" w:line="264" w:lineRule="auto"/>
        <w:tabs>
          <w:tab w:leader="none" w:pos="609"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$2.7 million increase in property insurance expense due to a lower annual refund of nuclear insurance premiums received by Evergy Kansas Central and Evergy Metro in 2021 related to their ownership interests in Wolf Creek.</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Depreciation and Amortization</w:t>
      </w:r>
    </w:p>
    <w:p>
      <w:pPr>
        <w:spacing w:after="0" w:line="23" w:lineRule="exact"/>
        <w:rPr>
          <w:sz w:val="20"/>
          <w:szCs w:val="20"/>
          <w:color w:val="auto"/>
        </w:rPr>
      </w:pPr>
    </w:p>
    <w:p>
      <w:pPr>
        <w:ind w:right="140"/>
        <w:spacing w:after="0" w:line="247" w:lineRule="auto"/>
        <w:rPr>
          <w:sz w:val="20"/>
          <w:szCs w:val="20"/>
          <w:color w:val="auto"/>
        </w:rPr>
      </w:pPr>
      <w:r>
        <w:rPr>
          <w:rFonts w:ascii="Arial" w:cs="Arial" w:eastAsia="Arial" w:hAnsi="Arial"/>
          <w:sz w:val="19"/>
          <w:szCs w:val="19"/>
          <w:color w:val="auto"/>
        </w:rPr>
        <w:t>Evergy's depreciation and amortization increased $16.3 million in 2021, compared to 2020, primarily driven by higher capital additions at Evergy Kansas Central in 2021.</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Taxes Other Than Income Tax</w:t>
      </w:r>
    </w:p>
    <w:p>
      <w:pPr>
        <w:spacing w:after="0" w:line="23" w:lineRule="exact"/>
        <w:rPr>
          <w:sz w:val="20"/>
          <w:szCs w:val="20"/>
          <w:color w:val="auto"/>
        </w:rPr>
      </w:pPr>
    </w:p>
    <w:p>
      <w:pPr>
        <w:ind w:right="220"/>
        <w:spacing w:after="0" w:line="247" w:lineRule="auto"/>
        <w:rPr>
          <w:sz w:val="20"/>
          <w:szCs w:val="20"/>
          <w:color w:val="auto"/>
        </w:rPr>
      </w:pPr>
      <w:r>
        <w:rPr>
          <w:rFonts w:ascii="Arial" w:cs="Arial" w:eastAsia="Arial" w:hAnsi="Arial"/>
          <w:sz w:val="19"/>
          <w:szCs w:val="19"/>
          <w:color w:val="auto"/>
        </w:rPr>
        <w:t>Evergy's taxes other than income tax increased $16.3 million in 2021, compared to 2020, driven by an increase in property taxes in Missouri and Kansas primarily due to higher assessed property tax values.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Income (Expense), Net</w:t>
      </w:r>
    </w:p>
    <w:p>
      <w:pPr>
        <w:spacing w:after="0" w:line="23" w:lineRule="exact"/>
        <w:rPr>
          <w:sz w:val="20"/>
          <w:szCs w:val="20"/>
          <w:color w:val="auto"/>
        </w:rPr>
      </w:pPr>
    </w:p>
    <w:p>
      <w:pPr>
        <w:ind w:right="180"/>
        <w:spacing w:after="0" w:line="247" w:lineRule="auto"/>
        <w:rPr>
          <w:sz w:val="20"/>
          <w:szCs w:val="20"/>
          <w:color w:val="auto"/>
        </w:rPr>
      </w:pPr>
      <w:r>
        <w:rPr>
          <w:rFonts w:ascii="Arial" w:cs="Arial" w:eastAsia="Arial" w:hAnsi="Arial"/>
          <w:sz w:val="19"/>
          <w:szCs w:val="19"/>
          <w:color w:val="auto"/>
        </w:rPr>
        <w:t>Evergy's other expense, net in 2020 became other income, net, in 2021 as a result of a $54.9 million increase in net other income items, primarily driven by:</w:t>
      </w:r>
    </w:p>
    <w:p>
      <w:pPr>
        <w:spacing w:after="0" w:line="76" w:lineRule="exact"/>
        <w:rPr>
          <w:sz w:val="20"/>
          <w:szCs w:val="20"/>
          <w:color w:val="auto"/>
        </w:rPr>
      </w:pPr>
    </w:p>
    <w:p>
      <w:pPr>
        <w:ind w:left="620" w:right="20" w:hanging="307"/>
        <w:spacing w:after="0" w:line="252" w:lineRule="auto"/>
        <w:tabs>
          <w:tab w:leader="none" w:pos="609" w:val="left"/>
        </w:tabs>
        <w:numPr>
          <w:ilvl w:val="0"/>
          <w:numId w:val="24"/>
        </w:numPr>
        <w:rPr>
          <w:rFonts w:ascii="Arial" w:cs="Arial" w:eastAsia="Arial" w:hAnsi="Arial"/>
          <w:sz w:val="19"/>
          <w:szCs w:val="19"/>
          <w:color w:val="auto"/>
        </w:rPr>
      </w:pPr>
      <w:r>
        <w:rPr>
          <w:rFonts w:ascii="Arial" w:cs="Arial" w:eastAsia="Arial" w:hAnsi="Arial"/>
          <w:sz w:val="19"/>
          <w:szCs w:val="19"/>
          <w:color w:val="auto"/>
        </w:rPr>
        <w:t>$49.1 million of higher investment earnings primarily driven by a $27.7 million unrealized gain in the fourth quarter of 2021 due to the change in fair value related to Evergy's investment in an early-stage energy solutions company and $14.0 million in realized gains from the sale of various equity investments in 2021;</w:t>
      </w:r>
    </w:p>
    <w:p>
      <w:pPr>
        <w:spacing w:after="0" w:line="72" w:lineRule="exact"/>
        <w:rPr>
          <w:rFonts w:ascii="Arial" w:cs="Arial" w:eastAsia="Arial" w:hAnsi="Arial"/>
          <w:sz w:val="19"/>
          <w:szCs w:val="19"/>
          <w:color w:val="auto"/>
        </w:rPr>
      </w:pPr>
    </w:p>
    <w:p>
      <w:pPr>
        <w:ind w:left="620" w:right="40" w:hanging="307"/>
        <w:spacing w:after="0" w:line="292" w:lineRule="auto"/>
        <w:tabs>
          <w:tab w:leader="none" w:pos="6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$12.2 million of higher Evergy Kansas Central and Evergy Metro equity AFUDC primarily driven by higher construction work in progress balances at Evergy Kansas Central and Evergy Metro and lower short-term debt balances at Evergy Metro in 2021; and</w:t>
      </w:r>
    </w:p>
    <w:p>
      <w:pPr>
        <w:spacing w:after="0" w:line="37" w:lineRule="exact"/>
        <w:rPr>
          <w:rFonts w:ascii="Arial" w:cs="Arial" w:eastAsia="Arial" w:hAnsi="Arial"/>
          <w:sz w:val="18"/>
          <w:szCs w:val="18"/>
          <w:color w:val="auto"/>
        </w:rPr>
      </w:pPr>
    </w:p>
    <w:p>
      <w:pPr>
        <w:ind w:left="620" w:hanging="307"/>
        <w:spacing w:after="0"/>
        <w:tabs>
          <w:tab w:leader="none" w:pos="6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$6.1 million of other income recorded in 2021 related to contract termination fees; partially offset by</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$4.8 million of lower Evergy Kansas Central corporate-owned life insurance (COLI) benefits in 2021.</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Evergy's interest expense decreased $11.3 million in 2021, compared to 2020, primarily driven by:</w:t>
      </w:r>
    </w:p>
    <w:p>
      <w:pPr>
        <w:spacing w:after="0" w:line="88"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$12.7 million decrease due to the redemption of Evergy's $350.0 million of 4.85% Senior Notes in April 2021;</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5540"/>
        <w:spacing w:after="0"/>
        <w:rPr>
          <w:rFonts w:ascii="Arial" w:cs="Arial" w:eastAsia="Arial" w:hAnsi="Arial"/>
          <w:sz w:val="19"/>
          <w:szCs w:val="19"/>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48" w:name="page49"/>
    <w:bookmarkEnd w:id="4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left="620" w:right="40" w:hanging="307"/>
        <w:spacing w:after="0" w:line="264" w:lineRule="auto"/>
        <w:tabs>
          <w:tab w:leader="none" w:pos="609"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$10.2 million decrease in interest expense on short-term borrowings primarily due to lower weighted-average interest rates for the Evergy Companies in 2021; and</w:t>
      </w:r>
    </w:p>
    <w:p>
      <w:pPr>
        <w:spacing w:after="0" w:line="60" w:lineRule="exact"/>
        <w:rPr>
          <w:rFonts w:ascii="Arial" w:cs="Arial" w:eastAsia="Arial" w:hAnsi="Arial"/>
          <w:sz w:val="19"/>
          <w:szCs w:val="19"/>
          <w:color w:val="auto"/>
        </w:rPr>
      </w:pPr>
    </w:p>
    <w:p>
      <w:pPr>
        <w:ind w:left="620" w:right="20" w:hanging="307"/>
        <w:spacing w:after="0" w:line="252" w:lineRule="auto"/>
        <w:tabs>
          <w:tab w:leader="none" w:pos="609"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$2.2 million net decrease due to the redemption of Evergy Kansas Central's $250.0 million of 5.10% first mortgage bonds (FMBs) in May 2020, which decreased interest expense by $6.8 million, partially offset by a $4.6 million increase due to the issuance of Evergy Kansas Central's $500.0 million of 3.45% FMBs in April 2020; partially offset by</w:t>
      </w:r>
    </w:p>
    <w:p>
      <w:pPr>
        <w:spacing w:after="0" w:line="72" w:lineRule="exact"/>
        <w:rPr>
          <w:rFonts w:ascii="Arial" w:cs="Arial" w:eastAsia="Arial" w:hAnsi="Arial"/>
          <w:sz w:val="19"/>
          <w:szCs w:val="19"/>
          <w:color w:val="auto"/>
        </w:rPr>
      </w:pPr>
    </w:p>
    <w:p>
      <w:pPr>
        <w:ind w:left="620" w:right="220" w:hanging="307"/>
        <w:spacing w:after="0" w:line="264" w:lineRule="auto"/>
        <w:tabs>
          <w:tab w:leader="none" w:pos="609"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$10.3 million increase due to the issuance in a private placement of Evergy Missouri West's $500.0 million of Series A, B and C Senior Notes in April 2021; and</w:t>
      </w:r>
    </w:p>
    <w:p>
      <w:pPr>
        <w:spacing w:after="0" w:line="60" w:lineRule="exact"/>
        <w:rPr>
          <w:rFonts w:ascii="Arial" w:cs="Arial" w:eastAsia="Arial" w:hAnsi="Arial"/>
          <w:sz w:val="19"/>
          <w:szCs w:val="19"/>
          <w:color w:val="auto"/>
        </w:rPr>
      </w:pPr>
    </w:p>
    <w:p>
      <w:pPr>
        <w:ind w:left="620" w:hanging="307"/>
        <w:spacing w:after="0"/>
        <w:tabs>
          <w:tab w:leader="none" w:pos="6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$3.6 million increase due to the issuance of Evergy Metro's $400.0 million of 2.25% Mortgage Bonds in May 2020.</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 Expense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Evergy's income tax expense increased $15.2 million in 2021, compared to 2020, primarily driven by:</w:t>
      </w:r>
    </w:p>
    <w:p>
      <w:pPr>
        <w:spacing w:after="0" w:line="88"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$72.5 million increase due to higher Evergy Kansas Central and Evergy Metro pre-tax income in 2021;</w:t>
      </w:r>
    </w:p>
    <w:p>
      <w:pPr>
        <w:spacing w:after="0" w:line="103" w:lineRule="exact"/>
        <w:rPr>
          <w:rFonts w:ascii="Arial" w:cs="Arial" w:eastAsia="Arial" w:hAnsi="Arial"/>
          <w:sz w:val="19"/>
          <w:szCs w:val="19"/>
          <w:color w:val="auto"/>
        </w:rPr>
      </w:pPr>
    </w:p>
    <w:p>
      <w:pPr>
        <w:ind w:left="620" w:right="80" w:hanging="307"/>
        <w:spacing w:after="0" w:line="324" w:lineRule="auto"/>
        <w:tabs>
          <w:tab w:leader="none" w:pos="609"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$6.6 million increase due to lower wind and other income tax credits in 2021, primarily driven by the expiration of production tax credits at Evergy Metro's Spearville 2 wind facility in the fourth quarter of 2020 and lower research and development tax credits in 2021;</w:t>
      </w:r>
    </w:p>
    <w:p>
      <w:pPr>
        <w:spacing w:after="0" w:line="13"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$5.5 million increase due to lower expected COLI proceeds for 2021; and</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$4.0 million increase due to higher non-deductible officer compensation in 2021; partially offset by</w:t>
      </w:r>
    </w:p>
    <w:p>
      <w:pPr>
        <w:spacing w:after="0" w:line="103" w:lineRule="exact"/>
        <w:rPr>
          <w:rFonts w:ascii="Arial" w:cs="Arial" w:eastAsia="Arial" w:hAnsi="Arial"/>
          <w:sz w:val="19"/>
          <w:szCs w:val="19"/>
          <w:color w:val="auto"/>
        </w:rPr>
      </w:pPr>
    </w:p>
    <w:p>
      <w:pPr>
        <w:ind w:left="620" w:right="220" w:hanging="307"/>
        <w:spacing w:after="0" w:line="264" w:lineRule="auto"/>
        <w:tabs>
          <w:tab w:leader="none" w:pos="609"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$43.9 million decrease as a result of the state of Kansas exempting certain public utilities, including Evergy Kansas Central and Evergy Metro, from Kansas corporate income tax beginning in January 2021;</w:t>
      </w:r>
    </w:p>
    <w:p>
      <w:pPr>
        <w:spacing w:after="0" w:line="60" w:lineRule="exact"/>
        <w:rPr>
          <w:rFonts w:ascii="Arial" w:cs="Arial" w:eastAsia="Arial" w:hAnsi="Arial"/>
          <w:sz w:val="19"/>
          <w:szCs w:val="19"/>
          <w:color w:val="auto"/>
        </w:rPr>
      </w:pPr>
    </w:p>
    <w:p>
      <w:pPr>
        <w:ind w:left="620" w:right="440" w:hanging="307"/>
        <w:spacing w:after="0" w:line="264" w:lineRule="auto"/>
        <w:tabs>
          <w:tab w:leader="none" w:pos="609"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$15.6 million decrease due to flow-through items primarily driven by higher amortization of excess deferred income taxes at Evergy Kansas Central; and</w:t>
      </w:r>
    </w:p>
    <w:p>
      <w:pPr>
        <w:spacing w:after="0" w:line="60" w:lineRule="exact"/>
        <w:rPr>
          <w:rFonts w:ascii="Arial" w:cs="Arial" w:eastAsia="Arial" w:hAnsi="Arial"/>
          <w:sz w:val="19"/>
          <w:szCs w:val="19"/>
          <w:color w:val="auto"/>
        </w:rPr>
      </w:pPr>
    </w:p>
    <w:p>
      <w:pPr>
        <w:ind w:left="620" w:right="700" w:hanging="307"/>
        <w:spacing w:after="0" w:line="264" w:lineRule="auto"/>
        <w:tabs>
          <w:tab w:leader="none" w:pos="609"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$13.8 million decrease related to the revaluation of deferred income tax assets and liabilities in 2020 due to the change in Kansas corporate income tax rate.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See Note 19 to the consolidated financial statements for more information regarding the change in the Kansas corporate income tax rate.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EVERGY SIGNIFICANT BALANCE SHEET CHANGES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(December 31, 2021 compared to December 31, 2020)</w:t>
      </w:r>
    </w:p>
    <w:p>
      <w:pPr>
        <w:spacing w:after="0" w:line="191" w:lineRule="exact"/>
        <w:rPr>
          <w:sz w:val="20"/>
          <w:szCs w:val="20"/>
          <w:color w:val="auto"/>
        </w:rPr>
      </w:pPr>
    </w:p>
    <w:p>
      <w:pPr>
        <w:jc w:val="both"/>
        <w:ind w:left="780" w:right="100" w:hanging="313"/>
        <w:spacing w:after="0" w:line="324" w:lineRule="auto"/>
        <w:tabs>
          <w:tab w:leader="none" w:pos="7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Evergy's cash and cash equivalents decreased $118.7 million primarily due to the use of funds for capital expenditures at Evergy Kansas Central, Evergy Metro and Evergy Missouri West, the repayment of certain short-term borrowings and other general corporate purposes.</w:t>
      </w:r>
    </w:p>
    <w:p>
      <w:pPr>
        <w:spacing w:after="0" w:line="13" w:lineRule="exact"/>
        <w:rPr>
          <w:rFonts w:ascii="Arial" w:cs="Arial" w:eastAsia="Arial" w:hAnsi="Arial"/>
          <w:sz w:val="17"/>
          <w:szCs w:val="17"/>
          <w:color w:val="auto"/>
        </w:rPr>
      </w:pPr>
    </w:p>
    <w:p>
      <w:pPr>
        <w:ind w:left="780" w:hanging="313"/>
        <w:spacing w:after="0" w:line="246" w:lineRule="auto"/>
        <w:tabs>
          <w:tab w:leader="none" w:pos="769" w:val="left"/>
        </w:tabs>
        <w:numPr>
          <w:ilvl w:val="0"/>
          <w:numId w:val="28"/>
        </w:numPr>
        <w:rPr>
          <w:rFonts w:ascii="Arial" w:cs="Arial" w:eastAsia="Arial" w:hAnsi="Arial"/>
          <w:sz w:val="19"/>
          <w:szCs w:val="19"/>
          <w:color w:val="auto"/>
        </w:rPr>
      </w:pPr>
      <w:r>
        <w:rPr>
          <w:rFonts w:ascii="Arial" w:cs="Arial" w:eastAsia="Arial" w:hAnsi="Arial"/>
          <w:sz w:val="19"/>
          <w:szCs w:val="19"/>
          <w:color w:val="auto"/>
        </w:rPr>
        <w:t>Evergy's receivables, net decreased $52.3 million primarily driven by a $21.5 million decrease in retail electric accounts receivable driven by lower sales in December 2021 due to unfavorable weather and a $13.6 million increase in the allowance for credit losses primarily driven by higher credit loss expense recognized in 2021 largely due to the economic impact of the COVID-19 pandemic and a lower level of actual write-offs incurred primarily due to timing as a result of customer support measures taken by Evergy during 2021 including disconnection moratoriums and payment plans.</w:t>
      </w:r>
    </w:p>
    <w:p>
      <w:pPr>
        <w:spacing w:after="0" w:line="79" w:lineRule="exact"/>
        <w:rPr>
          <w:rFonts w:ascii="Arial" w:cs="Arial" w:eastAsia="Arial" w:hAnsi="Arial"/>
          <w:sz w:val="19"/>
          <w:szCs w:val="19"/>
          <w:color w:val="auto"/>
        </w:rPr>
      </w:pPr>
    </w:p>
    <w:p>
      <w:pPr>
        <w:ind w:left="780" w:right="20" w:hanging="313"/>
        <w:spacing w:after="0" w:line="252" w:lineRule="auto"/>
        <w:tabs>
          <w:tab w:leader="none" w:pos="769" w:val="left"/>
        </w:tabs>
        <w:numPr>
          <w:ilvl w:val="0"/>
          <w:numId w:val="28"/>
        </w:numPr>
        <w:rPr>
          <w:rFonts w:ascii="Arial" w:cs="Arial" w:eastAsia="Arial" w:hAnsi="Arial"/>
          <w:sz w:val="19"/>
          <w:szCs w:val="19"/>
          <w:color w:val="auto"/>
        </w:rPr>
      </w:pPr>
      <w:r>
        <w:rPr>
          <w:rFonts w:ascii="Arial" w:cs="Arial" w:eastAsia="Arial" w:hAnsi="Arial"/>
          <w:sz w:val="19"/>
          <w:szCs w:val="19"/>
          <w:color w:val="auto"/>
        </w:rPr>
        <w:t>Evergy's accounts receivable pledged as collateral decreased $41.0 million primarily driven by Evergy's decrease in retail electric accounts receivable balances in December 2021, resulting in a lower level of retail electric receivables available for sale through Evergy's receivable sales facilities.</w:t>
      </w:r>
    </w:p>
    <w:p>
      <w:pPr>
        <w:spacing w:after="0" w:line="72" w:lineRule="exact"/>
        <w:rPr>
          <w:rFonts w:ascii="Arial" w:cs="Arial" w:eastAsia="Arial" w:hAnsi="Arial"/>
          <w:sz w:val="19"/>
          <w:szCs w:val="19"/>
          <w:color w:val="auto"/>
        </w:rPr>
      </w:pPr>
    </w:p>
    <w:p>
      <w:pPr>
        <w:ind w:left="780" w:right="200" w:hanging="313"/>
        <w:spacing w:after="0" w:line="273" w:lineRule="auto"/>
        <w:tabs>
          <w:tab w:leader="none" w:pos="7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Evergy's fuel and supplies inventory increased $62.2 million primarily driven by a $46.3 million increase in materials and supply inventory primarily due to an increase in transmission and distribution capital projects related to grid resiliency and other infrastructure improvement in addition to maintaining higher overall levels of inventory to mitigate longer supply chain lead times.</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9" w:name="page50"/>
    <w:bookmarkEnd w:id="4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left="780" w:right="500" w:hanging="313"/>
        <w:spacing w:after="0" w:line="264" w:lineRule="auto"/>
        <w:tabs>
          <w:tab w:leader="none" w:pos="769" w:val="left"/>
        </w:tabs>
        <w:numPr>
          <w:ilvl w:val="0"/>
          <w:numId w:val="29"/>
        </w:numPr>
        <w:rPr>
          <w:rFonts w:ascii="Arial" w:cs="Arial" w:eastAsia="Arial" w:hAnsi="Arial"/>
          <w:sz w:val="19"/>
          <w:szCs w:val="19"/>
          <w:color w:val="auto"/>
        </w:rPr>
      </w:pPr>
      <w:r>
        <w:rPr>
          <w:rFonts w:ascii="Arial" w:cs="Arial" w:eastAsia="Arial" w:hAnsi="Arial"/>
          <w:sz w:val="19"/>
          <w:szCs w:val="19"/>
          <w:color w:val="auto"/>
        </w:rPr>
        <w:t>Evergy's income taxes receivable decreased by $34.9 million primarily due to Evergy's receipt of a $46.0 million federal alternative minimum tax (AMT) tax credit refund in the fourth quarter of 2021.</w:t>
      </w:r>
    </w:p>
    <w:p>
      <w:pPr>
        <w:spacing w:after="0" w:line="60" w:lineRule="exact"/>
        <w:rPr>
          <w:rFonts w:ascii="Arial" w:cs="Arial" w:eastAsia="Arial" w:hAnsi="Arial"/>
          <w:sz w:val="19"/>
          <w:szCs w:val="19"/>
          <w:color w:val="auto"/>
        </w:rPr>
      </w:pPr>
    </w:p>
    <w:p>
      <w:pPr>
        <w:ind w:left="780" w:hanging="313"/>
        <w:spacing w:after="0" w:line="246" w:lineRule="auto"/>
        <w:tabs>
          <w:tab w:leader="none" w:pos="769" w:val="left"/>
        </w:tabs>
        <w:numPr>
          <w:ilvl w:val="0"/>
          <w:numId w:val="29"/>
        </w:numPr>
        <w:rPr>
          <w:rFonts w:ascii="Arial" w:cs="Arial" w:eastAsia="Arial" w:hAnsi="Arial"/>
          <w:sz w:val="19"/>
          <w:szCs w:val="19"/>
          <w:color w:val="auto"/>
        </w:rPr>
      </w:pPr>
      <w:r>
        <w:rPr>
          <w:rFonts w:ascii="Arial" w:cs="Arial" w:eastAsia="Arial" w:hAnsi="Arial"/>
          <w:sz w:val="19"/>
          <w:szCs w:val="19"/>
          <w:color w:val="auto"/>
        </w:rPr>
        <w:t>Evergy's regulatory assets - current increased $217.9 million primarily driven by a $161.1 million increase at Evergy Kansas Central due to a $119.6 million increase related to Evergy Kansas Central's fuel recovery mechanism as a result of net under-collections and a $45.6 million increase related to deferred fuel and purchased power costs expected to be recovered in the next 12 months related to the February 2021 winter weather event; and a $54.6 million increase at Evergy Missouri West related to its fuel recovery mechanism as a result of net-under-collections.</w:t>
      </w:r>
    </w:p>
    <w:p>
      <w:pPr>
        <w:spacing w:after="0" w:line="79" w:lineRule="exact"/>
        <w:rPr>
          <w:rFonts w:ascii="Arial" w:cs="Arial" w:eastAsia="Arial" w:hAnsi="Arial"/>
          <w:sz w:val="19"/>
          <w:szCs w:val="19"/>
          <w:color w:val="auto"/>
        </w:rPr>
      </w:pPr>
    </w:p>
    <w:p>
      <w:pPr>
        <w:ind w:left="780" w:right="440" w:hanging="313"/>
        <w:spacing w:after="0" w:line="324" w:lineRule="auto"/>
        <w:tabs>
          <w:tab w:leader="none" w:pos="769"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Evergy's other assets - current increased $51.7 million primarily due to a $31.4 million investment in an early-stage energy solutions company. See "Evergy Equity Investment" in Note 1 to the consolidated financial statements for additional information.</w:t>
      </w:r>
    </w:p>
    <w:p>
      <w:pPr>
        <w:spacing w:after="0" w:line="13" w:lineRule="exact"/>
        <w:rPr>
          <w:rFonts w:ascii="Arial" w:cs="Arial" w:eastAsia="Arial" w:hAnsi="Arial"/>
          <w:sz w:val="17"/>
          <w:szCs w:val="17"/>
          <w:color w:val="auto"/>
        </w:rPr>
      </w:pPr>
    </w:p>
    <w:p>
      <w:pPr>
        <w:ind w:left="780" w:right="100" w:hanging="313"/>
        <w:spacing w:after="0" w:line="264" w:lineRule="auto"/>
        <w:tabs>
          <w:tab w:leader="none" w:pos="769" w:val="left"/>
        </w:tabs>
        <w:numPr>
          <w:ilvl w:val="0"/>
          <w:numId w:val="29"/>
        </w:numPr>
        <w:rPr>
          <w:rFonts w:ascii="Arial" w:cs="Arial" w:eastAsia="Arial" w:hAnsi="Arial"/>
          <w:sz w:val="19"/>
          <w:szCs w:val="19"/>
          <w:color w:val="auto"/>
        </w:rPr>
      </w:pPr>
      <w:r>
        <w:rPr>
          <w:rFonts w:ascii="Arial" w:cs="Arial" w:eastAsia="Arial" w:hAnsi="Arial"/>
          <w:sz w:val="19"/>
          <w:szCs w:val="19"/>
          <w:color w:val="auto"/>
        </w:rPr>
        <w:t>Evergy's nuclear decommissioning trust funds increased $116.6 million primarily driven by realized and unrealized gains on investments at Evergy Kansas Central's and Evergy Metro's nuclear decommissioning trusts.</w:t>
      </w:r>
    </w:p>
    <w:p>
      <w:pPr>
        <w:spacing w:after="0" w:line="60" w:lineRule="exact"/>
        <w:rPr>
          <w:rFonts w:ascii="Arial" w:cs="Arial" w:eastAsia="Arial" w:hAnsi="Arial"/>
          <w:sz w:val="19"/>
          <w:szCs w:val="19"/>
          <w:color w:val="auto"/>
        </w:rPr>
      </w:pPr>
    </w:p>
    <w:p>
      <w:pPr>
        <w:ind w:left="780" w:right="200" w:hanging="313"/>
        <w:spacing w:after="0" w:line="252" w:lineRule="auto"/>
        <w:tabs>
          <w:tab w:leader="none" w:pos="769" w:val="left"/>
        </w:tabs>
        <w:numPr>
          <w:ilvl w:val="0"/>
          <w:numId w:val="29"/>
        </w:numPr>
        <w:rPr>
          <w:rFonts w:ascii="Arial" w:cs="Arial" w:eastAsia="Arial" w:hAnsi="Arial"/>
          <w:sz w:val="19"/>
          <w:szCs w:val="19"/>
          <w:color w:val="auto"/>
        </w:rPr>
      </w:pPr>
      <w:r>
        <w:rPr>
          <w:rFonts w:ascii="Arial" w:cs="Arial" w:eastAsia="Arial" w:hAnsi="Arial"/>
          <w:sz w:val="19"/>
          <w:szCs w:val="19"/>
          <w:color w:val="auto"/>
        </w:rPr>
        <w:t>Evergy's collateralized note payable decreased $41.0 million primarily driven by Evergy's decrease in retail electric accounts receivable balances in December 2021, resulting in a lower level of retail electric receivables available for sale through Evergy's receivable sales facilities.</w:t>
      </w:r>
    </w:p>
    <w:p>
      <w:pPr>
        <w:spacing w:after="0" w:line="72" w:lineRule="exact"/>
        <w:rPr>
          <w:rFonts w:ascii="Arial" w:cs="Arial" w:eastAsia="Arial" w:hAnsi="Arial"/>
          <w:sz w:val="19"/>
          <w:szCs w:val="19"/>
          <w:color w:val="auto"/>
        </w:rPr>
      </w:pPr>
    </w:p>
    <w:p>
      <w:pPr>
        <w:ind w:left="780" w:right="120" w:hanging="313"/>
        <w:spacing w:after="0" w:line="273" w:lineRule="auto"/>
        <w:tabs>
          <w:tab w:leader="none" w:pos="7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Evergy's notes payable and commercial paper increased $844.3 million due to a $158.0 million increase at Evergy, Inc., a $356.0 million increase at Evergy Kansas Central and a $330.3 million increase at Evergy Missouri West primarily due to borrowings for capital expenditures, costs related to the February 2021 winter weather event and for general corporate purposes.</w:t>
      </w:r>
    </w:p>
    <w:p>
      <w:pPr>
        <w:spacing w:after="0" w:line="54" w:lineRule="exact"/>
        <w:rPr>
          <w:rFonts w:ascii="Arial" w:cs="Arial" w:eastAsia="Arial" w:hAnsi="Arial"/>
          <w:sz w:val="18"/>
          <w:szCs w:val="18"/>
          <w:color w:val="auto"/>
        </w:rPr>
      </w:pPr>
    </w:p>
    <w:p>
      <w:pPr>
        <w:ind w:left="780" w:right="200" w:hanging="313"/>
        <w:spacing w:after="0" w:line="292" w:lineRule="auto"/>
        <w:tabs>
          <w:tab w:leader="none" w:pos="7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Evergy's regulatory liabilities - current increased $44.6 million primarily due to $34.0 million of deferred wholesale revenues at Evergy Metro expected to be refunded to customers in the next 12 months related to the February 2021 winter weather event.</w:t>
      </w:r>
    </w:p>
    <w:p>
      <w:pPr>
        <w:spacing w:after="0" w:line="37" w:lineRule="exact"/>
        <w:rPr>
          <w:rFonts w:ascii="Arial" w:cs="Arial" w:eastAsia="Arial" w:hAnsi="Arial"/>
          <w:sz w:val="18"/>
          <w:szCs w:val="18"/>
          <w:color w:val="auto"/>
        </w:rPr>
      </w:pPr>
    </w:p>
    <w:p>
      <w:pPr>
        <w:ind w:left="780" w:right="440" w:hanging="313"/>
        <w:spacing w:after="0" w:line="252" w:lineRule="auto"/>
        <w:tabs>
          <w:tab w:leader="none" w:pos="769" w:val="left"/>
        </w:tabs>
        <w:numPr>
          <w:ilvl w:val="0"/>
          <w:numId w:val="29"/>
        </w:numPr>
        <w:rPr>
          <w:rFonts w:ascii="Arial" w:cs="Arial" w:eastAsia="Arial" w:hAnsi="Arial"/>
          <w:sz w:val="19"/>
          <w:szCs w:val="19"/>
          <w:color w:val="auto"/>
        </w:rPr>
      </w:pPr>
      <w:r>
        <w:rPr>
          <w:rFonts w:ascii="Arial" w:cs="Arial" w:eastAsia="Arial" w:hAnsi="Arial"/>
          <w:sz w:val="19"/>
          <w:szCs w:val="19"/>
          <w:color w:val="auto"/>
        </w:rPr>
        <w:t>Evergy's pension and post-retirement liability decreased $270.3 million primarily due to a decrease in benefit obligations driven by $284.0 million of pension settlements in 2021 as a result of accelerated pension distributions as a result of employee retirements and annuity purchases for certain plan participants.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LIQUIDITY AND CAPITAL RESOURCES</w:t>
      </w:r>
    </w:p>
    <w:p>
      <w:pPr>
        <w:spacing w:after="0" w:line="213" w:lineRule="exact"/>
        <w:rPr>
          <w:sz w:val="20"/>
          <w:szCs w:val="20"/>
          <w:color w:val="auto"/>
        </w:rPr>
      </w:pPr>
    </w:p>
    <w:p>
      <w:pPr>
        <w:jc w:val="both"/>
        <w:ind w:right="160"/>
        <w:spacing w:after="0" w:line="252" w:lineRule="auto"/>
        <w:rPr>
          <w:sz w:val="20"/>
          <w:szCs w:val="20"/>
          <w:color w:val="auto"/>
        </w:rPr>
      </w:pPr>
      <w:r>
        <w:rPr>
          <w:rFonts w:ascii="Arial" w:cs="Arial" w:eastAsia="Arial" w:hAnsi="Arial"/>
          <w:sz w:val="19"/>
          <w:szCs w:val="19"/>
          <w:color w:val="auto"/>
        </w:rPr>
        <w:t>Evergy relies primarily upon cash from operations, short-term borrowings, debt and equity issuances and its existing cash and cash equivalents to fund its capital requirements. Evergy's capital requirements primarily consist of capital expenditures, payment of contractual obligations and other commitments and the payment of dividends to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Sources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 from Operations</w:t>
      </w:r>
    </w:p>
    <w:p>
      <w:pPr>
        <w:spacing w:after="0" w:line="1"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Evergy's cash flows from operations are driven by the regulated sale of electricity. These cash flows are relatively stable but the timing and level of these cash flows can vary based on weather and economic conditions, future regulatory proceedings, the timing of cash payments made for costs recoverable under regulatory mechanisms and the time such costs are recovered, and unanticipated expenses such as unplanned plant outages and storms. Evergy's cash flows from operations were $1,351.7 million, $1,753.8 million and $1,749.0 million in 2021, 2020 and 2019,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Short-Term Borrowings</w:t>
      </w:r>
    </w:p>
    <w:p>
      <w:pPr>
        <w:spacing w:after="0" w:line="17"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As of December 31, 2021, Evergy had $1.3 billion of available borrowing capacity under its master credit facility. The available borrowing capacity under the master credit facility consisted of $341.3 million for Evergy, Inc., $343.9 million for Evergy Kansas Central, $350.0 million for Evergy Metro and $304.7 million for Evergy Missouri West. The Evergy Companies' borrowing capacity under the master credit facility also supports their issuance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0" w:name="page51"/>
    <w:bookmarkEnd w:id="5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commercial paper. See Note 11 to the consolidated financial statements for more information regarding the master credit facility.</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Along with cash flows from operations and receivable sales facilities, Evergy generally uses borrowings under its master credit facility and the issuance of commercial paper to meet its day-to-day cash flow requirements. Evergy believes that its existing cash on hand and available borrowing capacity under its master credit facility provide sufficient liquidity for its existing capital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Long-Term Debt and Equity Issuances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Evergy issues long-term debt and equity to repay short-term debt, refinance maturing long-term debt and finance growth. As of</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December 31, 2021 and 2020, Evergy’s capital structure, excluding short-term debt,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60" w:type="dxa"/>
            <w:vAlign w:val="bottom"/>
            <w:tcBorders>
              <w:top w:val="single" w:sz="8" w:color="auto"/>
            </w:tcBorders>
          </w:tcPr>
          <w:p>
            <w:pPr>
              <w:spacing w:after="0"/>
              <w:rPr>
                <w:sz w:val="20"/>
                <w:szCs w:val="20"/>
                <w:color w:val="auto"/>
              </w:rPr>
            </w:pPr>
          </w:p>
        </w:tc>
        <w:tc>
          <w:tcPr>
            <w:tcW w:w="36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4"/>
        </w:trPr>
        <w:tc>
          <w:tcPr>
            <w:tcW w:w="54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center"/>
              <w:ind w:left="3054"/>
              <w:spacing w:after="0"/>
              <w:rPr>
                <w:sz w:val="20"/>
                <w:szCs w:val="20"/>
                <w:color w:val="auto"/>
              </w:rPr>
            </w:pPr>
            <w:r>
              <w:rPr>
                <w:rFonts w:ascii="Arial" w:cs="Arial" w:eastAsia="Arial" w:hAnsi="Arial"/>
                <w:sz w:val="17"/>
                <w:szCs w:val="17"/>
                <w:b w:val="1"/>
                <w:bCs w:val="1"/>
                <w:color w:val="auto"/>
                <w:w w:val="95"/>
              </w:rPr>
              <w:t>2021</w:t>
            </w:r>
          </w:p>
        </w:tc>
        <w:tc>
          <w:tcPr>
            <w:tcW w:w="2120" w:type="dxa"/>
            <w:vAlign w:val="bottom"/>
            <w:tcBorders>
              <w:bottom w:val="single" w:sz="8" w:color="auto"/>
            </w:tcBorders>
          </w:tcPr>
          <w:p>
            <w:pPr>
              <w:jc w:val="center"/>
              <w:ind w:left="534"/>
              <w:spacing w:after="0"/>
              <w:rPr>
                <w:sz w:val="20"/>
                <w:szCs w:val="20"/>
                <w:color w:val="auto"/>
              </w:rPr>
            </w:pPr>
            <w:r>
              <w:rPr>
                <w:rFonts w:ascii="Arial" w:cs="Arial" w:eastAsia="Arial" w:hAnsi="Arial"/>
                <w:sz w:val="17"/>
                <w:szCs w:val="17"/>
                <w:b w:val="1"/>
                <w:bCs w:val="1"/>
                <w:color w:val="auto"/>
                <w:w w:val="89"/>
              </w:rPr>
              <w:t>2020</w:t>
            </w:r>
          </w:p>
        </w:tc>
      </w:tr>
      <w:tr>
        <w:trPr>
          <w:trHeight w:val="213"/>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equity</w:t>
            </w:r>
          </w:p>
        </w:tc>
        <w:tc>
          <w:tcPr>
            <w:tcW w:w="3660" w:type="dxa"/>
            <w:vAlign w:val="bottom"/>
            <w:shd w:val="clear" w:color="auto" w:fill="CCEEFF"/>
          </w:tcPr>
          <w:p>
            <w:pPr>
              <w:jc w:val="center"/>
              <w:ind w:left="3054"/>
              <w:spacing w:after="0"/>
              <w:rPr>
                <w:sz w:val="20"/>
                <w:szCs w:val="20"/>
                <w:color w:val="auto"/>
              </w:rPr>
            </w:pPr>
            <w:r>
              <w:rPr>
                <w:rFonts w:ascii="Arial" w:cs="Arial" w:eastAsia="Arial" w:hAnsi="Arial"/>
                <w:sz w:val="17"/>
                <w:szCs w:val="17"/>
                <w:color w:val="auto"/>
                <w:w w:val="93"/>
              </w:rPr>
              <w:t>49%</w:t>
            </w:r>
          </w:p>
        </w:tc>
        <w:tc>
          <w:tcPr>
            <w:tcW w:w="212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3"/>
              </w:rPr>
              <w:t>47%</w:t>
            </w:r>
          </w:p>
        </w:tc>
      </w:tr>
      <w:tr>
        <w:trPr>
          <w:trHeight w:val="225"/>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Long-term debt, including VIEs</w:t>
            </w:r>
          </w:p>
        </w:tc>
        <w:tc>
          <w:tcPr>
            <w:tcW w:w="3660" w:type="dxa"/>
            <w:vAlign w:val="bottom"/>
            <w:tcBorders>
              <w:bottom w:val="single" w:sz="8" w:color="auto"/>
            </w:tcBorders>
          </w:tcPr>
          <w:p>
            <w:pPr>
              <w:jc w:val="center"/>
              <w:ind w:left="3054"/>
              <w:spacing w:after="0"/>
              <w:rPr>
                <w:sz w:val="20"/>
                <w:szCs w:val="20"/>
                <w:color w:val="auto"/>
              </w:rPr>
            </w:pPr>
            <w:r>
              <w:rPr>
                <w:rFonts w:ascii="Arial" w:cs="Arial" w:eastAsia="Arial" w:hAnsi="Arial"/>
                <w:sz w:val="17"/>
                <w:szCs w:val="17"/>
                <w:color w:val="auto"/>
                <w:w w:val="93"/>
              </w:rPr>
              <w:t>51%</w:t>
            </w:r>
          </w:p>
        </w:tc>
        <w:tc>
          <w:tcPr>
            <w:tcW w:w="2120" w:type="dxa"/>
            <w:vAlign w:val="bottom"/>
            <w:tcBorders>
              <w:bottom w:val="single" w:sz="8" w:color="auto"/>
            </w:tcBorders>
          </w:tcPr>
          <w:p>
            <w:pPr>
              <w:jc w:val="center"/>
              <w:ind w:left="554"/>
              <w:spacing w:after="0"/>
              <w:rPr>
                <w:sz w:val="20"/>
                <w:szCs w:val="20"/>
                <w:color w:val="auto"/>
              </w:rPr>
            </w:pPr>
            <w:r>
              <w:rPr>
                <w:rFonts w:ascii="Arial" w:cs="Arial" w:eastAsia="Arial" w:hAnsi="Arial"/>
                <w:sz w:val="17"/>
                <w:szCs w:val="17"/>
                <w:color w:val="auto"/>
                <w:w w:val="93"/>
              </w:rPr>
              <w:t>53%</w:t>
            </w:r>
          </w:p>
        </w:tc>
      </w:tr>
    </w:tbl>
    <w:p>
      <w:pPr>
        <w:spacing w:after="0" w:line="280"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Under stipulations with the MPSC and KCC, Evergy, Evergy Kansas Central and Evergy Metro are required to maintain common equity at not less than 35%, 40% and 40%, respectively, of total capitalization. The master credit facility and certain debt instruments of the Evergy Companies also contain restrictions that require the maintenance of certain capitalization and leverage ratios. As of December 31, 2021, the Evergy Companies were in compliance with these covenants.</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Significant Debt Issuances</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See Note 12 to the consolidated financial statements for information regarding significant debt issuances.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Equity Issuance</w:t>
      </w:r>
    </w:p>
    <w:p>
      <w:pPr>
        <w:spacing w:after="0" w:line="17" w:lineRule="exact"/>
        <w:rPr>
          <w:sz w:val="20"/>
          <w:szCs w:val="20"/>
          <w:color w:val="auto"/>
        </w:rPr>
      </w:pPr>
    </w:p>
    <w:p>
      <w:pPr>
        <w:ind w:left="620" w:right="280"/>
        <w:spacing w:after="0" w:line="247" w:lineRule="auto"/>
        <w:rPr>
          <w:sz w:val="20"/>
          <w:szCs w:val="20"/>
          <w:color w:val="auto"/>
        </w:rPr>
      </w:pPr>
      <w:r>
        <w:rPr>
          <w:rFonts w:ascii="Arial" w:cs="Arial" w:eastAsia="Arial" w:hAnsi="Arial"/>
          <w:sz w:val="19"/>
          <w:szCs w:val="19"/>
          <w:color w:val="auto"/>
        </w:rPr>
        <w:t>See Note 17 to the consolidated financial statements for information regarding Evergy's securities purchase agreement with Bluescape to purchase Evergy's common stock in 2021.</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Credit Ratings</w:t>
      </w:r>
    </w:p>
    <w:p>
      <w:pPr>
        <w:spacing w:after="0" w:line="17" w:lineRule="exact"/>
        <w:rPr>
          <w:sz w:val="20"/>
          <w:szCs w:val="20"/>
          <w:color w:val="auto"/>
        </w:rPr>
      </w:pPr>
    </w:p>
    <w:p>
      <w:pPr>
        <w:ind w:left="620" w:right="80"/>
        <w:spacing w:after="0" w:line="257" w:lineRule="auto"/>
        <w:rPr>
          <w:sz w:val="20"/>
          <w:szCs w:val="20"/>
          <w:color w:val="auto"/>
        </w:rPr>
      </w:pPr>
      <w:r>
        <w:rPr>
          <w:rFonts w:ascii="Arial" w:cs="Arial" w:eastAsia="Arial" w:hAnsi="Arial"/>
          <w:sz w:val="18"/>
          <w:szCs w:val="18"/>
          <w:color w:val="auto"/>
        </w:rPr>
        <w:t>The ratings of the Evergy Companies' debt securities by the credit rating agencies impact the Evergy Companies' liquidity, including the cost of borrowings under their master credit facility and in the capital markets. The Evergy Companies view maintenance of strong credit ratings as vital to their access to and cost of debt financing and, to that end, maintain an active and ongoing dialogue with the agencies with respect to results of operations, financial position and future prospects. While a decrease in these credit ratings would not cause any acceleration of the Evergy Companies' debt, it could increase interest charges under the master credit facility. A decrease in credit ratings could also have, among other things, an adverse impact, which could be material, on the Evergy Companies' access to capital, the cost of funds, the ability to recover actual interest costs in state regulatory proceedings, the type and amounts of collateral required under supply agreements and Evergy's ability to provide credit support for its subsidiaries.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As of February 24, 2022, the major credit rating agencies rated the Evergy Companies' securities as detailed in the following table.</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406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tcPr>
          <w:p>
            <w:pPr>
              <w:jc w:val="center"/>
              <w:ind w:left="1774"/>
              <w:spacing w:after="0"/>
              <w:rPr>
                <w:sz w:val="20"/>
                <w:szCs w:val="20"/>
                <w:color w:val="auto"/>
              </w:rPr>
            </w:pPr>
            <w:r>
              <w:rPr>
                <w:rFonts w:ascii="Arial" w:cs="Arial" w:eastAsia="Arial" w:hAnsi="Arial"/>
                <w:sz w:val="17"/>
                <w:szCs w:val="17"/>
                <w:b w:val="1"/>
                <w:bCs w:val="1"/>
                <w:color w:val="auto"/>
                <w:w w:val="90"/>
              </w:rPr>
              <w:t>Moody's</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S&amp;P Global</w:t>
            </w:r>
          </w:p>
        </w:tc>
      </w:tr>
      <w:tr>
        <w:trPr>
          <w:trHeight w:val="228"/>
        </w:trPr>
        <w:tc>
          <w:tcPr>
            <w:tcW w:w="406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tcPr>
          <w:p>
            <w:pPr>
              <w:jc w:val="center"/>
              <w:ind w:left="1774"/>
              <w:spacing w:after="0" w:line="227" w:lineRule="exact"/>
              <w:rPr>
                <w:sz w:val="20"/>
                <w:szCs w:val="20"/>
                <w:color w:val="auto"/>
              </w:rPr>
            </w:pPr>
            <w:r>
              <w:rPr>
                <w:rFonts w:ascii="Arial" w:cs="Arial" w:eastAsia="Arial" w:hAnsi="Arial"/>
                <w:sz w:val="17"/>
                <w:szCs w:val="17"/>
                <w:b w:val="1"/>
                <w:bCs w:val="1"/>
                <w:color w:val="auto"/>
                <w:w w:val="86"/>
              </w:rPr>
              <w:t>Investors Service</w:t>
            </w:r>
            <w:r>
              <w:rPr>
                <w:rFonts w:ascii="Arial" w:cs="Arial" w:eastAsia="Arial" w:hAnsi="Arial"/>
                <w:sz w:val="22"/>
                <w:szCs w:val="22"/>
                <w:b w:val="1"/>
                <w:bCs w:val="1"/>
                <w:color w:val="auto"/>
                <w:w w:val="86"/>
                <w:vertAlign w:val="superscript"/>
              </w:rPr>
              <w:t>(a)</w:t>
            </w:r>
          </w:p>
        </w:tc>
        <w:tc>
          <w:tcPr>
            <w:tcW w:w="1740" w:type="dxa"/>
            <w:vAlign w:val="bottom"/>
            <w:tcBorders>
              <w:bottom w:val="single" w:sz="8" w:color="auto"/>
            </w:tcBorders>
          </w:tcPr>
          <w:p>
            <w:pPr>
              <w:jc w:val="center"/>
              <w:spacing w:after="0" w:line="227" w:lineRule="exact"/>
              <w:rPr>
                <w:sz w:val="20"/>
                <w:szCs w:val="20"/>
                <w:color w:val="auto"/>
              </w:rPr>
            </w:pPr>
            <w:r>
              <w:rPr>
                <w:rFonts w:ascii="Arial" w:cs="Arial" w:eastAsia="Arial" w:hAnsi="Arial"/>
                <w:sz w:val="17"/>
                <w:szCs w:val="17"/>
                <w:b w:val="1"/>
                <w:bCs w:val="1"/>
                <w:color w:val="auto"/>
                <w:w w:val="87"/>
              </w:rPr>
              <w:t>Ratings</w:t>
            </w:r>
            <w:r>
              <w:rPr>
                <w:rFonts w:ascii="Arial" w:cs="Arial" w:eastAsia="Arial" w:hAnsi="Arial"/>
                <w:sz w:val="22"/>
                <w:szCs w:val="22"/>
                <w:b w:val="1"/>
                <w:bCs w:val="1"/>
                <w:color w:val="auto"/>
                <w:w w:val="87"/>
                <w:vertAlign w:val="superscript"/>
              </w:rPr>
              <w:t>(a)</w:t>
            </w:r>
          </w:p>
        </w:tc>
      </w:tr>
      <w:tr>
        <w:trPr>
          <w:trHeight w:val="212"/>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Evergy</w:t>
            </w:r>
          </w:p>
        </w:tc>
        <w:tc>
          <w:tcPr>
            <w:tcW w:w="40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Outlook</w:t>
            </w:r>
          </w:p>
        </w:tc>
        <w:tc>
          <w:tcPr>
            <w:tcW w:w="4080" w:type="dxa"/>
            <w:vAlign w:val="bottom"/>
            <w:shd w:val="clear" w:color="auto" w:fill="CCEEFF"/>
          </w:tcPr>
          <w:p>
            <w:pPr>
              <w:jc w:val="center"/>
              <w:ind w:left="1774"/>
              <w:spacing w:after="0"/>
              <w:rPr>
                <w:sz w:val="20"/>
                <w:szCs w:val="20"/>
                <w:color w:val="auto"/>
              </w:rPr>
            </w:pPr>
            <w:r>
              <w:rPr>
                <w:rFonts w:ascii="Arial" w:cs="Arial" w:eastAsia="Arial" w:hAnsi="Arial"/>
                <w:sz w:val="17"/>
                <w:szCs w:val="17"/>
                <w:color w:val="auto"/>
                <w:w w:val="87"/>
              </w:rPr>
              <w:t>Stable</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Negative</w:t>
            </w: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Corporate Credit Rating</w:t>
            </w:r>
          </w:p>
        </w:tc>
        <w:tc>
          <w:tcPr>
            <w:tcW w:w="4080" w:type="dxa"/>
            <w:vAlign w:val="bottom"/>
          </w:tcPr>
          <w:p>
            <w:pPr>
              <w:jc w:val="center"/>
              <w:ind w:left="1774"/>
              <w:spacing w:after="0"/>
              <w:rPr>
                <w:sz w:val="20"/>
                <w:szCs w:val="20"/>
                <w:color w:val="auto"/>
              </w:rPr>
            </w:pPr>
            <w:r>
              <w:rPr>
                <w:rFonts w:ascii="Arial" w:cs="Arial" w:eastAsia="Arial" w:hAnsi="Arial"/>
                <w:sz w:val="17"/>
                <w:szCs w:val="17"/>
                <w:color w:val="auto"/>
                <w:w w:val="87"/>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A-</w:t>
            </w: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Senior Unsecured Debt</w:t>
            </w:r>
          </w:p>
        </w:tc>
        <w:tc>
          <w:tcPr>
            <w:tcW w:w="4080" w:type="dxa"/>
            <w:vAlign w:val="bottom"/>
            <w:shd w:val="clear" w:color="auto" w:fill="CCEEFF"/>
          </w:tcPr>
          <w:p>
            <w:pPr>
              <w:jc w:val="center"/>
              <w:ind w:left="1774"/>
              <w:spacing w:after="0"/>
              <w:rPr>
                <w:sz w:val="20"/>
                <w:szCs w:val="20"/>
                <w:color w:val="auto"/>
              </w:rPr>
            </w:pPr>
            <w:r>
              <w:rPr>
                <w:rFonts w:ascii="Arial" w:cs="Arial" w:eastAsia="Arial" w:hAnsi="Arial"/>
                <w:sz w:val="17"/>
                <w:szCs w:val="17"/>
                <w:color w:val="auto"/>
                <w:w w:val="85"/>
              </w:rPr>
              <w:t>Baa2</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BBB+</w:t>
            </w: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Short-Term Rating</w:t>
            </w:r>
          </w:p>
        </w:tc>
        <w:tc>
          <w:tcPr>
            <w:tcW w:w="4080" w:type="dxa"/>
            <w:vAlign w:val="bottom"/>
          </w:tcPr>
          <w:p>
            <w:pPr>
              <w:jc w:val="center"/>
              <w:ind w:left="1754"/>
              <w:spacing w:after="0"/>
              <w:rPr>
                <w:sz w:val="20"/>
                <w:szCs w:val="20"/>
                <w:color w:val="auto"/>
              </w:rPr>
            </w:pPr>
            <w:r>
              <w:rPr>
                <w:rFonts w:ascii="Arial" w:cs="Arial" w:eastAsia="Arial" w:hAnsi="Arial"/>
                <w:sz w:val="17"/>
                <w:szCs w:val="17"/>
                <w:color w:val="auto"/>
                <w:w w:val="90"/>
              </w:rPr>
              <w:t>P-2</w:t>
            </w: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A-2</w:t>
            </w:r>
          </w:p>
        </w:tc>
      </w:tr>
      <w:tr>
        <w:trPr>
          <w:trHeight w:val="246"/>
        </w:trPr>
        <w:tc>
          <w:tcPr>
            <w:tcW w:w="406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40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Outlook</w:t>
            </w:r>
          </w:p>
        </w:tc>
        <w:tc>
          <w:tcPr>
            <w:tcW w:w="4080" w:type="dxa"/>
            <w:vAlign w:val="bottom"/>
            <w:shd w:val="clear" w:color="auto" w:fill="CCEEFF"/>
          </w:tcPr>
          <w:p>
            <w:pPr>
              <w:jc w:val="center"/>
              <w:ind w:left="1774"/>
              <w:spacing w:after="0"/>
              <w:rPr>
                <w:sz w:val="20"/>
                <w:szCs w:val="20"/>
                <w:color w:val="auto"/>
              </w:rPr>
            </w:pPr>
            <w:r>
              <w:rPr>
                <w:rFonts w:ascii="Arial" w:cs="Arial" w:eastAsia="Arial" w:hAnsi="Arial"/>
                <w:sz w:val="17"/>
                <w:szCs w:val="17"/>
                <w:color w:val="auto"/>
                <w:w w:val="87"/>
              </w:rPr>
              <w:t>Stable</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Negative</w:t>
            </w: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Corporate Credit Rating</w:t>
            </w:r>
          </w:p>
        </w:tc>
        <w:tc>
          <w:tcPr>
            <w:tcW w:w="4080" w:type="dxa"/>
            <w:vAlign w:val="bottom"/>
          </w:tcPr>
          <w:p>
            <w:pPr>
              <w:jc w:val="center"/>
              <w:ind w:left="1774"/>
              <w:spacing w:after="0"/>
              <w:rPr>
                <w:sz w:val="20"/>
                <w:szCs w:val="20"/>
                <w:color w:val="auto"/>
              </w:rPr>
            </w:pPr>
            <w:r>
              <w:rPr>
                <w:rFonts w:ascii="Arial" w:cs="Arial" w:eastAsia="Arial" w:hAnsi="Arial"/>
                <w:sz w:val="17"/>
                <w:szCs w:val="17"/>
                <w:color w:val="auto"/>
                <w:w w:val="85"/>
              </w:rPr>
              <w:t>Baa1</w:t>
            </w:r>
          </w:p>
        </w:tc>
        <w:tc>
          <w:tcPr>
            <w:tcW w:w="1740" w:type="dxa"/>
            <w:vAlign w:val="bottom"/>
          </w:tcPr>
          <w:p>
            <w:pPr>
              <w:jc w:val="center"/>
              <w:spacing w:after="0"/>
              <w:rPr>
                <w:sz w:val="20"/>
                <w:szCs w:val="20"/>
                <w:color w:val="auto"/>
              </w:rPr>
            </w:pPr>
            <w:r>
              <w:rPr>
                <w:rFonts w:ascii="Arial" w:cs="Arial" w:eastAsia="Arial" w:hAnsi="Arial"/>
                <w:sz w:val="17"/>
                <w:szCs w:val="17"/>
                <w:color w:val="auto"/>
              </w:rPr>
              <w:t>A-</w:t>
            </w: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Senior Secured Debt</w:t>
            </w:r>
          </w:p>
        </w:tc>
        <w:tc>
          <w:tcPr>
            <w:tcW w:w="4080" w:type="dxa"/>
            <w:vAlign w:val="bottom"/>
            <w:shd w:val="clear" w:color="auto" w:fill="CCEEFF"/>
          </w:tcPr>
          <w:p>
            <w:pPr>
              <w:jc w:val="center"/>
              <w:ind w:left="1774"/>
              <w:spacing w:after="0"/>
              <w:rPr>
                <w:sz w:val="20"/>
                <w:szCs w:val="20"/>
                <w:color w:val="auto"/>
              </w:rPr>
            </w:pPr>
            <w:r>
              <w:rPr>
                <w:rFonts w:ascii="Arial" w:cs="Arial" w:eastAsia="Arial" w:hAnsi="Arial"/>
                <w:sz w:val="17"/>
                <w:szCs w:val="17"/>
                <w:color w:val="auto"/>
              </w:rPr>
              <w:t>A2</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w:t>
            </w: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4080" w:type="dxa"/>
            <w:vAlign w:val="bottom"/>
          </w:tcPr>
          <w:p>
            <w:pPr>
              <w:jc w:val="center"/>
              <w:ind w:left="1754"/>
              <w:spacing w:after="0"/>
              <w:rPr>
                <w:sz w:val="20"/>
                <w:szCs w:val="20"/>
                <w:color w:val="auto"/>
              </w:rPr>
            </w:pPr>
            <w:r>
              <w:rPr>
                <w:rFonts w:ascii="Arial" w:cs="Arial" w:eastAsia="Arial" w:hAnsi="Arial"/>
                <w:sz w:val="17"/>
                <w:szCs w:val="17"/>
                <w:color w:val="auto"/>
                <w:w w:val="90"/>
              </w:rPr>
              <w:t>P-2</w:t>
            </w: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A-2</w:t>
            </w:r>
          </w:p>
        </w:tc>
      </w:tr>
      <w:tr>
        <w:trPr>
          <w:trHeight w:val="246"/>
        </w:trPr>
        <w:tc>
          <w:tcPr>
            <w:tcW w:w="406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Evergy Kansas South</w:t>
            </w:r>
          </w:p>
        </w:tc>
        <w:tc>
          <w:tcPr>
            <w:tcW w:w="40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Outlook</w:t>
            </w:r>
          </w:p>
        </w:tc>
        <w:tc>
          <w:tcPr>
            <w:tcW w:w="4080" w:type="dxa"/>
            <w:vAlign w:val="bottom"/>
            <w:shd w:val="clear" w:color="auto" w:fill="CCEEFF"/>
          </w:tcPr>
          <w:p>
            <w:pPr>
              <w:jc w:val="center"/>
              <w:ind w:left="1774"/>
              <w:spacing w:after="0"/>
              <w:rPr>
                <w:sz w:val="20"/>
                <w:szCs w:val="20"/>
                <w:color w:val="auto"/>
              </w:rPr>
            </w:pPr>
            <w:r>
              <w:rPr>
                <w:rFonts w:ascii="Arial" w:cs="Arial" w:eastAsia="Arial" w:hAnsi="Arial"/>
                <w:sz w:val="17"/>
                <w:szCs w:val="17"/>
                <w:color w:val="auto"/>
                <w:w w:val="87"/>
              </w:rPr>
              <w:t>Stable</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Negative</w:t>
            </w: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Corporate Credit Rating</w:t>
            </w:r>
          </w:p>
        </w:tc>
        <w:tc>
          <w:tcPr>
            <w:tcW w:w="4080" w:type="dxa"/>
            <w:vAlign w:val="bottom"/>
          </w:tcPr>
          <w:p>
            <w:pPr>
              <w:jc w:val="center"/>
              <w:ind w:left="1774"/>
              <w:spacing w:after="0"/>
              <w:rPr>
                <w:sz w:val="20"/>
                <w:szCs w:val="20"/>
                <w:color w:val="auto"/>
              </w:rPr>
            </w:pPr>
            <w:r>
              <w:rPr>
                <w:rFonts w:ascii="Arial" w:cs="Arial" w:eastAsia="Arial" w:hAnsi="Arial"/>
                <w:sz w:val="17"/>
                <w:szCs w:val="17"/>
                <w:color w:val="auto"/>
                <w:w w:val="85"/>
              </w:rPr>
              <w:t>Baa1</w:t>
            </w:r>
          </w:p>
        </w:tc>
        <w:tc>
          <w:tcPr>
            <w:tcW w:w="1740" w:type="dxa"/>
            <w:vAlign w:val="bottom"/>
          </w:tcPr>
          <w:p>
            <w:pPr>
              <w:jc w:val="center"/>
              <w:spacing w:after="0"/>
              <w:rPr>
                <w:sz w:val="20"/>
                <w:szCs w:val="20"/>
                <w:color w:val="auto"/>
              </w:rPr>
            </w:pPr>
            <w:r>
              <w:rPr>
                <w:rFonts w:ascii="Arial" w:cs="Arial" w:eastAsia="Arial" w:hAnsi="Arial"/>
                <w:sz w:val="17"/>
                <w:szCs w:val="17"/>
                <w:color w:val="auto"/>
              </w:rPr>
              <w:t>A-</w:t>
            </w: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Senior Secured Debt</w:t>
            </w:r>
          </w:p>
        </w:tc>
        <w:tc>
          <w:tcPr>
            <w:tcW w:w="4080" w:type="dxa"/>
            <w:vAlign w:val="bottom"/>
            <w:shd w:val="clear" w:color="auto" w:fill="CCEEFF"/>
          </w:tcPr>
          <w:p>
            <w:pPr>
              <w:jc w:val="center"/>
              <w:ind w:left="1774"/>
              <w:spacing w:after="0"/>
              <w:rPr>
                <w:sz w:val="20"/>
                <w:szCs w:val="20"/>
                <w:color w:val="auto"/>
              </w:rPr>
            </w:pPr>
            <w:r>
              <w:rPr>
                <w:rFonts w:ascii="Arial" w:cs="Arial" w:eastAsia="Arial" w:hAnsi="Arial"/>
                <w:sz w:val="17"/>
                <w:szCs w:val="17"/>
                <w:color w:val="auto"/>
              </w:rPr>
              <w:t>A2</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w:t>
            </w: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Short-Term Rating</w:t>
            </w:r>
          </w:p>
        </w:tc>
        <w:tc>
          <w:tcPr>
            <w:tcW w:w="4080" w:type="dxa"/>
            <w:vAlign w:val="bottom"/>
          </w:tcPr>
          <w:p>
            <w:pPr>
              <w:jc w:val="center"/>
              <w:ind w:left="1754"/>
              <w:spacing w:after="0"/>
              <w:rPr>
                <w:sz w:val="20"/>
                <w:szCs w:val="20"/>
                <w:color w:val="auto"/>
              </w:rPr>
            </w:pPr>
            <w:r>
              <w:rPr>
                <w:rFonts w:ascii="Arial" w:cs="Arial" w:eastAsia="Arial" w:hAnsi="Arial"/>
                <w:sz w:val="17"/>
                <w:szCs w:val="17"/>
                <w:color w:val="auto"/>
                <w:w w:val="90"/>
              </w:rPr>
              <w:t>P-2</w:t>
            </w: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A-2</w:t>
            </w:r>
          </w:p>
        </w:tc>
      </w:tr>
      <w:tr>
        <w:trPr>
          <w:trHeight w:val="246"/>
        </w:trPr>
        <w:tc>
          <w:tcPr>
            <w:tcW w:w="406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Evergy Metro</w:t>
            </w:r>
          </w:p>
        </w:tc>
        <w:tc>
          <w:tcPr>
            <w:tcW w:w="40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Outlook</w:t>
            </w:r>
          </w:p>
        </w:tc>
        <w:tc>
          <w:tcPr>
            <w:tcW w:w="4080" w:type="dxa"/>
            <w:vAlign w:val="bottom"/>
            <w:shd w:val="clear" w:color="auto" w:fill="CCEEFF"/>
          </w:tcPr>
          <w:p>
            <w:pPr>
              <w:jc w:val="center"/>
              <w:ind w:left="1774"/>
              <w:spacing w:after="0"/>
              <w:rPr>
                <w:sz w:val="20"/>
                <w:szCs w:val="20"/>
                <w:color w:val="auto"/>
              </w:rPr>
            </w:pPr>
            <w:r>
              <w:rPr>
                <w:rFonts w:ascii="Arial" w:cs="Arial" w:eastAsia="Arial" w:hAnsi="Arial"/>
                <w:sz w:val="17"/>
                <w:szCs w:val="17"/>
                <w:color w:val="auto"/>
                <w:w w:val="87"/>
              </w:rPr>
              <w:t>Stable</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Negative</w:t>
            </w: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Corporate Credit Rating</w:t>
            </w:r>
          </w:p>
        </w:tc>
        <w:tc>
          <w:tcPr>
            <w:tcW w:w="4080" w:type="dxa"/>
            <w:vAlign w:val="bottom"/>
          </w:tcPr>
          <w:p>
            <w:pPr>
              <w:jc w:val="center"/>
              <w:ind w:left="1774"/>
              <w:spacing w:after="0"/>
              <w:rPr>
                <w:sz w:val="20"/>
                <w:szCs w:val="20"/>
                <w:color w:val="auto"/>
              </w:rPr>
            </w:pPr>
            <w:r>
              <w:rPr>
                <w:rFonts w:ascii="Arial" w:cs="Arial" w:eastAsia="Arial" w:hAnsi="Arial"/>
                <w:sz w:val="17"/>
                <w:szCs w:val="17"/>
                <w:color w:val="auto"/>
                <w:w w:val="85"/>
              </w:rPr>
              <w:t>Baa1</w:t>
            </w:r>
          </w:p>
        </w:tc>
        <w:tc>
          <w:tcPr>
            <w:tcW w:w="1740" w:type="dxa"/>
            <w:vAlign w:val="bottom"/>
          </w:tcPr>
          <w:p>
            <w:pPr>
              <w:jc w:val="center"/>
              <w:spacing w:after="0"/>
              <w:rPr>
                <w:sz w:val="20"/>
                <w:szCs w:val="20"/>
                <w:color w:val="auto"/>
              </w:rPr>
            </w:pPr>
            <w:r>
              <w:rPr>
                <w:rFonts w:ascii="Arial" w:cs="Arial" w:eastAsia="Arial" w:hAnsi="Arial"/>
                <w:sz w:val="17"/>
                <w:szCs w:val="17"/>
                <w:color w:val="auto"/>
              </w:rPr>
              <w:t>A</w:t>
            </w: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Senior Secured Debt</w:t>
            </w:r>
          </w:p>
        </w:tc>
        <w:tc>
          <w:tcPr>
            <w:tcW w:w="4080" w:type="dxa"/>
            <w:vAlign w:val="bottom"/>
            <w:shd w:val="clear" w:color="auto" w:fill="CCEEFF"/>
          </w:tcPr>
          <w:p>
            <w:pPr>
              <w:jc w:val="center"/>
              <w:ind w:left="1774"/>
              <w:spacing w:after="0"/>
              <w:rPr>
                <w:sz w:val="20"/>
                <w:szCs w:val="20"/>
                <w:color w:val="auto"/>
              </w:rPr>
            </w:pPr>
            <w:r>
              <w:rPr>
                <w:rFonts w:ascii="Arial" w:cs="Arial" w:eastAsia="Arial" w:hAnsi="Arial"/>
                <w:sz w:val="17"/>
                <w:szCs w:val="17"/>
                <w:color w:val="auto"/>
              </w:rPr>
              <w:t>A2</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w:t>
            </w: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Senior Unsecured Debt</w:t>
            </w:r>
          </w:p>
        </w:tc>
        <w:tc>
          <w:tcPr>
            <w:tcW w:w="4080" w:type="dxa"/>
            <w:vAlign w:val="bottom"/>
          </w:tcPr>
          <w:p>
            <w:pPr>
              <w:jc w:val="center"/>
              <w:ind w:left="1774"/>
              <w:spacing w:after="0"/>
              <w:rPr>
                <w:sz w:val="20"/>
                <w:szCs w:val="20"/>
                <w:color w:val="auto"/>
              </w:rPr>
            </w:pPr>
            <w:r>
              <w:rPr>
                <w:rFonts w:ascii="Arial" w:cs="Arial" w:eastAsia="Arial" w:hAnsi="Arial"/>
                <w:sz w:val="17"/>
                <w:szCs w:val="17"/>
                <w:color w:val="auto"/>
                <w:w w:val="87"/>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A</w:t>
            </w: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4080" w:type="dxa"/>
            <w:vAlign w:val="bottom"/>
            <w:shd w:val="clear" w:color="auto" w:fill="CCEEFF"/>
          </w:tcPr>
          <w:p>
            <w:pPr>
              <w:jc w:val="center"/>
              <w:ind w:left="1754"/>
              <w:spacing w:after="0"/>
              <w:rPr>
                <w:sz w:val="20"/>
                <w:szCs w:val="20"/>
                <w:color w:val="auto"/>
              </w:rPr>
            </w:pPr>
            <w:r>
              <w:rPr>
                <w:rFonts w:ascii="Arial" w:cs="Arial" w:eastAsia="Arial" w:hAnsi="Arial"/>
                <w:sz w:val="17"/>
                <w:szCs w:val="17"/>
                <w:color w:val="auto"/>
                <w:w w:val="90"/>
              </w:rPr>
              <w:t>P-2</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A-1</w:t>
            </w:r>
          </w:p>
        </w:tc>
      </w:tr>
      <w:tr>
        <w:trPr>
          <w:trHeight w:val="245"/>
        </w:trPr>
        <w:tc>
          <w:tcPr>
            <w:tcW w:w="40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Evergy Missouri West</w:t>
            </w:r>
          </w:p>
        </w:tc>
        <w:tc>
          <w:tcPr>
            <w:tcW w:w="40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Outlook</w:t>
            </w:r>
          </w:p>
        </w:tc>
        <w:tc>
          <w:tcPr>
            <w:tcW w:w="4080" w:type="dxa"/>
            <w:vAlign w:val="bottom"/>
          </w:tcPr>
          <w:p>
            <w:pPr>
              <w:jc w:val="center"/>
              <w:ind w:left="1774"/>
              <w:spacing w:after="0"/>
              <w:rPr>
                <w:sz w:val="20"/>
                <w:szCs w:val="20"/>
                <w:color w:val="auto"/>
              </w:rPr>
            </w:pPr>
            <w:r>
              <w:rPr>
                <w:rFonts w:ascii="Arial" w:cs="Arial" w:eastAsia="Arial" w:hAnsi="Arial"/>
                <w:sz w:val="17"/>
                <w:szCs w:val="17"/>
                <w:color w:val="auto"/>
                <w:w w:val="87"/>
              </w:rPr>
              <w:t>Stable</w:t>
            </w:r>
          </w:p>
        </w:tc>
        <w:tc>
          <w:tcPr>
            <w:tcW w:w="1740" w:type="dxa"/>
            <w:vAlign w:val="bottom"/>
          </w:tcPr>
          <w:p>
            <w:pPr>
              <w:jc w:val="center"/>
              <w:spacing w:after="0"/>
              <w:rPr>
                <w:sz w:val="20"/>
                <w:szCs w:val="20"/>
                <w:color w:val="auto"/>
              </w:rPr>
            </w:pPr>
            <w:r>
              <w:rPr>
                <w:rFonts w:ascii="Arial" w:cs="Arial" w:eastAsia="Arial" w:hAnsi="Arial"/>
                <w:sz w:val="17"/>
                <w:szCs w:val="17"/>
                <w:color w:val="auto"/>
                <w:w w:val="92"/>
              </w:rPr>
              <w:t>Negative</w:t>
            </w: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Credit Rating</w:t>
            </w:r>
          </w:p>
        </w:tc>
        <w:tc>
          <w:tcPr>
            <w:tcW w:w="4080" w:type="dxa"/>
            <w:vAlign w:val="bottom"/>
            <w:shd w:val="clear" w:color="auto" w:fill="CCEEFF"/>
          </w:tcPr>
          <w:p>
            <w:pPr>
              <w:jc w:val="center"/>
              <w:ind w:left="1774"/>
              <w:spacing w:after="0"/>
              <w:rPr>
                <w:sz w:val="20"/>
                <w:szCs w:val="20"/>
                <w:color w:val="auto"/>
              </w:rPr>
            </w:pPr>
            <w:r>
              <w:rPr>
                <w:rFonts w:ascii="Arial" w:cs="Arial" w:eastAsia="Arial" w:hAnsi="Arial"/>
                <w:sz w:val="17"/>
                <w:szCs w:val="17"/>
                <w:color w:val="auto"/>
                <w:w w:val="85"/>
              </w:rPr>
              <w:t>Baa2</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w:t>
            </w: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Senior Unsecured Debt</w:t>
            </w:r>
          </w:p>
        </w:tc>
        <w:tc>
          <w:tcPr>
            <w:tcW w:w="4080" w:type="dxa"/>
            <w:vAlign w:val="bottom"/>
          </w:tcPr>
          <w:p>
            <w:pPr>
              <w:jc w:val="center"/>
              <w:ind w:left="1774"/>
              <w:spacing w:after="0"/>
              <w:rPr>
                <w:sz w:val="20"/>
                <w:szCs w:val="20"/>
                <w:color w:val="auto"/>
              </w:rPr>
            </w:pPr>
            <w:r>
              <w:rPr>
                <w:rFonts w:ascii="Arial" w:cs="Arial" w:eastAsia="Arial" w:hAnsi="Arial"/>
                <w:sz w:val="17"/>
                <w:szCs w:val="17"/>
                <w:color w:val="auto"/>
                <w:w w:val="85"/>
              </w:rPr>
              <w:t>Baa2</w:t>
            </w:r>
          </w:p>
        </w:tc>
        <w:tc>
          <w:tcPr>
            <w:tcW w:w="1740" w:type="dxa"/>
            <w:vAlign w:val="bottom"/>
          </w:tcPr>
          <w:p>
            <w:pPr>
              <w:jc w:val="center"/>
              <w:spacing w:after="0"/>
              <w:rPr>
                <w:sz w:val="20"/>
                <w:szCs w:val="20"/>
                <w:color w:val="auto"/>
              </w:rPr>
            </w:pPr>
            <w:r>
              <w:rPr>
                <w:rFonts w:ascii="Arial" w:cs="Arial" w:eastAsia="Arial" w:hAnsi="Arial"/>
                <w:sz w:val="17"/>
                <w:szCs w:val="17"/>
                <w:color w:val="auto"/>
              </w:rPr>
              <w:t>A-</w:t>
            </w:r>
          </w:p>
        </w:tc>
      </w:tr>
      <w:tr>
        <w:trPr>
          <w:trHeight w:val="226"/>
        </w:trPr>
        <w:tc>
          <w:tcPr>
            <w:tcW w:w="4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4080" w:type="dxa"/>
            <w:vAlign w:val="bottom"/>
            <w:tcBorders>
              <w:bottom w:val="single" w:sz="8" w:color="auto"/>
            </w:tcBorders>
            <w:shd w:val="clear" w:color="auto" w:fill="CCEEFF"/>
          </w:tcPr>
          <w:p>
            <w:pPr>
              <w:jc w:val="center"/>
              <w:ind w:left="1754"/>
              <w:spacing w:after="0"/>
              <w:rPr>
                <w:sz w:val="20"/>
                <w:szCs w:val="20"/>
                <w:color w:val="auto"/>
              </w:rPr>
            </w:pPr>
            <w:r>
              <w:rPr>
                <w:rFonts w:ascii="Arial" w:cs="Arial" w:eastAsia="Arial" w:hAnsi="Arial"/>
                <w:sz w:val="17"/>
                <w:szCs w:val="17"/>
                <w:color w:val="auto"/>
                <w:w w:val="90"/>
              </w:rPr>
              <w:t>P-2</w:t>
            </w: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bl>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4"/>
          <w:szCs w:val="14"/>
          <w:color w:val="auto"/>
        </w:rPr>
        <w:t>A securities rating is not a recommendation to buy, sell or hold securities and may be subject to revision or withdrawal at any time by the assigning rating agency.</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Shelf Registration Statements and Regulatory Authorizations</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Evergy</w:t>
      </w:r>
    </w:p>
    <w:p>
      <w:pPr>
        <w:spacing w:after="0" w:line="1" w:lineRule="exact"/>
        <w:rPr>
          <w:sz w:val="20"/>
          <w:szCs w:val="20"/>
          <w:color w:val="auto"/>
        </w:rPr>
      </w:pPr>
    </w:p>
    <w:p>
      <w:pPr>
        <w:ind w:left="620"/>
        <w:spacing w:after="0" w:line="247" w:lineRule="auto"/>
        <w:rPr>
          <w:sz w:val="20"/>
          <w:szCs w:val="20"/>
          <w:color w:val="auto"/>
        </w:rPr>
      </w:pPr>
      <w:r>
        <w:rPr>
          <w:rFonts w:ascii="Arial" w:cs="Arial" w:eastAsia="Arial" w:hAnsi="Arial"/>
          <w:sz w:val="19"/>
          <w:szCs w:val="19"/>
          <w:color w:val="auto"/>
        </w:rPr>
        <w:t>In September 2021, Evergy filed an automatic shelf registration statement providing for the sale of unlimited amounts of securities with the SEC, which expires in September 2024.</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Evergy Kansas Central</w:t>
      </w:r>
    </w:p>
    <w:p>
      <w:pPr>
        <w:spacing w:after="0" w:line="23" w:lineRule="exact"/>
        <w:rPr>
          <w:sz w:val="20"/>
          <w:szCs w:val="20"/>
          <w:color w:val="auto"/>
        </w:rPr>
      </w:pPr>
    </w:p>
    <w:p>
      <w:pPr>
        <w:ind w:left="620" w:right="220"/>
        <w:spacing w:after="0" w:line="247" w:lineRule="auto"/>
        <w:rPr>
          <w:sz w:val="20"/>
          <w:szCs w:val="20"/>
          <w:color w:val="auto"/>
        </w:rPr>
      </w:pPr>
      <w:r>
        <w:rPr>
          <w:rFonts w:ascii="Arial" w:cs="Arial" w:eastAsia="Arial" w:hAnsi="Arial"/>
          <w:sz w:val="19"/>
          <w:szCs w:val="19"/>
          <w:color w:val="auto"/>
        </w:rPr>
        <w:t>In September 2021, Evergy Kansas Central filed an automatic shelf registration statement providing for the sale of unlimited amounts of unsecured debt securities and FMBs with the SEC, which expires in September 2024.</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Evergy Metro</w:t>
      </w:r>
    </w:p>
    <w:p>
      <w:pPr>
        <w:spacing w:after="0" w:line="23" w:lineRule="exact"/>
        <w:rPr>
          <w:sz w:val="20"/>
          <w:szCs w:val="20"/>
          <w:color w:val="auto"/>
        </w:rPr>
      </w:pPr>
    </w:p>
    <w:p>
      <w:pPr>
        <w:ind w:left="620" w:right="100"/>
        <w:spacing w:after="0" w:line="247" w:lineRule="auto"/>
        <w:rPr>
          <w:sz w:val="20"/>
          <w:szCs w:val="20"/>
          <w:color w:val="auto"/>
        </w:rPr>
      </w:pPr>
      <w:r>
        <w:rPr>
          <w:rFonts w:ascii="Arial" w:cs="Arial" w:eastAsia="Arial" w:hAnsi="Arial"/>
          <w:sz w:val="19"/>
          <w:szCs w:val="19"/>
          <w:color w:val="auto"/>
        </w:rPr>
        <w:t>In September 2021, Evergy Metro filed an automatic shelf registration statement providing for the sale of unlimited amounts of unsecured notes and mortgage bonds with the SEC, which expires in September 2024.</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52" w:name="page53"/>
    <w:bookmarkEnd w:id="5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left="620" w:right="60"/>
        <w:spacing w:after="0" w:line="252" w:lineRule="auto"/>
        <w:rPr>
          <w:sz w:val="20"/>
          <w:szCs w:val="20"/>
          <w:color w:val="auto"/>
        </w:rPr>
      </w:pPr>
      <w:r>
        <w:rPr>
          <w:rFonts w:ascii="Arial" w:cs="Arial" w:eastAsia="Arial" w:hAnsi="Arial"/>
          <w:sz w:val="19"/>
          <w:szCs w:val="19"/>
          <w:color w:val="auto"/>
        </w:rPr>
        <w:t>The following table summarizes the regulatory short-term and long-term debt financing authorizations for Evergy Kansas Central, Evergy Kansas South, Evergy Metro and Evergy Missouri West and the remaining amount available under these authorizations as of December 31, 2021.</w:t>
      </w:r>
    </w:p>
    <w:p>
      <w:pPr>
        <w:spacing w:after="0" w:line="95"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264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Type of Authorization</w:t>
            </w:r>
          </w:p>
        </w:tc>
        <w:tc>
          <w:tcPr>
            <w:tcW w:w="1880" w:type="dxa"/>
            <w:vAlign w:val="bottom"/>
            <w:tcBorders>
              <w:top w:val="single" w:sz="8" w:color="auto"/>
            </w:tcBorders>
            <w:vMerge w:val="restart"/>
          </w:tcPr>
          <w:p>
            <w:pPr>
              <w:jc w:val="center"/>
              <w:ind w:left="414"/>
              <w:spacing w:after="0"/>
              <w:rPr>
                <w:sz w:val="20"/>
                <w:szCs w:val="20"/>
                <w:color w:val="auto"/>
              </w:rPr>
            </w:pPr>
            <w:r>
              <w:rPr>
                <w:rFonts w:ascii="Arial" w:cs="Arial" w:eastAsia="Arial" w:hAnsi="Arial"/>
                <w:sz w:val="17"/>
                <w:szCs w:val="17"/>
                <w:b w:val="1"/>
                <w:bCs w:val="1"/>
                <w:color w:val="auto"/>
                <w:w w:val="88"/>
              </w:rPr>
              <w:t>Commission</w:t>
            </w: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Expiration Date</w:t>
            </w:r>
          </w:p>
        </w:tc>
        <w:tc>
          <w:tcPr>
            <w:tcW w:w="2060" w:type="dxa"/>
            <w:vAlign w:val="bottom"/>
            <w:tcBorders>
              <w:top w:val="single" w:sz="8" w:color="auto"/>
            </w:tcBorders>
            <w:gridSpan w:val="2"/>
            <w:vMerge w:val="restart"/>
          </w:tcPr>
          <w:p>
            <w:pPr>
              <w:jc w:val="right"/>
              <w:ind w:right="116"/>
              <w:spacing w:after="0"/>
              <w:rPr>
                <w:sz w:val="20"/>
                <w:szCs w:val="20"/>
                <w:color w:val="auto"/>
              </w:rPr>
            </w:pPr>
            <w:r>
              <w:rPr>
                <w:rFonts w:ascii="Arial" w:cs="Arial" w:eastAsia="Arial" w:hAnsi="Arial"/>
                <w:sz w:val="17"/>
                <w:szCs w:val="17"/>
                <w:b w:val="1"/>
                <w:bCs w:val="1"/>
                <w:color w:val="auto"/>
              </w:rPr>
              <w:t>Authorization Amount</w:t>
            </w:r>
          </w:p>
        </w:tc>
        <w:tc>
          <w:tcPr>
            <w:tcW w:w="1700" w:type="dxa"/>
            <w:vAlign w:val="bottom"/>
            <w:tcBorders>
              <w:top w:val="single" w:sz="8" w:color="auto"/>
            </w:tcBorders>
            <w:gridSpan w:val="2"/>
          </w:tcPr>
          <w:p>
            <w:pPr>
              <w:jc w:val="right"/>
              <w:ind w:right="234"/>
              <w:spacing w:after="0" w:line="194" w:lineRule="exact"/>
              <w:rPr>
                <w:sz w:val="20"/>
                <w:szCs w:val="20"/>
                <w:color w:val="auto"/>
              </w:rPr>
            </w:pPr>
            <w:r>
              <w:rPr>
                <w:rFonts w:ascii="Arial" w:cs="Arial" w:eastAsia="Arial" w:hAnsi="Arial"/>
                <w:sz w:val="17"/>
                <w:szCs w:val="17"/>
                <w:b w:val="1"/>
                <w:bCs w:val="1"/>
                <w:color w:val="auto"/>
              </w:rPr>
              <w:t>Available Under</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gridSpan w:val="2"/>
            <w:vMerge w:val="continue"/>
          </w:tcPr>
          <w:p>
            <w:pPr>
              <w:spacing w:after="0"/>
              <w:rPr>
                <w:sz w:val="19"/>
                <w:szCs w:val="19"/>
                <w:color w:val="auto"/>
              </w:rPr>
            </w:pPr>
          </w:p>
        </w:tc>
        <w:tc>
          <w:tcPr>
            <w:tcW w:w="170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7"/>
                <w:szCs w:val="17"/>
                <w:b w:val="1"/>
                <w:bCs w:val="1"/>
                <w:color w:val="auto"/>
              </w:rPr>
              <w:t>Authorization</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line="161" w:lineRule="exact"/>
              <w:rPr>
                <w:sz w:val="20"/>
                <w:szCs w:val="20"/>
                <w:color w:val="auto"/>
              </w:rPr>
            </w:pPr>
            <w:r>
              <w:rPr>
                <w:rFonts w:ascii="Arial" w:cs="Arial" w:eastAsia="Arial" w:hAnsi="Arial"/>
                <w:sz w:val="17"/>
                <w:szCs w:val="17"/>
                <w:b w:val="1"/>
                <w:bCs w:val="1"/>
                <w:color w:val="auto"/>
              </w:rPr>
              <w:t>Evergy Kansas Central &amp;</w:t>
            </w:r>
          </w:p>
        </w:tc>
        <w:tc>
          <w:tcPr>
            <w:tcW w:w="1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640" w:type="dxa"/>
            <w:vAlign w:val="bottom"/>
          </w:tcPr>
          <w:p>
            <w:pPr>
              <w:ind w:left="20"/>
              <w:spacing w:after="0"/>
              <w:rPr>
                <w:sz w:val="20"/>
                <w:szCs w:val="20"/>
                <w:color w:val="auto"/>
              </w:rPr>
            </w:pPr>
            <w:r>
              <w:rPr>
                <w:rFonts w:ascii="Arial" w:cs="Arial" w:eastAsia="Arial" w:hAnsi="Arial"/>
                <w:sz w:val="17"/>
                <w:szCs w:val="17"/>
                <w:b w:val="1"/>
                <w:bCs w:val="1"/>
                <w:color w:val="auto"/>
              </w:rPr>
              <w:t>Evergy Kansas South</w:t>
            </w:r>
          </w:p>
        </w:tc>
        <w:tc>
          <w:tcPr>
            <w:tcW w:w="1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0" w:type="dxa"/>
            <w:vAlign w:val="bottom"/>
            <w:gridSpan w:val="2"/>
          </w:tcPr>
          <w:p>
            <w:pPr>
              <w:jc w:val="right"/>
              <w:ind w:right="194"/>
              <w:spacing w:after="0"/>
              <w:rPr>
                <w:sz w:val="20"/>
                <w:szCs w:val="20"/>
                <w:color w:val="auto"/>
              </w:rPr>
            </w:pPr>
            <w:r>
              <w:rPr>
                <w:rFonts w:ascii="Arial" w:cs="Arial" w:eastAsia="Arial" w:hAnsi="Arial"/>
                <w:sz w:val="15"/>
                <w:szCs w:val="15"/>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188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4"/>
              </w:rPr>
              <w:t>FERC</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December 2022</w:t>
            </w:r>
          </w:p>
        </w:tc>
        <w:tc>
          <w:tcPr>
            <w:tcW w:w="8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1,250.0</w:t>
            </w: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844.0</w:t>
            </w:r>
          </w:p>
        </w:tc>
        <w:tc>
          <w:tcPr>
            <w:tcW w:w="0" w:type="dxa"/>
            <w:vAlign w:val="bottom"/>
          </w:tcPr>
          <w:p>
            <w:pPr>
              <w:spacing w:after="0"/>
              <w:rPr>
                <w:sz w:val="1"/>
                <w:szCs w:val="1"/>
                <w:color w:val="auto"/>
              </w:rPr>
            </w:pPr>
          </w:p>
        </w:tc>
      </w:tr>
      <w:tr>
        <w:trPr>
          <w:trHeight w:val="219"/>
        </w:trPr>
        <w:tc>
          <w:tcPr>
            <w:tcW w:w="2640" w:type="dxa"/>
            <w:vAlign w:val="bottom"/>
          </w:tcPr>
          <w:p>
            <w:pPr>
              <w:ind w:left="20"/>
              <w:spacing w:after="0"/>
              <w:rPr>
                <w:sz w:val="20"/>
                <w:szCs w:val="20"/>
                <w:color w:val="auto"/>
              </w:rPr>
            </w:pPr>
            <w:r>
              <w:rPr>
                <w:rFonts w:ascii="Arial" w:cs="Arial" w:eastAsia="Arial" w:hAnsi="Arial"/>
                <w:sz w:val="17"/>
                <w:szCs w:val="17"/>
                <w:b w:val="1"/>
                <w:bCs w:val="1"/>
                <w:color w:val="auto"/>
              </w:rPr>
              <w:t>Evergy Metro</w:t>
            </w:r>
          </w:p>
        </w:tc>
        <w:tc>
          <w:tcPr>
            <w:tcW w:w="1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188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4"/>
              </w:rPr>
              <w:t>FERC</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December 2022</w:t>
            </w:r>
          </w:p>
        </w:tc>
        <w:tc>
          <w:tcPr>
            <w:tcW w:w="8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1,250.0</w:t>
            </w: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19"/>
        </w:trPr>
        <w:tc>
          <w:tcPr>
            <w:tcW w:w="2640" w:type="dxa"/>
            <w:vAlign w:val="bottom"/>
          </w:tcPr>
          <w:p>
            <w:pPr>
              <w:ind w:left="20"/>
              <w:spacing w:after="0"/>
              <w:rPr>
                <w:sz w:val="20"/>
                <w:szCs w:val="20"/>
                <w:color w:val="auto"/>
              </w:rPr>
            </w:pPr>
            <w:r>
              <w:rPr>
                <w:rFonts w:ascii="Arial" w:cs="Arial" w:eastAsia="Arial" w:hAnsi="Arial"/>
                <w:sz w:val="17"/>
                <w:szCs w:val="17"/>
                <w:b w:val="1"/>
                <w:bCs w:val="1"/>
                <w:color w:val="auto"/>
              </w:rPr>
              <w:t>Evergy Missouri West</w:t>
            </w:r>
          </w:p>
        </w:tc>
        <w:tc>
          <w:tcPr>
            <w:tcW w:w="1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188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4"/>
              </w:rPr>
              <w:t>FERC</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December 2022</w:t>
            </w:r>
          </w:p>
        </w:tc>
        <w:tc>
          <w:tcPr>
            <w:tcW w:w="8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750.0</w:t>
            </w: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199.7</w:t>
            </w:r>
          </w:p>
        </w:tc>
        <w:tc>
          <w:tcPr>
            <w:tcW w:w="0" w:type="dxa"/>
            <w:vAlign w:val="bottom"/>
          </w:tcPr>
          <w:p>
            <w:pPr>
              <w:spacing w:after="0"/>
              <w:rPr>
                <w:sz w:val="1"/>
                <w:szCs w:val="1"/>
                <w:color w:val="auto"/>
              </w:rPr>
            </w:pPr>
          </w:p>
        </w:tc>
      </w:tr>
      <w:tr>
        <w:trPr>
          <w:trHeight w:val="225"/>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Long-Term Debt</w:t>
            </w:r>
          </w:p>
        </w:tc>
        <w:tc>
          <w:tcPr>
            <w:tcW w:w="1880" w:type="dxa"/>
            <w:vAlign w:val="bottom"/>
            <w:tcBorders>
              <w:bottom w:val="single" w:sz="8" w:color="auto"/>
            </w:tcBorders>
          </w:tcPr>
          <w:p>
            <w:pPr>
              <w:jc w:val="center"/>
              <w:ind w:left="394"/>
              <w:spacing w:after="0"/>
              <w:rPr>
                <w:sz w:val="20"/>
                <w:szCs w:val="20"/>
                <w:color w:val="auto"/>
              </w:rPr>
            </w:pPr>
            <w:r>
              <w:rPr>
                <w:rFonts w:ascii="Arial" w:cs="Arial" w:eastAsia="Arial" w:hAnsi="Arial"/>
                <w:sz w:val="17"/>
                <w:szCs w:val="17"/>
                <w:color w:val="auto"/>
                <w:w w:val="94"/>
              </w:rPr>
              <w:t>FERC</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February 2023</w:t>
            </w: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1,000.0</w:t>
            </w: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620" w:right="260"/>
        <w:spacing w:after="0" w:line="248" w:lineRule="auto"/>
        <w:rPr>
          <w:sz w:val="20"/>
          <w:szCs w:val="20"/>
          <w:color w:val="auto"/>
        </w:rPr>
      </w:pPr>
      <w:r>
        <w:rPr>
          <w:rFonts w:ascii="Arial" w:cs="Arial" w:eastAsia="Arial" w:hAnsi="Arial"/>
          <w:sz w:val="19"/>
          <w:szCs w:val="19"/>
          <w:color w:val="auto"/>
        </w:rPr>
        <w:t>In addition to the above regulatory authorizations, the Evergy Kansas Central, Evergy Kansas South and Evergy Metro mortgages each contain provisions restricting the amount of FMBs or mortgage bonds, as applicable, that can be issued by each entity. Evergy Kansas Central, Evergy Kansas South and Evergy Metro must comply with these restrictions prior to the issuance of additional FMBs, mortgage bonds or other secured indebtedness.</w:t>
      </w:r>
    </w:p>
    <w:p>
      <w:pPr>
        <w:spacing w:after="0" w:line="180" w:lineRule="exact"/>
        <w:rPr>
          <w:sz w:val="20"/>
          <w:szCs w:val="20"/>
          <w:color w:val="auto"/>
        </w:rPr>
      </w:pPr>
    </w:p>
    <w:p>
      <w:pPr>
        <w:ind w:left="620"/>
        <w:spacing w:after="0" w:line="259" w:lineRule="auto"/>
        <w:rPr>
          <w:sz w:val="20"/>
          <w:szCs w:val="20"/>
          <w:color w:val="auto"/>
        </w:rPr>
      </w:pPr>
      <w:r>
        <w:rPr>
          <w:rFonts w:ascii="Arial" w:cs="Arial" w:eastAsia="Arial" w:hAnsi="Arial"/>
          <w:sz w:val="18"/>
          <w:szCs w:val="18"/>
          <w:color w:val="auto"/>
        </w:rPr>
        <w:t>Under the Evergy Kansas Central mortgage, the issuance of FMBs is subject to limitations based on the amount of bondable property additions. In addition, so long as any bonds issued prior to January 1, 1997, remain outstanding, the mortgage prohibits additional FMBs from being issued, except in connection with certain refundings, unless Evergy Kansas Central’s unconsolidated net earnings available for interest, depreciation and property retirement (which, as defined, does not include earnings or losses attributable to the ownership of securities of subsidiaries), for a period of 12 consecutive months within 15 months preceding the issuance, are not less than the greater of twice the annual interest charges on or 10% of the principal amount of all FMBs outstanding after giving effect to the proposed issuance. As of December 31, 2021, $998.9 million principal amount of additional FMBs could be issued under the most restrictive provisions in the mortgage, except in connection with certain refundings.</w:t>
      </w:r>
    </w:p>
    <w:p>
      <w:pPr>
        <w:spacing w:after="0" w:line="173" w:lineRule="exact"/>
        <w:rPr>
          <w:sz w:val="20"/>
          <w:szCs w:val="20"/>
          <w:color w:val="auto"/>
        </w:rPr>
      </w:pPr>
    </w:p>
    <w:p>
      <w:pPr>
        <w:ind w:left="620"/>
        <w:spacing w:after="0" w:line="244" w:lineRule="auto"/>
        <w:rPr>
          <w:sz w:val="20"/>
          <w:szCs w:val="20"/>
          <w:color w:val="auto"/>
        </w:rPr>
      </w:pPr>
      <w:r>
        <w:rPr>
          <w:rFonts w:ascii="Arial" w:cs="Arial" w:eastAsia="Arial" w:hAnsi="Arial"/>
          <w:sz w:val="19"/>
          <w:szCs w:val="19"/>
          <w:color w:val="auto"/>
        </w:rPr>
        <w:t>Under the Evergy Kansas South mortgage, the amount of FMBs authorized is limited to a maximum of $3.5 billion and the issuance of FMBs is subject to limitations based on the amount of bondable property additions. In addition, the mortgage prohibits additional FMBs from being issued, except in connection with certain refundings, unless Evergy Kansas South's net earnings before income taxes and before provision for retirement and depreciation of property for a period of 12 consecutive months within 15 months preceding the issuance are not less than either two and one-half times the annual interest charges on or 10% of the principal amount of all Evergy Kansas South FMBs outstanding after giving effect to the proposed issuance. As of December 31, 2021, approximately $2,828.6 million principal amount of additional Evergy Kansas South FMBs could be issued under the most restrictive provisions in the mortgage, except in connection with certain refundings.</w:t>
      </w:r>
    </w:p>
    <w:p>
      <w:pPr>
        <w:spacing w:after="0" w:line="208" w:lineRule="exact"/>
        <w:rPr>
          <w:sz w:val="20"/>
          <w:szCs w:val="20"/>
          <w:color w:val="auto"/>
        </w:rPr>
      </w:pPr>
    </w:p>
    <w:p>
      <w:pPr>
        <w:ind w:left="620" w:right="240"/>
        <w:spacing w:after="0" w:line="248" w:lineRule="auto"/>
        <w:rPr>
          <w:sz w:val="20"/>
          <w:szCs w:val="20"/>
          <w:color w:val="auto"/>
        </w:rPr>
      </w:pPr>
      <w:r>
        <w:rPr>
          <w:rFonts w:ascii="Arial" w:cs="Arial" w:eastAsia="Arial" w:hAnsi="Arial"/>
          <w:sz w:val="19"/>
          <w:szCs w:val="19"/>
          <w:color w:val="auto"/>
        </w:rPr>
        <w:t>Under the General Mortgage Indenture and Deed of Trust dated as of December 1, 1986, as supplemented (Evergy Metro Mortgage Indenture), additional Evergy Metro mortgage bonds may be issued on the basis of 75% of property additions or retired bonds. As of December 31, 2021, approximately $5,075.8 million principal amount of additional Evergy Metro mortgage bonds could be issued under the most restrictive provisions in the mortgage.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2021, Evergy had approximately $26.2 million of cash and cash equivalents on hand.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3" w:name="page54"/>
    <w:bookmarkEnd w:id="5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Requirements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Expenditures</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Evergy requires significant capital investments and expects to need cash for its long-term strategy of transitioning its generation fleet to be more sustainable by reducing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emissions as well as executing other utility construction programs designed to improve reliability and expand facilities related to providing electric service, which include, but are not limited to, expenditures to develop new transmission lines and improvements to power plants, transmission and distribution lines and equipment. See "Executive Summary - Strategy", above for further information regarding Evergy's strategy. Evergy's capital expenditures were $1,972.5 million, $1,560.3 million and $1,210.1 million in 2021, 2020 and 2019, respectively.</w:t>
      </w:r>
    </w:p>
    <w:p>
      <w:pPr>
        <w:spacing w:after="0" w:line="174" w:lineRule="exact"/>
        <w:rPr>
          <w:sz w:val="20"/>
          <w:szCs w:val="20"/>
          <w:color w:val="auto"/>
        </w:rPr>
      </w:pPr>
    </w:p>
    <w:p>
      <w:pPr>
        <w:ind w:right="240"/>
        <w:spacing w:after="0" w:line="252" w:lineRule="auto"/>
        <w:rPr>
          <w:sz w:val="20"/>
          <w:szCs w:val="20"/>
          <w:color w:val="auto"/>
        </w:rPr>
      </w:pPr>
      <w:r>
        <w:rPr>
          <w:rFonts w:ascii="Arial" w:cs="Arial" w:eastAsia="Arial" w:hAnsi="Arial"/>
          <w:sz w:val="19"/>
          <w:szCs w:val="19"/>
          <w:color w:val="auto"/>
        </w:rPr>
        <w:t>Capital expenditures projected for the next five years, excluding AFUDC and including costs of removal, are detailed in the following table. This capital expenditure plan is subject to continual review and change. See Part I, Item 1A, Risk Factors for information regarding potential risks to Evergy's capital expenditure plan.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2025</w:t>
            </w:r>
          </w:p>
        </w:tc>
        <w:tc>
          <w:tcPr>
            <w:tcW w:w="3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2026</w:t>
            </w:r>
          </w:p>
        </w:tc>
      </w:tr>
      <w:tr>
        <w:trPr>
          <w:trHeight w:val="196"/>
        </w:trPr>
        <w:tc>
          <w:tcPr>
            <w:tcW w:w="4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gridSpan w:val="2"/>
          </w:tcPr>
          <w:p>
            <w:pPr>
              <w:jc w:val="right"/>
              <w:ind w:right="154"/>
              <w:spacing w:after="0"/>
              <w:rPr>
                <w:sz w:val="20"/>
                <w:szCs w:val="20"/>
                <w:color w:val="auto"/>
              </w:rPr>
            </w:pPr>
            <w:r>
              <w:rPr>
                <w:rFonts w:ascii="Arial" w:cs="Arial" w:eastAsia="Arial" w:hAnsi="Arial"/>
                <w:sz w:val="15"/>
                <w:szCs w:val="15"/>
                <w:color w:val="auto"/>
              </w:rPr>
              <w:t>(millions)</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Generating facilities - new renewable generation</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258.0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450.0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750.0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500.0</w:t>
            </w:r>
          </w:p>
        </w:tc>
      </w:tr>
      <w:tr>
        <w:trPr>
          <w:trHeight w:val="218"/>
        </w:trPr>
        <w:tc>
          <w:tcPr>
            <w:tcW w:w="4560" w:type="dxa"/>
            <w:vAlign w:val="bottom"/>
          </w:tcPr>
          <w:p>
            <w:pPr>
              <w:ind w:left="20"/>
              <w:spacing w:after="0"/>
              <w:rPr>
                <w:sz w:val="20"/>
                <w:szCs w:val="20"/>
                <w:color w:val="auto"/>
              </w:rPr>
            </w:pPr>
            <w:r>
              <w:rPr>
                <w:rFonts w:ascii="Arial" w:cs="Arial" w:eastAsia="Arial" w:hAnsi="Arial"/>
                <w:sz w:val="17"/>
                <w:szCs w:val="17"/>
                <w:color w:val="auto"/>
              </w:rPr>
              <w:t>Generating facilities - other</w:t>
            </w:r>
          </w:p>
        </w:tc>
        <w:tc>
          <w:tcPr>
            <w:tcW w:w="138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331.0</w:t>
            </w:r>
          </w:p>
        </w:tc>
        <w:tc>
          <w:tcPr>
            <w:tcW w:w="32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337.0</w:t>
            </w:r>
          </w:p>
        </w:tc>
        <w:tc>
          <w:tcPr>
            <w:tcW w:w="32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7"/>
                <w:szCs w:val="17"/>
                <w:color w:val="auto"/>
              </w:rPr>
              <w:t>223.0</w:t>
            </w:r>
          </w:p>
        </w:tc>
        <w:tc>
          <w:tcPr>
            <w:tcW w:w="32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7"/>
                <w:szCs w:val="17"/>
                <w:color w:val="auto"/>
              </w:rPr>
              <w:t>250.0</w:t>
            </w:r>
          </w:p>
        </w:tc>
        <w:tc>
          <w:tcPr>
            <w:tcW w:w="320" w:type="dxa"/>
            <w:vAlign w:val="bottom"/>
          </w:tcPr>
          <w:p>
            <w:pPr>
              <w:spacing w:after="0"/>
              <w:rPr>
                <w:sz w:val="18"/>
                <w:szCs w:val="18"/>
                <w:color w:val="auto"/>
              </w:rPr>
            </w:pPr>
          </w:p>
        </w:tc>
        <w:tc>
          <w:tcPr>
            <w:tcW w:w="900" w:type="dxa"/>
            <w:vAlign w:val="bottom"/>
          </w:tcPr>
          <w:p>
            <w:pPr>
              <w:jc w:val="right"/>
              <w:ind w:right="194"/>
              <w:spacing w:after="0"/>
              <w:rPr>
                <w:sz w:val="20"/>
                <w:szCs w:val="20"/>
                <w:color w:val="auto"/>
              </w:rPr>
            </w:pPr>
            <w:r>
              <w:rPr>
                <w:rFonts w:ascii="Arial" w:cs="Arial" w:eastAsia="Arial" w:hAnsi="Arial"/>
                <w:sz w:val="17"/>
                <w:szCs w:val="17"/>
                <w:color w:val="auto"/>
              </w:rPr>
              <w:t>216.0</w:t>
            </w: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Transmission facilities</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626.0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600.0</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591.0</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592.0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679.0</w:t>
            </w:r>
          </w:p>
        </w:tc>
      </w:tr>
      <w:tr>
        <w:trPr>
          <w:trHeight w:val="218"/>
        </w:trPr>
        <w:tc>
          <w:tcPr>
            <w:tcW w:w="4560" w:type="dxa"/>
            <w:vAlign w:val="bottom"/>
          </w:tcPr>
          <w:p>
            <w:pPr>
              <w:ind w:left="20"/>
              <w:spacing w:after="0"/>
              <w:rPr>
                <w:sz w:val="20"/>
                <w:szCs w:val="20"/>
                <w:color w:val="auto"/>
              </w:rPr>
            </w:pPr>
            <w:r>
              <w:rPr>
                <w:rFonts w:ascii="Arial" w:cs="Arial" w:eastAsia="Arial" w:hAnsi="Arial"/>
                <w:sz w:val="17"/>
                <w:szCs w:val="17"/>
                <w:color w:val="auto"/>
              </w:rPr>
              <w:t>Distribution facilities</w:t>
            </w:r>
          </w:p>
        </w:tc>
        <w:tc>
          <w:tcPr>
            <w:tcW w:w="138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655.0</w:t>
            </w:r>
          </w:p>
        </w:tc>
        <w:tc>
          <w:tcPr>
            <w:tcW w:w="32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652.0</w:t>
            </w:r>
          </w:p>
        </w:tc>
        <w:tc>
          <w:tcPr>
            <w:tcW w:w="32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7"/>
                <w:szCs w:val="17"/>
                <w:color w:val="auto"/>
              </w:rPr>
              <w:t>549.0</w:t>
            </w:r>
          </w:p>
        </w:tc>
        <w:tc>
          <w:tcPr>
            <w:tcW w:w="32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7"/>
                <w:szCs w:val="17"/>
                <w:color w:val="auto"/>
              </w:rPr>
              <w:t>595.0</w:t>
            </w:r>
          </w:p>
        </w:tc>
        <w:tc>
          <w:tcPr>
            <w:tcW w:w="320" w:type="dxa"/>
            <w:vAlign w:val="bottom"/>
          </w:tcPr>
          <w:p>
            <w:pPr>
              <w:spacing w:after="0"/>
              <w:rPr>
                <w:sz w:val="18"/>
                <w:szCs w:val="18"/>
                <w:color w:val="auto"/>
              </w:rPr>
            </w:pPr>
          </w:p>
        </w:tc>
        <w:tc>
          <w:tcPr>
            <w:tcW w:w="900" w:type="dxa"/>
            <w:vAlign w:val="bottom"/>
          </w:tcPr>
          <w:p>
            <w:pPr>
              <w:jc w:val="right"/>
              <w:ind w:right="194"/>
              <w:spacing w:after="0"/>
              <w:rPr>
                <w:sz w:val="20"/>
                <w:szCs w:val="20"/>
                <w:color w:val="auto"/>
              </w:rPr>
            </w:pPr>
            <w:r>
              <w:rPr>
                <w:rFonts w:ascii="Arial" w:cs="Arial" w:eastAsia="Arial" w:hAnsi="Arial"/>
                <w:sz w:val="17"/>
                <w:szCs w:val="17"/>
                <w:color w:val="auto"/>
              </w:rPr>
              <w:t>632.0</w:t>
            </w:r>
          </w:p>
        </w:tc>
      </w:tr>
      <w:tr>
        <w:trPr>
          <w:trHeight w:val="219"/>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General facilities</w:t>
            </w: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364.0</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270.0</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194.0</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182.0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173.0</w:t>
            </w:r>
          </w:p>
        </w:tc>
      </w:tr>
      <w:tr>
        <w:trPr>
          <w:trHeight w:val="219"/>
        </w:trPr>
        <w:tc>
          <w:tcPr>
            <w:tcW w:w="45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capital expenditures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1,976.0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2,117.0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2,007.0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2,369.0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2,200.0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Significant Contractual Obligations and Other Commitments</w:t>
      </w:r>
    </w:p>
    <w:p>
      <w:pPr>
        <w:spacing w:after="0" w:line="17" w:lineRule="exact"/>
        <w:rPr>
          <w:sz w:val="20"/>
          <w:szCs w:val="20"/>
          <w:color w:val="auto"/>
        </w:rPr>
      </w:pPr>
    </w:p>
    <w:p>
      <w:pPr>
        <w:jc w:val="both"/>
        <w:ind w:right="40"/>
        <w:spacing w:after="0" w:line="243" w:lineRule="auto"/>
        <w:rPr>
          <w:sz w:val="20"/>
          <w:szCs w:val="20"/>
          <w:color w:val="auto"/>
        </w:rPr>
      </w:pPr>
      <w:r>
        <w:rPr>
          <w:rFonts w:ascii="Arial" w:cs="Arial" w:eastAsia="Arial" w:hAnsi="Arial"/>
          <w:sz w:val="19"/>
          <w:szCs w:val="19"/>
          <w:color w:val="auto"/>
        </w:rPr>
        <w:t>In the course of its business activities, the Evergy Companies enter into a variety of contracts and commercial commitments. Some of these result in direct obligations reflected on Evergy's consolidated balance sheets while others are commitments, some firm and some based on uncertainties, not reflected in Evergy's underlying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information in the following table is provided to summarize Evergy's significant cash obligations and commercial commitments.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Payment due by period</w:t>
            </w:r>
          </w:p>
        </w:tc>
        <w:tc>
          <w:tcPr>
            <w:tcW w:w="4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2024</w:t>
            </w: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2025</w:t>
            </w: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7"/>
              </w:rPr>
              <w:t>After 2026</w:t>
            </w:r>
          </w:p>
        </w:tc>
        <w:tc>
          <w:tcPr>
            <w:tcW w:w="3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Total</w:t>
            </w:r>
          </w:p>
        </w:tc>
      </w:tr>
      <w:tr>
        <w:trPr>
          <w:trHeight w:val="211"/>
        </w:trPr>
        <w:tc>
          <w:tcPr>
            <w:tcW w:w="320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(millions)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387.5</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439.5</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636.0</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350.0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7,056.8</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9,669.8</w:t>
            </w:r>
          </w:p>
        </w:tc>
      </w:tr>
      <w:tr>
        <w:trPr>
          <w:trHeight w:val="218"/>
        </w:trPr>
        <w:tc>
          <w:tcPr>
            <w:tcW w:w="3200" w:type="dxa"/>
            <w:vAlign w:val="bottom"/>
          </w:tcPr>
          <w:p>
            <w:pPr>
              <w:ind w:left="220"/>
              <w:spacing w:after="0"/>
              <w:rPr>
                <w:sz w:val="20"/>
                <w:szCs w:val="20"/>
                <w:color w:val="auto"/>
              </w:rPr>
            </w:pPr>
            <w:r>
              <w:rPr>
                <w:rFonts w:ascii="Arial" w:cs="Arial" w:eastAsia="Arial" w:hAnsi="Arial"/>
                <w:sz w:val="17"/>
                <w:szCs w:val="17"/>
                <w:color w:val="auto"/>
              </w:rPr>
              <w:t>Interest</w:t>
            </w:r>
          </w:p>
        </w:tc>
        <w:tc>
          <w:tcPr>
            <w:tcW w:w="4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340.3</w:t>
            </w:r>
          </w:p>
        </w:tc>
        <w:tc>
          <w:tcPr>
            <w:tcW w:w="28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323.1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311.4</w:t>
            </w:r>
          </w:p>
        </w:tc>
        <w:tc>
          <w:tcPr>
            <w:tcW w:w="30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291.6</w:t>
            </w:r>
          </w:p>
        </w:tc>
        <w:tc>
          <w:tcPr>
            <w:tcW w:w="24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271.0</w:t>
            </w:r>
          </w:p>
        </w:tc>
        <w:tc>
          <w:tcPr>
            <w:tcW w:w="22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3,741.2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5,278.6</w:t>
            </w:r>
          </w:p>
        </w:tc>
      </w:tr>
      <w:tr>
        <w:trPr>
          <w:trHeight w:val="259"/>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 xml:space="preserve">Pension and other post-retirement plans </w:t>
            </w:r>
            <w:r>
              <w:rPr>
                <w:rFonts w:ascii="Arial" w:cs="Arial" w:eastAsia="Arial" w:hAnsi="Arial"/>
                <w:sz w:val="22"/>
                <w:szCs w:val="22"/>
                <w:color w:val="auto"/>
                <w:w w:val="97"/>
                <w:vertAlign w:val="superscript"/>
              </w:rPr>
              <w:t>(a)</w:t>
            </w: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95.1</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95.1</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95.1</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95.1</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475.5</w:t>
            </w:r>
          </w:p>
        </w:tc>
      </w:tr>
      <w:tr>
        <w:trPr>
          <w:trHeight w:val="218"/>
        </w:trPr>
        <w:tc>
          <w:tcPr>
            <w:tcW w:w="3200" w:type="dxa"/>
            <w:vAlign w:val="bottom"/>
          </w:tcPr>
          <w:p>
            <w:pPr>
              <w:ind w:left="20"/>
              <w:spacing w:after="0"/>
              <w:rPr>
                <w:sz w:val="20"/>
                <w:szCs w:val="20"/>
                <w:color w:val="auto"/>
              </w:rPr>
            </w:pPr>
            <w:r>
              <w:rPr>
                <w:rFonts w:ascii="Arial" w:cs="Arial" w:eastAsia="Arial" w:hAnsi="Arial"/>
                <w:sz w:val="17"/>
                <w:szCs w:val="17"/>
                <w:color w:val="auto"/>
              </w:rPr>
              <w:t>Purchase commitments</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Fuel</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403.1</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183.5</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100.4</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106.7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221.1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1,145.0</w:t>
            </w:r>
          </w:p>
        </w:tc>
      </w:tr>
      <w:tr>
        <w:trPr>
          <w:trHeight w:val="225"/>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Power</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63.0</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63.6</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58.4</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58.4</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294.2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595.6</w:t>
            </w:r>
          </w:p>
        </w:tc>
      </w:tr>
    </w:tbl>
    <w:p>
      <w:pPr>
        <w:spacing w:after="0" w:line="35" w:lineRule="exact"/>
        <w:rPr>
          <w:sz w:val="20"/>
          <w:szCs w:val="20"/>
          <w:color w:val="auto"/>
        </w:rPr>
      </w:pPr>
    </w:p>
    <w:p>
      <w:pPr>
        <w:ind w:left="260" w:hanging="257"/>
        <w:spacing w:after="0"/>
        <w:tabs>
          <w:tab w:leader="none" w:pos="260" w:val="left"/>
        </w:tabs>
        <w:numPr>
          <w:ilvl w:val="0"/>
          <w:numId w:val="30"/>
        </w:numPr>
        <w:rPr>
          <w:rFonts w:ascii="Arial" w:cs="Arial" w:eastAsia="Arial" w:hAnsi="Arial"/>
          <w:sz w:val="20"/>
          <w:szCs w:val="20"/>
          <w:color w:val="auto"/>
          <w:vertAlign w:val="superscript"/>
        </w:rPr>
      </w:pPr>
      <w:r>
        <w:rPr>
          <w:rFonts w:ascii="Arial" w:cs="Arial" w:eastAsia="Arial" w:hAnsi="Arial"/>
          <w:sz w:val="15"/>
          <w:szCs w:val="15"/>
          <w:color w:val="auto"/>
        </w:rPr>
        <w:t>Evergy expects to make contributions to the pension and other post-retirement plans beyond 2026 but the amounts are not yet determined.</w:t>
      </w:r>
    </w:p>
    <w:p>
      <w:pPr>
        <w:spacing w:after="0" w:line="79" w:lineRule="exact"/>
        <w:rPr>
          <w:sz w:val="20"/>
          <w:szCs w:val="20"/>
          <w:color w:val="auto"/>
        </w:rPr>
      </w:pPr>
    </w:p>
    <w:p>
      <w:pPr>
        <w:jc w:val="both"/>
        <w:ind w:right="160"/>
        <w:spacing w:after="0" w:line="273" w:lineRule="auto"/>
        <w:rPr>
          <w:sz w:val="20"/>
          <w:szCs w:val="20"/>
          <w:color w:val="auto"/>
        </w:rPr>
      </w:pPr>
      <w:r>
        <w:rPr>
          <w:rFonts w:ascii="Arial" w:cs="Arial" w:eastAsia="Arial" w:hAnsi="Arial"/>
          <w:sz w:val="18"/>
          <w:szCs w:val="18"/>
          <w:color w:val="auto"/>
        </w:rPr>
        <w:t>Long-term debt includes current maturities. Long-term debt principal excludes $80.5 million of unamortized net discounts and debt issuance costs and a $97.9 million fair value adjustment recorded in connection with purchase accounting for the Great Plains Energy and Evergy Kansas Central merger that was completed in 2018. Variable rate interest obligations are based on rates as of December 31, 2021.</w:t>
      </w:r>
    </w:p>
    <w:p>
      <w:pPr>
        <w:spacing w:after="0" w:line="157"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Evergy expects to contribute $95.1 million to the pension and other post-retirement plans in 2022, of which the majority is expected to be paid by Evergy Kansas Central and Evergy Metro. Additional contributions to the plans are expected beyond 2026 in amounts at least sufficient to meet the greater of Employee Retirement Income Security Act of 1974, as amended (ERISA) or regulatory funding requirements; however, these amounts have not yet been determined. Amounts for years after 2022 are estimates based on information available in determining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4" w:name="page55"/>
    <w:bookmarkEnd w:id="5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amount for 2022. Actual amounts for years after 2022 could be significantly different than the estimated amounts in the table above.</w:t>
      </w:r>
    </w:p>
    <w:p>
      <w:pPr>
        <w:spacing w:after="0" w:line="207"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Fuel commitments consist of commitments for nuclear fuel, coal and coal transportation costs. Power commitments consist of certain commitments for renewable energy under power purchase agreements, capacity purchases and firm transmission service.</w:t>
      </w:r>
    </w:p>
    <w:p>
      <w:pPr>
        <w:spacing w:after="0" w:line="164"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At December 31, 2021, Evergy has other insignificant commitments as well as other insignificant long-term liabilities recorded on its consolidated balance sheet, which are not included in the table above.</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 Dividends</w:t>
      </w:r>
    </w:p>
    <w:p>
      <w:pPr>
        <w:spacing w:after="0" w:line="17"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color w:val="auto"/>
        </w:rPr>
        <w:t>The amount and timing of dividends payable on Evergy's common stock are within the sole discretion of the Evergy Board. The amount and timing of dividends declared by the Evergy Board will be dependent on considerations such as Evergy's earnings, financial position, cash flows, capitalization ratios, regulation, reinvestment opportunities and debt covenants. Evergy targets a long-term dividend payout ratio of 60% to 70% of earnings. See Note 1 to the consolidated financial statements for information on the common stock dividend declared by the Evergy Board in February 2022.</w:t>
      </w:r>
    </w:p>
    <w:p>
      <w:pPr>
        <w:spacing w:after="0" w:line="185" w:lineRule="exact"/>
        <w:rPr>
          <w:sz w:val="20"/>
          <w:szCs w:val="20"/>
          <w:color w:val="auto"/>
        </w:rPr>
      </w:pPr>
    </w:p>
    <w:p>
      <w:pPr>
        <w:ind w:right="340"/>
        <w:spacing w:after="0" w:line="252" w:lineRule="auto"/>
        <w:rPr>
          <w:sz w:val="20"/>
          <w:szCs w:val="20"/>
          <w:color w:val="auto"/>
        </w:rPr>
      </w:pPr>
      <w:r>
        <w:rPr>
          <w:rFonts w:ascii="Arial" w:cs="Arial" w:eastAsia="Arial" w:hAnsi="Arial"/>
          <w:sz w:val="19"/>
          <w:szCs w:val="19"/>
          <w:color w:val="auto"/>
        </w:rPr>
        <w:t>The Evergy Companies also have certain restrictions stemming from statutory requirements, corporate organizational documents, covenants and other conditions that could affect dividend levels. See Note 17 to the consolidated financial statements for further discussion of restrictions on dividend payments.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Evergy's cash flows from operating, investing and financing activities.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r>
      <w:tr>
        <w:trPr>
          <w:trHeight w:val="196"/>
        </w:trPr>
        <w:tc>
          <w:tcPr>
            <w:tcW w:w="5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(millions)</w:t>
            </w:r>
          </w:p>
        </w:tc>
        <w:tc>
          <w:tcPr>
            <w:tcW w:w="920" w:type="dxa"/>
            <w:vAlign w:val="bottom"/>
          </w:tcPr>
          <w:p>
            <w:pPr>
              <w:spacing w:after="0"/>
              <w:rPr>
                <w:sz w:val="17"/>
                <w:szCs w:val="17"/>
                <w:color w:val="auto"/>
              </w:rPr>
            </w:pPr>
          </w:p>
        </w:tc>
      </w:tr>
      <w:tr>
        <w:trPr>
          <w:trHeight w:val="222"/>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30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1,351.7</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1,753.8</w:t>
            </w:r>
          </w:p>
        </w:tc>
      </w:tr>
      <w:tr>
        <w:trPr>
          <w:trHeight w:val="218"/>
        </w:trPr>
        <w:tc>
          <w:tcPr>
            <w:tcW w:w="5900" w:type="dxa"/>
            <w:vAlign w:val="bottom"/>
          </w:tcPr>
          <w:p>
            <w:pPr>
              <w:ind w:left="20"/>
              <w:spacing w:after="0"/>
              <w:rPr>
                <w:sz w:val="20"/>
                <w:szCs w:val="20"/>
                <w:color w:val="auto"/>
              </w:rPr>
            </w:pPr>
            <w:r>
              <w:rPr>
                <w:rFonts w:ascii="Arial" w:cs="Arial" w:eastAsia="Arial" w:hAnsi="Arial"/>
                <w:sz w:val="17"/>
                <w:szCs w:val="17"/>
                <w:color w:val="auto"/>
              </w:rPr>
              <w:t>Cash flows used in investing activities</w:t>
            </w:r>
          </w:p>
        </w:tc>
        <w:tc>
          <w:tcPr>
            <w:tcW w:w="30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(1,913.8)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(1,533.7)</w:t>
            </w:r>
          </w:p>
        </w:tc>
      </w:tr>
      <w:tr>
        <w:trPr>
          <w:trHeight w:val="226"/>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flows from (used in) financing activities</w:t>
            </w:r>
          </w:p>
        </w:tc>
        <w:tc>
          <w:tcPr>
            <w:tcW w:w="30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443.4</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 from Operating Activities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Evergy's cash flows from operating activities decreased $402.1 million in 2021, compared to 2020, primarily driven by:</w:t>
      </w:r>
    </w:p>
    <w:p>
      <w:pPr>
        <w:spacing w:after="0" w:line="88"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$365.5 million of cash payments for net fuel and purchased power costs during the February 2021 winter weather event;</w:t>
      </w:r>
    </w:p>
    <w:p>
      <w:pPr>
        <w:spacing w:after="0" w:line="103" w:lineRule="exact"/>
        <w:rPr>
          <w:rFonts w:ascii="Arial" w:cs="Arial" w:eastAsia="Arial" w:hAnsi="Arial"/>
          <w:sz w:val="19"/>
          <w:szCs w:val="19"/>
          <w:color w:val="auto"/>
        </w:rPr>
      </w:pPr>
    </w:p>
    <w:p>
      <w:pPr>
        <w:ind w:left="620" w:right="440" w:hanging="307"/>
        <w:spacing w:after="0" w:line="324" w:lineRule="auto"/>
        <w:tabs>
          <w:tab w:leader="none" w:pos="6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$182.3 million increase in cash payments in 2021 primarily due to the timing of payments made to taxing authorities for property tax payments as well as various suppliers and service providers for goods and services purchased in the ordinary course of business; and</w:t>
      </w:r>
    </w:p>
    <w:p>
      <w:pPr>
        <w:spacing w:after="0" w:line="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$35.4 million in payments made for a Wolf Creek refueling outage in 2021; partially offset by</w:t>
      </w:r>
    </w:p>
    <w:p>
      <w:pPr>
        <w:spacing w:after="0" w:line="103" w:lineRule="exact"/>
        <w:rPr>
          <w:rFonts w:ascii="Arial" w:cs="Arial" w:eastAsia="Arial" w:hAnsi="Arial"/>
          <w:sz w:val="19"/>
          <w:szCs w:val="19"/>
          <w:color w:val="auto"/>
        </w:rPr>
      </w:pPr>
    </w:p>
    <w:p>
      <w:pPr>
        <w:ind w:left="620" w:right="140" w:hanging="307"/>
        <w:spacing w:after="0" w:line="264" w:lineRule="auto"/>
        <w:tabs>
          <w:tab w:leader="none" w:pos="609"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$194.9 million increase in cash receipts for retail electric sales in 2021 primarily driven by favorable weather and an increase in weather-normalized commercial and industrial demand; and</w:t>
      </w:r>
    </w:p>
    <w:p>
      <w:pPr>
        <w:spacing w:after="0" w:line="60" w:lineRule="exact"/>
        <w:rPr>
          <w:rFonts w:ascii="Arial" w:cs="Arial" w:eastAsia="Arial" w:hAnsi="Arial"/>
          <w:sz w:val="19"/>
          <w:szCs w:val="19"/>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$89.9 million of cash receipts related to non-regulated energy marketing margins earned during the February 2021 winter weather event.</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 used in Investing Activities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Evergy's cash flows used in investing activities increased $380.1 million in 2021, compared to 2020, primarily driven by:</w:t>
      </w:r>
    </w:p>
    <w:p>
      <w:pPr>
        <w:spacing w:after="0" w:line="88" w:lineRule="exact"/>
        <w:rPr>
          <w:sz w:val="20"/>
          <w:szCs w:val="20"/>
          <w:color w:val="auto"/>
        </w:rPr>
      </w:pPr>
    </w:p>
    <w:p>
      <w:pPr>
        <w:ind w:left="620" w:right="580" w:hanging="307"/>
        <w:spacing w:after="0" w:line="264" w:lineRule="auto"/>
        <w:tabs>
          <w:tab w:leader="none" w:pos="609"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$412.2 million increase in additions to property, plant and equipment due to increases at Evergy Kansas Central, Evergy Metro and Evergy Missouri West of $116.7 million, $117.5 million and $176.6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5" w:name="page56"/>
    <w:bookmarkEnd w:id="5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left="620" w:right="40"/>
        <w:spacing w:after="0" w:line="264" w:lineRule="auto"/>
        <w:rPr>
          <w:sz w:val="20"/>
          <w:szCs w:val="20"/>
          <w:color w:val="auto"/>
        </w:rPr>
      </w:pPr>
      <w:r>
        <w:rPr>
          <w:rFonts w:ascii="Arial" w:cs="Arial" w:eastAsia="Arial" w:hAnsi="Arial"/>
          <w:sz w:val="19"/>
          <w:szCs w:val="19"/>
          <w:color w:val="auto"/>
        </w:rPr>
        <w:t>respectively, primarily due to increased spending for a variety of capital projects including transmission and distribution projects related to grid resiliency and other infrastructure improvements; partially offset by</w:t>
      </w:r>
    </w:p>
    <w:p>
      <w:pPr>
        <w:spacing w:after="0" w:line="61" w:lineRule="exact"/>
        <w:rPr>
          <w:sz w:val="20"/>
          <w:szCs w:val="20"/>
          <w:color w:val="auto"/>
        </w:rPr>
      </w:pPr>
    </w:p>
    <w:p>
      <w:pPr>
        <w:ind w:left="620" w:right="80" w:hanging="307"/>
        <w:spacing w:after="0" w:line="264" w:lineRule="auto"/>
        <w:tabs>
          <w:tab w:leader="none" w:pos="609"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 increase of $11.1 million in proceeds from COLI investments at Evergy Kansas Central due to a higher number of policy settlements in 2021.</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 from (used in) Financing Activities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Evergy's cash flows from (used in) financing activities increased $541.8 million in 2021, compared to 2020, primarily driven by:</w:t>
      </w:r>
    </w:p>
    <w:p>
      <w:pPr>
        <w:spacing w:after="0" w:line="88"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$1,087.4 million increase in short-term debt borrowings primarily driven by:</w:t>
      </w:r>
    </w:p>
    <w:p>
      <w:pPr>
        <w:spacing w:after="0" w:line="103" w:lineRule="exact"/>
        <w:rPr>
          <w:rFonts w:ascii="Arial" w:cs="Arial" w:eastAsia="Arial" w:hAnsi="Arial"/>
          <w:sz w:val="19"/>
          <w:szCs w:val="19"/>
          <w:color w:val="auto"/>
        </w:rPr>
      </w:pPr>
    </w:p>
    <w:p>
      <w:pPr>
        <w:ind w:left="1240" w:right="40" w:hanging="309"/>
        <w:spacing w:after="0" w:line="252" w:lineRule="auto"/>
        <w:tabs>
          <w:tab w:leader="none" w:pos="1229" w:val="left"/>
        </w:tabs>
        <w:numPr>
          <w:ilvl w:val="1"/>
          <w:numId w:val="34"/>
        </w:numPr>
        <w:rPr>
          <w:rFonts w:ascii="Arial" w:cs="Arial" w:eastAsia="Arial" w:hAnsi="Arial"/>
          <w:sz w:val="19"/>
          <w:szCs w:val="19"/>
          <w:color w:val="auto"/>
        </w:rPr>
      </w:pPr>
      <w:r>
        <w:rPr>
          <w:rFonts w:ascii="Arial" w:cs="Arial" w:eastAsia="Arial" w:hAnsi="Arial"/>
          <w:sz w:val="19"/>
          <w:szCs w:val="19"/>
          <w:color w:val="auto"/>
        </w:rPr>
        <w:t>a $553.2 million increase at Evergy Kansas Central primarily due to the repayment of $199.2 million of commercial paper in 2020 and increased borrowing in 2021 driven by $133.9 million of fuel and purchased power costs related to the February 2021 winter weather event and higher cash capital expenditures in 2021; and</w:t>
      </w:r>
    </w:p>
    <w:p>
      <w:pPr>
        <w:spacing w:after="0" w:line="72" w:lineRule="exact"/>
        <w:rPr>
          <w:rFonts w:ascii="Arial" w:cs="Arial" w:eastAsia="Arial" w:hAnsi="Arial"/>
          <w:sz w:val="19"/>
          <w:szCs w:val="19"/>
          <w:color w:val="auto"/>
        </w:rPr>
      </w:pPr>
    </w:p>
    <w:p>
      <w:pPr>
        <w:ind w:left="1240" w:hanging="309"/>
        <w:spacing w:after="0" w:line="252" w:lineRule="auto"/>
        <w:tabs>
          <w:tab w:leader="none" w:pos="1229" w:val="left"/>
        </w:tabs>
        <w:numPr>
          <w:ilvl w:val="1"/>
          <w:numId w:val="34"/>
        </w:numPr>
        <w:rPr>
          <w:rFonts w:ascii="Arial" w:cs="Arial" w:eastAsia="Arial" w:hAnsi="Arial"/>
          <w:sz w:val="19"/>
          <w:szCs w:val="19"/>
          <w:color w:val="auto"/>
        </w:rPr>
      </w:pPr>
      <w:r>
        <w:rPr>
          <w:rFonts w:ascii="Arial" w:cs="Arial" w:eastAsia="Arial" w:hAnsi="Arial"/>
          <w:sz w:val="19"/>
          <w:szCs w:val="19"/>
          <w:color w:val="auto"/>
        </w:rPr>
        <w:t>a $357.8 million increase at Evergy Missouri West primarily due to $296.4 million of fuel and purchased power costs related to the February 2021 winter weather event, the repayment of $80.9 million of Evergy Missouri West's 8.27% Senior Notes in November 2021 and higher cash capital expenditures in 2021; and</w:t>
      </w:r>
    </w:p>
    <w:p>
      <w:pPr>
        <w:spacing w:after="0" w:line="72" w:lineRule="exact"/>
        <w:rPr>
          <w:rFonts w:ascii="Arial" w:cs="Arial" w:eastAsia="Arial" w:hAnsi="Arial"/>
          <w:sz w:val="19"/>
          <w:szCs w:val="19"/>
          <w:color w:val="auto"/>
        </w:rPr>
      </w:pPr>
    </w:p>
    <w:p>
      <w:pPr>
        <w:ind w:left="620" w:right="240" w:hanging="307"/>
        <w:spacing w:after="0" w:line="264" w:lineRule="auto"/>
        <w:tabs>
          <w:tab w:leader="none" w:pos="609" w:val="left"/>
        </w:tabs>
        <w:numPr>
          <w:ilvl w:val="0"/>
          <w:numId w:val="34"/>
        </w:numPr>
        <w:rPr>
          <w:rFonts w:ascii="Arial" w:cs="Arial" w:eastAsia="Arial" w:hAnsi="Arial"/>
          <w:sz w:val="19"/>
          <w:szCs w:val="19"/>
          <w:color w:val="auto"/>
        </w:rPr>
      </w:pPr>
      <w:r>
        <w:rPr>
          <w:rFonts w:ascii="Arial" w:cs="Arial" w:eastAsia="Arial" w:hAnsi="Arial"/>
          <w:sz w:val="19"/>
          <w:szCs w:val="19"/>
          <w:color w:val="auto"/>
        </w:rPr>
        <w:t>$112.5 million of Evergy common stock issued in April 2021 pursuant to a securities purchase agreement with an affiliate of Bluescape; partially offset by</w:t>
      </w:r>
    </w:p>
    <w:p>
      <w:pPr>
        <w:spacing w:after="0" w:line="60" w:lineRule="exact"/>
        <w:rPr>
          <w:rFonts w:ascii="Arial" w:cs="Arial" w:eastAsia="Arial" w:hAnsi="Arial"/>
          <w:sz w:val="19"/>
          <w:szCs w:val="19"/>
          <w:color w:val="auto"/>
        </w:rPr>
      </w:pPr>
    </w:p>
    <w:p>
      <w:pPr>
        <w:jc w:val="both"/>
        <w:ind w:left="620" w:right="60" w:hanging="307"/>
        <w:spacing w:after="0" w:line="252" w:lineRule="auto"/>
        <w:tabs>
          <w:tab w:leader="none" w:pos="609"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$391.5 million decrease in proceeds from long-term debt, net due to Evergy Kansas Central's issuance of $500.0 million of 3.45% FMBs in April 2020 and Evergy Metro's issuance of $400.0 million of 2.25% Mortgage Bonds in May 2020; partially offset by Evergy Missouri West's issuance of $500.0 million of Series A, B and C Senior Notes in April 2021;</w:t>
      </w:r>
    </w:p>
    <w:p>
      <w:pPr>
        <w:spacing w:after="0" w:line="72" w:lineRule="exact"/>
        <w:rPr>
          <w:rFonts w:ascii="Arial" w:cs="Arial" w:eastAsia="Arial" w:hAnsi="Arial"/>
          <w:sz w:val="19"/>
          <w:szCs w:val="19"/>
          <w:color w:val="auto"/>
        </w:rPr>
      </w:pPr>
    </w:p>
    <w:p>
      <w:pPr>
        <w:jc w:val="both"/>
        <w:ind w:left="620" w:hanging="307"/>
        <w:spacing w:after="0" w:line="252" w:lineRule="auto"/>
        <w:tabs>
          <w:tab w:leader="none" w:pos="609"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$180.9 million increase in retirements of long-term debt, net due to Evergy's repayment of $350.0 million of 4.85% Senior Notes in April 2021 and Evergy Missouri West's repayment of $80.9 million of 8.27% Senior Notes in November 2021; partially offset by Evergy Kansas Central's repayment of $250.0 million of 5.10% FMBs in May 2020; and</w:t>
      </w:r>
    </w:p>
    <w:p>
      <w:pPr>
        <w:spacing w:after="0" w:line="72" w:lineRule="exact"/>
        <w:rPr>
          <w:rFonts w:ascii="Arial" w:cs="Arial" w:eastAsia="Arial" w:hAnsi="Arial"/>
          <w:sz w:val="19"/>
          <w:szCs w:val="19"/>
          <w:color w:val="auto"/>
        </w:rPr>
      </w:pPr>
    </w:p>
    <w:p>
      <w:pPr>
        <w:ind w:left="620" w:right="200" w:hanging="307"/>
        <w:spacing w:after="0" w:line="264" w:lineRule="auto"/>
        <w:tabs>
          <w:tab w:leader="none" w:pos="609"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$7.5 million increase in the repayment of borrowings against cash surrender value of corporate-owned life insurance primarily due to a higher number of policy settlements in 2021.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56" w:name="page57"/>
    <w:bookmarkEnd w:id="5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4080"/>
        <w:spacing w:after="0"/>
        <w:rPr>
          <w:sz w:val="20"/>
          <w:szCs w:val="20"/>
          <w:color w:val="auto"/>
        </w:rPr>
      </w:pPr>
      <w:r>
        <w:rPr>
          <w:rFonts w:ascii="Arial" w:cs="Arial" w:eastAsia="Arial" w:hAnsi="Arial"/>
          <w:sz w:val="19"/>
          <w:szCs w:val="19"/>
          <w:b w:val="1"/>
          <w:bCs w:val="1"/>
          <w:color w:val="auto"/>
        </w:rPr>
        <w:t>EVERGY KANSAS CENTRAL, INC.</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MANAGEMENT'S NARRATIVE ANALYSIS OF RESULTS OF OPERATIONS</w:t>
      </w:r>
    </w:p>
    <w:p>
      <w:pPr>
        <w:spacing w:after="0" w:line="213" w:lineRule="exact"/>
        <w:rPr>
          <w:sz w:val="20"/>
          <w:szCs w:val="20"/>
          <w:color w:val="auto"/>
        </w:rPr>
      </w:pPr>
    </w:p>
    <w:p>
      <w:pPr>
        <w:ind w:right="300"/>
        <w:spacing w:after="0" w:line="264" w:lineRule="auto"/>
        <w:rPr>
          <w:sz w:val="20"/>
          <w:szCs w:val="20"/>
          <w:color w:val="auto"/>
        </w:rPr>
      </w:pPr>
      <w:r>
        <w:rPr>
          <w:rFonts w:ascii="Arial" w:cs="Arial" w:eastAsia="Arial" w:hAnsi="Arial"/>
          <w:sz w:val="19"/>
          <w:szCs w:val="19"/>
          <w:color w:val="auto"/>
        </w:rPr>
        <w:t>The below results of operations and related discussion for Evergy Kansas Central is presented in a reduced disclosure format in accordance with General Instruction (I)(2)(a) to Form 10-K.</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Evergy Kansas Central's comparative results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96"/>
              </w:rPr>
              <w:t>Change</w:t>
            </w: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2020</w:t>
            </w:r>
          </w:p>
        </w:tc>
      </w:tr>
      <w:tr>
        <w:trPr>
          <w:trHeight w:val="209"/>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5"/>
                <w:szCs w:val="15"/>
                <w:color w:val="auto"/>
                <w:w w:val="99"/>
              </w:rPr>
              <w:t>(millions)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revenues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2,847.3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429.2</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2,418.1</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Fuel and purchased power</w:t>
            </w: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638.7</w:t>
            </w:r>
          </w:p>
        </w:tc>
        <w:tc>
          <w:tcPr>
            <w:tcW w:w="26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211.1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427.6</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290.4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27.2</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263.2</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Operating and maintenance</w:t>
            </w: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530.8</w:t>
            </w:r>
          </w:p>
        </w:tc>
        <w:tc>
          <w:tcPr>
            <w:tcW w:w="26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17.2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513.6</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467.2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14.1</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453.1</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Taxes other than income tax</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203.9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10.6</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193.3</w:t>
            </w:r>
          </w:p>
        </w:tc>
      </w:tr>
      <w:tr>
        <w:trPr>
          <w:trHeight w:val="213"/>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from operations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716.3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149.0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567.3</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22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(7.6)</w:t>
            </w:r>
          </w:p>
        </w:tc>
        <w:tc>
          <w:tcPr>
            <w:tcW w:w="26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5.1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160.3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(7.3)</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51.7</w:t>
            </w:r>
          </w:p>
        </w:tc>
        <w:tc>
          <w:tcPr>
            <w:tcW w:w="26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(104.1)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155.8</w:t>
            </w:r>
          </w:p>
        </w:tc>
      </w:tr>
      <w:tr>
        <w:trPr>
          <w:trHeight w:val="219"/>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Equity in earnings of equity method investees,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(0.6)</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2"/>
        </w:trPr>
        <w:tc>
          <w:tcPr>
            <w:tcW w:w="780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500.7</w:t>
            </w:r>
          </w:p>
        </w:tc>
        <w:tc>
          <w:tcPr>
            <w:tcW w:w="26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264.9</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235.8</w:t>
            </w:r>
          </w:p>
        </w:tc>
      </w:tr>
      <w:tr>
        <w:trPr>
          <w:trHeight w:val="219"/>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12.2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0.5</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19"/>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attributable to Evergy Kansas Central, Inc.</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488.5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264.4</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224.1</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Utility Gross Margin and MWh Sales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Evergy Kansas Central's utility gross margin and MWhs sold.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Revenues and Expenses</w:t>
            </w:r>
          </w:p>
        </w:tc>
        <w:tc>
          <w:tcPr>
            <w:tcW w:w="6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3"/>
              </w:rPr>
              <w:t>MWhs Sold</w:t>
            </w:r>
          </w:p>
        </w:tc>
        <w:tc>
          <w:tcPr>
            <w:tcW w:w="920" w:type="dxa"/>
            <w:vAlign w:val="bottom"/>
            <w:tcBorders>
              <w:top w:val="single" w:sz="8" w:color="auto"/>
            </w:tcBorders>
          </w:tcPr>
          <w:p>
            <w:pPr>
              <w:spacing w:after="0"/>
              <w:rPr>
                <w:sz w:val="20"/>
                <w:szCs w:val="20"/>
                <w:color w:val="auto"/>
              </w:rPr>
            </w:pPr>
          </w:p>
        </w:tc>
      </w:tr>
      <w:tr>
        <w:trPr>
          <w:trHeight w:val="224"/>
        </w:trPr>
        <w:tc>
          <w:tcPr>
            <w:tcW w:w="4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w w:val="92"/>
              </w:rPr>
              <w:t>Change</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w w:val="89"/>
              </w:rPr>
              <w:t>2020</w:t>
            </w:r>
          </w:p>
        </w:tc>
        <w:tc>
          <w:tcPr>
            <w:tcW w:w="12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Change</w:t>
            </w: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2020</w:t>
            </w:r>
          </w:p>
        </w:tc>
      </w:tr>
      <w:tr>
        <w:trPr>
          <w:trHeight w:val="212"/>
        </w:trPr>
        <w:tc>
          <w:tcPr>
            <w:tcW w:w="4460" w:type="dxa"/>
            <w:vAlign w:val="bottom"/>
          </w:tcPr>
          <w:p>
            <w:pPr>
              <w:ind w:left="20"/>
              <w:spacing w:after="0"/>
              <w:rPr>
                <w:sz w:val="20"/>
                <w:szCs w:val="20"/>
                <w:color w:val="auto"/>
              </w:rPr>
            </w:pPr>
            <w:r>
              <w:rPr>
                <w:rFonts w:ascii="Arial" w:cs="Arial" w:eastAsia="Arial" w:hAnsi="Arial"/>
                <w:sz w:val="17"/>
                <w:szCs w:val="17"/>
                <w:color w:val="auto"/>
              </w:rPr>
              <w:t>Retail revenues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5"/>
                <w:szCs w:val="15"/>
                <w:color w:val="auto"/>
              </w:rPr>
              <w:t>(millions)</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jc w:val="center"/>
              <w:ind w:right="75"/>
              <w:spacing w:after="0"/>
              <w:rPr>
                <w:sz w:val="20"/>
                <w:szCs w:val="20"/>
                <w:color w:val="auto"/>
              </w:rPr>
            </w:pPr>
            <w:r>
              <w:rPr>
                <w:rFonts w:ascii="Arial" w:cs="Arial" w:eastAsia="Arial" w:hAnsi="Arial"/>
                <w:sz w:val="15"/>
                <w:szCs w:val="15"/>
                <w:color w:val="auto"/>
                <w:w w:val="90"/>
              </w:rPr>
              <w:t>(thousands)</w:t>
            </w:r>
          </w:p>
        </w:tc>
        <w:tc>
          <w:tcPr>
            <w:tcW w:w="920" w:type="dxa"/>
            <w:vAlign w:val="bottom"/>
          </w:tcPr>
          <w:p>
            <w:pPr>
              <w:spacing w:after="0"/>
              <w:rPr>
                <w:sz w:val="18"/>
                <w:szCs w:val="18"/>
                <w:color w:val="auto"/>
              </w:rPr>
            </w:pPr>
          </w:p>
        </w:tc>
      </w:tr>
      <w:tr>
        <w:trPr>
          <w:trHeight w:val="220"/>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Residential</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824.1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22.9</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801.2</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6,565</w:t>
            </w: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74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6,491</w:t>
            </w:r>
          </w:p>
        </w:tc>
      </w:tr>
      <w:tr>
        <w:trPr>
          <w:trHeight w:val="218"/>
        </w:trPr>
        <w:tc>
          <w:tcPr>
            <w:tcW w:w="446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200" w:type="dxa"/>
            <w:vAlign w:val="bottom"/>
          </w:tcPr>
          <w:p>
            <w:pPr>
              <w:spacing w:after="0"/>
              <w:rPr>
                <w:sz w:val="18"/>
                <w:szCs w:val="18"/>
                <w:color w:val="auto"/>
              </w:rPr>
            </w:pP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694.1</w:t>
            </w:r>
          </w:p>
        </w:tc>
        <w:tc>
          <w:tcPr>
            <w:tcW w:w="26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28.5</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665.6</w:t>
            </w:r>
          </w:p>
        </w:tc>
        <w:tc>
          <w:tcPr>
            <w:tcW w:w="1280" w:type="dxa"/>
            <w:vAlign w:val="bottom"/>
          </w:tcPr>
          <w:p>
            <w:pPr>
              <w:jc w:val="right"/>
              <w:ind w:right="114"/>
              <w:spacing w:after="0"/>
              <w:rPr>
                <w:sz w:val="20"/>
                <w:szCs w:val="20"/>
                <w:color w:val="auto"/>
              </w:rPr>
            </w:pPr>
            <w:r>
              <w:rPr>
                <w:rFonts w:ascii="Arial" w:cs="Arial" w:eastAsia="Arial" w:hAnsi="Arial"/>
                <w:sz w:val="17"/>
                <w:szCs w:val="17"/>
                <w:color w:val="auto"/>
              </w:rPr>
              <w:t>7,112</w:t>
            </w:r>
          </w:p>
        </w:tc>
        <w:tc>
          <w:tcPr>
            <w:tcW w:w="1280" w:type="dxa"/>
            <w:vAlign w:val="bottom"/>
          </w:tcPr>
          <w:p>
            <w:pPr>
              <w:jc w:val="right"/>
              <w:ind w:right="235"/>
              <w:spacing w:after="0"/>
              <w:rPr>
                <w:sz w:val="20"/>
                <w:szCs w:val="20"/>
                <w:color w:val="auto"/>
              </w:rPr>
            </w:pPr>
            <w:r>
              <w:rPr>
                <w:rFonts w:ascii="Arial" w:cs="Arial" w:eastAsia="Arial" w:hAnsi="Arial"/>
                <w:sz w:val="17"/>
                <w:szCs w:val="17"/>
                <w:color w:val="auto"/>
              </w:rPr>
              <w:t>237</w:t>
            </w:r>
          </w:p>
        </w:tc>
        <w:tc>
          <w:tcPr>
            <w:tcW w:w="920" w:type="dxa"/>
            <w:vAlign w:val="bottom"/>
          </w:tcPr>
          <w:p>
            <w:pPr>
              <w:jc w:val="right"/>
              <w:spacing w:after="0"/>
              <w:rPr>
                <w:sz w:val="20"/>
                <w:szCs w:val="20"/>
                <w:color w:val="auto"/>
              </w:rPr>
            </w:pPr>
            <w:r>
              <w:rPr>
                <w:rFonts w:ascii="Arial" w:cs="Arial" w:eastAsia="Arial" w:hAnsi="Arial"/>
                <w:sz w:val="17"/>
                <w:szCs w:val="17"/>
                <w:color w:val="auto"/>
              </w:rPr>
              <w:t>6,875</w:t>
            </w:r>
          </w:p>
        </w:tc>
      </w:tr>
      <w:tr>
        <w:trPr>
          <w:trHeight w:val="220"/>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Industrial</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391.7</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11.8</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379.9</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5,533</w:t>
            </w: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291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5,242</w:t>
            </w:r>
          </w:p>
        </w:tc>
      </w:tr>
      <w:tr>
        <w:trPr>
          <w:trHeight w:val="218"/>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retail revenues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17.1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(0.6)</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40</w:t>
            </w: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r>
      <w:tr>
        <w:trPr>
          <w:trHeight w:val="213"/>
        </w:trPr>
        <w:tc>
          <w:tcPr>
            <w:tcW w:w="4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electric retail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1,927.0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62.6</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1,864.4</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19,250</w:t>
            </w: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601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18,649</w:t>
            </w: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Wholesale revenues</w:t>
            </w:r>
          </w:p>
        </w:tc>
        <w:tc>
          <w:tcPr>
            <w:tcW w:w="200" w:type="dxa"/>
            <w:vAlign w:val="bottom"/>
          </w:tcPr>
          <w:p>
            <w:pPr>
              <w:spacing w:after="0"/>
              <w:rPr>
                <w:sz w:val="18"/>
                <w:szCs w:val="18"/>
                <w:color w:val="auto"/>
              </w:rPr>
            </w:pP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453.1</w:t>
            </w:r>
          </w:p>
        </w:tc>
        <w:tc>
          <w:tcPr>
            <w:tcW w:w="26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237.7</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215.4</w:t>
            </w:r>
          </w:p>
        </w:tc>
        <w:tc>
          <w:tcPr>
            <w:tcW w:w="1280" w:type="dxa"/>
            <w:vAlign w:val="bottom"/>
          </w:tcPr>
          <w:p>
            <w:pPr>
              <w:jc w:val="right"/>
              <w:ind w:right="114"/>
              <w:spacing w:after="0"/>
              <w:rPr>
                <w:sz w:val="20"/>
                <w:szCs w:val="20"/>
                <w:color w:val="auto"/>
              </w:rPr>
            </w:pPr>
            <w:r>
              <w:rPr>
                <w:rFonts w:ascii="Arial" w:cs="Arial" w:eastAsia="Arial" w:hAnsi="Arial"/>
                <w:sz w:val="17"/>
                <w:szCs w:val="17"/>
                <w:color w:val="auto"/>
              </w:rPr>
              <w:t>10,175</w:t>
            </w:r>
          </w:p>
        </w:tc>
        <w:tc>
          <w:tcPr>
            <w:tcW w:w="1280" w:type="dxa"/>
            <w:vAlign w:val="bottom"/>
          </w:tcPr>
          <w:p>
            <w:pPr>
              <w:jc w:val="right"/>
              <w:ind w:right="235"/>
              <w:spacing w:after="0"/>
              <w:rPr>
                <w:sz w:val="20"/>
                <w:szCs w:val="20"/>
                <w:color w:val="auto"/>
              </w:rPr>
            </w:pPr>
            <w:r>
              <w:rPr>
                <w:rFonts w:ascii="Arial" w:cs="Arial" w:eastAsia="Arial" w:hAnsi="Arial"/>
                <w:sz w:val="17"/>
                <w:szCs w:val="17"/>
                <w:color w:val="auto"/>
              </w:rPr>
              <w:t>2,324</w:t>
            </w:r>
          </w:p>
        </w:tc>
        <w:tc>
          <w:tcPr>
            <w:tcW w:w="920" w:type="dxa"/>
            <w:vAlign w:val="bottom"/>
          </w:tcPr>
          <w:p>
            <w:pPr>
              <w:jc w:val="right"/>
              <w:spacing w:after="0"/>
              <w:rPr>
                <w:sz w:val="20"/>
                <w:szCs w:val="20"/>
                <w:color w:val="auto"/>
              </w:rPr>
            </w:pPr>
            <w:r>
              <w:rPr>
                <w:rFonts w:ascii="Arial" w:cs="Arial" w:eastAsia="Arial" w:hAnsi="Arial"/>
                <w:sz w:val="17"/>
                <w:szCs w:val="17"/>
                <w:color w:val="auto"/>
              </w:rPr>
              <w:t>7,851</w:t>
            </w:r>
          </w:p>
        </w:tc>
      </w:tr>
      <w:tr>
        <w:trPr>
          <w:trHeight w:val="220"/>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Transmission revenues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322.9</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35.6</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287.3</w:t>
            </w: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N/A</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revenues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144.3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93.3</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w:t>
            </w: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N/A</w:t>
            </w: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N/A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r>
      <w:tr>
        <w:trPr>
          <w:trHeight w:val="213"/>
        </w:trPr>
        <w:tc>
          <w:tcPr>
            <w:tcW w:w="4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revenues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2,847.3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429.2</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2,418.1</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29,425</w:t>
            </w: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2,925</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26,500</w:t>
            </w: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Fuel and purchased power</w:t>
            </w:r>
          </w:p>
        </w:tc>
        <w:tc>
          <w:tcPr>
            <w:tcW w:w="20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(638.7)</w:t>
            </w:r>
          </w:p>
        </w:tc>
        <w:tc>
          <w:tcPr>
            <w:tcW w:w="260" w:type="dxa"/>
            <w:vAlign w:val="bottom"/>
          </w:tcPr>
          <w:p>
            <w:pPr>
              <w:spacing w:after="0"/>
              <w:rPr>
                <w:sz w:val="18"/>
                <w:szCs w:val="18"/>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(211.1)</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(427.6)</w:t>
            </w: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SPP network transmission costs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(290.4)</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(27.2)</w:t>
            </w: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(263.2)</w:t>
            </w:r>
          </w:p>
        </w:tc>
        <w:tc>
          <w:tcPr>
            <w:tcW w:w="1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2"/>
        </w:trPr>
        <w:tc>
          <w:tcPr>
            <w:tcW w:w="4460" w:type="dxa"/>
            <w:vAlign w:val="bottom"/>
          </w:tcPr>
          <w:p>
            <w:pPr>
              <w:ind w:left="20"/>
              <w:spacing w:after="0" w:line="212" w:lineRule="exact"/>
              <w:rPr>
                <w:sz w:val="20"/>
                <w:szCs w:val="20"/>
                <w:color w:val="auto"/>
              </w:rPr>
            </w:pPr>
            <w:r>
              <w:rPr>
                <w:rFonts w:ascii="Arial" w:cs="Arial" w:eastAsia="Arial" w:hAnsi="Arial"/>
                <w:sz w:val="17"/>
                <w:szCs w:val="17"/>
                <w:b w:val="1"/>
                <w:bCs w:val="1"/>
                <w:color w:val="auto"/>
              </w:rPr>
              <w:t xml:space="preserve">Utility gross margin </w:t>
            </w:r>
            <w:r>
              <w:rPr>
                <w:rFonts w:ascii="Arial" w:cs="Arial" w:eastAsia="Arial" w:hAnsi="Arial"/>
                <w:sz w:val="22"/>
                <w:szCs w:val="22"/>
                <w:b w:val="1"/>
                <w:bCs w:val="1"/>
                <w:color w:val="auto"/>
                <w:vertAlign w:val="superscript"/>
              </w:rPr>
              <w:t>(a)</w:t>
            </w:r>
          </w:p>
        </w:tc>
        <w:tc>
          <w:tcPr>
            <w:tcW w:w="200" w:type="dxa"/>
            <w:vAlign w:val="bottom"/>
          </w:tcPr>
          <w:p>
            <w:pPr>
              <w:spacing w:after="0"/>
              <w:rPr>
                <w:sz w:val="18"/>
                <w:szCs w:val="18"/>
                <w:color w:val="auto"/>
              </w:rPr>
            </w:pPr>
          </w:p>
        </w:tc>
        <w:tc>
          <w:tcPr>
            <w:tcW w:w="840" w:type="dxa"/>
            <w:vAlign w:val="bottom"/>
          </w:tcPr>
          <w:p>
            <w:pPr>
              <w:jc w:val="right"/>
              <w:ind w:right="94"/>
              <w:spacing w:after="0"/>
              <w:rPr>
                <w:sz w:val="20"/>
                <w:szCs w:val="20"/>
                <w:color w:val="auto"/>
              </w:rPr>
            </w:pPr>
            <w:r>
              <w:rPr>
                <w:rFonts w:ascii="Arial" w:cs="Arial" w:eastAsia="Arial" w:hAnsi="Arial"/>
                <w:sz w:val="17"/>
                <w:szCs w:val="17"/>
                <w:b w:val="1"/>
                <w:bCs w:val="1"/>
                <w:color w:val="auto"/>
              </w:rPr>
              <w:t>1,918.2</w:t>
            </w:r>
          </w:p>
        </w:tc>
        <w:tc>
          <w:tcPr>
            <w:tcW w:w="26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b w:val="1"/>
                <w:bCs w:val="1"/>
                <w:color w:val="auto"/>
              </w:rPr>
              <w:t>190.9</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w w:val="98"/>
              </w:rPr>
              <w:t>1,727.3</w:t>
            </w: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and maintenance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(530.8)</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(17.2)</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(513.6)</w:t>
            </w:r>
          </w:p>
        </w:tc>
        <w:tc>
          <w:tcPr>
            <w:tcW w:w="1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(467.2)</w:t>
            </w:r>
          </w:p>
        </w:tc>
        <w:tc>
          <w:tcPr>
            <w:tcW w:w="260" w:type="dxa"/>
            <w:vAlign w:val="bottom"/>
          </w:tcPr>
          <w:p>
            <w:pPr>
              <w:spacing w:after="0"/>
              <w:rPr>
                <w:sz w:val="18"/>
                <w:szCs w:val="18"/>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(14.1)</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(453.1)</w:t>
            </w: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(203.9)</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(10.6)</w:t>
            </w: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(193.3)</w:t>
            </w:r>
          </w:p>
        </w:tc>
        <w:tc>
          <w:tcPr>
            <w:tcW w:w="1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716.3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149.0</w:t>
            </w:r>
          </w:p>
        </w:tc>
        <w:tc>
          <w:tcPr>
            <w:tcW w:w="4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567.3</w:t>
            </w:r>
          </w:p>
        </w:tc>
        <w:tc>
          <w:tcPr>
            <w:tcW w:w="1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(a)</w:t>
      </w:r>
      <w:r>
        <w:rPr>
          <w:rFonts w:ascii="Arial" w:cs="Arial" w:eastAsia="Arial" w:hAnsi="Arial"/>
          <w:sz w:val="15"/>
          <w:szCs w:val="15"/>
          <w:color w:val="auto"/>
        </w:rPr>
        <w:t>Utility gross margin is a non-GAAP financial measure. See explanation of utility gross margin under Evergy's Results of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7" w:name="page58"/>
    <w:bookmarkEnd w:id="5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Evergy Kansas Central's utility gross margin increased $190.9 million in 2021, compared to 2020, driven by:</w:t>
      </w:r>
    </w:p>
    <w:p>
      <w:pPr>
        <w:spacing w:after="0" w:line="104"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$94.5 million of non-regulated energy marketing margins recognized during the February 2021 winter weather event;</w:t>
      </w:r>
    </w:p>
    <w:p>
      <w:pPr>
        <w:spacing w:after="0" w:line="103" w:lineRule="exact"/>
        <w:rPr>
          <w:rFonts w:ascii="Arial" w:cs="Arial" w:eastAsia="Arial" w:hAnsi="Arial"/>
          <w:sz w:val="19"/>
          <w:szCs w:val="19"/>
          <w:color w:val="auto"/>
        </w:rPr>
      </w:pPr>
    </w:p>
    <w:p>
      <w:pPr>
        <w:ind w:left="620" w:right="300" w:hanging="307"/>
        <w:spacing w:after="0" w:line="324" w:lineRule="auto"/>
        <w:tabs>
          <w:tab w:leader="none" w:pos="609"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$42.9 million increase primarily due to higher retail sales driven by favorable weather (cooling degree days increased by 5%, partially offset by a 3% decrease in heating degree days) and an increase in weather-normalized commercial and industrial demand;</w:t>
      </w:r>
    </w:p>
    <w:p>
      <w:pPr>
        <w:spacing w:after="0" w:line="13" w:lineRule="exact"/>
        <w:rPr>
          <w:rFonts w:ascii="Arial" w:cs="Arial" w:eastAsia="Arial" w:hAnsi="Arial"/>
          <w:sz w:val="17"/>
          <w:szCs w:val="17"/>
          <w:color w:val="auto"/>
        </w:rPr>
      </w:pPr>
    </w:p>
    <w:p>
      <w:pPr>
        <w:ind w:left="620" w:right="260" w:hanging="307"/>
        <w:spacing w:after="0" w:line="264" w:lineRule="auto"/>
        <w:tabs>
          <w:tab w:leader="none" w:pos="609"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$35.6 million increase in transmission revenue primarily due to updated transmission costs reflected in Evergy Kansas Central's FERC TFR effective in January 2021;</w:t>
      </w:r>
    </w:p>
    <w:p>
      <w:pPr>
        <w:spacing w:after="0" w:line="60" w:lineRule="exact"/>
        <w:rPr>
          <w:rFonts w:ascii="Arial" w:cs="Arial" w:eastAsia="Arial" w:hAnsi="Arial"/>
          <w:sz w:val="19"/>
          <w:szCs w:val="19"/>
          <w:color w:val="auto"/>
        </w:rPr>
      </w:pPr>
    </w:p>
    <w:p>
      <w:pPr>
        <w:ind w:left="620" w:right="100" w:hanging="307"/>
        <w:spacing w:after="0" w:line="324" w:lineRule="auto"/>
        <w:tabs>
          <w:tab w:leader="none" w:pos="609"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$33.8 million increase due to other impacts from the February 2021 winter weather event driven by higher utility gross margin at Evergy Kansas Central's non-regulated 8% ownership share of JEC due to higher wholesale sales prices and MWhs sold in February 2021; and</w:t>
      </w:r>
    </w:p>
    <w:p>
      <w:pPr>
        <w:spacing w:after="0" w:line="1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$5.7 million increase related to Evergy Kansas Central's TDC rider in 2021; partially offset by</w:t>
      </w:r>
    </w:p>
    <w:p>
      <w:pPr>
        <w:spacing w:after="0" w:line="103" w:lineRule="exact"/>
        <w:rPr>
          <w:rFonts w:ascii="Arial" w:cs="Arial" w:eastAsia="Arial" w:hAnsi="Arial"/>
          <w:sz w:val="19"/>
          <w:szCs w:val="19"/>
          <w:color w:val="auto"/>
        </w:rPr>
      </w:pPr>
    </w:p>
    <w:p>
      <w:pPr>
        <w:ind w:left="620" w:right="20" w:hanging="307"/>
        <w:spacing w:after="0" w:line="264" w:lineRule="auto"/>
        <w:tabs>
          <w:tab w:leader="none" w:pos="609"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$21.6 million decrease in revenues due to rate reductions beginning January 1, 2021, in Kansas to reflect the exemption of Evergy Kansas Central from Kansas corporate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Operating and Maintenance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Evergy Kansas Central's operating and maintenance expense increased $17.2 million in 2021, compared to 2020, primarily driven by:</w:t>
      </w:r>
    </w:p>
    <w:p>
      <w:pPr>
        <w:spacing w:after="0" w:line="99" w:lineRule="exact"/>
        <w:rPr>
          <w:sz w:val="20"/>
          <w:szCs w:val="20"/>
          <w:color w:val="auto"/>
        </w:rPr>
      </w:pPr>
    </w:p>
    <w:p>
      <w:pPr>
        <w:ind w:left="620" w:right="80" w:hanging="307"/>
        <w:spacing w:after="0" w:line="324" w:lineRule="auto"/>
        <w:tabs>
          <w:tab w:leader="none" w:pos="6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$22.9 million increase in various administrative and general operating and maintenance expenses driven by an increase in costs billed for common use assets from Evergy Metro in 2021 primarily related to software assets placed into service in the third quarter of 2020;</w:t>
      </w:r>
    </w:p>
    <w:p>
      <w:pPr>
        <w:spacing w:after="0" w:line="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$7.9 million of costs related to non-regulated energy marketing margins recognized during the February 2021 winter weather event;</w:t>
      </w:r>
    </w:p>
    <w:p>
      <w:pPr>
        <w:spacing w:after="0" w:line="115" w:lineRule="exact"/>
        <w:rPr>
          <w:rFonts w:ascii="Arial" w:cs="Arial" w:eastAsia="Arial" w:hAnsi="Arial"/>
          <w:sz w:val="18"/>
          <w:szCs w:val="18"/>
          <w:color w:val="auto"/>
        </w:rPr>
      </w:pPr>
    </w:p>
    <w:p>
      <w:pPr>
        <w:ind w:left="620" w:hanging="307"/>
        <w:spacing w:after="0" w:line="264" w:lineRule="auto"/>
        <w:tabs>
          <w:tab w:leader="none" w:pos="6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$7.6 million of costs associated with executive transition in 2021, including inducement bonuses, severance agreements and other transition expenses;</w:t>
      </w:r>
    </w:p>
    <w:p>
      <w:pPr>
        <w:spacing w:after="0" w:line="60" w:lineRule="exact"/>
        <w:rPr>
          <w:rFonts w:ascii="Arial" w:cs="Arial" w:eastAsia="Arial" w:hAnsi="Arial"/>
          <w:sz w:val="19"/>
          <w:szCs w:val="19"/>
          <w:color w:val="auto"/>
        </w:rPr>
      </w:pPr>
    </w:p>
    <w:p>
      <w:pPr>
        <w:ind w:left="620" w:right="100" w:hanging="307"/>
        <w:spacing w:after="0" w:line="264" w:lineRule="auto"/>
        <w:tabs>
          <w:tab w:leader="none" w:pos="6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$6.3 million increase in plant operating and maintenance expense at fossil-fuel generating units primarily driven by a major maintenance outage at JEC in 2021 and higher material and supplies costs;</w:t>
      </w:r>
    </w:p>
    <w:p>
      <w:pPr>
        <w:spacing w:after="0" w:line="60" w:lineRule="exact"/>
        <w:rPr>
          <w:rFonts w:ascii="Arial" w:cs="Arial" w:eastAsia="Arial" w:hAnsi="Arial"/>
          <w:sz w:val="19"/>
          <w:szCs w:val="19"/>
          <w:color w:val="auto"/>
        </w:rPr>
      </w:pPr>
    </w:p>
    <w:p>
      <w:pPr>
        <w:ind w:left="620" w:hanging="307"/>
        <w:spacing w:after="0"/>
        <w:tabs>
          <w:tab w:leader="none" w:pos="6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$3.5 million increase in advisor expenses incurred in 2021 associated with strategic planning; and</w:t>
      </w:r>
    </w:p>
    <w:p>
      <w:pPr>
        <w:spacing w:after="0" w:line="103" w:lineRule="exact"/>
        <w:rPr>
          <w:rFonts w:ascii="Arial" w:cs="Arial" w:eastAsia="Arial" w:hAnsi="Arial"/>
          <w:sz w:val="19"/>
          <w:szCs w:val="19"/>
          <w:color w:val="auto"/>
        </w:rPr>
      </w:pPr>
    </w:p>
    <w:p>
      <w:pPr>
        <w:ind w:left="620" w:right="440" w:hanging="307"/>
        <w:spacing w:after="0" w:line="264" w:lineRule="auto"/>
        <w:tabs>
          <w:tab w:leader="none" w:pos="6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$1.4 million increase in property insurance expense due to a lower annual refund of nuclear insurance premiums received by Evergy Kansas Central in 2021 related to its ownership interest in Wolf Creek; partially offset by</w:t>
      </w:r>
    </w:p>
    <w:p>
      <w:pPr>
        <w:spacing w:after="0" w:line="60" w:lineRule="exact"/>
        <w:rPr>
          <w:rFonts w:ascii="Arial" w:cs="Arial" w:eastAsia="Arial" w:hAnsi="Arial"/>
          <w:sz w:val="19"/>
          <w:szCs w:val="19"/>
          <w:color w:val="auto"/>
        </w:rPr>
      </w:pPr>
    </w:p>
    <w:p>
      <w:pPr>
        <w:ind w:left="620" w:hanging="307"/>
        <w:spacing w:after="0" w:line="292" w:lineRule="auto"/>
        <w:tabs>
          <w:tab w:leader="none" w:pos="6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$31.2 million decrease in voluntary severance expenses due to a $27.4 million decrease related to Evergy voluntary exit programs in 2020 and $3.8 million decrease in voluntary severance expenses related to Wolf Creek voluntary exit programs in 2020; and</w:t>
      </w:r>
    </w:p>
    <w:p>
      <w:pPr>
        <w:spacing w:after="0" w:line="37" w:lineRule="exact"/>
        <w:rPr>
          <w:rFonts w:ascii="Arial" w:cs="Arial" w:eastAsia="Arial" w:hAnsi="Arial"/>
          <w:sz w:val="18"/>
          <w:szCs w:val="18"/>
          <w:color w:val="auto"/>
        </w:rPr>
      </w:pPr>
    </w:p>
    <w:p>
      <w:pPr>
        <w:ind w:left="620" w:right="460" w:hanging="307"/>
        <w:spacing w:after="0" w:line="264" w:lineRule="auto"/>
        <w:tabs>
          <w:tab w:leader="none" w:pos="6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$4.8 million decrease in various transmission and distribution operating and maintenance expenses primarily due to lower labor and contractor costs primarily driven by a higher mix of transmission capital projects in 2021.</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Depreciation and Amortization</w:t>
      </w:r>
    </w:p>
    <w:p>
      <w:pPr>
        <w:spacing w:after="0" w:line="23" w:lineRule="exact"/>
        <w:rPr>
          <w:sz w:val="20"/>
          <w:szCs w:val="20"/>
          <w:color w:val="auto"/>
        </w:rPr>
      </w:pPr>
    </w:p>
    <w:p>
      <w:pPr>
        <w:ind w:right="380"/>
        <w:spacing w:after="0" w:line="247" w:lineRule="auto"/>
        <w:rPr>
          <w:sz w:val="20"/>
          <w:szCs w:val="20"/>
          <w:color w:val="auto"/>
        </w:rPr>
      </w:pPr>
      <w:r>
        <w:rPr>
          <w:rFonts w:ascii="Arial" w:cs="Arial" w:eastAsia="Arial" w:hAnsi="Arial"/>
          <w:sz w:val="19"/>
          <w:szCs w:val="19"/>
          <w:color w:val="auto"/>
        </w:rPr>
        <w:t>Evergy Kansas Central's depreciation and amortization expense increased $14.1 million in 2021, compared to 2020, primarily driven by higher capital additions in 2021.</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Other Expense, Net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Evergy Kansas Central's other expense, net decreased $5.1 million in 2021, compared to 2020, primarily driven by:</w:t>
      </w:r>
    </w:p>
    <w:p>
      <w:pPr>
        <w:spacing w:after="0" w:line="88" w:lineRule="exact"/>
        <w:rPr>
          <w:sz w:val="20"/>
          <w:szCs w:val="20"/>
          <w:color w:val="auto"/>
        </w:rPr>
      </w:pPr>
    </w:p>
    <w:p>
      <w:pPr>
        <w:ind w:left="620" w:hanging="307"/>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$5.8 million decrease due to higher equity AFUDC primarily driven by higher construction work in progress balances in 2021;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58" w:name="page59"/>
    <w:bookmarkEnd w:id="5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left="620" w:hanging="307"/>
        <w:spacing w:after="0"/>
        <w:tabs>
          <w:tab w:leader="none" w:pos="6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$2.8 million of other income recorded in 2021 related to contract termination fees; partially offset by</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$4.8 million of lower COLI benefits in 2021.</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Evergy Kansas Central's interest expense decreased $7.3 million in 2021, compared to 2020, primarily driven by:</w:t>
      </w:r>
    </w:p>
    <w:p>
      <w:pPr>
        <w:spacing w:after="0" w:line="88" w:lineRule="exact"/>
        <w:rPr>
          <w:sz w:val="20"/>
          <w:szCs w:val="20"/>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$6.4 million decrease in interest expense on short-term borrowings primarily due to lower weighted-average interest rates in 2021; and</w:t>
      </w:r>
    </w:p>
    <w:p>
      <w:pPr>
        <w:spacing w:after="0" w:line="126" w:lineRule="exact"/>
        <w:rPr>
          <w:rFonts w:ascii="Arial" w:cs="Arial" w:eastAsia="Arial" w:hAnsi="Arial"/>
          <w:sz w:val="17"/>
          <w:szCs w:val="17"/>
          <w:color w:val="auto"/>
        </w:rPr>
      </w:pPr>
    </w:p>
    <w:p>
      <w:pPr>
        <w:jc w:val="both"/>
        <w:ind w:left="620" w:right="20" w:hanging="307"/>
        <w:spacing w:after="0" w:line="252" w:lineRule="auto"/>
        <w:tabs>
          <w:tab w:leader="none" w:pos="609" w:val="left"/>
        </w:tabs>
        <w:numPr>
          <w:ilvl w:val="0"/>
          <w:numId w:val="39"/>
        </w:numPr>
        <w:rPr>
          <w:rFonts w:ascii="Arial" w:cs="Arial" w:eastAsia="Arial" w:hAnsi="Arial"/>
          <w:sz w:val="19"/>
          <w:szCs w:val="19"/>
          <w:color w:val="auto"/>
        </w:rPr>
      </w:pPr>
      <w:r>
        <w:rPr>
          <w:rFonts w:ascii="Arial" w:cs="Arial" w:eastAsia="Arial" w:hAnsi="Arial"/>
          <w:sz w:val="19"/>
          <w:szCs w:val="19"/>
          <w:color w:val="auto"/>
        </w:rPr>
        <w:t>a $2.2 million net decrease due to the redemption of Evergy Kansas Central's $250.0 million of 5.10% FMBs in May 2020, which decreased interest expense by $6.8 million, partially offset by a $4.6 million increase due to the issuance of Evergy Kansas Central's $500.0 million of 3.45% FMBs in April 2020.</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Income Tax Expense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Evergy Kansas Central's income tax expense decreased $104.1 million in 2021, compared to 2020, primarily driven by:</w:t>
      </w:r>
    </w:p>
    <w:p>
      <w:pPr>
        <w:spacing w:after="0" w:line="88" w:lineRule="exact"/>
        <w:rPr>
          <w:sz w:val="20"/>
          <w:szCs w:val="20"/>
          <w:color w:val="auto"/>
        </w:rPr>
      </w:pPr>
    </w:p>
    <w:p>
      <w:pPr>
        <w:ind w:left="620" w:right="360" w:hanging="307"/>
        <w:spacing w:after="0" w:line="264" w:lineRule="auto"/>
        <w:tabs>
          <w:tab w:leader="none" w:pos="609"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$109.0 million net decrease due to the revaluation of deferred income tax assets and liabilities in the second quarter of 2020 due to the change in the Kansas corporate income tax rate;</w:t>
      </w:r>
    </w:p>
    <w:p>
      <w:pPr>
        <w:spacing w:after="0" w:line="60" w:lineRule="exact"/>
        <w:rPr>
          <w:rFonts w:ascii="Arial" w:cs="Arial" w:eastAsia="Arial" w:hAnsi="Arial"/>
          <w:sz w:val="19"/>
          <w:szCs w:val="19"/>
          <w:color w:val="auto"/>
        </w:rPr>
      </w:pPr>
    </w:p>
    <w:p>
      <w:pPr>
        <w:ind w:left="620" w:right="120" w:hanging="307"/>
        <w:spacing w:after="0" w:line="264" w:lineRule="auto"/>
        <w:tabs>
          <w:tab w:leader="none" w:pos="609"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$30.2 million decrease as a result of the state of Kansas exempting certain public utilities, including Evergy Kansas Central, from Kansas corporate income tax beginning in January 2021; and</w:t>
      </w:r>
    </w:p>
    <w:p>
      <w:pPr>
        <w:spacing w:after="0" w:line="60" w:lineRule="exact"/>
        <w:rPr>
          <w:rFonts w:ascii="Arial" w:cs="Arial" w:eastAsia="Arial" w:hAnsi="Arial"/>
          <w:sz w:val="19"/>
          <w:szCs w:val="19"/>
          <w:color w:val="auto"/>
        </w:rPr>
      </w:pPr>
    </w:p>
    <w:p>
      <w:pPr>
        <w:ind w:left="620" w:right="60" w:hanging="307"/>
        <w:spacing w:after="0" w:line="264" w:lineRule="auto"/>
        <w:tabs>
          <w:tab w:leader="none" w:pos="609"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$15.7 million decrease due to flow-through items primarily driven by higher amortization of excess deferred income taxes; partially offset by</w:t>
      </w:r>
    </w:p>
    <w:p>
      <w:pPr>
        <w:spacing w:after="0" w:line="60" w:lineRule="exact"/>
        <w:rPr>
          <w:rFonts w:ascii="Arial" w:cs="Arial" w:eastAsia="Arial" w:hAnsi="Arial"/>
          <w:sz w:val="19"/>
          <w:szCs w:val="19"/>
          <w:color w:val="auto"/>
        </w:rPr>
      </w:pPr>
    </w:p>
    <w:p>
      <w:pPr>
        <w:ind w:left="620" w:hanging="307"/>
        <w:spacing w:after="0"/>
        <w:tabs>
          <w:tab w:leader="none" w:pos="6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$42.7 million increase due to higher pre-tax income in 2021;</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$5.1 million increase due to lower expected COLI proceeds for 2021; and</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$1.5 million increase due to lower wind and other income tax credits in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Note 19 to the consolidated financial statements for more information regarding the change in the Kansas corporate income tax rate.</w:t>
      </w:r>
    </w:p>
    <w:p>
      <w:pPr>
        <w:spacing w:after="0" w:line="212" w:lineRule="exact"/>
        <w:rPr>
          <w:sz w:val="20"/>
          <w:szCs w:val="20"/>
          <w:color w:val="auto"/>
        </w:rPr>
      </w:pPr>
    </w:p>
    <w:p>
      <w:pPr>
        <w:ind w:left="4600"/>
        <w:spacing w:after="0"/>
        <w:rPr>
          <w:sz w:val="20"/>
          <w:szCs w:val="20"/>
          <w:color w:val="auto"/>
        </w:rPr>
      </w:pPr>
      <w:r>
        <w:rPr>
          <w:rFonts w:ascii="Arial" w:cs="Arial" w:eastAsia="Arial" w:hAnsi="Arial"/>
          <w:sz w:val="19"/>
          <w:szCs w:val="19"/>
          <w:b w:val="1"/>
          <w:bCs w:val="1"/>
          <w:color w:val="auto"/>
        </w:rPr>
        <w:t>EVERGY METRO, INC.</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MANAGEMENT'S NARRATIVE ANALYSIS OF RESULTS OF OPERATIONS</w:t>
      </w:r>
    </w:p>
    <w:p>
      <w:pPr>
        <w:spacing w:after="0" w:line="213" w:lineRule="exact"/>
        <w:rPr>
          <w:sz w:val="20"/>
          <w:szCs w:val="20"/>
          <w:color w:val="auto"/>
        </w:rPr>
      </w:pPr>
    </w:p>
    <w:p>
      <w:pPr>
        <w:ind w:right="380"/>
        <w:spacing w:after="0" w:line="264" w:lineRule="auto"/>
        <w:rPr>
          <w:sz w:val="20"/>
          <w:szCs w:val="20"/>
          <w:color w:val="auto"/>
        </w:rPr>
      </w:pPr>
      <w:r>
        <w:rPr>
          <w:rFonts w:ascii="Arial" w:cs="Arial" w:eastAsia="Arial" w:hAnsi="Arial"/>
          <w:sz w:val="19"/>
          <w:szCs w:val="19"/>
          <w:color w:val="auto"/>
        </w:rPr>
        <w:t>The below results of operations and related discussion for Evergy Metro is presented in a reduced disclosure format in accordance with General Instruction (I)(2)(a) to Form 10-K.</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Evergy Metro's comparative results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top w:val="single" w:sz="8" w:color="auto"/>
              <w:bottom w:val="single" w:sz="8" w:color="auto"/>
            </w:tcBorders>
          </w:tcPr>
          <w:p>
            <w:pPr>
              <w:spacing w:after="0"/>
              <w:rPr>
                <w:sz w:val="21"/>
                <w:szCs w:val="21"/>
                <w:color w:val="auto"/>
              </w:rPr>
            </w:pPr>
          </w:p>
        </w:tc>
        <w:tc>
          <w:tcPr>
            <w:tcW w:w="39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w w:val="99"/>
              </w:rPr>
              <w:t>Change</w:t>
            </w: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2020</w:t>
            </w:r>
          </w:p>
        </w:tc>
        <w:tc>
          <w:tcPr>
            <w:tcW w:w="40" w:type="dxa"/>
            <w:vAlign w:val="bottom"/>
          </w:tcPr>
          <w:p>
            <w:pPr>
              <w:spacing w:after="0"/>
              <w:rPr>
                <w:sz w:val="21"/>
                <w:szCs w:val="21"/>
                <w:color w:val="auto"/>
              </w:rPr>
            </w:pPr>
          </w:p>
        </w:tc>
      </w:tr>
      <w:tr>
        <w:trPr>
          <w:trHeight w:val="209"/>
        </w:trPr>
        <w:tc>
          <w:tcPr>
            <w:tcW w:w="38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15"/>
              <w:spacing w:after="0"/>
              <w:rPr>
                <w:sz w:val="20"/>
                <w:szCs w:val="20"/>
                <w:color w:val="auto"/>
              </w:rPr>
            </w:pPr>
            <w:r>
              <w:rPr>
                <w:rFonts w:ascii="Arial" w:cs="Arial" w:eastAsia="Arial" w:hAnsi="Arial"/>
                <w:sz w:val="15"/>
                <w:szCs w:val="15"/>
                <w:color w:val="auto"/>
              </w:rPr>
              <w:t>(millions)</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revenues</w:t>
            </w:r>
          </w:p>
        </w:tc>
        <w:tc>
          <w:tcPr>
            <w:tcW w:w="4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1,913.7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208.1</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1,705.6</w:t>
            </w:r>
          </w:p>
        </w:tc>
        <w:tc>
          <w:tcPr>
            <w:tcW w:w="40" w:type="dxa"/>
            <w:vAlign w:val="bottom"/>
          </w:tcPr>
          <w:p>
            <w:pPr>
              <w:spacing w:after="0"/>
              <w:rPr>
                <w:sz w:val="19"/>
                <w:szCs w:val="19"/>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Fuel and purchased power</w:t>
            </w: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613.5</w:t>
            </w:r>
          </w:p>
        </w:tc>
        <w:tc>
          <w:tcPr>
            <w:tcW w:w="24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197.4</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416.1</w:t>
            </w:r>
          </w:p>
        </w:tc>
        <w:tc>
          <w:tcPr>
            <w:tcW w:w="4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and maintenance</w:t>
            </w: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365.4</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(42.1)</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407.5</w:t>
            </w:r>
          </w:p>
        </w:tc>
        <w:tc>
          <w:tcPr>
            <w:tcW w:w="40" w:type="dxa"/>
            <w:vAlign w:val="bottom"/>
          </w:tcPr>
          <w:p>
            <w:pPr>
              <w:spacing w:after="0"/>
              <w:rPr>
                <w:sz w:val="19"/>
                <w:szCs w:val="19"/>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321.0</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(5.1)</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326.1</w:t>
            </w:r>
          </w:p>
        </w:tc>
        <w:tc>
          <w:tcPr>
            <w:tcW w:w="4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other than income tax</w:t>
            </w:r>
          </w:p>
        </w:tc>
        <w:tc>
          <w:tcPr>
            <w:tcW w:w="39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126.2</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4.6</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w:t>
            </w:r>
          </w:p>
        </w:tc>
        <w:tc>
          <w:tcPr>
            <w:tcW w:w="40" w:type="dxa"/>
            <w:vAlign w:val="bottom"/>
          </w:tcPr>
          <w:p>
            <w:pPr>
              <w:spacing w:after="0"/>
              <w:rPr>
                <w:sz w:val="19"/>
                <w:szCs w:val="19"/>
                <w:color w:val="auto"/>
              </w:rPr>
            </w:pPr>
          </w:p>
        </w:tc>
      </w:tr>
      <w:tr>
        <w:trPr>
          <w:trHeight w:val="211"/>
        </w:trPr>
        <w:tc>
          <w:tcPr>
            <w:tcW w:w="3820" w:type="dxa"/>
            <w:vAlign w:val="bottom"/>
          </w:tcPr>
          <w:p>
            <w:pPr>
              <w:ind w:left="140"/>
              <w:spacing w:after="0"/>
              <w:rPr>
                <w:sz w:val="20"/>
                <w:szCs w:val="20"/>
                <w:color w:val="auto"/>
              </w:rPr>
            </w:pPr>
            <w:r>
              <w:rPr>
                <w:rFonts w:ascii="Arial" w:cs="Arial" w:eastAsia="Arial" w:hAnsi="Arial"/>
                <w:sz w:val="17"/>
                <w:szCs w:val="17"/>
                <w:color w:val="auto"/>
              </w:rPr>
              <w:t>Income from operations</w:t>
            </w: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487.6</w:t>
            </w:r>
          </w:p>
        </w:tc>
        <w:tc>
          <w:tcPr>
            <w:tcW w:w="24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53.3</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434.3</w:t>
            </w:r>
          </w:p>
        </w:tc>
        <w:tc>
          <w:tcPr>
            <w:tcW w:w="40" w:type="dxa"/>
            <w:vAlign w:val="bottom"/>
          </w:tcPr>
          <w:p>
            <w:pPr>
              <w:spacing w:after="0"/>
              <w:rPr>
                <w:sz w:val="18"/>
                <w:szCs w:val="18"/>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(13.1)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1.8</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40" w:type="dxa"/>
            <w:vAlign w:val="bottom"/>
          </w:tcPr>
          <w:p>
            <w:pPr>
              <w:spacing w:after="0"/>
              <w:rPr>
                <w:sz w:val="19"/>
                <w:szCs w:val="19"/>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109.8</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(3.8)</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113.6</w:t>
            </w:r>
          </w:p>
        </w:tc>
        <w:tc>
          <w:tcPr>
            <w:tcW w:w="40" w:type="dxa"/>
            <w:vAlign w:val="bottom"/>
          </w:tcPr>
          <w:p>
            <w:pPr>
              <w:spacing w:after="0"/>
              <w:rPr>
                <w:sz w:val="18"/>
                <w:szCs w:val="18"/>
                <w:color w:val="auto"/>
              </w:rPr>
            </w:pPr>
          </w:p>
        </w:tc>
      </w:tr>
      <w:tr>
        <w:trPr>
          <w:trHeight w:val="219"/>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52.4</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45.3</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40" w:type="dxa"/>
            <w:vAlign w:val="bottom"/>
          </w:tcPr>
          <w:p>
            <w:pPr>
              <w:spacing w:after="0"/>
              <w:rPr>
                <w:sz w:val="19"/>
                <w:szCs w:val="19"/>
                <w:color w:val="auto"/>
              </w:rPr>
            </w:pPr>
          </w:p>
        </w:tc>
      </w:tr>
      <w:tr>
        <w:trPr>
          <w:trHeight w:val="219"/>
        </w:trPr>
        <w:tc>
          <w:tcPr>
            <w:tcW w:w="38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income</w:t>
            </w:r>
          </w:p>
        </w:tc>
        <w:tc>
          <w:tcPr>
            <w:tcW w:w="4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312.3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13.6</w:t>
            </w: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298.7</w:t>
            </w:r>
          </w:p>
        </w:tc>
        <w:tc>
          <w:tcPr>
            <w:tcW w:w="40" w:type="dxa"/>
            <w:vAlign w:val="bottom"/>
          </w:tcPr>
          <w:p>
            <w:pPr>
              <w:spacing w:after="0"/>
              <w:rPr>
                <w:sz w:val="19"/>
                <w:szCs w:val="19"/>
                <w:color w:val="auto"/>
              </w:rPr>
            </w:pPr>
          </w:p>
        </w:tc>
      </w:tr>
      <w:tr>
        <w:trPr>
          <w:trHeight w:val="824"/>
        </w:trPr>
        <w:tc>
          <w:tcPr>
            <w:tcW w:w="3820" w:type="dxa"/>
            <w:vAlign w:val="bottom"/>
          </w:tcPr>
          <w:p>
            <w:pPr>
              <w:spacing w:after="0"/>
              <w:rPr>
                <w:sz w:val="24"/>
                <w:szCs w:val="24"/>
                <w:color w:val="auto"/>
              </w:rPr>
            </w:pPr>
          </w:p>
        </w:tc>
        <w:tc>
          <w:tcPr>
            <w:tcW w:w="3980" w:type="dxa"/>
            <w:vAlign w:val="bottom"/>
          </w:tcPr>
          <w:p>
            <w:pPr>
              <w:jc w:val="right"/>
              <w:ind w:right="2014"/>
              <w:spacing w:after="0"/>
              <w:rPr>
                <w:sz w:val="20"/>
                <w:szCs w:val="20"/>
                <w:color w:val="auto"/>
              </w:rPr>
            </w:pPr>
            <w:r>
              <w:rPr>
                <w:rFonts w:ascii="Arial" w:cs="Arial" w:eastAsia="Arial" w:hAnsi="Arial"/>
                <w:sz w:val="17"/>
                <w:szCs w:val="17"/>
                <w:color w:val="auto"/>
              </w:rPr>
              <w:t>57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382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9" w:name="page60"/>
    <w:bookmarkEnd w:id="5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Metro Utility Gross Margin and MWh Sales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Evergy Metro's utility gross margin and MWhs sold.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gridSpan w:val="4"/>
          </w:tcPr>
          <w:p>
            <w:pPr>
              <w:jc w:val="center"/>
              <w:ind w:left="494"/>
              <w:spacing w:after="0"/>
              <w:rPr>
                <w:sz w:val="20"/>
                <w:szCs w:val="20"/>
                <w:color w:val="auto"/>
              </w:rPr>
            </w:pPr>
            <w:r>
              <w:rPr>
                <w:rFonts w:ascii="Arial" w:cs="Arial" w:eastAsia="Arial" w:hAnsi="Arial"/>
                <w:sz w:val="17"/>
                <w:szCs w:val="17"/>
                <w:b w:val="1"/>
                <w:bCs w:val="1"/>
                <w:color w:val="auto"/>
                <w:w w:val="87"/>
              </w:rPr>
              <w:t>Revenues and Expenses</w:t>
            </w:r>
          </w:p>
        </w:tc>
        <w:tc>
          <w:tcPr>
            <w:tcW w:w="7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93"/>
              </w:rPr>
              <w:t>MWhs Sold</w:t>
            </w:r>
          </w:p>
        </w:tc>
        <w:tc>
          <w:tcPr>
            <w:tcW w:w="980" w:type="dxa"/>
            <w:vAlign w:val="bottom"/>
            <w:tcBorders>
              <w:top w:val="single" w:sz="8" w:color="auto"/>
            </w:tcBorders>
          </w:tcPr>
          <w:p>
            <w:pPr>
              <w:spacing w:after="0"/>
              <w:rPr>
                <w:sz w:val="20"/>
                <w:szCs w:val="20"/>
                <w:color w:val="auto"/>
              </w:rPr>
            </w:pPr>
          </w:p>
        </w:tc>
      </w:tr>
      <w:tr>
        <w:trPr>
          <w:trHeight w:val="224"/>
        </w:trPr>
        <w:tc>
          <w:tcPr>
            <w:tcW w:w="3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w w:val="89"/>
              </w:rPr>
              <w:t>Change</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2020</w:t>
            </w:r>
          </w:p>
        </w:tc>
        <w:tc>
          <w:tcPr>
            <w:tcW w:w="138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13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Change</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2020</w:t>
            </w:r>
          </w:p>
        </w:tc>
      </w:tr>
      <w:tr>
        <w:trPr>
          <w:trHeight w:val="212"/>
        </w:trPr>
        <w:tc>
          <w:tcPr>
            <w:tcW w:w="3960" w:type="dxa"/>
            <w:vAlign w:val="bottom"/>
          </w:tcPr>
          <w:p>
            <w:pPr>
              <w:ind w:left="20"/>
              <w:spacing w:after="0"/>
              <w:rPr>
                <w:sz w:val="20"/>
                <w:szCs w:val="20"/>
                <w:color w:val="auto"/>
              </w:rPr>
            </w:pPr>
            <w:r>
              <w:rPr>
                <w:rFonts w:ascii="Arial" w:cs="Arial" w:eastAsia="Arial" w:hAnsi="Arial"/>
                <w:sz w:val="17"/>
                <w:szCs w:val="17"/>
                <w:color w:val="auto"/>
              </w:rPr>
              <w:t>Retail revenues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175"/>
              <w:spacing w:after="0"/>
              <w:rPr>
                <w:sz w:val="20"/>
                <w:szCs w:val="20"/>
                <w:color w:val="auto"/>
              </w:rPr>
            </w:pPr>
            <w:r>
              <w:rPr>
                <w:rFonts w:ascii="Arial" w:cs="Arial" w:eastAsia="Arial" w:hAnsi="Arial"/>
                <w:sz w:val="15"/>
                <w:szCs w:val="15"/>
                <w:color w:val="auto"/>
                <w:w w:val="99"/>
              </w:rPr>
              <w:t>(millions)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center"/>
              <w:ind w:right="75"/>
              <w:spacing w:after="0"/>
              <w:rPr>
                <w:sz w:val="20"/>
                <w:szCs w:val="20"/>
                <w:color w:val="auto"/>
              </w:rPr>
            </w:pPr>
            <w:r>
              <w:rPr>
                <w:rFonts w:ascii="Arial" w:cs="Arial" w:eastAsia="Arial" w:hAnsi="Arial"/>
                <w:sz w:val="15"/>
                <w:szCs w:val="15"/>
                <w:color w:val="auto"/>
                <w:w w:val="90"/>
              </w:rPr>
              <w:t>(thousands)</w:t>
            </w:r>
          </w:p>
        </w:tc>
        <w:tc>
          <w:tcPr>
            <w:tcW w:w="980" w:type="dxa"/>
            <w:vAlign w:val="bottom"/>
          </w:tcPr>
          <w:p>
            <w:pPr>
              <w:spacing w:after="0"/>
              <w:rPr>
                <w:sz w:val="18"/>
                <w:szCs w:val="18"/>
                <w:color w:val="auto"/>
              </w:rPr>
            </w:pPr>
          </w:p>
        </w:tc>
      </w:tr>
      <w:tr>
        <w:trPr>
          <w:trHeight w:val="220"/>
        </w:trPr>
        <w:tc>
          <w:tcPr>
            <w:tcW w:w="3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Residential</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691.9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(22.8)</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714.7</w:t>
            </w:r>
          </w:p>
        </w:tc>
        <w:tc>
          <w:tcPr>
            <w:tcW w:w="13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5,517</w:t>
            </w:r>
          </w:p>
        </w:tc>
        <w:tc>
          <w:tcPr>
            <w:tcW w:w="13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87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5,430</w:t>
            </w:r>
          </w:p>
        </w:tc>
      </w:tr>
      <w:tr>
        <w:trPr>
          <w:trHeight w:val="218"/>
        </w:trPr>
        <w:tc>
          <w:tcPr>
            <w:tcW w:w="396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713.3</w:t>
            </w:r>
          </w:p>
        </w:tc>
        <w:tc>
          <w:tcPr>
            <w:tcW w:w="26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(3.8)</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717.1</w:t>
            </w:r>
          </w:p>
        </w:tc>
        <w:tc>
          <w:tcPr>
            <w:tcW w:w="1380" w:type="dxa"/>
            <w:vAlign w:val="bottom"/>
            <w:gridSpan w:val="2"/>
          </w:tcPr>
          <w:p>
            <w:pPr>
              <w:jc w:val="right"/>
              <w:ind w:right="114"/>
              <w:spacing w:after="0"/>
              <w:rPr>
                <w:sz w:val="20"/>
                <w:szCs w:val="20"/>
                <w:color w:val="auto"/>
              </w:rPr>
            </w:pPr>
            <w:r>
              <w:rPr>
                <w:rFonts w:ascii="Arial" w:cs="Arial" w:eastAsia="Arial" w:hAnsi="Arial"/>
                <w:sz w:val="17"/>
                <w:szCs w:val="17"/>
                <w:color w:val="auto"/>
              </w:rPr>
              <w:t>7,286</w:t>
            </w:r>
          </w:p>
        </w:tc>
        <w:tc>
          <w:tcPr>
            <w:tcW w:w="1360" w:type="dxa"/>
            <w:vAlign w:val="bottom"/>
          </w:tcPr>
          <w:p>
            <w:pPr>
              <w:jc w:val="right"/>
              <w:ind w:right="255"/>
              <w:spacing w:after="0"/>
              <w:rPr>
                <w:sz w:val="20"/>
                <w:szCs w:val="20"/>
                <w:color w:val="auto"/>
              </w:rPr>
            </w:pPr>
            <w:r>
              <w:rPr>
                <w:rFonts w:ascii="Arial" w:cs="Arial" w:eastAsia="Arial" w:hAnsi="Arial"/>
                <w:sz w:val="17"/>
                <w:szCs w:val="17"/>
                <w:color w:val="auto"/>
              </w:rPr>
              <w:t>258</w:t>
            </w:r>
          </w:p>
        </w:tc>
        <w:tc>
          <w:tcPr>
            <w:tcW w:w="980" w:type="dxa"/>
            <w:vAlign w:val="bottom"/>
          </w:tcPr>
          <w:p>
            <w:pPr>
              <w:jc w:val="right"/>
              <w:spacing w:after="0"/>
              <w:rPr>
                <w:sz w:val="20"/>
                <w:szCs w:val="20"/>
                <w:color w:val="auto"/>
              </w:rPr>
            </w:pPr>
            <w:r>
              <w:rPr>
                <w:rFonts w:ascii="Arial" w:cs="Arial" w:eastAsia="Arial" w:hAnsi="Arial"/>
                <w:sz w:val="17"/>
                <w:szCs w:val="17"/>
                <w:color w:val="auto"/>
              </w:rPr>
              <w:t>7,028</w:t>
            </w:r>
          </w:p>
        </w:tc>
      </w:tr>
      <w:tr>
        <w:trPr>
          <w:trHeight w:val="220"/>
        </w:trPr>
        <w:tc>
          <w:tcPr>
            <w:tcW w:w="3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122.0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(6.8)</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13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1,669</w:t>
            </w:r>
          </w:p>
        </w:tc>
        <w:tc>
          <w:tcPr>
            <w:tcW w:w="13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(26)</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w:t>
            </w:r>
          </w:p>
        </w:tc>
      </w:tr>
      <w:tr>
        <w:trPr>
          <w:trHeight w:val="218"/>
        </w:trPr>
        <w:tc>
          <w:tcPr>
            <w:tcW w:w="39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retail revenues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9.2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(2.5)</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70</w:t>
            </w:r>
          </w:p>
        </w:tc>
        <w:tc>
          <w:tcPr>
            <w:tcW w:w="13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r>
      <w:tr>
        <w:trPr>
          <w:trHeight w:val="213"/>
        </w:trPr>
        <w:tc>
          <w:tcPr>
            <w:tcW w:w="3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electric retail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1,536.4</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(35.9)</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1,572.3</w:t>
            </w:r>
          </w:p>
        </w:tc>
        <w:tc>
          <w:tcPr>
            <w:tcW w:w="13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14,542</w:t>
            </w:r>
          </w:p>
        </w:tc>
        <w:tc>
          <w:tcPr>
            <w:tcW w:w="13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318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14,224</w:t>
            </w:r>
          </w:p>
        </w:tc>
      </w:tr>
      <w:tr>
        <w:trPr>
          <w:trHeight w:val="218"/>
        </w:trPr>
        <w:tc>
          <w:tcPr>
            <w:tcW w:w="3960" w:type="dxa"/>
            <w:vAlign w:val="bottom"/>
          </w:tcPr>
          <w:p>
            <w:pPr>
              <w:ind w:left="20"/>
              <w:spacing w:after="0"/>
              <w:rPr>
                <w:sz w:val="20"/>
                <w:szCs w:val="20"/>
                <w:color w:val="auto"/>
              </w:rPr>
            </w:pPr>
            <w:r>
              <w:rPr>
                <w:rFonts w:ascii="Arial" w:cs="Arial" w:eastAsia="Arial" w:hAnsi="Arial"/>
                <w:sz w:val="17"/>
                <w:szCs w:val="17"/>
                <w:color w:val="auto"/>
              </w:rPr>
              <w:t>Wholesale revenues</w:t>
            </w: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242.6</w:t>
            </w:r>
          </w:p>
        </w:tc>
        <w:tc>
          <w:tcPr>
            <w:tcW w:w="260" w:type="dxa"/>
            <w:vAlign w:val="bottom"/>
          </w:tcPr>
          <w:p>
            <w:pPr>
              <w:spacing w:after="0"/>
              <w:rPr>
                <w:sz w:val="18"/>
                <w:szCs w:val="18"/>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207.6</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35.0</w:t>
            </w:r>
          </w:p>
        </w:tc>
        <w:tc>
          <w:tcPr>
            <w:tcW w:w="1380" w:type="dxa"/>
            <w:vAlign w:val="bottom"/>
            <w:gridSpan w:val="2"/>
          </w:tcPr>
          <w:p>
            <w:pPr>
              <w:jc w:val="right"/>
              <w:ind w:right="114"/>
              <w:spacing w:after="0"/>
              <w:rPr>
                <w:sz w:val="20"/>
                <w:szCs w:val="20"/>
                <w:color w:val="auto"/>
              </w:rPr>
            </w:pPr>
            <w:r>
              <w:rPr>
                <w:rFonts w:ascii="Arial" w:cs="Arial" w:eastAsia="Arial" w:hAnsi="Arial"/>
                <w:sz w:val="17"/>
                <w:szCs w:val="17"/>
                <w:color w:val="auto"/>
              </w:rPr>
              <w:t>5,523</w:t>
            </w:r>
          </w:p>
        </w:tc>
        <w:tc>
          <w:tcPr>
            <w:tcW w:w="1360" w:type="dxa"/>
            <w:vAlign w:val="bottom"/>
          </w:tcPr>
          <w:p>
            <w:pPr>
              <w:jc w:val="right"/>
              <w:ind w:right="195"/>
              <w:spacing w:after="0"/>
              <w:rPr>
                <w:sz w:val="20"/>
                <w:szCs w:val="20"/>
                <w:color w:val="auto"/>
              </w:rPr>
            </w:pPr>
            <w:r>
              <w:rPr>
                <w:rFonts w:ascii="Arial" w:cs="Arial" w:eastAsia="Arial" w:hAnsi="Arial"/>
                <w:sz w:val="17"/>
                <w:szCs w:val="17"/>
                <w:color w:val="auto"/>
              </w:rPr>
              <w:t>(434)</w:t>
            </w:r>
          </w:p>
        </w:tc>
        <w:tc>
          <w:tcPr>
            <w:tcW w:w="980" w:type="dxa"/>
            <w:vAlign w:val="bottom"/>
          </w:tcPr>
          <w:p>
            <w:pPr>
              <w:jc w:val="right"/>
              <w:spacing w:after="0"/>
              <w:rPr>
                <w:sz w:val="20"/>
                <w:szCs w:val="20"/>
                <w:color w:val="auto"/>
              </w:rPr>
            </w:pPr>
            <w:r>
              <w:rPr>
                <w:rFonts w:ascii="Arial" w:cs="Arial" w:eastAsia="Arial" w:hAnsi="Arial"/>
                <w:sz w:val="17"/>
                <w:szCs w:val="17"/>
                <w:color w:val="auto"/>
              </w:rPr>
              <w:t>5,957</w:t>
            </w:r>
          </w:p>
        </w:tc>
      </w:tr>
      <w:tr>
        <w:trPr>
          <w:trHeight w:val="220"/>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17.1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3.2</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N/A</w:t>
            </w:r>
          </w:p>
        </w:tc>
        <w:tc>
          <w:tcPr>
            <w:tcW w:w="13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8"/>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revenues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117.6</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33.2</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N/A</w:t>
            </w:r>
          </w:p>
        </w:tc>
        <w:tc>
          <w:tcPr>
            <w:tcW w:w="13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N/A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r>
      <w:tr>
        <w:trPr>
          <w:trHeight w:val="213"/>
        </w:trPr>
        <w:tc>
          <w:tcPr>
            <w:tcW w:w="3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1,913.7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208.1</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1,705.6</w:t>
            </w:r>
          </w:p>
        </w:tc>
        <w:tc>
          <w:tcPr>
            <w:tcW w:w="13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20,065</w:t>
            </w:r>
          </w:p>
        </w:tc>
        <w:tc>
          <w:tcPr>
            <w:tcW w:w="13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(116)</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20,181</w:t>
            </w:r>
          </w:p>
        </w:tc>
      </w:tr>
      <w:tr>
        <w:trPr>
          <w:trHeight w:val="218"/>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Fuel and purchased power</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(613.5)</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(197.4)</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(416.1)</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r>
      <w:tr>
        <w:trPr>
          <w:trHeight w:val="213"/>
        </w:trPr>
        <w:tc>
          <w:tcPr>
            <w:tcW w:w="396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b w:val="1"/>
                <w:bCs w:val="1"/>
                <w:color w:val="auto"/>
              </w:rPr>
              <w:t xml:space="preserve">Utility gross margin </w:t>
            </w:r>
            <w:r>
              <w:rPr>
                <w:rFonts w:ascii="Arial" w:cs="Arial" w:eastAsia="Arial" w:hAnsi="Arial"/>
                <w:sz w:val="22"/>
                <w:szCs w:val="22"/>
                <w:b w:val="1"/>
                <w:bCs w:val="1"/>
                <w:color w:val="auto"/>
                <w:vertAlign w:val="superscript"/>
              </w:rPr>
              <w:t>(a)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1,300.2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10.7</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1,289.5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8"/>
        </w:trPr>
        <w:tc>
          <w:tcPr>
            <w:tcW w:w="3960" w:type="dxa"/>
            <w:vAlign w:val="bottom"/>
          </w:tcPr>
          <w:p>
            <w:pPr>
              <w:ind w:left="20"/>
              <w:spacing w:after="0"/>
              <w:rPr>
                <w:sz w:val="20"/>
                <w:szCs w:val="20"/>
                <w:color w:val="auto"/>
              </w:rPr>
            </w:pPr>
            <w:r>
              <w:rPr>
                <w:rFonts w:ascii="Arial" w:cs="Arial" w:eastAsia="Arial" w:hAnsi="Arial"/>
                <w:sz w:val="17"/>
                <w:szCs w:val="17"/>
                <w:color w:val="auto"/>
              </w:rPr>
              <w:t>Operating and maintenance</w:t>
            </w:r>
          </w:p>
        </w:tc>
        <w:tc>
          <w:tcPr>
            <w:tcW w:w="22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(365.4)</w:t>
            </w:r>
          </w:p>
        </w:tc>
        <w:tc>
          <w:tcPr>
            <w:tcW w:w="260" w:type="dxa"/>
            <w:vAlign w:val="bottom"/>
          </w:tcPr>
          <w:p>
            <w:pPr>
              <w:spacing w:after="0"/>
              <w:rPr>
                <w:sz w:val="18"/>
                <w:szCs w:val="18"/>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42.1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(407.5)</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(321.0)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5.1</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Taxes other than income tax</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(126.2)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r>
      <w:tr>
        <w:trPr>
          <w:trHeight w:val="219"/>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487.6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42.6</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434.3</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82" w:lineRule="exact"/>
        <w:rPr>
          <w:sz w:val="20"/>
          <w:szCs w:val="20"/>
          <w:color w:val="auto"/>
        </w:rPr>
      </w:pPr>
    </w:p>
    <w:p>
      <w:pPr>
        <w:ind w:left="140" w:hanging="137"/>
        <w:spacing w:after="0"/>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color w:val="auto"/>
        </w:rPr>
        <w:t>Utility gross margin is a non-GAAP financial measure. See explanation of utility gross margin under Evergy's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Evergy Metro's utility gross margin increased $10.7 million in 2021, compared to 2020, driven by:</w:t>
      </w:r>
    </w:p>
    <w:p>
      <w:pPr>
        <w:spacing w:after="0" w:line="104" w:lineRule="exact"/>
        <w:rPr>
          <w:sz w:val="20"/>
          <w:szCs w:val="20"/>
          <w:color w:val="auto"/>
        </w:rPr>
      </w:pPr>
    </w:p>
    <w:p>
      <w:pPr>
        <w:ind w:left="620" w:hanging="307"/>
        <w:spacing w:after="0" w:line="252" w:lineRule="auto"/>
        <w:tabs>
          <w:tab w:leader="none" w:pos="609"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$30.7 million increase primarily due to higher retail sales driven by favorable weather (cooling degree days increased 20%, partially offset by a 5% decrease in heating degree days), partially offset by a decrease in weather-normalized residential and industrial demand; partially offset by</w:t>
      </w:r>
    </w:p>
    <w:p>
      <w:pPr>
        <w:spacing w:after="0" w:line="72" w:lineRule="exact"/>
        <w:rPr>
          <w:rFonts w:ascii="Arial" w:cs="Arial" w:eastAsia="Arial" w:hAnsi="Arial"/>
          <w:sz w:val="19"/>
          <w:szCs w:val="19"/>
          <w:color w:val="auto"/>
        </w:rPr>
      </w:pPr>
    </w:p>
    <w:p>
      <w:pPr>
        <w:ind w:left="620" w:right="160" w:hanging="307"/>
        <w:spacing w:after="0" w:line="252" w:lineRule="auto"/>
        <w:tabs>
          <w:tab w:leader="none" w:pos="609"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 $11.4 million decrease due to impacts from the February 2021 winter weather event primarily driven by jurisdictional allocation differences currently present between Evergy Metro's fuel recovery mechanisms in Missouri and Kansas regarding its refund to customers for the net increase in wholesale revenues in February 2021; and</w:t>
      </w:r>
    </w:p>
    <w:p>
      <w:pPr>
        <w:spacing w:after="0" w:line="72" w:lineRule="exact"/>
        <w:rPr>
          <w:rFonts w:ascii="Arial" w:cs="Arial" w:eastAsia="Arial" w:hAnsi="Arial"/>
          <w:sz w:val="19"/>
          <w:szCs w:val="19"/>
          <w:color w:val="auto"/>
        </w:rPr>
      </w:pPr>
    </w:p>
    <w:p>
      <w:pPr>
        <w:ind w:left="620" w:right="40" w:hanging="307"/>
        <w:spacing w:after="0" w:line="264" w:lineRule="auto"/>
        <w:tabs>
          <w:tab w:leader="none" w:pos="609"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 $8.6 million decrease in revenues due to a rate reduction beginning January 1, 2021, in Kansas to reflect Evergy Metro's exemption from Kansas corporate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Metro Operating and Maintenance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Evergy Metro's operating and maintenance expense decreased $42.1 million in 2021, compared to 2020, primarily driven by:</w:t>
      </w:r>
    </w:p>
    <w:p>
      <w:pPr>
        <w:spacing w:after="0" w:line="88" w:lineRule="exact"/>
        <w:rPr>
          <w:sz w:val="20"/>
          <w:szCs w:val="20"/>
          <w:color w:val="auto"/>
        </w:rPr>
      </w:pPr>
    </w:p>
    <w:p>
      <w:pPr>
        <w:ind w:left="620" w:right="40" w:hanging="307"/>
        <w:spacing w:after="0" w:line="292" w:lineRule="auto"/>
        <w:tabs>
          <w:tab w:leader="none" w:pos="6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$23.5 million decrease in voluntary severance expenses due to a $19.7 million decrease related to Evergy voluntary exit programs in 2020 and a $3.8 million decrease in voluntary severance expenses related to Wolf Creek voluntary exit programs in 2020; and</w:t>
      </w:r>
    </w:p>
    <w:p>
      <w:pPr>
        <w:spacing w:after="0" w:line="37" w:lineRule="exact"/>
        <w:rPr>
          <w:rFonts w:ascii="Arial" w:cs="Arial" w:eastAsia="Arial" w:hAnsi="Arial"/>
          <w:sz w:val="18"/>
          <w:szCs w:val="18"/>
          <w:color w:val="auto"/>
        </w:rPr>
      </w:pPr>
    </w:p>
    <w:p>
      <w:pPr>
        <w:ind w:left="620" w:right="80" w:hanging="307"/>
        <w:spacing w:after="0" w:line="252" w:lineRule="auto"/>
        <w:tabs>
          <w:tab w:leader="none" w:pos="609"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$20.6 million decrease in various administrative and general operating and maintenance expenses driven by an increase in costs billed for common use assets to Evergy Kansas Central in 2021 primarily related to software assets placed into service in the third quarter of 2020; partially offset by</w:t>
      </w:r>
    </w:p>
    <w:p>
      <w:pPr>
        <w:spacing w:after="0" w:line="72" w:lineRule="exact"/>
        <w:rPr>
          <w:rFonts w:ascii="Arial" w:cs="Arial" w:eastAsia="Arial" w:hAnsi="Arial"/>
          <w:sz w:val="19"/>
          <w:szCs w:val="19"/>
          <w:color w:val="auto"/>
        </w:rPr>
      </w:pPr>
    </w:p>
    <w:p>
      <w:pPr>
        <w:ind w:left="620" w:right="40" w:hanging="307"/>
        <w:spacing w:after="0" w:line="264" w:lineRule="auto"/>
        <w:tabs>
          <w:tab w:leader="none" w:pos="609" w:val="left"/>
        </w:tabs>
        <w:numPr>
          <w:ilvl w:val="0"/>
          <w:numId w:val="43"/>
        </w:numPr>
        <w:rPr>
          <w:rFonts w:ascii="Arial" w:cs="Arial" w:eastAsia="Arial" w:hAnsi="Arial"/>
          <w:sz w:val="19"/>
          <w:szCs w:val="19"/>
          <w:color w:val="auto"/>
        </w:rPr>
      </w:pPr>
      <w:r>
        <w:rPr>
          <w:rFonts w:ascii="Arial" w:cs="Arial" w:eastAsia="Arial" w:hAnsi="Arial"/>
          <w:sz w:val="19"/>
          <w:szCs w:val="19"/>
          <w:color w:val="auto"/>
        </w:rPr>
        <w:t>$2.1 million of costs associated with executive transition in 2021, including inducement bonuses, severance agreements and other transition expenses; and</w:t>
      </w:r>
    </w:p>
    <w:p>
      <w:pPr>
        <w:spacing w:after="0" w:line="60" w:lineRule="exact"/>
        <w:rPr>
          <w:rFonts w:ascii="Arial" w:cs="Arial" w:eastAsia="Arial" w:hAnsi="Arial"/>
          <w:sz w:val="19"/>
          <w:szCs w:val="19"/>
          <w:color w:val="auto"/>
        </w:rPr>
      </w:pPr>
    </w:p>
    <w:p>
      <w:pPr>
        <w:ind w:left="620" w:right="440" w:hanging="307"/>
        <w:spacing w:after="0" w:line="264" w:lineRule="auto"/>
        <w:tabs>
          <w:tab w:leader="none" w:pos="609"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$1.3 million increase in property insurance expense due to a lower annual refund of nuclear insurance premiums received in 2021 by Evergy Metro related to its ownership interest in Wolf Creek.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0" w:name="page61"/>
    <w:bookmarkEnd w:id="6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Metro Interest Expense</w:t>
      </w:r>
    </w:p>
    <w:p>
      <w:pPr>
        <w:spacing w:after="0" w:line="23" w:lineRule="exact"/>
        <w:rPr>
          <w:sz w:val="20"/>
          <w:szCs w:val="20"/>
          <w:color w:val="auto"/>
        </w:rPr>
      </w:pPr>
    </w:p>
    <w:p>
      <w:pPr>
        <w:ind w:right="860"/>
        <w:spacing w:after="0" w:line="247" w:lineRule="auto"/>
        <w:rPr>
          <w:sz w:val="20"/>
          <w:szCs w:val="20"/>
          <w:color w:val="auto"/>
        </w:rPr>
      </w:pPr>
      <w:r>
        <w:rPr>
          <w:rFonts w:ascii="Arial" w:cs="Arial" w:eastAsia="Arial" w:hAnsi="Arial"/>
          <w:sz w:val="19"/>
          <w:szCs w:val="19"/>
          <w:color w:val="auto"/>
        </w:rPr>
        <w:t>Evergy Metro's interest expense decreased $3.8 million in 2021, compared to 2020, primarily due to lower interest expense on short-term borrowings driven by lower weighted-average interest rates and lower commercial paper balances in 2021.</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Metro Income Tax Expense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Evergy Metro's income tax expense increased $45.3 million in 2021, compared to 2020, primarily driven by:</w:t>
      </w:r>
    </w:p>
    <w:p>
      <w:pPr>
        <w:spacing w:after="0" w:line="88" w:lineRule="exact"/>
        <w:rPr>
          <w:sz w:val="20"/>
          <w:szCs w:val="20"/>
          <w:color w:val="auto"/>
        </w:rPr>
      </w:pPr>
    </w:p>
    <w:p>
      <w:pPr>
        <w:ind w:left="620" w:right="520" w:hanging="307"/>
        <w:spacing w:after="0" w:line="264" w:lineRule="auto"/>
        <w:tabs>
          <w:tab w:leader="none" w:pos="609"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$32.2 million increase related to the revaluation of deferred income tax assets and liabilities in the second quarter of 2020 due to the change in the Kansas corporate income tax rate;</w:t>
      </w:r>
    </w:p>
    <w:p>
      <w:pPr>
        <w:spacing w:after="0" w:line="60" w:lineRule="exact"/>
        <w:rPr>
          <w:rFonts w:ascii="Arial" w:cs="Arial" w:eastAsia="Arial" w:hAnsi="Arial"/>
          <w:sz w:val="19"/>
          <w:szCs w:val="19"/>
          <w:color w:val="auto"/>
        </w:rPr>
      </w:pPr>
    </w:p>
    <w:p>
      <w:pPr>
        <w:ind w:left="620" w:hanging="307"/>
        <w:spacing w:after="0"/>
        <w:tabs>
          <w:tab w:leader="none" w:pos="6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$15.1 million increase due to higher pre-tax income in 2021;</w:t>
      </w:r>
    </w:p>
    <w:p>
      <w:pPr>
        <w:spacing w:after="0" w:line="103" w:lineRule="exact"/>
        <w:rPr>
          <w:rFonts w:ascii="Arial" w:cs="Arial" w:eastAsia="Arial" w:hAnsi="Arial"/>
          <w:sz w:val="19"/>
          <w:szCs w:val="19"/>
          <w:color w:val="auto"/>
        </w:rPr>
      </w:pPr>
    </w:p>
    <w:p>
      <w:pPr>
        <w:ind w:left="620" w:right="120" w:hanging="307"/>
        <w:spacing w:after="0" w:line="292" w:lineRule="auto"/>
        <w:tabs>
          <w:tab w:leader="none" w:pos="60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$5.0 million increase due to lower wind and other income tax credits in 2021, primarily driven by the expiration of production tax credits at the Spearville 2 wind facility in the fourth quarter of 2020 and lower research and development tax credits in 2021; and</w:t>
      </w:r>
    </w:p>
    <w:p>
      <w:pPr>
        <w:spacing w:after="0" w:line="37" w:lineRule="exact"/>
        <w:rPr>
          <w:rFonts w:ascii="Arial" w:cs="Arial" w:eastAsia="Arial" w:hAnsi="Arial"/>
          <w:sz w:val="18"/>
          <w:szCs w:val="18"/>
          <w:color w:val="auto"/>
        </w:rPr>
      </w:pPr>
    </w:p>
    <w:p>
      <w:pPr>
        <w:ind w:left="620" w:hanging="307"/>
        <w:spacing w:after="0"/>
        <w:tabs>
          <w:tab w:leader="none" w:pos="6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$2.8 million increase due to higher non-deductible officer compensation in 2021; partially offset by</w:t>
      </w:r>
    </w:p>
    <w:p>
      <w:pPr>
        <w:spacing w:after="0" w:line="103" w:lineRule="exact"/>
        <w:rPr>
          <w:rFonts w:ascii="Arial" w:cs="Arial" w:eastAsia="Arial" w:hAnsi="Arial"/>
          <w:sz w:val="19"/>
          <w:szCs w:val="19"/>
          <w:color w:val="auto"/>
        </w:rPr>
      </w:pPr>
    </w:p>
    <w:p>
      <w:pPr>
        <w:ind w:left="620" w:right="100" w:hanging="307"/>
        <w:spacing w:after="0" w:line="264" w:lineRule="auto"/>
        <w:tabs>
          <w:tab w:leader="none" w:pos="609"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$14.1 million decrease as a result of the state of Kansas exempting certain public utilities, including Evergy Metro from Kansas corporate income tax beginning in January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See Note 19 to the consolidated financial statements for more information regarding the change in the Kansas corporate income tax rate.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In the ordinary course of business, Evergy faces risks that are either non-financial or non-quantifiable. Such risks principally include business, legal, operational and credit risks and are not represented in the following analysis. See Part I, Item 1A, Risk Factors and Part II, Item 7, MD&amp;A for further discussion of risk factors.</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Evergy Companies are exposed to market risks associated with commodity price and supply, interest rates and security prices. Commodity price risk is the potential adverse price impact related to the purchase or sale of electricity and energy-related products. Credit risk is the potential adverse financial impact resulting from non-performance by a counterparty of its contractual obligations. Interest rate risk is the potential adverse financial impact related to changes in interest rates. In addition, Evergy's investments in trusts to fund nuclear plant decommissioning and non-qualified retirement benefits, as well as limited equity investments in early-stage energy solution companies, give rise to security price risk.</w:t>
      </w:r>
    </w:p>
    <w:p>
      <w:pPr>
        <w:spacing w:after="0" w:line="15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Management has established risk management policies and strategies to reduce the potentially adverse effects that the volatility of the markets may have on Evergy's operating results. During the ordinary course of business, the Evergy Companies' hedging strategies are reviewed to determine the hedging approach deemed appropriate based upon the circumstances of each situation. Though management believes its risk management practices are effective, it is not possible to identify and eliminate all risk. Evergy could experience losses, which could have a material adverse effect on its results of operations or financial position, due to many factors, including unexpectedly large or rapid movements or disruptions in the energy markets, regulatory-driven market rule changes and/or bankruptcy or non-performance of customers or counterparties, and/or failure of underlying transactions that have been hedged to materialize.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Hedging Strategies</w:t>
      </w:r>
    </w:p>
    <w:p>
      <w:pPr>
        <w:spacing w:after="0" w:line="23"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From time to time, Evergy utilizes derivative instruments to execute risk management and hedging strategies. Derivative instruments, such as futures, forward contracts, swaps or options, derive their value from underlying assets, indices, reference rates or a combination of these factors. These derivative instruments include negotiated contracts, which are referred to as over-the-counter derivatives, and instruments listed and traded on an exchange.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Commodity Price Risk</w:t>
      </w:r>
    </w:p>
    <w:p>
      <w:pPr>
        <w:spacing w:after="0" w:line="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Evergy Companies engage in the wholesale and retail sale of electricity as part of their regulated electric operations in addition to limited non-regulated energy marketing activities. These activities expose the Evergy Companies to risks associated with the price of electricity and other energy-related products. Exposure to these risks is affected by a number of factors including the quantity and availability of fuel used for generation and the quantity of electricity customers consume, as well as the wholesale market prices received by the Evergy Companies' generation resources and the wholesale market prices paid to procure power to serve customer load or satisfy regulatory or contractual obligations. Customers' electricity usage could also vary from year to year based on the weather or other factors. Quantities of fossil fuel used for generation vary from year to year based on the availability, price and deliverability of a given fuel type as well as planned and unplanned outages at facilities that use fossil fuels. Evergy's exposure to fluctuations in these factors is limited by the cost-based regulation of its regulated operations in Kansas and Missouri as these operations are typically allowed to recover substantially all of these costs through fuel recovery mechanisms. While there may be a delay in timing between when these costs are incurred and when they are recovered through rates, changes from year to year generally do not have a material impact on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Risk</w:t>
      </w:r>
    </w:p>
    <w:p>
      <w:pPr>
        <w:spacing w:after="0" w:line="23"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Evergy manages interest rate risk and short- and long-term liquidity by limiting its exposure to variable interest rate debt to a percentage of total debt, diversifying maturity dates and, from time to time, entering into interest rate hedging transactions. At December 31, 2021, 2.8% of Evergy's long-term debt was variable rate debt, short-term borrowings and current maturities of fixed rate debt that were exposed to interest rate risk. Evergy computes and presents information regarding the sensitivity to changes in interest rates for variable rate debt, short-term borrowings and current maturities of fixed rate debt by assuming a 100-basis-point change in the current interest rates applicable to such debt over the remaining time the debt is outstanding.</w:t>
      </w:r>
    </w:p>
    <w:p>
      <w:pPr>
        <w:spacing w:after="0" w:line="183" w:lineRule="exact"/>
        <w:rPr>
          <w:sz w:val="20"/>
          <w:szCs w:val="20"/>
          <w:color w:val="auto"/>
        </w:rPr>
      </w:pPr>
    </w:p>
    <w:p>
      <w:pPr>
        <w:ind w:right="220"/>
        <w:spacing w:after="0" w:line="252" w:lineRule="auto"/>
        <w:rPr>
          <w:sz w:val="20"/>
          <w:szCs w:val="20"/>
          <w:color w:val="auto"/>
        </w:rPr>
      </w:pPr>
      <w:r>
        <w:rPr>
          <w:rFonts w:ascii="Arial" w:cs="Arial" w:eastAsia="Arial" w:hAnsi="Arial"/>
          <w:sz w:val="19"/>
          <w:szCs w:val="19"/>
          <w:color w:val="auto"/>
        </w:rPr>
        <w:t>At December 31, 2021, Evergy had $1,815.3 million of variable rate debt, short-term borrowings and current maturities of fixed rate debt. A 100-basis-point change in interest rates applicable to this debt would impact Evergy's income before income taxes on an annualized basis by approximately $16.1 million.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Credit Risk</w:t>
      </w:r>
    </w:p>
    <w:p>
      <w:pPr>
        <w:spacing w:after="0" w:line="23"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Evergy is exposed to counterparty credit risk largely in the form of accounts receivable from its retail and wholesale electric customers and through executory contracts with market risk exposure. The credit risk associated with accounts receivable from retail and wholesale customers is largely mitigated by Evergy's large number of individual customers spread across diverse customer classes and the ability to recover bad debt expense in customer rates. The Evergy Companies maintain credit policies and employ credit risk control mechanisms, such as letters of credit, when necessary to minimize their overall credit risk and monitor exposure.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Investment Risk</w:t>
      </w:r>
    </w:p>
    <w:p>
      <w:pPr>
        <w:spacing w:after="0" w:line="23"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Evergy maintains trust funds, as required by the NRC, to fund its 94% share of decommissioning the Wolf Creek nuclear power plant and also maintains trusts to fund pension benefits as well as certain non-qualified retirement benefits. As of December 31, 2021, these funds were primarily invested in a diversified mix of equity and debt securities and reflected at fair value on Evergy's balance sheet. The equity securities in the trusts are exposed to price fluctuations in equity markets and the value of debt securities are exposed to changes in interest rates and other market factors.</w:t>
      </w:r>
    </w:p>
    <w:p>
      <w:pPr>
        <w:spacing w:after="0" w:line="155"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As nuclear decommissioning costs are currently recovered in customer rates, Evergy defers both realized and unrealized gains and losses for these securities as an offset to its regulatory liability for decommissioning Wolf Creek and as such, fluctuations in the value of these securities do not impact earnings. A significant decline in the value of pension or non-qualified retirement assets could require Evergy to increase funding of its pension plans in future periods, which could adversely affect cash flows in those periods. In addition, a decline in the fair value of these plan assets, in the absence of additional cash contributions to the plans by Evergy, could increase the amount of pension cost required to be recorded in future periods by Evergy.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2" w:name="page63"/>
    <w:bookmarkEnd w:id="6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Evergy's investments in debt and equity securities in its nuclear decommissioning and pension trusts, Evergy also makes limited equity investments in early-stage energy solution companies. These limited equity investments are often in privately-owned companies that do not have reasonably determinable fair values. However, from time to time, these investments could have changes in fair value as a result of acquisitions, mergers, initial public offerings, or observable market transactions for similar investments. Evergy typically seeks to liquidate its position in these companies as soon as practicable following the occurrence of an exit event such as an acquisition or initial public offering (including after the expiration of any related lock-up provisions), which serves to largely mitigate any ongoing market risk related to the investments. At December 31, 2021, Evergy had a $31.4 million investment, including a $27.7 million unrealized gain, in an early-stage energy solution company that was acquired and became a publicly traded company through a transaction involving a SPAC in the fourth quarter of 2021. This investment is currently subject to a lock-up provision on its sale until March 2022 and is exposed to significant equity price risk. A 50% decline in the stock price of this investment would impact Evergy's income before income taxes by approximately $14 million. Evergy uses adjusted earnings (non-GAAP) and adjusted EPS (non-GAAP) to evaluate earnings and EPS without the gains or losses related to equity investments which are subject to a restriction on sale that can create period to period volatility. See "Non-GAAP Measures" within Part II, Item 7, MD&amp;A - Executive Summary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3" w:name="page64"/>
    <w:bookmarkEnd w:id="6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 FINANCIAL STATEMENTS AND SUPPLEMENTARY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 w:type="dxa"/>
            <w:vAlign w:val="bottom"/>
          </w:tcPr>
          <w:p>
            <w:pPr>
              <w:spacing w:after="0"/>
              <w:rPr>
                <w:sz w:val="18"/>
                <w:szCs w:val="18"/>
                <w:color w:val="auto"/>
              </w:rPr>
            </w:pPr>
          </w:p>
        </w:tc>
        <w:tc>
          <w:tcPr>
            <w:tcW w:w="5460" w:type="dxa"/>
            <w:vAlign w:val="bottom"/>
            <w:gridSpan w:val="29"/>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2"/>
        </w:trPr>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0000FF"/>
            </w:tcBorders>
          </w:tcPr>
          <w:p>
            <w:pPr>
              <w:spacing w:after="0" w:line="182" w:lineRule="exact"/>
              <w:rPr>
                <w:rFonts w:ascii="Arial" w:cs="Arial" w:eastAsia="Arial" w:hAnsi="Arial"/>
                <w:sz w:val="17"/>
                <w:szCs w:val="17"/>
                <w:color w:val="0000FF"/>
                <w:w w:val="89"/>
              </w:rPr>
            </w:pPr>
            <w:hyperlink w:anchor="page64">
              <w:r>
                <w:rPr>
                  <w:rFonts w:ascii="Arial" w:cs="Arial" w:eastAsia="Arial" w:hAnsi="Arial"/>
                  <w:sz w:val="17"/>
                  <w:szCs w:val="17"/>
                  <w:color w:val="0000FF"/>
                  <w:w w:val="89"/>
                </w:rPr>
                <w:t>Evergy, Inc.</w:t>
              </w:r>
            </w:hyperlink>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82" w:lineRule="exact"/>
              <w:rPr>
                <w:rFonts w:ascii="Arial" w:cs="Arial" w:eastAsia="Arial" w:hAnsi="Arial"/>
                <w:sz w:val="17"/>
                <w:szCs w:val="17"/>
                <w:color w:val="0000FF"/>
                <w:w w:val="94"/>
              </w:rPr>
            </w:pPr>
            <w:hyperlink w:anchor="page64">
              <w:r>
                <w:rPr>
                  <w:rFonts w:ascii="Arial" w:cs="Arial" w:eastAsia="Arial" w:hAnsi="Arial"/>
                  <w:sz w:val="17"/>
                  <w:szCs w:val="17"/>
                  <w:color w:val="0000FF"/>
                  <w:w w:val="94"/>
                </w:rPr>
                <w:t>63</w:t>
              </w:r>
            </w:hyperlink>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60" w:type="dxa"/>
            <w:vAlign w:val="bottom"/>
            <w:gridSpan w:val="28"/>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Evergy Kansas Central, Inc.</w:t>
              </w:r>
            </w:hyperlink>
          </w:p>
        </w:tc>
        <w:tc>
          <w:tcPr>
            <w:tcW w:w="4940" w:type="dxa"/>
            <w:vAlign w:val="bottom"/>
            <w:gridSpan w:val="2"/>
          </w:tcPr>
          <w:p>
            <w:pPr>
              <w:jc w:val="center"/>
              <w:ind w:left="4674"/>
              <w:spacing w:after="0"/>
              <w:rPr>
                <w:rFonts w:ascii="Arial" w:cs="Arial" w:eastAsia="Arial" w:hAnsi="Arial"/>
                <w:sz w:val="17"/>
                <w:szCs w:val="17"/>
                <w:color w:val="0000FF"/>
                <w:w w:val="94"/>
              </w:rPr>
            </w:pPr>
            <w:hyperlink w:anchor="page67">
              <w:r>
                <w:rPr>
                  <w:rFonts w:ascii="Arial" w:cs="Arial" w:eastAsia="Arial" w:hAnsi="Arial"/>
                  <w:sz w:val="17"/>
                  <w:szCs w:val="17"/>
                  <w:color w:val="0000FF"/>
                  <w:w w:val="94"/>
                </w:rPr>
                <w:t>66</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0000FF"/>
            </w:tcBorders>
            <w:gridSpan w:val="11"/>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Evergy Metro, Inc.</w:t>
              </w:r>
            </w:hyperlink>
          </w:p>
        </w:tc>
        <w:tc>
          <w:tcPr>
            <w:tcW w:w="3340" w:type="dxa"/>
            <w:vAlign w:val="bottom"/>
            <w:gridSpan w:val="17"/>
          </w:tcPr>
          <w:p>
            <w:pPr>
              <w:spacing w:after="0"/>
              <w:rPr>
                <w:sz w:val="17"/>
                <w:szCs w:val="17"/>
                <w:color w:val="auto"/>
              </w:rPr>
            </w:pPr>
          </w:p>
        </w:tc>
        <w:tc>
          <w:tcPr>
            <w:tcW w:w="4760" w:type="dxa"/>
            <w:vAlign w:val="bottom"/>
          </w:tcPr>
          <w:p>
            <w:pPr>
              <w:spacing w:after="0"/>
              <w:rPr>
                <w:sz w:val="17"/>
                <w:szCs w:val="17"/>
                <w:color w:val="auto"/>
              </w:rPr>
            </w:pPr>
          </w:p>
        </w:tc>
        <w:tc>
          <w:tcPr>
            <w:tcW w:w="180" w:type="dxa"/>
            <w:vAlign w:val="bottom"/>
            <w:tcBorders>
              <w:top w:val="single" w:sz="8" w:color="0000FF"/>
            </w:tcBorders>
          </w:tcPr>
          <w:p>
            <w:pPr>
              <w:jc w:val="center"/>
              <w:spacing w:after="0"/>
              <w:rPr>
                <w:rFonts w:ascii="Arial" w:cs="Arial" w:eastAsia="Arial" w:hAnsi="Arial"/>
                <w:sz w:val="17"/>
                <w:szCs w:val="17"/>
                <w:color w:val="0000FF"/>
                <w:w w:val="94"/>
              </w:rPr>
            </w:pPr>
            <w:hyperlink w:anchor="page70">
              <w:r>
                <w:rPr>
                  <w:rFonts w:ascii="Arial" w:cs="Arial" w:eastAsia="Arial" w:hAnsi="Arial"/>
                  <w:sz w:val="17"/>
                  <w:szCs w:val="17"/>
                  <w:color w:val="0000FF"/>
                  <w:w w:val="94"/>
                </w:rPr>
                <w:t>69</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81"/>
        </w:trPr>
        <w:tc>
          <w:tcPr>
            <w:tcW w:w="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7"/>
                <w:szCs w:val="17"/>
                <w:b w:val="1"/>
                <w:bCs w:val="1"/>
                <w:color w:val="auto"/>
              </w:rPr>
              <w:t>Evergy, Inc.</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3760" w:type="dxa"/>
            <w:vAlign w:val="bottom"/>
            <w:tcBorders>
              <w:bottom w:val="single" w:sz="8" w:color="0000FF"/>
            </w:tcBorders>
            <w:gridSpan w:val="24"/>
          </w:tcPr>
          <w:p>
            <w:pPr>
              <w:spacing w:after="0" w:line="182" w:lineRule="exact"/>
              <w:rPr>
                <w:rFonts w:ascii="Arial" w:cs="Arial" w:eastAsia="Arial" w:hAnsi="Arial"/>
                <w:sz w:val="17"/>
                <w:szCs w:val="17"/>
                <w:color w:val="0000FF"/>
                <w:w w:val="95"/>
              </w:rPr>
            </w:pPr>
            <w:hyperlink w:anchor="page73">
              <w:r>
                <w:rPr>
                  <w:rFonts w:ascii="Arial" w:cs="Arial" w:eastAsia="Arial" w:hAnsi="Arial"/>
                  <w:sz w:val="17"/>
                  <w:szCs w:val="17"/>
                  <w:color w:val="0000FF"/>
                  <w:w w:val="95"/>
                </w:rPr>
                <w:t>Consolidated Statements of Comprehensive Income</w:t>
              </w:r>
            </w:hyperlink>
          </w:p>
        </w:tc>
        <w:tc>
          <w:tcPr>
            <w:tcW w:w="1700" w:type="dxa"/>
            <w:vAlign w:val="bottom"/>
            <w:gridSpan w:val="5"/>
          </w:tcPr>
          <w:p>
            <w:pPr>
              <w:spacing w:after="0"/>
              <w:rPr>
                <w:sz w:val="15"/>
                <w:szCs w:val="15"/>
                <w:color w:val="auto"/>
              </w:rPr>
            </w:pPr>
          </w:p>
        </w:tc>
        <w:tc>
          <w:tcPr>
            <w:tcW w:w="476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82" w:lineRule="exact"/>
              <w:rPr>
                <w:rFonts w:ascii="Arial" w:cs="Arial" w:eastAsia="Arial" w:hAnsi="Arial"/>
                <w:sz w:val="17"/>
                <w:szCs w:val="17"/>
                <w:color w:val="0000FF"/>
                <w:w w:val="94"/>
              </w:rPr>
            </w:pPr>
            <w:hyperlink w:anchor="page73">
              <w:r>
                <w:rPr>
                  <w:rFonts w:ascii="Arial" w:cs="Arial" w:eastAsia="Arial" w:hAnsi="Arial"/>
                  <w:sz w:val="17"/>
                  <w:szCs w:val="17"/>
                  <w:color w:val="0000FF"/>
                  <w:w w:val="94"/>
                </w:rPr>
                <w:t>72</w:t>
              </w:r>
            </w:hyperlink>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9"/>
        </w:trPr>
        <w:tc>
          <w:tcPr>
            <w:tcW w:w="6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rPr>
                <w:rFonts w:ascii="Arial" w:cs="Arial" w:eastAsia="Arial" w:hAnsi="Arial"/>
                <w:sz w:val="17"/>
                <w:szCs w:val="17"/>
                <w:color w:val="0000FF"/>
                <w:w w:val="88"/>
              </w:rPr>
            </w:pPr>
            <w:hyperlink w:anchor="page74">
              <w:r>
                <w:rPr>
                  <w:rFonts w:ascii="Arial" w:cs="Arial" w:eastAsia="Arial" w:hAnsi="Arial"/>
                  <w:sz w:val="17"/>
                  <w:szCs w:val="17"/>
                  <w:color w:val="0000FF"/>
                  <w:w w:val="88"/>
                </w:rPr>
                <w:t>Consolidated Balance Sheets</w:t>
              </w:r>
            </w:hyperlink>
          </w:p>
        </w:tc>
        <w:tc>
          <w:tcPr>
            <w:tcW w:w="3460" w:type="dxa"/>
            <w:vAlign w:val="bottom"/>
            <w:gridSpan w:val="19"/>
          </w:tcPr>
          <w:p>
            <w:pPr>
              <w:spacing w:after="0"/>
              <w:rPr>
                <w:sz w:val="17"/>
                <w:szCs w:val="17"/>
                <w:color w:val="auto"/>
              </w:rPr>
            </w:pPr>
          </w:p>
        </w:tc>
        <w:tc>
          <w:tcPr>
            <w:tcW w:w="4760" w:type="dxa"/>
            <w:vAlign w:val="bottom"/>
          </w:tcPr>
          <w:p>
            <w:pPr>
              <w:spacing w:after="0"/>
              <w:rPr>
                <w:sz w:val="17"/>
                <w:szCs w:val="17"/>
                <w:color w:val="auto"/>
              </w:rPr>
            </w:pPr>
          </w:p>
        </w:tc>
        <w:tc>
          <w:tcPr>
            <w:tcW w:w="180" w:type="dxa"/>
            <w:vAlign w:val="bottom"/>
            <w:tcBorders>
              <w:bottom w:val="single" w:sz="8" w:color="0000FF"/>
            </w:tcBorders>
          </w:tcPr>
          <w:p>
            <w:pPr>
              <w:jc w:val="center"/>
              <w:spacing w:after="0"/>
              <w:rPr>
                <w:rFonts w:ascii="Arial" w:cs="Arial" w:eastAsia="Arial" w:hAnsi="Arial"/>
                <w:sz w:val="17"/>
                <w:szCs w:val="17"/>
                <w:color w:val="0000FF"/>
                <w:w w:val="94"/>
              </w:rPr>
            </w:pPr>
            <w:hyperlink w:anchor="page74">
              <w:r>
                <w:rPr>
                  <w:rFonts w:ascii="Arial" w:cs="Arial" w:eastAsia="Arial" w:hAnsi="Arial"/>
                  <w:sz w:val="17"/>
                  <w:szCs w:val="17"/>
                  <w:color w:val="0000FF"/>
                  <w:w w:val="94"/>
                </w:rPr>
                <w:t>73</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5460" w:type="dxa"/>
            <w:vAlign w:val="bottom"/>
            <w:gridSpan w:val="29"/>
          </w:tcPr>
          <w:p>
            <w:pPr>
              <w:spacing w:after="0"/>
              <w:rPr>
                <w:rFonts w:ascii="Arial" w:cs="Arial" w:eastAsia="Arial" w:hAnsi="Arial"/>
                <w:sz w:val="17"/>
                <w:szCs w:val="17"/>
                <w:color w:val="0000FF"/>
              </w:rPr>
            </w:pPr>
            <w:hyperlink w:anchor="page76">
              <w:r>
                <w:rPr>
                  <w:rFonts w:ascii="Arial" w:cs="Arial" w:eastAsia="Arial" w:hAnsi="Arial"/>
                  <w:sz w:val="17"/>
                  <w:szCs w:val="17"/>
                  <w:color w:val="0000FF"/>
                </w:rPr>
                <w:t>Consolidated Statements of Cash Flows</w:t>
              </w:r>
            </w:hyperlink>
          </w:p>
        </w:tc>
        <w:tc>
          <w:tcPr>
            <w:tcW w:w="4940" w:type="dxa"/>
            <w:vAlign w:val="bottom"/>
            <w:gridSpan w:val="2"/>
          </w:tcPr>
          <w:p>
            <w:pPr>
              <w:jc w:val="center"/>
              <w:ind w:left="4674"/>
              <w:spacing w:after="0"/>
              <w:rPr>
                <w:rFonts w:ascii="Arial" w:cs="Arial" w:eastAsia="Arial" w:hAnsi="Arial"/>
                <w:sz w:val="17"/>
                <w:szCs w:val="17"/>
                <w:color w:val="0000FF"/>
                <w:w w:val="94"/>
              </w:rPr>
            </w:pPr>
            <w:hyperlink w:anchor="page76">
              <w:r>
                <w:rPr>
                  <w:rFonts w:ascii="Arial" w:cs="Arial" w:eastAsia="Arial" w:hAnsi="Arial"/>
                  <w:sz w:val="17"/>
                  <w:szCs w:val="17"/>
                  <w:color w:val="0000FF"/>
                  <w:w w:val="94"/>
                </w:rPr>
                <w:t>75</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3220" w:type="dxa"/>
            <w:vAlign w:val="bottom"/>
            <w:tcBorders>
              <w:bottom w:val="single" w:sz="8" w:color="0000FF"/>
            </w:tcBorders>
            <w:gridSpan w:val="20"/>
          </w:tcPr>
          <w:p>
            <w:pPr>
              <w:spacing w:after="0"/>
              <w:rPr>
                <w:rFonts w:ascii="Arial" w:cs="Arial" w:eastAsia="Arial" w:hAnsi="Arial"/>
                <w:sz w:val="17"/>
                <w:szCs w:val="17"/>
                <w:color w:val="0000FF"/>
                <w:w w:val="91"/>
              </w:rPr>
            </w:pPr>
            <w:hyperlink w:anchor="page77">
              <w:r>
                <w:rPr>
                  <w:rFonts w:ascii="Arial" w:cs="Arial" w:eastAsia="Arial" w:hAnsi="Arial"/>
                  <w:sz w:val="17"/>
                  <w:szCs w:val="17"/>
                  <w:color w:val="0000FF"/>
                  <w:w w:val="91"/>
                </w:rPr>
                <w:t>Consolidated Statements of Changes in Equity</w:t>
              </w:r>
            </w:hyperlink>
          </w:p>
        </w:tc>
        <w:tc>
          <w:tcPr>
            <w:tcW w:w="2240" w:type="dxa"/>
            <w:vAlign w:val="bottom"/>
            <w:gridSpan w:val="9"/>
          </w:tcPr>
          <w:p>
            <w:pPr>
              <w:spacing w:after="0"/>
              <w:rPr>
                <w:sz w:val="17"/>
                <w:szCs w:val="17"/>
                <w:color w:val="auto"/>
              </w:rPr>
            </w:pPr>
          </w:p>
        </w:tc>
        <w:tc>
          <w:tcPr>
            <w:tcW w:w="4760" w:type="dxa"/>
            <w:vAlign w:val="bottom"/>
          </w:tcPr>
          <w:p>
            <w:pPr>
              <w:spacing w:after="0"/>
              <w:rPr>
                <w:sz w:val="17"/>
                <w:szCs w:val="17"/>
                <w:color w:val="auto"/>
              </w:rPr>
            </w:pPr>
          </w:p>
        </w:tc>
        <w:tc>
          <w:tcPr>
            <w:tcW w:w="180" w:type="dxa"/>
            <w:vAlign w:val="bottom"/>
            <w:tcBorders>
              <w:bottom w:val="single" w:sz="8" w:color="0000FF"/>
            </w:tcBorders>
          </w:tcPr>
          <w:p>
            <w:pPr>
              <w:jc w:val="center"/>
              <w:spacing w:after="0"/>
              <w:rPr>
                <w:rFonts w:ascii="Arial" w:cs="Arial" w:eastAsia="Arial" w:hAnsi="Arial"/>
                <w:sz w:val="17"/>
                <w:szCs w:val="17"/>
                <w:color w:val="0000FF"/>
                <w:w w:val="94"/>
              </w:rPr>
            </w:pPr>
            <w:hyperlink w:anchor="page77">
              <w:r>
                <w:rPr>
                  <w:rFonts w:ascii="Arial" w:cs="Arial" w:eastAsia="Arial" w:hAnsi="Arial"/>
                  <w:sz w:val="17"/>
                  <w:szCs w:val="17"/>
                  <w:color w:val="0000FF"/>
                  <w:w w:val="94"/>
                </w:rPr>
                <w:t>76</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1"/>
        </w:trPr>
        <w:tc>
          <w:tcPr>
            <w:tcW w:w="60" w:type="dxa"/>
            <w:vAlign w:val="bottom"/>
          </w:tcPr>
          <w:p>
            <w:pPr>
              <w:spacing w:after="0"/>
              <w:rPr>
                <w:sz w:val="24"/>
                <w:szCs w:val="24"/>
                <w:color w:val="auto"/>
              </w:rPr>
            </w:pPr>
          </w:p>
        </w:tc>
        <w:tc>
          <w:tcPr>
            <w:tcW w:w="5460" w:type="dxa"/>
            <w:vAlign w:val="bottom"/>
            <w:gridSpan w:val="29"/>
          </w:tcPr>
          <w:p>
            <w:pPr>
              <w:spacing w:after="0"/>
              <w:rPr>
                <w:sz w:val="20"/>
                <w:szCs w:val="20"/>
                <w:color w:val="auto"/>
              </w:rPr>
            </w:pPr>
            <w:r>
              <w:rPr>
                <w:rFonts w:ascii="Arial" w:cs="Arial" w:eastAsia="Arial" w:hAnsi="Arial"/>
                <w:sz w:val="17"/>
                <w:szCs w:val="17"/>
                <w:b w:val="1"/>
                <w:bCs w:val="1"/>
                <w:color w:val="auto"/>
              </w:rPr>
              <w:t>Evergy Kansas Central, Inc.</w:t>
            </w: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2460" w:type="dxa"/>
            <w:vAlign w:val="bottom"/>
            <w:tcBorders>
              <w:bottom w:val="single" w:sz="8" w:color="0000FF"/>
            </w:tcBorders>
            <w:gridSpan w:val="14"/>
          </w:tcPr>
          <w:p>
            <w:pPr>
              <w:spacing w:after="0" w:line="182" w:lineRule="exact"/>
              <w:rPr>
                <w:rFonts w:ascii="Arial" w:cs="Arial" w:eastAsia="Arial" w:hAnsi="Arial"/>
                <w:sz w:val="17"/>
                <w:szCs w:val="17"/>
                <w:color w:val="0000FF"/>
                <w:w w:val="90"/>
              </w:rPr>
            </w:pPr>
            <w:hyperlink w:anchor="page78">
              <w:r>
                <w:rPr>
                  <w:rFonts w:ascii="Arial" w:cs="Arial" w:eastAsia="Arial" w:hAnsi="Arial"/>
                  <w:sz w:val="17"/>
                  <w:szCs w:val="17"/>
                  <w:color w:val="0000FF"/>
                  <w:w w:val="90"/>
                </w:rPr>
                <w:t>Consolidated Statements of Income</w:t>
              </w:r>
            </w:hyperlink>
          </w:p>
        </w:tc>
        <w:tc>
          <w:tcPr>
            <w:tcW w:w="3000" w:type="dxa"/>
            <w:vAlign w:val="bottom"/>
            <w:gridSpan w:val="15"/>
          </w:tcPr>
          <w:p>
            <w:pPr>
              <w:spacing w:after="0"/>
              <w:rPr>
                <w:sz w:val="15"/>
                <w:szCs w:val="15"/>
                <w:color w:val="auto"/>
              </w:rPr>
            </w:pPr>
          </w:p>
        </w:tc>
        <w:tc>
          <w:tcPr>
            <w:tcW w:w="476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82" w:lineRule="exact"/>
              <w:rPr>
                <w:rFonts w:ascii="Arial" w:cs="Arial" w:eastAsia="Arial" w:hAnsi="Arial"/>
                <w:sz w:val="17"/>
                <w:szCs w:val="17"/>
                <w:color w:val="0000FF"/>
                <w:w w:val="94"/>
              </w:rPr>
            </w:pPr>
            <w:hyperlink w:anchor="page78">
              <w:r>
                <w:rPr>
                  <w:rFonts w:ascii="Arial" w:cs="Arial" w:eastAsia="Arial" w:hAnsi="Arial"/>
                  <w:sz w:val="17"/>
                  <w:szCs w:val="17"/>
                  <w:color w:val="0000FF"/>
                  <w:w w:val="94"/>
                </w:rPr>
                <w:t>77</w:t>
              </w:r>
            </w:hyperlink>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9"/>
        </w:trPr>
        <w:tc>
          <w:tcPr>
            <w:tcW w:w="6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rPr>
                <w:rFonts w:ascii="Arial" w:cs="Arial" w:eastAsia="Arial" w:hAnsi="Arial"/>
                <w:sz w:val="17"/>
                <w:szCs w:val="17"/>
                <w:color w:val="0000FF"/>
                <w:w w:val="88"/>
              </w:rPr>
            </w:pPr>
            <w:hyperlink w:anchor="page79">
              <w:r>
                <w:rPr>
                  <w:rFonts w:ascii="Arial" w:cs="Arial" w:eastAsia="Arial" w:hAnsi="Arial"/>
                  <w:sz w:val="17"/>
                  <w:szCs w:val="17"/>
                  <w:color w:val="0000FF"/>
                  <w:w w:val="88"/>
                </w:rPr>
                <w:t>Consolidated Balance Sheets</w:t>
              </w:r>
            </w:hyperlink>
          </w:p>
        </w:tc>
        <w:tc>
          <w:tcPr>
            <w:tcW w:w="3460" w:type="dxa"/>
            <w:vAlign w:val="bottom"/>
            <w:gridSpan w:val="19"/>
          </w:tcPr>
          <w:p>
            <w:pPr>
              <w:spacing w:after="0"/>
              <w:rPr>
                <w:sz w:val="17"/>
                <w:szCs w:val="17"/>
                <w:color w:val="auto"/>
              </w:rPr>
            </w:pPr>
          </w:p>
        </w:tc>
        <w:tc>
          <w:tcPr>
            <w:tcW w:w="4760" w:type="dxa"/>
            <w:vAlign w:val="bottom"/>
          </w:tcPr>
          <w:p>
            <w:pPr>
              <w:spacing w:after="0"/>
              <w:rPr>
                <w:sz w:val="17"/>
                <w:szCs w:val="17"/>
                <w:color w:val="auto"/>
              </w:rPr>
            </w:pPr>
          </w:p>
        </w:tc>
        <w:tc>
          <w:tcPr>
            <w:tcW w:w="180" w:type="dxa"/>
            <w:vAlign w:val="bottom"/>
            <w:tcBorders>
              <w:bottom w:val="single" w:sz="8" w:color="0000FF"/>
            </w:tcBorders>
          </w:tcPr>
          <w:p>
            <w:pPr>
              <w:jc w:val="center"/>
              <w:spacing w:after="0"/>
              <w:rPr>
                <w:rFonts w:ascii="Arial" w:cs="Arial" w:eastAsia="Arial" w:hAnsi="Arial"/>
                <w:sz w:val="17"/>
                <w:szCs w:val="17"/>
                <w:color w:val="0000FF"/>
                <w:w w:val="94"/>
              </w:rPr>
            </w:pPr>
            <w:hyperlink w:anchor="page79">
              <w:r>
                <w:rPr>
                  <w:rFonts w:ascii="Arial" w:cs="Arial" w:eastAsia="Arial" w:hAnsi="Arial"/>
                  <w:sz w:val="17"/>
                  <w:szCs w:val="17"/>
                  <w:color w:val="0000FF"/>
                  <w:w w:val="94"/>
                </w:rPr>
                <w:t>78</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5460" w:type="dxa"/>
            <w:vAlign w:val="bottom"/>
            <w:gridSpan w:val="29"/>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Consolidated Statements of Cash Flows</w:t>
              </w:r>
            </w:hyperlink>
          </w:p>
        </w:tc>
        <w:tc>
          <w:tcPr>
            <w:tcW w:w="4940" w:type="dxa"/>
            <w:vAlign w:val="bottom"/>
            <w:gridSpan w:val="2"/>
          </w:tcPr>
          <w:p>
            <w:pPr>
              <w:jc w:val="center"/>
              <w:ind w:left="4674"/>
              <w:spacing w:after="0"/>
              <w:rPr>
                <w:rFonts w:ascii="Arial" w:cs="Arial" w:eastAsia="Arial" w:hAnsi="Arial"/>
                <w:sz w:val="17"/>
                <w:szCs w:val="17"/>
                <w:color w:val="0000FF"/>
                <w:w w:val="94"/>
              </w:rPr>
            </w:pPr>
            <w:hyperlink w:anchor="page81">
              <w:r>
                <w:rPr>
                  <w:rFonts w:ascii="Arial" w:cs="Arial" w:eastAsia="Arial" w:hAnsi="Arial"/>
                  <w:sz w:val="17"/>
                  <w:szCs w:val="17"/>
                  <w:color w:val="0000FF"/>
                  <w:w w:val="94"/>
                </w:rPr>
                <w:t>80</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9"/>
        </w:trPr>
        <w:tc>
          <w:tcPr>
            <w:tcW w:w="60" w:type="dxa"/>
            <w:vAlign w:val="bottom"/>
          </w:tcPr>
          <w:p>
            <w:pPr>
              <w:spacing w:after="0"/>
              <w:rPr>
                <w:sz w:val="19"/>
                <w:szCs w:val="19"/>
                <w:color w:val="auto"/>
              </w:rPr>
            </w:pPr>
          </w:p>
        </w:tc>
        <w:tc>
          <w:tcPr>
            <w:tcW w:w="3220" w:type="dxa"/>
            <w:vAlign w:val="bottom"/>
            <w:tcBorders>
              <w:bottom w:val="single" w:sz="8" w:color="0000FF"/>
            </w:tcBorders>
            <w:gridSpan w:val="20"/>
          </w:tcPr>
          <w:p>
            <w:pPr>
              <w:spacing w:after="0"/>
              <w:rPr>
                <w:rFonts w:ascii="Arial" w:cs="Arial" w:eastAsia="Arial" w:hAnsi="Arial"/>
                <w:sz w:val="17"/>
                <w:szCs w:val="17"/>
                <w:color w:val="0000FF"/>
                <w:w w:val="91"/>
              </w:rPr>
            </w:pPr>
            <w:hyperlink w:anchor="page82">
              <w:r>
                <w:rPr>
                  <w:rFonts w:ascii="Arial" w:cs="Arial" w:eastAsia="Arial" w:hAnsi="Arial"/>
                  <w:sz w:val="17"/>
                  <w:szCs w:val="17"/>
                  <w:color w:val="0000FF"/>
                  <w:w w:val="91"/>
                </w:rPr>
                <w:t>Consolidated Statements of Changes in Equity</w:t>
              </w:r>
            </w:hyperlink>
          </w:p>
        </w:tc>
        <w:tc>
          <w:tcPr>
            <w:tcW w:w="2240" w:type="dxa"/>
            <w:vAlign w:val="bottom"/>
            <w:gridSpan w:val="9"/>
          </w:tcPr>
          <w:p>
            <w:pPr>
              <w:spacing w:after="0"/>
              <w:rPr>
                <w:sz w:val="19"/>
                <w:szCs w:val="19"/>
                <w:color w:val="auto"/>
              </w:rPr>
            </w:pPr>
          </w:p>
        </w:tc>
        <w:tc>
          <w:tcPr>
            <w:tcW w:w="4760" w:type="dxa"/>
            <w:vAlign w:val="bottom"/>
          </w:tcPr>
          <w:p>
            <w:pPr>
              <w:spacing w:after="0"/>
              <w:rPr>
                <w:sz w:val="19"/>
                <w:szCs w:val="19"/>
                <w:color w:val="auto"/>
              </w:rPr>
            </w:pPr>
          </w:p>
        </w:tc>
        <w:tc>
          <w:tcPr>
            <w:tcW w:w="180" w:type="dxa"/>
            <w:vAlign w:val="bottom"/>
            <w:tcBorders>
              <w:bottom w:val="single" w:sz="8" w:color="0000FF"/>
            </w:tcBorders>
          </w:tcPr>
          <w:p>
            <w:pPr>
              <w:jc w:val="center"/>
              <w:spacing w:after="0"/>
              <w:rPr>
                <w:rFonts w:ascii="Arial" w:cs="Arial" w:eastAsia="Arial" w:hAnsi="Arial"/>
                <w:sz w:val="17"/>
                <w:szCs w:val="17"/>
                <w:color w:val="0000FF"/>
                <w:w w:val="94"/>
              </w:rPr>
            </w:pPr>
            <w:hyperlink w:anchor="page82">
              <w:r>
                <w:rPr>
                  <w:rFonts w:ascii="Arial" w:cs="Arial" w:eastAsia="Arial" w:hAnsi="Arial"/>
                  <w:sz w:val="17"/>
                  <w:szCs w:val="17"/>
                  <w:color w:val="0000FF"/>
                  <w:w w:val="94"/>
                </w:rPr>
                <w:t>81</w:t>
              </w:r>
            </w:hyperlink>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61"/>
        </w:trPr>
        <w:tc>
          <w:tcPr>
            <w:tcW w:w="60" w:type="dxa"/>
            <w:vAlign w:val="bottom"/>
          </w:tcPr>
          <w:p>
            <w:pPr>
              <w:spacing w:after="0"/>
              <w:rPr>
                <w:sz w:val="24"/>
                <w:szCs w:val="24"/>
                <w:color w:val="auto"/>
              </w:rPr>
            </w:pPr>
          </w:p>
        </w:tc>
        <w:tc>
          <w:tcPr>
            <w:tcW w:w="5460" w:type="dxa"/>
            <w:vAlign w:val="bottom"/>
            <w:gridSpan w:val="29"/>
          </w:tcPr>
          <w:p>
            <w:pPr>
              <w:spacing w:after="0"/>
              <w:rPr>
                <w:sz w:val="20"/>
                <w:szCs w:val="20"/>
                <w:color w:val="auto"/>
              </w:rPr>
            </w:pPr>
            <w:r>
              <w:rPr>
                <w:rFonts w:ascii="Arial" w:cs="Arial" w:eastAsia="Arial" w:hAnsi="Arial"/>
                <w:sz w:val="17"/>
                <w:szCs w:val="17"/>
                <w:b w:val="1"/>
                <w:bCs w:val="1"/>
                <w:color w:val="auto"/>
              </w:rPr>
              <w:t>Evergy Metro, Inc.</w:t>
            </w: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3580" w:type="dxa"/>
            <w:vAlign w:val="bottom"/>
            <w:tcBorders>
              <w:bottom w:val="single" w:sz="8" w:color="0000FF"/>
            </w:tcBorders>
            <w:gridSpan w:val="23"/>
          </w:tcPr>
          <w:p>
            <w:pPr>
              <w:spacing w:after="0" w:line="182" w:lineRule="exact"/>
              <w:rPr>
                <w:rFonts w:ascii="Arial" w:cs="Arial" w:eastAsia="Arial" w:hAnsi="Arial"/>
                <w:sz w:val="17"/>
                <w:szCs w:val="17"/>
                <w:color w:val="0000FF"/>
                <w:w w:val="90"/>
              </w:rPr>
            </w:pPr>
            <w:hyperlink w:anchor="page83">
              <w:r>
                <w:rPr>
                  <w:rFonts w:ascii="Arial" w:cs="Arial" w:eastAsia="Arial" w:hAnsi="Arial"/>
                  <w:sz w:val="17"/>
                  <w:szCs w:val="17"/>
                  <w:color w:val="0000FF"/>
                  <w:w w:val="90"/>
                </w:rPr>
                <w:t>Consolidated Statements of Comprehensive Income</w:t>
              </w:r>
            </w:hyperlink>
          </w:p>
        </w:tc>
        <w:tc>
          <w:tcPr>
            <w:tcW w:w="1880" w:type="dxa"/>
            <w:vAlign w:val="bottom"/>
            <w:gridSpan w:val="6"/>
          </w:tcPr>
          <w:p>
            <w:pPr>
              <w:spacing w:after="0"/>
              <w:rPr>
                <w:sz w:val="15"/>
                <w:szCs w:val="15"/>
                <w:color w:val="auto"/>
              </w:rPr>
            </w:pPr>
          </w:p>
        </w:tc>
        <w:tc>
          <w:tcPr>
            <w:tcW w:w="476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82" w:lineRule="exact"/>
              <w:rPr>
                <w:rFonts w:ascii="Arial" w:cs="Arial" w:eastAsia="Arial" w:hAnsi="Arial"/>
                <w:sz w:val="17"/>
                <w:szCs w:val="17"/>
                <w:color w:val="0000FF"/>
                <w:w w:val="94"/>
              </w:rPr>
            </w:pPr>
            <w:hyperlink w:anchor="page83">
              <w:r>
                <w:rPr>
                  <w:rFonts w:ascii="Arial" w:cs="Arial" w:eastAsia="Arial" w:hAnsi="Arial"/>
                  <w:sz w:val="17"/>
                  <w:szCs w:val="17"/>
                  <w:color w:val="0000FF"/>
                  <w:w w:val="94"/>
                </w:rPr>
                <w:t>82</w:t>
              </w:r>
            </w:hyperlink>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9"/>
        </w:trPr>
        <w:tc>
          <w:tcPr>
            <w:tcW w:w="6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rPr>
                <w:rFonts w:ascii="Arial" w:cs="Arial" w:eastAsia="Arial" w:hAnsi="Arial"/>
                <w:sz w:val="17"/>
                <w:szCs w:val="17"/>
                <w:color w:val="0000FF"/>
                <w:w w:val="88"/>
              </w:rPr>
            </w:pPr>
            <w:hyperlink w:anchor="page84">
              <w:r>
                <w:rPr>
                  <w:rFonts w:ascii="Arial" w:cs="Arial" w:eastAsia="Arial" w:hAnsi="Arial"/>
                  <w:sz w:val="17"/>
                  <w:szCs w:val="17"/>
                  <w:color w:val="0000FF"/>
                  <w:w w:val="88"/>
                </w:rPr>
                <w:t>Consolidated Balance Sheets</w:t>
              </w:r>
            </w:hyperlink>
          </w:p>
        </w:tc>
        <w:tc>
          <w:tcPr>
            <w:tcW w:w="3460" w:type="dxa"/>
            <w:vAlign w:val="bottom"/>
            <w:gridSpan w:val="19"/>
          </w:tcPr>
          <w:p>
            <w:pPr>
              <w:spacing w:after="0"/>
              <w:rPr>
                <w:sz w:val="17"/>
                <w:szCs w:val="17"/>
                <w:color w:val="auto"/>
              </w:rPr>
            </w:pPr>
          </w:p>
        </w:tc>
        <w:tc>
          <w:tcPr>
            <w:tcW w:w="4760" w:type="dxa"/>
            <w:vAlign w:val="bottom"/>
          </w:tcPr>
          <w:p>
            <w:pPr>
              <w:spacing w:after="0"/>
              <w:rPr>
                <w:sz w:val="17"/>
                <w:szCs w:val="17"/>
                <w:color w:val="auto"/>
              </w:rPr>
            </w:pPr>
          </w:p>
        </w:tc>
        <w:tc>
          <w:tcPr>
            <w:tcW w:w="180" w:type="dxa"/>
            <w:vAlign w:val="bottom"/>
            <w:tcBorders>
              <w:bottom w:val="single" w:sz="8" w:color="0000FF"/>
            </w:tcBorders>
          </w:tcPr>
          <w:p>
            <w:pPr>
              <w:jc w:val="center"/>
              <w:spacing w:after="0"/>
              <w:rPr>
                <w:rFonts w:ascii="Arial" w:cs="Arial" w:eastAsia="Arial" w:hAnsi="Arial"/>
                <w:sz w:val="17"/>
                <w:szCs w:val="17"/>
                <w:color w:val="0000FF"/>
                <w:w w:val="94"/>
              </w:rPr>
            </w:pPr>
            <w:hyperlink w:anchor="page84">
              <w:r>
                <w:rPr>
                  <w:rFonts w:ascii="Arial" w:cs="Arial" w:eastAsia="Arial" w:hAnsi="Arial"/>
                  <w:sz w:val="17"/>
                  <w:szCs w:val="17"/>
                  <w:color w:val="0000FF"/>
                  <w:w w:val="94"/>
                </w:rPr>
                <w:t>83</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5460" w:type="dxa"/>
            <w:vAlign w:val="bottom"/>
            <w:gridSpan w:val="29"/>
          </w:tcPr>
          <w:p>
            <w:pPr>
              <w:spacing w:after="0"/>
              <w:rPr>
                <w:rFonts w:ascii="Arial" w:cs="Arial" w:eastAsia="Arial" w:hAnsi="Arial"/>
                <w:sz w:val="17"/>
                <w:szCs w:val="17"/>
                <w:color w:val="0000FF"/>
              </w:rPr>
            </w:pPr>
            <w:hyperlink w:anchor="page86">
              <w:r>
                <w:rPr>
                  <w:rFonts w:ascii="Arial" w:cs="Arial" w:eastAsia="Arial" w:hAnsi="Arial"/>
                  <w:sz w:val="17"/>
                  <w:szCs w:val="17"/>
                  <w:color w:val="0000FF"/>
                </w:rPr>
                <w:t>Consolidated Statements of Cash Flows</w:t>
              </w:r>
            </w:hyperlink>
          </w:p>
        </w:tc>
        <w:tc>
          <w:tcPr>
            <w:tcW w:w="4940" w:type="dxa"/>
            <w:vAlign w:val="bottom"/>
            <w:gridSpan w:val="2"/>
          </w:tcPr>
          <w:p>
            <w:pPr>
              <w:jc w:val="center"/>
              <w:ind w:left="4674"/>
              <w:spacing w:after="0"/>
              <w:rPr>
                <w:rFonts w:ascii="Arial" w:cs="Arial" w:eastAsia="Arial" w:hAnsi="Arial"/>
                <w:sz w:val="17"/>
                <w:szCs w:val="17"/>
                <w:color w:val="0000FF"/>
                <w:w w:val="94"/>
              </w:rPr>
            </w:pPr>
            <w:hyperlink w:anchor="page86">
              <w:r>
                <w:rPr>
                  <w:rFonts w:ascii="Arial" w:cs="Arial" w:eastAsia="Arial" w:hAnsi="Arial"/>
                  <w:sz w:val="17"/>
                  <w:szCs w:val="17"/>
                  <w:color w:val="0000FF"/>
                  <w:w w:val="94"/>
                </w:rPr>
                <w:t>85</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9"/>
        </w:trPr>
        <w:tc>
          <w:tcPr>
            <w:tcW w:w="60" w:type="dxa"/>
            <w:vAlign w:val="bottom"/>
          </w:tcPr>
          <w:p>
            <w:pPr>
              <w:spacing w:after="0"/>
              <w:rPr>
                <w:sz w:val="19"/>
                <w:szCs w:val="19"/>
                <w:color w:val="auto"/>
              </w:rPr>
            </w:pPr>
          </w:p>
        </w:tc>
        <w:tc>
          <w:tcPr>
            <w:tcW w:w="322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w w:val="91"/>
              </w:rPr>
              <w:t>Consolidated Statements of Changes in Equity</w:t>
            </w:r>
          </w:p>
        </w:tc>
        <w:tc>
          <w:tcPr>
            <w:tcW w:w="2240" w:type="dxa"/>
            <w:vAlign w:val="bottom"/>
            <w:gridSpan w:val="9"/>
          </w:tcPr>
          <w:p>
            <w:pPr>
              <w:spacing w:after="0"/>
              <w:rPr>
                <w:sz w:val="19"/>
                <w:szCs w:val="19"/>
                <w:color w:val="auto"/>
              </w:rPr>
            </w:pPr>
          </w:p>
        </w:tc>
        <w:tc>
          <w:tcPr>
            <w:tcW w:w="4760" w:type="dxa"/>
            <w:vAlign w:val="bottom"/>
          </w:tcPr>
          <w:p>
            <w:pPr>
              <w:spacing w:after="0"/>
              <w:rPr>
                <w:sz w:val="19"/>
                <w:szCs w:val="19"/>
                <w:color w:val="auto"/>
              </w:rPr>
            </w:pPr>
          </w:p>
        </w:tc>
        <w:tc>
          <w:tcPr>
            <w:tcW w:w="180" w:type="dxa"/>
            <w:vAlign w:val="bottom"/>
            <w:tcBorders>
              <w:bottom w:val="single" w:sz="8" w:color="0000FF"/>
            </w:tcBorders>
          </w:tcPr>
          <w:p>
            <w:pPr>
              <w:jc w:val="center"/>
              <w:spacing w:after="0"/>
              <w:rPr>
                <w:rFonts w:ascii="Arial" w:cs="Arial" w:eastAsia="Arial" w:hAnsi="Arial"/>
                <w:sz w:val="17"/>
                <w:szCs w:val="17"/>
                <w:color w:val="0000FF"/>
                <w:w w:val="94"/>
              </w:rPr>
            </w:pPr>
            <w:hyperlink w:anchor="page87">
              <w:r>
                <w:rPr>
                  <w:rFonts w:ascii="Arial" w:cs="Arial" w:eastAsia="Arial" w:hAnsi="Arial"/>
                  <w:sz w:val="17"/>
                  <w:szCs w:val="17"/>
                  <w:color w:val="0000FF"/>
                  <w:w w:val="94"/>
                </w:rPr>
                <w:t>86</w:t>
              </w:r>
            </w:hyperlink>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24"/>
        </w:trPr>
        <w:tc>
          <w:tcPr>
            <w:tcW w:w="60" w:type="dxa"/>
            <w:vAlign w:val="bottom"/>
          </w:tcPr>
          <w:p>
            <w:pPr>
              <w:spacing w:after="0"/>
              <w:rPr>
                <w:sz w:val="24"/>
                <w:szCs w:val="24"/>
                <w:color w:val="auto"/>
              </w:rPr>
            </w:pPr>
          </w:p>
        </w:tc>
        <w:tc>
          <w:tcPr>
            <w:tcW w:w="3780" w:type="dxa"/>
            <w:vAlign w:val="bottom"/>
            <w:tcBorders>
              <w:bottom w:val="single" w:sz="8" w:color="0000FF"/>
            </w:tcBorders>
            <w:gridSpan w:val="25"/>
          </w:tcPr>
          <w:p>
            <w:pPr>
              <w:spacing w:after="0"/>
              <w:rPr>
                <w:rFonts w:ascii="Arial" w:cs="Arial" w:eastAsia="Arial" w:hAnsi="Arial"/>
                <w:sz w:val="17"/>
                <w:szCs w:val="17"/>
                <w:color w:val="0000FF"/>
                <w:w w:val="91"/>
              </w:rPr>
            </w:pPr>
            <w:hyperlink w:anchor="page88">
              <w:r>
                <w:rPr>
                  <w:rFonts w:ascii="Arial" w:cs="Arial" w:eastAsia="Arial" w:hAnsi="Arial"/>
                  <w:sz w:val="17"/>
                  <w:szCs w:val="17"/>
                  <w:color w:val="0000FF"/>
                  <w:w w:val="91"/>
                </w:rPr>
                <w:t>Combined Notes to Consolidated Financial Statements</w:t>
              </w:r>
            </w:hyperlink>
          </w:p>
        </w:tc>
        <w:tc>
          <w:tcPr>
            <w:tcW w:w="1680" w:type="dxa"/>
            <w:vAlign w:val="bottom"/>
            <w:gridSpan w:val="4"/>
          </w:tcPr>
          <w:p>
            <w:pPr>
              <w:spacing w:after="0"/>
              <w:rPr>
                <w:sz w:val="24"/>
                <w:szCs w:val="24"/>
                <w:color w:val="auto"/>
              </w:rPr>
            </w:pP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w:t>
            </w:r>
          </w:p>
        </w:tc>
        <w:tc>
          <w:tcPr>
            <w:tcW w:w="180" w:type="dxa"/>
            <w:vAlign w:val="bottom"/>
          </w:tcPr>
          <w:p>
            <w:pPr>
              <w:spacing w:after="0"/>
              <w:rPr>
                <w:sz w:val="17"/>
                <w:szCs w:val="17"/>
                <w:color w:val="auto"/>
              </w:rPr>
            </w:pPr>
          </w:p>
        </w:tc>
        <w:tc>
          <w:tcPr>
            <w:tcW w:w="4260" w:type="dxa"/>
            <w:vAlign w:val="bottom"/>
            <w:gridSpan w:val="26"/>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Summary of Significant Accounting Policies</w:t>
              </w:r>
            </w:hyperlink>
          </w:p>
        </w:tc>
        <w:tc>
          <w:tcPr>
            <w:tcW w:w="4940" w:type="dxa"/>
            <w:vAlign w:val="bottom"/>
            <w:gridSpan w:val="2"/>
          </w:tcPr>
          <w:p>
            <w:pPr>
              <w:jc w:val="center"/>
              <w:ind w:left="4674"/>
              <w:spacing w:after="0"/>
              <w:rPr>
                <w:rFonts w:ascii="Arial" w:cs="Arial" w:eastAsia="Arial" w:hAnsi="Arial"/>
                <w:sz w:val="17"/>
                <w:szCs w:val="17"/>
                <w:color w:val="0000FF"/>
                <w:w w:val="94"/>
              </w:rPr>
            </w:pPr>
            <w:hyperlink w:anchor="page89">
              <w:r>
                <w:rPr>
                  <w:rFonts w:ascii="Arial" w:cs="Arial" w:eastAsia="Arial" w:hAnsi="Arial"/>
                  <w:sz w:val="17"/>
                  <w:szCs w:val="17"/>
                  <w:color w:val="0000FF"/>
                  <w:w w:val="94"/>
                </w:rPr>
                <w:t>87</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2:</w:t>
            </w:r>
          </w:p>
        </w:tc>
        <w:tc>
          <w:tcPr>
            <w:tcW w:w="180" w:type="dxa"/>
            <w:vAlign w:val="bottom"/>
          </w:tcPr>
          <w:p>
            <w:pPr>
              <w:spacing w:after="0"/>
              <w:rPr>
                <w:sz w:val="17"/>
                <w:szCs w:val="17"/>
                <w:color w:val="auto"/>
              </w:rPr>
            </w:pPr>
          </w:p>
        </w:tc>
        <w:tc>
          <w:tcPr>
            <w:tcW w:w="3080" w:type="dxa"/>
            <w:vAlign w:val="bottom"/>
            <w:tcBorders>
              <w:top w:val="single" w:sz="8" w:color="0000FF"/>
            </w:tcBorders>
            <w:gridSpan w:val="24"/>
          </w:tcPr>
          <w:p>
            <w:pPr>
              <w:spacing w:after="0"/>
              <w:rPr>
                <w:rFonts w:ascii="Arial" w:cs="Arial" w:eastAsia="Arial" w:hAnsi="Arial"/>
                <w:sz w:val="17"/>
                <w:szCs w:val="17"/>
                <w:color w:val="0000FF"/>
              </w:rPr>
            </w:pPr>
            <w:hyperlink w:anchor="page99">
              <w:r>
                <w:rPr>
                  <w:rFonts w:ascii="Arial" w:cs="Arial" w:eastAsia="Arial" w:hAnsi="Arial"/>
                  <w:sz w:val="17"/>
                  <w:szCs w:val="17"/>
                  <w:color w:val="0000FF"/>
                </w:rPr>
                <w:t>Revenue</w:t>
              </w:r>
            </w:hyperlink>
          </w:p>
        </w:tc>
        <w:tc>
          <w:tcPr>
            <w:tcW w:w="1180" w:type="dxa"/>
            <w:vAlign w:val="bottom"/>
            <w:gridSpan w:val="2"/>
          </w:tcPr>
          <w:p>
            <w:pPr>
              <w:spacing w:after="0"/>
              <w:rPr>
                <w:sz w:val="17"/>
                <w:szCs w:val="17"/>
                <w:color w:val="auto"/>
              </w:rPr>
            </w:pPr>
          </w:p>
        </w:tc>
        <w:tc>
          <w:tcPr>
            <w:tcW w:w="4760" w:type="dxa"/>
            <w:vAlign w:val="bottom"/>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94"/>
              </w:rPr>
              <w:t>93</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3:</w:t>
            </w:r>
          </w:p>
        </w:tc>
        <w:tc>
          <w:tcPr>
            <w:tcW w:w="180" w:type="dxa"/>
            <w:vAlign w:val="bottom"/>
          </w:tcPr>
          <w:p>
            <w:pPr>
              <w:spacing w:after="0"/>
              <w:rPr>
                <w:sz w:val="17"/>
                <w:szCs w:val="17"/>
                <w:color w:val="auto"/>
              </w:rPr>
            </w:pPr>
          </w:p>
        </w:tc>
        <w:tc>
          <w:tcPr>
            <w:tcW w:w="840" w:type="dxa"/>
            <w:vAlign w:val="bottom"/>
            <w:tcBorders>
              <w:bottom w:val="single" w:sz="8" w:color="0000FF"/>
            </w:tcBorders>
            <w:gridSpan w:val="8"/>
          </w:tcPr>
          <w:p>
            <w:pPr>
              <w:spacing w:after="0"/>
              <w:rPr>
                <w:rFonts w:ascii="Arial" w:cs="Arial" w:eastAsia="Arial" w:hAnsi="Arial"/>
                <w:sz w:val="17"/>
                <w:szCs w:val="17"/>
                <w:color w:val="0000FF"/>
                <w:w w:val="88"/>
              </w:rPr>
            </w:pPr>
            <w:hyperlink w:anchor="page100">
              <w:r>
                <w:rPr>
                  <w:rFonts w:ascii="Arial" w:cs="Arial" w:eastAsia="Arial" w:hAnsi="Arial"/>
                  <w:sz w:val="17"/>
                  <w:szCs w:val="17"/>
                  <w:color w:val="0000FF"/>
                  <w:w w:val="88"/>
                </w:rPr>
                <w:t>Receivables</w:t>
              </w:r>
            </w:hyperlink>
          </w:p>
        </w:tc>
        <w:tc>
          <w:tcPr>
            <w:tcW w:w="3420" w:type="dxa"/>
            <w:vAlign w:val="bottom"/>
            <w:gridSpan w:val="18"/>
          </w:tcPr>
          <w:p>
            <w:pPr>
              <w:spacing w:after="0"/>
              <w:rPr>
                <w:sz w:val="17"/>
                <w:szCs w:val="17"/>
                <w:color w:val="auto"/>
              </w:rPr>
            </w:pPr>
          </w:p>
        </w:tc>
        <w:tc>
          <w:tcPr>
            <w:tcW w:w="4760" w:type="dxa"/>
            <w:vAlign w:val="bottom"/>
          </w:tcPr>
          <w:p>
            <w:pPr>
              <w:spacing w:after="0"/>
              <w:rPr>
                <w:sz w:val="17"/>
                <w:szCs w:val="17"/>
                <w:color w:val="auto"/>
              </w:rPr>
            </w:pPr>
          </w:p>
        </w:tc>
        <w:tc>
          <w:tcPr>
            <w:tcW w:w="180" w:type="dxa"/>
            <w:vAlign w:val="bottom"/>
            <w:tcBorders>
              <w:bottom w:val="single" w:sz="8" w:color="0000FF"/>
            </w:tcBorders>
          </w:tcPr>
          <w:p>
            <w:pPr>
              <w:jc w:val="center"/>
              <w:spacing w:after="0"/>
              <w:rPr>
                <w:rFonts w:ascii="Arial" w:cs="Arial" w:eastAsia="Arial" w:hAnsi="Arial"/>
                <w:sz w:val="17"/>
                <w:szCs w:val="17"/>
                <w:color w:val="0000FF"/>
                <w:w w:val="94"/>
              </w:rPr>
            </w:pPr>
            <w:hyperlink w:anchor="page100">
              <w:r>
                <w:rPr>
                  <w:rFonts w:ascii="Arial" w:cs="Arial" w:eastAsia="Arial" w:hAnsi="Arial"/>
                  <w:sz w:val="17"/>
                  <w:szCs w:val="17"/>
                  <w:color w:val="0000FF"/>
                  <w:w w:val="94"/>
                </w:rPr>
                <w:t>99</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4:</w:t>
            </w:r>
          </w:p>
        </w:tc>
        <w:tc>
          <w:tcPr>
            <w:tcW w:w="180" w:type="dxa"/>
            <w:vAlign w:val="bottom"/>
          </w:tcPr>
          <w:p>
            <w:pPr>
              <w:spacing w:after="0"/>
              <w:rPr>
                <w:sz w:val="17"/>
                <w:szCs w:val="17"/>
                <w:color w:val="auto"/>
              </w:rPr>
            </w:pPr>
          </w:p>
        </w:tc>
        <w:tc>
          <w:tcPr>
            <w:tcW w:w="1980" w:type="dxa"/>
            <w:vAlign w:val="bottom"/>
            <w:gridSpan w:val="15"/>
          </w:tcPr>
          <w:p>
            <w:pPr>
              <w:spacing w:after="0"/>
              <w:rPr>
                <w:rFonts w:ascii="Arial" w:cs="Arial" w:eastAsia="Arial" w:hAnsi="Arial"/>
                <w:sz w:val="17"/>
                <w:szCs w:val="17"/>
                <w:color w:val="0000FF"/>
                <w:w w:val="90"/>
              </w:rPr>
            </w:pPr>
            <w:hyperlink w:anchor="page102">
              <w:r>
                <w:rPr>
                  <w:rFonts w:ascii="Arial" w:cs="Arial" w:eastAsia="Arial" w:hAnsi="Arial"/>
                  <w:sz w:val="17"/>
                  <w:szCs w:val="17"/>
                  <w:color w:val="0000FF"/>
                  <w:w w:val="90"/>
                </w:rPr>
                <w:t>Rate Matters and Regulation</w:t>
              </w:r>
            </w:hyperlink>
          </w:p>
        </w:tc>
        <w:tc>
          <w:tcPr>
            <w:tcW w:w="2280" w:type="dxa"/>
            <w:vAlign w:val="bottom"/>
            <w:gridSpan w:val="11"/>
          </w:tcPr>
          <w:p>
            <w:pPr>
              <w:spacing w:after="0"/>
              <w:rPr>
                <w:sz w:val="17"/>
                <w:szCs w:val="17"/>
                <w:color w:val="auto"/>
              </w:rPr>
            </w:pPr>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02">
              <w:r>
                <w:rPr>
                  <w:rFonts w:ascii="Arial" w:cs="Arial" w:eastAsia="Arial" w:hAnsi="Arial"/>
                  <w:sz w:val="17"/>
                  <w:szCs w:val="17"/>
                  <w:color w:val="0000FF"/>
                  <w:w w:val="91"/>
                </w:rPr>
                <w:t>100</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5:</w:t>
            </w:r>
          </w:p>
        </w:tc>
        <w:tc>
          <w:tcPr>
            <w:tcW w:w="180" w:type="dxa"/>
            <w:vAlign w:val="bottom"/>
          </w:tcPr>
          <w:p>
            <w:pPr>
              <w:spacing w:after="0"/>
              <w:rPr>
                <w:sz w:val="17"/>
                <w:szCs w:val="17"/>
                <w:color w:val="auto"/>
              </w:rPr>
            </w:pPr>
          </w:p>
        </w:tc>
        <w:tc>
          <w:tcPr>
            <w:tcW w:w="660" w:type="dxa"/>
            <w:vAlign w:val="bottom"/>
            <w:gridSpan w:val="5"/>
          </w:tcPr>
          <w:p>
            <w:pPr>
              <w:spacing w:after="0"/>
              <w:rPr>
                <w:rFonts w:ascii="Arial" w:cs="Arial" w:eastAsia="Arial" w:hAnsi="Arial"/>
                <w:sz w:val="17"/>
                <w:szCs w:val="17"/>
                <w:color w:val="0000FF"/>
                <w:w w:val="98"/>
              </w:rPr>
            </w:pPr>
            <w:hyperlink w:anchor="page110">
              <w:r>
                <w:rPr>
                  <w:rFonts w:ascii="Arial" w:cs="Arial" w:eastAsia="Arial" w:hAnsi="Arial"/>
                  <w:sz w:val="17"/>
                  <w:szCs w:val="17"/>
                  <w:color w:val="0000FF"/>
                  <w:w w:val="98"/>
                </w:rPr>
                <w:t>Goodwill</w:t>
              </w:r>
            </w:hyperlink>
          </w:p>
        </w:tc>
        <w:tc>
          <w:tcPr>
            <w:tcW w:w="1320" w:type="dxa"/>
            <w:vAlign w:val="bottom"/>
            <w:gridSpan w:val="10"/>
          </w:tcPr>
          <w:p>
            <w:pPr>
              <w:spacing w:after="0"/>
              <w:rPr>
                <w:sz w:val="17"/>
                <w:szCs w:val="17"/>
                <w:color w:val="auto"/>
              </w:rPr>
            </w:pPr>
          </w:p>
        </w:tc>
        <w:tc>
          <w:tcPr>
            <w:tcW w:w="2280" w:type="dxa"/>
            <w:vAlign w:val="bottom"/>
            <w:gridSpan w:val="11"/>
          </w:tcPr>
          <w:p>
            <w:pPr>
              <w:spacing w:after="0"/>
              <w:rPr>
                <w:sz w:val="17"/>
                <w:szCs w:val="17"/>
                <w:color w:val="auto"/>
              </w:rPr>
            </w:pPr>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10">
              <w:r>
                <w:rPr>
                  <w:rFonts w:ascii="Arial" w:cs="Arial" w:eastAsia="Arial" w:hAnsi="Arial"/>
                  <w:sz w:val="17"/>
                  <w:szCs w:val="17"/>
                  <w:color w:val="0000FF"/>
                  <w:w w:val="91"/>
                </w:rPr>
                <w:t>109</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6:</w:t>
            </w:r>
          </w:p>
        </w:tc>
        <w:tc>
          <w:tcPr>
            <w:tcW w:w="180" w:type="dxa"/>
            <w:vAlign w:val="bottom"/>
          </w:tcPr>
          <w:p>
            <w:pPr>
              <w:spacing w:after="0"/>
              <w:rPr>
                <w:sz w:val="17"/>
                <w:szCs w:val="17"/>
                <w:color w:val="auto"/>
              </w:rPr>
            </w:pPr>
          </w:p>
        </w:tc>
        <w:tc>
          <w:tcPr>
            <w:tcW w:w="2040" w:type="dxa"/>
            <w:vAlign w:val="bottom"/>
            <w:gridSpan w:val="18"/>
          </w:tcPr>
          <w:p>
            <w:pPr>
              <w:spacing w:after="0"/>
              <w:rPr>
                <w:rFonts w:ascii="Arial" w:cs="Arial" w:eastAsia="Arial" w:hAnsi="Arial"/>
                <w:sz w:val="17"/>
                <w:szCs w:val="17"/>
                <w:color w:val="0000FF"/>
                <w:w w:val="91"/>
              </w:rPr>
            </w:pPr>
            <w:hyperlink w:anchor="page111">
              <w:r>
                <w:rPr>
                  <w:rFonts w:ascii="Arial" w:cs="Arial" w:eastAsia="Arial" w:hAnsi="Arial"/>
                  <w:sz w:val="17"/>
                  <w:szCs w:val="17"/>
                  <w:color w:val="0000FF"/>
                  <w:w w:val="91"/>
                </w:rPr>
                <w:t>Asset Retirement Obligations</w:t>
              </w:r>
            </w:hyperlink>
          </w:p>
        </w:tc>
        <w:tc>
          <w:tcPr>
            <w:tcW w:w="2220" w:type="dxa"/>
            <w:vAlign w:val="bottom"/>
            <w:gridSpan w:val="8"/>
          </w:tcPr>
          <w:p>
            <w:pPr>
              <w:spacing w:after="0"/>
              <w:rPr>
                <w:sz w:val="17"/>
                <w:szCs w:val="17"/>
                <w:color w:val="auto"/>
              </w:rPr>
            </w:pPr>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11">
              <w:r>
                <w:rPr>
                  <w:rFonts w:ascii="Arial" w:cs="Arial" w:eastAsia="Arial" w:hAnsi="Arial"/>
                  <w:sz w:val="17"/>
                  <w:szCs w:val="17"/>
                  <w:color w:val="0000FF"/>
                  <w:w w:val="91"/>
                </w:rPr>
                <w:t>109</w:t>
              </w:r>
            </w:hyperlink>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7:</w:t>
            </w:r>
          </w:p>
        </w:tc>
        <w:tc>
          <w:tcPr>
            <w:tcW w:w="180" w:type="dxa"/>
            <w:vAlign w:val="bottom"/>
          </w:tcPr>
          <w:p>
            <w:pPr>
              <w:spacing w:after="0"/>
              <w:rPr>
                <w:sz w:val="17"/>
                <w:szCs w:val="17"/>
                <w:color w:val="auto"/>
              </w:rPr>
            </w:pPr>
          </w:p>
        </w:tc>
        <w:tc>
          <w:tcPr>
            <w:tcW w:w="2000" w:type="dxa"/>
            <w:vAlign w:val="bottom"/>
            <w:tcBorders>
              <w:top w:val="single" w:sz="8" w:color="0000FF"/>
            </w:tcBorders>
            <w:gridSpan w:val="16"/>
          </w:tcPr>
          <w:p>
            <w:pPr>
              <w:spacing w:after="0"/>
              <w:rPr>
                <w:rFonts w:ascii="Arial" w:cs="Arial" w:eastAsia="Arial" w:hAnsi="Arial"/>
                <w:sz w:val="17"/>
                <w:szCs w:val="17"/>
                <w:color w:val="0000FF"/>
                <w:w w:val="92"/>
              </w:rPr>
            </w:pPr>
            <w:hyperlink w:anchor="page111">
              <w:r>
                <w:rPr>
                  <w:rFonts w:ascii="Arial" w:cs="Arial" w:eastAsia="Arial" w:hAnsi="Arial"/>
                  <w:sz w:val="17"/>
                  <w:szCs w:val="17"/>
                  <w:color w:val="0000FF"/>
                  <w:w w:val="92"/>
                </w:rPr>
                <w:t>Property, Plant &amp; Equipment</w:t>
              </w:r>
            </w:hyperlink>
          </w:p>
        </w:tc>
        <w:tc>
          <w:tcPr>
            <w:tcW w:w="40" w:type="dxa"/>
            <w:vAlign w:val="bottom"/>
            <w:tcBorders>
              <w:top w:val="single" w:sz="8" w:color="0000FF"/>
            </w:tcBorders>
            <w:gridSpan w:val="2"/>
          </w:tcPr>
          <w:p>
            <w:pPr>
              <w:spacing w:after="0"/>
              <w:rPr>
                <w:sz w:val="17"/>
                <w:szCs w:val="17"/>
                <w:color w:val="auto"/>
              </w:rPr>
            </w:pPr>
          </w:p>
        </w:tc>
        <w:tc>
          <w:tcPr>
            <w:tcW w:w="2220" w:type="dxa"/>
            <w:vAlign w:val="bottom"/>
            <w:gridSpan w:val="8"/>
          </w:tcPr>
          <w:p>
            <w:pPr>
              <w:spacing w:after="0"/>
              <w:rPr>
                <w:sz w:val="17"/>
                <w:szCs w:val="17"/>
                <w:color w:val="auto"/>
              </w:rPr>
            </w:pPr>
          </w:p>
        </w:tc>
        <w:tc>
          <w:tcPr>
            <w:tcW w:w="4760" w:type="dxa"/>
            <w:vAlign w:val="bottom"/>
          </w:tcPr>
          <w:p>
            <w:pPr>
              <w:spacing w:after="0"/>
              <w:rPr>
                <w:sz w:val="17"/>
                <w:szCs w:val="17"/>
                <w:color w:val="auto"/>
              </w:rPr>
            </w:pPr>
          </w:p>
        </w:tc>
        <w:tc>
          <w:tcPr>
            <w:tcW w:w="220" w:type="dxa"/>
            <w:vAlign w:val="bottom"/>
            <w:tcBorders>
              <w:top w:val="single" w:sz="8" w:color="0000FF"/>
            </w:tcBorders>
            <w:gridSpan w:val="2"/>
          </w:tcPr>
          <w:p>
            <w:pPr>
              <w:jc w:val="center"/>
              <w:spacing w:after="0"/>
              <w:rPr>
                <w:rFonts w:ascii="Arial" w:cs="Arial" w:eastAsia="Arial" w:hAnsi="Arial"/>
                <w:sz w:val="17"/>
                <w:szCs w:val="17"/>
                <w:color w:val="0000FF"/>
                <w:w w:val="77"/>
              </w:rPr>
            </w:pPr>
            <w:hyperlink w:anchor="page111">
              <w:r>
                <w:rPr>
                  <w:rFonts w:ascii="Arial" w:cs="Arial" w:eastAsia="Arial" w:hAnsi="Arial"/>
                  <w:sz w:val="17"/>
                  <w:szCs w:val="17"/>
                  <w:color w:val="0000FF"/>
                  <w:w w:val="77"/>
                </w:rPr>
                <w:t>110</w:t>
              </w:r>
            </w:hyperlink>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8:</w:t>
            </w:r>
          </w:p>
        </w:tc>
        <w:tc>
          <w:tcPr>
            <w:tcW w:w="180" w:type="dxa"/>
            <w:vAlign w:val="bottom"/>
          </w:tcPr>
          <w:p>
            <w:pPr>
              <w:spacing w:after="0"/>
              <w:rPr>
                <w:sz w:val="17"/>
                <w:szCs w:val="17"/>
                <w:color w:val="auto"/>
              </w:rPr>
            </w:pPr>
          </w:p>
        </w:tc>
        <w:tc>
          <w:tcPr>
            <w:tcW w:w="2560" w:type="dxa"/>
            <w:vAlign w:val="bottom"/>
            <w:gridSpan w:val="21"/>
          </w:tcPr>
          <w:p>
            <w:pPr>
              <w:spacing w:after="0"/>
              <w:rPr>
                <w:rFonts w:ascii="Arial" w:cs="Arial" w:eastAsia="Arial" w:hAnsi="Arial"/>
                <w:sz w:val="17"/>
                <w:szCs w:val="17"/>
                <w:color w:val="0000FF"/>
                <w:w w:val="95"/>
              </w:rPr>
            </w:pPr>
            <w:hyperlink w:anchor="page112">
              <w:r>
                <w:rPr>
                  <w:rFonts w:ascii="Arial" w:cs="Arial" w:eastAsia="Arial" w:hAnsi="Arial"/>
                  <w:sz w:val="17"/>
                  <w:szCs w:val="17"/>
                  <w:color w:val="0000FF"/>
                  <w:w w:val="95"/>
                </w:rPr>
                <w:t>Jointly-Owned Electric Utility Plants</w:t>
              </w:r>
            </w:hyperlink>
          </w:p>
        </w:tc>
        <w:tc>
          <w:tcPr>
            <w:tcW w:w="1700" w:type="dxa"/>
            <w:vAlign w:val="bottom"/>
            <w:gridSpan w:val="5"/>
          </w:tcPr>
          <w:p>
            <w:pPr>
              <w:spacing w:after="0"/>
              <w:rPr>
                <w:sz w:val="17"/>
                <w:szCs w:val="17"/>
                <w:color w:val="auto"/>
              </w:rPr>
            </w:pPr>
          </w:p>
        </w:tc>
        <w:tc>
          <w:tcPr>
            <w:tcW w:w="4980" w:type="dxa"/>
            <w:vAlign w:val="bottom"/>
            <w:gridSpan w:val="3"/>
          </w:tcPr>
          <w:p>
            <w:pPr>
              <w:jc w:val="center"/>
              <w:ind w:left="4634"/>
              <w:spacing w:after="0"/>
              <w:rPr>
                <w:rFonts w:ascii="Arial" w:cs="Arial" w:eastAsia="Arial" w:hAnsi="Arial"/>
                <w:sz w:val="17"/>
                <w:szCs w:val="17"/>
                <w:color w:val="0000FF"/>
                <w:w w:val="91"/>
              </w:rPr>
            </w:pPr>
            <w:hyperlink w:anchor="page112">
              <w:r>
                <w:rPr>
                  <w:rFonts w:ascii="Arial" w:cs="Arial" w:eastAsia="Arial" w:hAnsi="Arial"/>
                  <w:sz w:val="17"/>
                  <w:szCs w:val="17"/>
                  <w:color w:val="0000FF"/>
                  <w:w w:val="91"/>
                </w:rPr>
                <w:t>111</w:t>
              </w:r>
            </w:hyperlink>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9:</w:t>
            </w:r>
          </w:p>
        </w:tc>
        <w:tc>
          <w:tcPr>
            <w:tcW w:w="180" w:type="dxa"/>
            <w:vAlign w:val="bottom"/>
          </w:tcPr>
          <w:p>
            <w:pPr>
              <w:spacing w:after="0"/>
              <w:rPr>
                <w:sz w:val="17"/>
                <w:szCs w:val="17"/>
                <w:color w:val="auto"/>
              </w:rPr>
            </w:pPr>
          </w:p>
        </w:tc>
        <w:tc>
          <w:tcPr>
            <w:tcW w:w="4260" w:type="dxa"/>
            <w:vAlign w:val="bottom"/>
            <w:gridSpan w:val="26"/>
          </w:tcPr>
          <w:p>
            <w:pPr>
              <w:spacing w:after="0"/>
              <w:rPr>
                <w:rFonts w:ascii="Arial" w:cs="Arial" w:eastAsia="Arial" w:hAnsi="Arial"/>
                <w:sz w:val="17"/>
                <w:szCs w:val="17"/>
                <w:color w:val="0000FF"/>
              </w:rPr>
            </w:pPr>
            <w:hyperlink w:anchor="page113">
              <w:r>
                <w:rPr>
                  <w:rFonts w:ascii="Arial" w:cs="Arial" w:eastAsia="Arial" w:hAnsi="Arial"/>
                  <w:sz w:val="17"/>
                  <w:szCs w:val="17"/>
                  <w:color w:val="0000FF"/>
                </w:rPr>
                <w:t>Pension Plans and Post-Retirement Benefits</w:t>
              </w:r>
            </w:hyperlink>
          </w:p>
        </w:tc>
        <w:tc>
          <w:tcPr>
            <w:tcW w:w="4980" w:type="dxa"/>
            <w:vAlign w:val="bottom"/>
            <w:gridSpan w:val="3"/>
          </w:tcPr>
          <w:p>
            <w:pPr>
              <w:jc w:val="center"/>
              <w:ind w:left="4634"/>
              <w:spacing w:after="0"/>
              <w:rPr>
                <w:rFonts w:ascii="Arial" w:cs="Arial" w:eastAsia="Arial" w:hAnsi="Arial"/>
                <w:sz w:val="17"/>
                <w:szCs w:val="17"/>
                <w:color w:val="0000FF"/>
                <w:w w:val="91"/>
              </w:rPr>
            </w:pPr>
            <w:hyperlink w:anchor="page113">
              <w:r>
                <w:rPr>
                  <w:rFonts w:ascii="Arial" w:cs="Arial" w:eastAsia="Arial" w:hAnsi="Arial"/>
                  <w:sz w:val="17"/>
                  <w:szCs w:val="17"/>
                  <w:color w:val="0000FF"/>
                  <w:w w:val="91"/>
                </w:rPr>
                <w:t>112</w:t>
              </w:r>
            </w:hyperlink>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10:</w:t>
            </w:r>
          </w:p>
        </w:tc>
        <w:tc>
          <w:tcPr>
            <w:tcW w:w="180" w:type="dxa"/>
            <w:vAlign w:val="bottom"/>
          </w:tcPr>
          <w:p>
            <w:pPr>
              <w:spacing w:after="0"/>
              <w:rPr>
                <w:sz w:val="17"/>
                <w:szCs w:val="17"/>
                <w:color w:val="auto"/>
              </w:rPr>
            </w:pPr>
          </w:p>
        </w:tc>
        <w:tc>
          <w:tcPr>
            <w:tcW w:w="1440" w:type="dxa"/>
            <w:vAlign w:val="bottom"/>
            <w:gridSpan w:val="12"/>
          </w:tcPr>
          <w:p>
            <w:pPr>
              <w:spacing w:after="0"/>
              <w:rPr>
                <w:rFonts w:ascii="Arial" w:cs="Arial" w:eastAsia="Arial" w:hAnsi="Arial"/>
                <w:sz w:val="17"/>
                <w:szCs w:val="17"/>
                <w:color w:val="0000FF"/>
                <w:w w:val="86"/>
              </w:rPr>
            </w:pPr>
            <w:hyperlink w:anchor="page126">
              <w:r>
                <w:rPr>
                  <w:rFonts w:ascii="Arial" w:cs="Arial" w:eastAsia="Arial" w:hAnsi="Arial"/>
                  <w:sz w:val="17"/>
                  <w:szCs w:val="17"/>
                  <w:color w:val="0000FF"/>
                  <w:w w:val="86"/>
                </w:rPr>
                <w:t>Equity Compensation</w:t>
              </w:r>
            </w:hyperlink>
          </w:p>
        </w:tc>
        <w:tc>
          <w:tcPr>
            <w:tcW w:w="1580" w:type="dxa"/>
            <w:vAlign w:val="bottom"/>
            <w:gridSpan w:val="11"/>
          </w:tcPr>
          <w:p>
            <w:pPr>
              <w:spacing w:after="0"/>
              <w:rPr>
                <w:sz w:val="17"/>
                <w:szCs w:val="17"/>
                <w:color w:val="auto"/>
              </w:rPr>
            </w:pPr>
          </w:p>
        </w:tc>
        <w:tc>
          <w:tcPr>
            <w:tcW w:w="1240" w:type="dxa"/>
            <w:vAlign w:val="bottom"/>
            <w:gridSpan w:val="3"/>
          </w:tcPr>
          <w:p>
            <w:pPr>
              <w:spacing w:after="0"/>
              <w:rPr>
                <w:sz w:val="17"/>
                <w:szCs w:val="17"/>
                <w:color w:val="auto"/>
              </w:rPr>
            </w:pPr>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26">
              <w:r>
                <w:rPr>
                  <w:rFonts w:ascii="Arial" w:cs="Arial" w:eastAsia="Arial" w:hAnsi="Arial"/>
                  <w:sz w:val="17"/>
                  <w:szCs w:val="17"/>
                  <w:color w:val="0000FF"/>
                  <w:w w:val="91"/>
                </w:rPr>
                <w:t>125</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11:</w:t>
            </w:r>
          </w:p>
        </w:tc>
        <w:tc>
          <w:tcPr>
            <w:tcW w:w="180" w:type="dxa"/>
            <w:vAlign w:val="bottom"/>
          </w:tcPr>
          <w:p>
            <w:pPr>
              <w:spacing w:after="0"/>
              <w:rPr>
                <w:sz w:val="17"/>
                <w:szCs w:val="17"/>
                <w:color w:val="auto"/>
              </w:rPr>
            </w:pPr>
          </w:p>
        </w:tc>
        <w:tc>
          <w:tcPr>
            <w:tcW w:w="4260" w:type="dxa"/>
            <w:vAlign w:val="bottom"/>
            <w:gridSpan w:val="26"/>
          </w:tcPr>
          <w:p>
            <w:pPr>
              <w:spacing w:after="0"/>
              <w:rPr>
                <w:rFonts w:ascii="Arial" w:cs="Arial" w:eastAsia="Arial" w:hAnsi="Arial"/>
                <w:sz w:val="17"/>
                <w:szCs w:val="17"/>
                <w:color w:val="0000FF"/>
                <w:w w:val="92"/>
              </w:rPr>
            </w:pPr>
            <w:hyperlink w:anchor="page128">
              <w:r>
                <w:rPr>
                  <w:rFonts w:ascii="Arial" w:cs="Arial" w:eastAsia="Arial" w:hAnsi="Arial"/>
                  <w:sz w:val="17"/>
                  <w:szCs w:val="17"/>
                  <w:color w:val="0000FF"/>
                  <w:w w:val="92"/>
                </w:rPr>
                <w:t>Short-Term Borrowings and Short-Term Bank Lines of Credit</w:t>
              </w:r>
            </w:hyperlink>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28">
              <w:r>
                <w:rPr>
                  <w:rFonts w:ascii="Arial" w:cs="Arial" w:eastAsia="Arial" w:hAnsi="Arial"/>
                  <w:sz w:val="17"/>
                  <w:szCs w:val="17"/>
                  <w:color w:val="0000FF"/>
                  <w:w w:val="91"/>
                </w:rPr>
                <w:t>126</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12:</w:t>
            </w:r>
          </w:p>
        </w:tc>
        <w:tc>
          <w:tcPr>
            <w:tcW w:w="180" w:type="dxa"/>
            <w:vAlign w:val="bottom"/>
          </w:tcPr>
          <w:p>
            <w:pPr>
              <w:spacing w:after="0"/>
              <w:rPr>
                <w:sz w:val="17"/>
                <w:szCs w:val="17"/>
                <w:color w:val="auto"/>
              </w:rPr>
            </w:pPr>
          </w:p>
        </w:tc>
        <w:tc>
          <w:tcPr>
            <w:tcW w:w="4260" w:type="dxa"/>
            <w:vAlign w:val="bottom"/>
            <w:gridSpan w:val="26"/>
          </w:tcPr>
          <w:p>
            <w:pPr>
              <w:spacing w:after="0"/>
              <w:rPr>
                <w:rFonts w:ascii="Arial" w:cs="Arial" w:eastAsia="Arial" w:hAnsi="Arial"/>
                <w:sz w:val="17"/>
                <w:szCs w:val="17"/>
                <w:color w:val="0000FF"/>
              </w:rPr>
            </w:pPr>
            <w:hyperlink w:anchor="page129">
              <w:r>
                <w:rPr>
                  <w:rFonts w:ascii="Arial" w:cs="Arial" w:eastAsia="Arial" w:hAnsi="Arial"/>
                  <w:sz w:val="17"/>
                  <w:szCs w:val="17"/>
                  <w:color w:val="0000FF"/>
                </w:rPr>
                <w:t>Long-Term Debt</w:t>
              </w:r>
            </w:hyperlink>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29">
              <w:r>
                <w:rPr>
                  <w:rFonts w:ascii="Arial" w:cs="Arial" w:eastAsia="Arial" w:hAnsi="Arial"/>
                  <w:sz w:val="17"/>
                  <w:szCs w:val="17"/>
                  <w:color w:val="0000FF"/>
                  <w:w w:val="91"/>
                </w:rPr>
                <w:t>128</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13:</w:t>
            </w:r>
          </w:p>
        </w:tc>
        <w:tc>
          <w:tcPr>
            <w:tcW w:w="180" w:type="dxa"/>
            <w:vAlign w:val="bottom"/>
          </w:tcPr>
          <w:p>
            <w:pPr>
              <w:spacing w:after="0"/>
              <w:rPr>
                <w:sz w:val="17"/>
                <w:szCs w:val="17"/>
                <w:color w:val="auto"/>
              </w:rPr>
            </w:pPr>
          </w:p>
        </w:tc>
        <w:tc>
          <w:tcPr>
            <w:tcW w:w="4260" w:type="dxa"/>
            <w:vAlign w:val="bottom"/>
            <w:gridSpan w:val="26"/>
          </w:tcPr>
          <w:p>
            <w:pPr>
              <w:spacing w:after="0"/>
              <w:rPr>
                <w:rFonts w:ascii="Arial" w:cs="Arial" w:eastAsia="Arial" w:hAnsi="Arial"/>
                <w:sz w:val="17"/>
                <w:szCs w:val="17"/>
                <w:color w:val="0000FF"/>
              </w:rPr>
            </w:pPr>
            <w:hyperlink w:anchor="page133">
              <w:r>
                <w:rPr>
                  <w:rFonts w:ascii="Arial" w:cs="Arial" w:eastAsia="Arial" w:hAnsi="Arial"/>
                  <w:sz w:val="17"/>
                  <w:szCs w:val="17"/>
                  <w:color w:val="0000FF"/>
                </w:rPr>
                <w:t>Fair Value Measurements</w:t>
              </w:r>
            </w:hyperlink>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33">
              <w:r>
                <w:rPr>
                  <w:rFonts w:ascii="Arial" w:cs="Arial" w:eastAsia="Arial" w:hAnsi="Arial"/>
                  <w:sz w:val="17"/>
                  <w:szCs w:val="17"/>
                  <w:color w:val="0000FF"/>
                  <w:w w:val="91"/>
                </w:rPr>
                <w:t>131</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14:</w:t>
            </w:r>
          </w:p>
        </w:tc>
        <w:tc>
          <w:tcPr>
            <w:tcW w:w="180" w:type="dxa"/>
            <w:vAlign w:val="bottom"/>
          </w:tcPr>
          <w:p>
            <w:pPr>
              <w:spacing w:after="0"/>
              <w:rPr>
                <w:sz w:val="17"/>
                <w:szCs w:val="17"/>
                <w:color w:val="auto"/>
              </w:rPr>
            </w:pPr>
          </w:p>
        </w:tc>
        <w:tc>
          <w:tcPr>
            <w:tcW w:w="2300" w:type="dxa"/>
            <w:vAlign w:val="bottom"/>
            <w:gridSpan w:val="19"/>
          </w:tcPr>
          <w:p>
            <w:pPr>
              <w:spacing w:after="0"/>
              <w:rPr>
                <w:rFonts w:ascii="Arial" w:cs="Arial" w:eastAsia="Arial" w:hAnsi="Arial"/>
                <w:sz w:val="17"/>
                <w:szCs w:val="17"/>
                <w:color w:val="0000FF"/>
                <w:w w:val="91"/>
              </w:rPr>
            </w:pPr>
            <w:hyperlink w:anchor="page138">
              <w:r>
                <w:rPr>
                  <w:rFonts w:ascii="Arial" w:cs="Arial" w:eastAsia="Arial" w:hAnsi="Arial"/>
                  <w:sz w:val="17"/>
                  <w:szCs w:val="17"/>
                  <w:color w:val="0000FF"/>
                  <w:w w:val="91"/>
                </w:rPr>
                <w:t>Commitments and Contingencies</w:t>
              </w:r>
            </w:hyperlink>
          </w:p>
        </w:tc>
        <w:tc>
          <w:tcPr>
            <w:tcW w:w="1960" w:type="dxa"/>
            <w:vAlign w:val="bottom"/>
            <w:gridSpan w:val="7"/>
          </w:tcPr>
          <w:p>
            <w:pPr>
              <w:spacing w:after="0"/>
              <w:rPr>
                <w:sz w:val="17"/>
                <w:szCs w:val="17"/>
                <w:color w:val="auto"/>
              </w:rPr>
            </w:pPr>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38">
              <w:r>
                <w:rPr>
                  <w:rFonts w:ascii="Arial" w:cs="Arial" w:eastAsia="Arial" w:hAnsi="Arial"/>
                  <w:sz w:val="17"/>
                  <w:szCs w:val="17"/>
                  <w:color w:val="0000FF"/>
                  <w:w w:val="91"/>
                </w:rPr>
                <w:t>136</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15:</w:t>
            </w:r>
          </w:p>
        </w:tc>
        <w:tc>
          <w:tcPr>
            <w:tcW w:w="180" w:type="dxa"/>
            <w:vAlign w:val="bottom"/>
          </w:tcPr>
          <w:p>
            <w:pPr>
              <w:spacing w:after="0"/>
              <w:rPr>
                <w:sz w:val="17"/>
                <w:szCs w:val="17"/>
                <w:color w:val="auto"/>
              </w:rPr>
            </w:pPr>
          </w:p>
        </w:tc>
        <w:tc>
          <w:tcPr>
            <w:tcW w:w="780" w:type="dxa"/>
            <w:vAlign w:val="bottom"/>
            <w:gridSpan w:val="6"/>
          </w:tcPr>
          <w:p>
            <w:pPr>
              <w:spacing w:after="0"/>
              <w:rPr>
                <w:rFonts w:ascii="Arial" w:cs="Arial" w:eastAsia="Arial" w:hAnsi="Arial"/>
                <w:sz w:val="17"/>
                <w:szCs w:val="17"/>
                <w:color w:val="0000FF"/>
                <w:w w:val="85"/>
              </w:rPr>
            </w:pPr>
            <w:hyperlink w:anchor="page142">
              <w:r>
                <w:rPr>
                  <w:rFonts w:ascii="Arial" w:cs="Arial" w:eastAsia="Arial" w:hAnsi="Arial"/>
                  <w:sz w:val="17"/>
                  <w:szCs w:val="17"/>
                  <w:color w:val="0000FF"/>
                  <w:w w:val="85"/>
                </w:rPr>
                <w:t>Guarantees</w:t>
              </w:r>
            </w:hyperlink>
          </w:p>
        </w:tc>
        <w:tc>
          <w:tcPr>
            <w:tcW w:w="1520" w:type="dxa"/>
            <w:vAlign w:val="bottom"/>
            <w:gridSpan w:val="13"/>
          </w:tcPr>
          <w:p>
            <w:pPr>
              <w:spacing w:after="0"/>
              <w:rPr>
                <w:sz w:val="17"/>
                <w:szCs w:val="17"/>
                <w:color w:val="auto"/>
              </w:rPr>
            </w:pPr>
          </w:p>
        </w:tc>
        <w:tc>
          <w:tcPr>
            <w:tcW w:w="1960" w:type="dxa"/>
            <w:vAlign w:val="bottom"/>
            <w:gridSpan w:val="7"/>
          </w:tcPr>
          <w:p>
            <w:pPr>
              <w:spacing w:after="0"/>
              <w:rPr>
                <w:sz w:val="17"/>
                <w:szCs w:val="17"/>
                <w:color w:val="auto"/>
              </w:rPr>
            </w:pPr>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42">
              <w:r>
                <w:rPr>
                  <w:rFonts w:ascii="Arial" w:cs="Arial" w:eastAsia="Arial" w:hAnsi="Arial"/>
                  <w:sz w:val="17"/>
                  <w:szCs w:val="17"/>
                  <w:color w:val="0000FF"/>
                  <w:w w:val="91"/>
                </w:rPr>
                <w:t>140</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16:</w:t>
            </w:r>
          </w:p>
        </w:tc>
        <w:tc>
          <w:tcPr>
            <w:tcW w:w="180" w:type="dxa"/>
            <w:vAlign w:val="bottom"/>
          </w:tcPr>
          <w:p>
            <w:pPr>
              <w:spacing w:after="0"/>
              <w:rPr>
                <w:sz w:val="17"/>
                <w:szCs w:val="17"/>
                <w:color w:val="auto"/>
              </w:rPr>
            </w:pPr>
          </w:p>
        </w:tc>
        <w:tc>
          <w:tcPr>
            <w:tcW w:w="3120" w:type="dxa"/>
            <w:vAlign w:val="bottom"/>
            <w:gridSpan w:val="25"/>
          </w:tcPr>
          <w:p>
            <w:pPr>
              <w:spacing w:after="0"/>
              <w:rPr>
                <w:rFonts w:ascii="Arial" w:cs="Arial" w:eastAsia="Arial" w:hAnsi="Arial"/>
                <w:sz w:val="17"/>
                <w:szCs w:val="17"/>
                <w:color w:val="0000FF"/>
                <w:w w:val="89"/>
              </w:rPr>
            </w:pPr>
            <w:hyperlink w:anchor="page142">
              <w:r>
                <w:rPr>
                  <w:rFonts w:ascii="Arial" w:cs="Arial" w:eastAsia="Arial" w:hAnsi="Arial"/>
                  <w:sz w:val="17"/>
                  <w:szCs w:val="17"/>
                  <w:color w:val="0000FF"/>
                  <w:w w:val="89"/>
                </w:rPr>
                <w:t>Related Party Transactions and Relationships</w:t>
              </w:r>
            </w:hyperlink>
          </w:p>
        </w:tc>
        <w:tc>
          <w:tcPr>
            <w:tcW w:w="1140" w:type="dxa"/>
            <w:vAlign w:val="bottom"/>
          </w:tcPr>
          <w:p>
            <w:pPr>
              <w:spacing w:after="0"/>
              <w:rPr>
                <w:sz w:val="17"/>
                <w:szCs w:val="17"/>
                <w:color w:val="auto"/>
              </w:rPr>
            </w:pPr>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42">
              <w:r>
                <w:rPr>
                  <w:rFonts w:ascii="Arial" w:cs="Arial" w:eastAsia="Arial" w:hAnsi="Arial"/>
                  <w:sz w:val="17"/>
                  <w:szCs w:val="17"/>
                  <w:color w:val="0000FF"/>
                  <w:w w:val="91"/>
                </w:rPr>
                <w:t>141</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9"/>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20" w:type="dxa"/>
            <w:vAlign w:val="bottom"/>
            <w:tcBorders>
              <w:left w:val="single" w:sz="8" w:color="0000FF"/>
            </w:tcBorders>
            <w:gridSpan w:val="11"/>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17:</w:t>
            </w:r>
          </w:p>
        </w:tc>
        <w:tc>
          <w:tcPr>
            <w:tcW w:w="180" w:type="dxa"/>
            <w:vAlign w:val="bottom"/>
          </w:tcPr>
          <w:p>
            <w:pPr>
              <w:spacing w:after="0"/>
              <w:rPr>
                <w:sz w:val="17"/>
                <w:szCs w:val="17"/>
                <w:color w:val="auto"/>
              </w:rPr>
            </w:pPr>
          </w:p>
        </w:tc>
        <w:tc>
          <w:tcPr>
            <w:tcW w:w="1440" w:type="dxa"/>
            <w:vAlign w:val="bottom"/>
            <w:gridSpan w:val="12"/>
          </w:tcPr>
          <w:p>
            <w:pPr>
              <w:spacing w:after="0"/>
              <w:rPr>
                <w:rFonts w:ascii="Arial" w:cs="Arial" w:eastAsia="Arial" w:hAnsi="Arial"/>
                <w:sz w:val="17"/>
                <w:szCs w:val="17"/>
                <w:color w:val="0000FF"/>
                <w:w w:val="89"/>
              </w:rPr>
            </w:pPr>
            <w:hyperlink w:anchor="page144">
              <w:r>
                <w:rPr>
                  <w:rFonts w:ascii="Arial" w:cs="Arial" w:eastAsia="Arial" w:hAnsi="Arial"/>
                  <w:sz w:val="17"/>
                  <w:szCs w:val="17"/>
                  <w:color w:val="0000FF"/>
                  <w:w w:val="89"/>
                </w:rPr>
                <w:t>Shareholders' Equity</w:t>
              </w:r>
            </w:hyperlink>
          </w:p>
        </w:tc>
        <w:tc>
          <w:tcPr>
            <w:tcW w:w="168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44">
              <w:r>
                <w:rPr>
                  <w:rFonts w:ascii="Arial" w:cs="Arial" w:eastAsia="Arial" w:hAnsi="Arial"/>
                  <w:sz w:val="17"/>
                  <w:szCs w:val="17"/>
                  <w:color w:val="0000FF"/>
                  <w:w w:val="91"/>
                </w:rPr>
                <w:t>142</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9"/>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18:</w:t>
            </w:r>
          </w:p>
        </w:tc>
        <w:tc>
          <w:tcPr>
            <w:tcW w:w="180" w:type="dxa"/>
            <w:vAlign w:val="bottom"/>
          </w:tcPr>
          <w:p>
            <w:pPr>
              <w:spacing w:after="0"/>
              <w:rPr>
                <w:sz w:val="17"/>
                <w:szCs w:val="17"/>
                <w:color w:val="auto"/>
              </w:rPr>
            </w:pPr>
          </w:p>
        </w:tc>
        <w:tc>
          <w:tcPr>
            <w:tcW w:w="4260" w:type="dxa"/>
            <w:vAlign w:val="bottom"/>
            <w:gridSpan w:val="26"/>
          </w:tcPr>
          <w:p>
            <w:pPr>
              <w:spacing w:after="0"/>
              <w:rPr>
                <w:rFonts w:ascii="Arial" w:cs="Arial" w:eastAsia="Arial" w:hAnsi="Arial"/>
                <w:sz w:val="17"/>
                <w:szCs w:val="17"/>
                <w:color w:val="0000FF"/>
              </w:rPr>
            </w:pPr>
            <w:hyperlink w:anchor="page145">
              <w:r>
                <w:rPr>
                  <w:rFonts w:ascii="Arial" w:cs="Arial" w:eastAsia="Arial" w:hAnsi="Arial"/>
                  <w:sz w:val="17"/>
                  <w:szCs w:val="17"/>
                  <w:color w:val="0000FF"/>
                </w:rPr>
                <w:t>Variable Interest Entities</w:t>
              </w:r>
            </w:hyperlink>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45">
              <w:r>
                <w:rPr>
                  <w:rFonts w:ascii="Arial" w:cs="Arial" w:eastAsia="Arial" w:hAnsi="Arial"/>
                  <w:sz w:val="17"/>
                  <w:szCs w:val="17"/>
                  <w:color w:val="0000FF"/>
                  <w:w w:val="91"/>
                </w:rPr>
                <w:t>143</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11"/>
            <w:shd w:val="clear" w:color="auto" w:fill="0000FF"/>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19:</w:t>
            </w:r>
          </w:p>
        </w:tc>
        <w:tc>
          <w:tcPr>
            <w:tcW w:w="180" w:type="dxa"/>
            <w:vAlign w:val="bottom"/>
          </w:tcPr>
          <w:p>
            <w:pPr>
              <w:spacing w:after="0"/>
              <w:rPr>
                <w:sz w:val="17"/>
                <w:szCs w:val="17"/>
                <w:color w:val="auto"/>
              </w:rPr>
            </w:pPr>
          </w:p>
        </w:tc>
        <w:tc>
          <w:tcPr>
            <w:tcW w:w="1700" w:type="dxa"/>
            <w:vAlign w:val="bottom"/>
            <w:gridSpan w:val="14"/>
          </w:tcPr>
          <w:p>
            <w:pPr>
              <w:spacing w:after="0"/>
              <w:rPr>
                <w:rFonts w:ascii="Arial" w:cs="Arial" w:eastAsia="Arial" w:hAnsi="Arial"/>
                <w:sz w:val="17"/>
                <w:szCs w:val="17"/>
                <w:color w:val="0000FF"/>
              </w:rPr>
            </w:pPr>
            <w:hyperlink w:anchor="page146">
              <w:r>
                <w:rPr>
                  <w:rFonts w:ascii="Arial" w:cs="Arial" w:eastAsia="Arial" w:hAnsi="Arial"/>
                  <w:sz w:val="17"/>
                  <w:szCs w:val="17"/>
                  <w:color w:val="0000FF"/>
                </w:rPr>
                <w:t>Taxes</w:t>
              </w:r>
            </w:hyperlink>
          </w:p>
        </w:tc>
        <w:tc>
          <w:tcPr>
            <w:tcW w:w="2560" w:type="dxa"/>
            <w:vAlign w:val="bottom"/>
            <w:gridSpan w:val="12"/>
          </w:tcPr>
          <w:p>
            <w:pPr>
              <w:spacing w:after="0"/>
              <w:rPr>
                <w:sz w:val="17"/>
                <w:szCs w:val="17"/>
                <w:color w:val="auto"/>
              </w:rPr>
            </w:pPr>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46">
              <w:r>
                <w:rPr>
                  <w:rFonts w:ascii="Arial" w:cs="Arial" w:eastAsia="Arial" w:hAnsi="Arial"/>
                  <w:sz w:val="17"/>
                  <w:szCs w:val="17"/>
                  <w:color w:val="0000FF"/>
                  <w:w w:val="91"/>
                </w:rPr>
                <w:t>144</w:t>
              </w:r>
            </w:hyperlink>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gridSpan w:val="23"/>
          </w:tcPr>
          <w:p>
            <w:pPr>
              <w:spacing w:after="0" w:line="20" w:lineRule="exact"/>
              <w:rPr>
                <w:sz w:val="1"/>
                <w:szCs w:val="1"/>
                <w:color w:val="auto"/>
              </w:rPr>
            </w:pPr>
          </w:p>
        </w:tc>
        <w:tc>
          <w:tcPr>
            <w:tcW w:w="47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Note 20:</w:t>
            </w:r>
          </w:p>
        </w:tc>
        <w:tc>
          <w:tcPr>
            <w:tcW w:w="180" w:type="dxa"/>
            <w:vAlign w:val="bottom"/>
          </w:tcPr>
          <w:p>
            <w:pPr>
              <w:spacing w:after="0"/>
              <w:rPr>
                <w:sz w:val="17"/>
                <w:szCs w:val="17"/>
                <w:color w:val="auto"/>
              </w:rPr>
            </w:pPr>
          </w:p>
        </w:tc>
        <w:tc>
          <w:tcPr>
            <w:tcW w:w="4260" w:type="dxa"/>
            <w:vAlign w:val="bottom"/>
            <w:gridSpan w:val="26"/>
          </w:tcPr>
          <w:p>
            <w:pPr>
              <w:spacing w:after="0"/>
              <w:rPr>
                <w:rFonts w:ascii="Arial" w:cs="Arial" w:eastAsia="Arial" w:hAnsi="Arial"/>
                <w:sz w:val="17"/>
                <w:szCs w:val="17"/>
                <w:color w:val="0000FF"/>
              </w:rPr>
            </w:pPr>
            <w:hyperlink w:anchor="page152">
              <w:r>
                <w:rPr>
                  <w:rFonts w:ascii="Arial" w:cs="Arial" w:eastAsia="Arial" w:hAnsi="Arial"/>
                  <w:sz w:val="17"/>
                  <w:szCs w:val="17"/>
                  <w:color w:val="0000FF"/>
                </w:rPr>
                <w:t>Leases</w:t>
              </w:r>
            </w:hyperlink>
          </w:p>
        </w:tc>
        <w:tc>
          <w:tcPr>
            <w:tcW w:w="5720" w:type="dxa"/>
            <w:vAlign w:val="bottom"/>
            <w:gridSpan w:val="4"/>
          </w:tcPr>
          <w:p>
            <w:pPr>
              <w:jc w:val="center"/>
              <w:ind w:left="3894"/>
              <w:spacing w:after="0"/>
              <w:rPr>
                <w:rFonts w:ascii="Arial" w:cs="Arial" w:eastAsia="Arial" w:hAnsi="Arial"/>
                <w:sz w:val="17"/>
                <w:szCs w:val="17"/>
                <w:color w:val="0000FF"/>
                <w:w w:val="91"/>
              </w:rPr>
            </w:pPr>
            <w:hyperlink w:anchor="page152">
              <w:r>
                <w:rPr>
                  <w:rFonts w:ascii="Arial" w:cs="Arial" w:eastAsia="Arial" w:hAnsi="Arial"/>
                  <w:sz w:val="17"/>
                  <w:szCs w:val="17"/>
                  <w:color w:val="0000FF"/>
                  <w:w w:val="91"/>
                </w:rPr>
                <w:t>150</w:t>
              </w:r>
            </w:hyperlink>
          </w:p>
        </w:tc>
      </w:tr>
      <w:tr>
        <w:trPr>
          <w:trHeight w:val="842"/>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60" w:type="dxa"/>
            <w:vAlign w:val="bottom"/>
          </w:tcPr>
          <w:p>
            <w:pPr>
              <w:jc w:val="right"/>
              <w:ind w:right="4494"/>
              <w:spacing w:after="0"/>
              <w:rPr>
                <w:sz w:val="20"/>
                <w:szCs w:val="20"/>
                <w:color w:val="auto"/>
              </w:rPr>
            </w:pPr>
            <w:r>
              <w:rPr>
                <w:rFonts w:ascii="Arial" w:cs="Arial" w:eastAsia="Arial" w:hAnsi="Arial"/>
                <w:sz w:val="17"/>
                <w:szCs w:val="17"/>
                <w:color w:val="auto"/>
                <w:w w:val="84"/>
              </w:rPr>
              <w:t>62</w:t>
            </w: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r>
      <w:tr>
        <w:trPr>
          <w:trHeight w:val="110"/>
        </w:trPr>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4" w:name="page65"/>
    <w:bookmarkEnd w:id="6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4740"/>
        <w:spacing w:after="0" w:line="412"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shareholders and the Board of Directors of Evergy, Inc. </w:t>
      </w:r>
      <w:r>
        <w:rPr>
          <w:rFonts w:ascii="Arial" w:cs="Arial" w:eastAsia="Arial" w:hAnsi="Arial"/>
          <w:sz w:val="19"/>
          <w:szCs w:val="19"/>
          <w:b w:val="1"/>
          <w:bCs w:val="1"/>
          <w:color w:val="auto"/>
        </w:rPr>
        <w:t>Opinion on the Financial Statements</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have audited the accompanying consolidated balance sheets of Evergy, Inc. and subsidiaries (the "Company") as of December 31, 2021 and 2020, the related consolidated statements of comprehensive income, changes in equity, and cash flows for each of the three years in the period ended December 31, 2021, and the related notes and the financial statement schedules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19"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24, 2022,</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1"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16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right="260" w:firstLine="3"/>
        <w:spacing w:after="0" w:line="243" w:lineRule="auto"/>
        <w:tabs>
          <w:tab w:leader="none" w:pos="267"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ind w:right="500"/>
        <w:spacing w:after="0" w:line="410" w:lineRule="auto"/>
        <w:rPr>
          <w:sz w:val="20"/>
          <w:szCs w:val="20"/>
          <w:color w:val="auto"/>
        </w:rPr>
      </w:pPr>
      <w:r>
        <w:rPr>
          <w:rFonts w:ascii="Arial" w:cs="Arial" w:eastAsia="Arial" w:hAnsi="Arial"/>
          <w:sz w:val="19"/>
          <w:szCs w:val="19"/>
          <w:b w:val="1"/>
          <w:bCs w:val="1"/>
          <w:i w:val="1"/>
          <w:iCs w:val="1"/>
          <w:color w:val="auto"/>
        </w:rPr>
        <w:t xml:space="preserve">Rate Matters and Regulation - Impact of Rate Regulation on the Financial Statements - Refer to Notes 1 and 4 to the financial statements </w:t>
      </w:r>
      <w:r>
        <w:rPr>
          <w:rFonts w:ascii="Arial" w:cs="Arial" w:eastAsia="Arial" w:hAnsi="Arial"/>
          <w:sz w:val="19"/>
          <w:szCs w:val="19"/>
          <w:i w:val="1"/>
          <w:iCs w:val="1"/>
          <w:color w:val="auto"/>
        </w:rPr>
        <w:t>Critical Audit Matter Description</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Company is subject to rate regulation by the Kansas Corporation Commission and by the Missouri Public Service Commission (collectively the "Commissions"), which has jurisdiction with respect to the rates of electric distribution companies in Kansas and Missouri, respectively. Management has determined it meets the requirements under accounting principles generally accepted in the United States of America to prepare its financial statements applying the specialized rules to account for the effects of cost-based rate regulation. Accounting for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5" w:name="page66"/>
    <w:bookmarkEnd w:id="6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60"/>
        <w:spacing w:after="0" w:line="359" w:lineRule="auto"/>
        <w:rPr>
          <w:sz w:val="20"/>
          <w:szCs w:val="20"/>
          <w:color w:val="auto"/>
        </w:rPr>
      </w:pPr>
      <w:r>
        <w:rPr>
          <w:rFonts w:ascii="Arial" w:cs="Arial" w:eastAsia="Arial" w:hAnsi="Arial"/>
          <w:sz w:val="16"/>
          <w:szCs w:val="16"/>
          <w:color w:val="auto"/>
        </w:rPr>
        <w:t>economics of rate regulation impacts multiple financial statement line items and disclosures, such as property, plant, and equipment, including asset retirements and abandonments; regulatory assets and liabilities; operating revenues; operating and maintenance expense; and depreciation expense.</w:t>
      </w:r>
    </w:p>
    <w:p>
      <w:pPr>
        <w:spacing w:after="0" w:line="4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Company's rates are subject to regulatory rate-setting processes and annual earnings oversight.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by rates. The Commissions' regulation of rates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 Company has indicated it expects to recover costs from customers through regulated rates, there is a risk that the Commissions will not approve (1) full recovery of the costs of providing utility service or (2) full recovery of all amounts invested in the utility business and a reasonable return on that investment.</w:t>
      </w:r>
    </w:p>
    <w:p>
      <w:pPr>
        <w:spacing w:after="0" w:line="125" w:lineRule="exact"/>
        <w:rPr>
          <w:sz w:val="20"/>
          <w:szCs w:val="20"/>
          <w:color w:val="auto"/>
        </w:rPr>
      </w:pPr>
    </w:p>
    <w:p>
      <w:pPr>
        <w:ind w:right="160"/>
        <w:spacing w:after="0" w:line="245" w:lineRule="auto"/>
        <w:rPr>
          <w:sz w:val="20"/>
          <w:szCs w:val="20"/>
          <w:color w:val="auto"/>
        </w:rPr>
      </w:pPr>
      <w:r>
        <w:rPr>
          <w:rFonts w:ascii="Arial" w:cs="Arial" w:eastAsia="Arial" w:hAnsi="Arial"/>
          <w:sz w:val="19"/>
          <w:szCs w:val="19"/>
          <w:color w:val="auto"/>
        </w:rPr>
        <w:t>When the Company retires a regulated plant, the Company must assess the probability of recovery of the regulated plant, which is dependent upon amounts that may be recovered through regulated rates, including any return. Pending receipt of regulatory approval for the retirement and/or recovery of the affected plants, accounting for early retirements of regulated plants involves judgment related to the nature of the early retirement and the likelihood that the Company will recover its remaining investment in these retired generating plants with a return. Auditing the judgments related to the nature and likelihood of the retirement and the probability of recovering the generating plant investment with a return involves especially subjective and complex judgment.</w:t>
      </w:r>
    </w:p>
    <w:p>
      <w:pPr>
        <w:spacing w:after="0" w:line="1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(2) probability of potential charges related to the abandonment of regulated plants, and (3) a refund to customers. Given that management's accounting judgments are based on assumptions about the outcome of future decisions by the Commissions, auditing these judgments required specialized knowledge of accounting for rate regulation and the rate setting process due to its inherent complexities.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How the Critical Audit Matter Was Addressed in the Audit</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Our audit procedures related to the uncertainty of future decisions by the Commissions included the following, among others:</w:t>
      </w:r>
    </w:p>
    <w:p>
      <w:pPr>
        <w:spacing w:after="0" w:line="155" w:lineRule="exact"/>
        <w:rPr>
          <w:sz w:val="20"/>
          <w:szCs w:val="20"/>
          <w:color w:val="auto"/>
        </w:rPr>
      </w:pPr>
    </w:p>
    <w:p>
      <w:pPr>
        <w:ind w:left="620" w:right="360" w:hanging="307"/>
        <w:spacing w:after="0" w:line="252" w:lineRule="auto"/>
        <w:tabs>
          <w:tab w:leader="none" w:pos="609" w:val="left"/>
        </w:tabs>
        <w:numPr>
          <w:ilvl w:val="0"/>
          <w:numId w:val="46"/>
        </w:numPr>
        <w:rPr>
          <w:rFonts w:ascii="Arial" w:cs="Arial" w:eastAsia="Arial" w:hAnsi="Arial"/>
          <w:sz w:val="19"/>
          <w:szCs w:val="19"/>
          <w:color w:val="auto"/>
        </w:rPr>
      </w:pPr>
      <w:r>
        <w:rPr>
          <w:rFonts w:ascii="Arial" w:cs="Arial" w:eastAsia="Arial" w:hAnsi="Arial"/>
          <w:sz w:val="19"/>
          <w:szCs w:val="19"/>
          <w:color w:val="auto"/>
        </w:rPr>
        <w:t>We tested the effectiveness of management's controls over the evaluation of the likelihood of (1) the recovery in future rates of costs incurred as property, plant, and equipment and deferred as regulatory assets and (2) a refund or a future reduction in rates that should be reported as regulatory liabilities.</w:t>
      </w:r>
    </w:p>
    <w:p>
      <w:pPr>
        <w:spacing w:after="0" w:line="123" w:lineRule="exact"/>
        <w:rPr>
          <w:rFonts w:ascii="Arial" w:cs="Arial" w:eastAsia="Arial" w:hAnsi="Arial"/>
          <w:sz w:val="19"/>
          <w:szCs w:val="19"/>
          <w:color w:val="auto"/>
        </w:rPr>
      </w:pPr>
    </w:p>
    <w:p>
      <w:pPr>
        <w:ind w:left="620" w:right="40" w:hanging="307"/>
        <w:spacing w:after="0" w:line="246" w:lineRule="auto"/>
        <w:tabs>
          <w:tab w:leader="none" w:pos="609" w:val="left"/>
        </w:tabs>
        <w:numPr>
          <w:ilvl w:val="0"/>
          <w:numId w:val="46"/>
        </w:numPr>
        <w:rPr>
          <w:rFonts w:ascii="Arial" w:cs="Arial" w:eastAsia="Arial" w:hAnsi="Arial"/>
          <w:sz w:val="19"/>
          <w:szCs w:val="19"/>
          <w:color w:val="auto"/>
        </w:rPr>
      </w:pPr>
      <w:r>
        <w:rPr>
          <w:rFonts w:ascii="Arial" w:cs="Arial" w:eastAsia="Arial" w:hAnsi="Arial"/>
          <w:sz w:val="19"/>
          <w:szCs w:val="19"/>
          <w:color w:val="auto"/>
        </w:rPr>
        <w:t>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 including Company management's determination of the likelihood of recovery of the full investment of certain regulated plants and probability of refunding amounts previously collected from customers related to certain regulated plants.</w:t>
      </w:r>
    </w:p>
    <w:p>
      <w:pPr>
        <w:spacing w:after="0" w:line="130" w:lineRule="exact"/>
        <w:rPr>
          <w:rFonts w:ascii="Arial" w:cs="Arial" w:eastAsia="Arial" w:hAnsi="Arial"/>
          <w:sz w:val="19"/>
          <w:szCs w:val="19"/>
          <w:color w:val="auto"/>
        </w:rPr>
      </w:pPr>
    </w:p>
    <w:p>
      <w:pPr>
        <w:ind w:left="620" w:right="900" w:hanging="307"/>
        <w:spacing w:after="0" w:line="264" w:lineRule="auto"/>
        <w:tabs>
          <w:tab w:leader="none" w:pos="609" w:val="left"/>
        </w:tabs>
        <w:numPr>
          <w:ilvl w:val="0"/>
          <w:numId w:val="46"/>
        </w:numPr>
        <w:rPr>
          <w:rFonts w:ascii="Arial" w:cs="Arial" w:eastAsia="Arial" w:hAnsi="Arial"/>
          <w:sz w:val="19"/>
          <w:szCs w:val="19"/>
          <w:color w:val="auto"/>
        </w:rPr>
      </w:pPr>
      <w:r>
        <w:rPr>
          <w:rFonts w:ascii="Arial" w:cs="Arial" w:eastAsia="Arial" w:hAnsi="Arial"/>
          <w:sz w:val="19"/>
          <w:szCs w:val="19"/>
          <w:color w:val="auto"/>
        </w:rPr>
        <w:t>We evaluated the Company's disclosures related to the impacts of rate regulation, including the balances recorded and regulatory developments.</w:t>
      </w:r>
    </w:p>
    <w:p>
      <w:pPr>
        <w:spacing w:after="0" w:line="112" w:lineRule="exact"/>
        <w:rPr>
          <w:rFonts w:ascii="Arial" w:cs="Arial" w:eastAsia="Arial" w:hAnsi="Arial"/>
          <w:sz w:val="19"/>
          <w:szCs w:val="19"/>
          <w:color w:val="auto"/>
        </w:rPr>
      </w:pPr>
    </w:p>
    <w:p>
      <w:pPr>
        <w:ind w:left="620" w:right="40" w:hanging="307"/>
        <w:spacing w:after="0" w:line="322" w:lineRule="auto"/>
        <w:tabs>
          <w:tab w:leader="none" w:pos="609"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evaluated external information and compared it to management's recorded regulatory asset and liability balances for completeness. Such external information included relevant regulatory orders issued by the Commissions for the Company and other public utilities in Kansas and Missouri, regulatory statutes, interpretations, procedural memorandums, filings made by intervenors, and other publicly available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6" w:name="page67"/>
    <w:bookmarkEnd w:id="6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right="320"/>
        <w:spacing w:after="0" w:line="264" w:lineRule="auto"/>
        <w:rPr>
          <w:sz w:val="20"/>
          <w:szCs w:val="20"/>
          <w:color w:val="auto"/>
        </w:rPr>
      </w:pPr>
      <w:r>
        <w:rPr>
          <w:rFonts w:ascii="Arial" w:cs="Arial" w:eastAsia="Arial" w:hAnsi="Arial"/>
          <w:sz w:val="19"/>
          <w:szCs w:val="19"/>
          <w:color w:val="auto"/>
        </w:rPr>
        <w:t>information to assess the likelihood of recovery in future rates or of a future reduction in rates based on precedents of the Commissions' treatment of similar costs under similar circumstances.</w:t>
      </w:r>
    </w:p>
    <w:p>
      <w:pPr>
        <w:spacing w:after="0" w:line="112" w:lineRule="exact"/>
        <w:rPr>
          <w:sz w:val="20"/>
          <w:szCs w:val="20"/>
          <w:color w:val="auto"/>
        </w:rPr>
      </w:pPr>
    </w:p>
    <w:p>
      <w:pPr>
        <w:ind w:left="620" w:right="260" w:hanging="307"/>
        <w:spacing w:after="0" w:line="252" w:lineRule="auto"/>
        <w:tabs>
          <w:tab w:leader="none" w:pos="609"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For regulatory matters in process, including those that could impact the early retirement of regulated plants, we inspected the Company's filings with the Commissions and the filings with the Commissions by intervenors that may impact the Company's future rates, for any evidence that might contradict management's assertions.</w:t>
      </w:r>
    </w:p>
    <w:p>
      <w:pPr>
        <w:spacing w:after="0" w:line="123" w:lineRule="exact"/>
        <w:rPr>
          <w:rFonts w:ascii="Arial" w:cs="Arial" w:eastAsia="Arial" w:hAnsi="Arial"/>
          <w:sz w:val="19"/>
          <w:szCs w:val="19"/>
          <w:color w:val="auto"/>
        </w:rPr>
      </w:pPr>
    </w:p>
    <w:p>
      <w:pPr>
        <w:ind w:left="620" w:hanging="307"/>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evaluated the reasonableness of management's judgments for potential indicators of abandonment by performing the following:</w:t>
      </w:r>
    </w:p>
    <w:p>
      <w:pPr>
        <w:spacing w:after="0" w:line="166" w:lineRule="exact"/>
        <w:rPr>
          <w:rFonts w:ascii="Arial" w:cs="Arial" w:eastAsia="Arial" w:hAnsi="Arial"/>
          <w:sz w:val="18"/>
          <w:szCs w:val="18"/>
          <w:color w:val="auto"/>
        </w:rPr>
      </w:pPr>
    </w:p>
    <w:p>
      <w:pPr>
        <w:ind w:left="1240" w:hanging="309"/>
        <w:spacing w:after="0"/>
        <w:tabs>
          <w:tab w:leader="none" w:pos="12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We inquired of management about property, plant, and equipment that may be abandoned.</w:t>
      </w:r>
    </w:p>
    <w:p>
      <w:pPr>
        <w:spacing w:after="0" w:line="155" w:lineRule="exact"/>
        <w:rPr>
          <w:rFonts w:ascii="Arial" w:cs="Arial" w:eastAsia="Arial" w:hAnsi="Arial"/>
          <w:sz w:val="19"/>
          <w:szCs w:val="19"/>
          <w:color w:val="auto"/>
        </w:rPr>
      </w:pPr>
    </w:p>
    <w:p>
      <w:pPr>
        <w:ind w:left="1240" w:right="180" w:hanging="309"/>
        <w:spacing w:after="0" w:line="264" w:lineRule="auto"/>
        <w:tabs>
          <w:tab w:leader="none" w:pos="1229" w:val="left"/>
        </w:tabs>
        <w:numPr>
          <w:ilvl w:val="1"/>
          <w:numId w:val="47"/>
        </w:numPr>
        <w:rPr>
          <w:rFonts w:ascii="Arial" w:cs="Arial" w:eastAsia="Arial" w:hAnsi="Arial"/>
          <w:sz w:val="19"/>
          <w:szCs w:val="19"/>
          <w:color w:val="auto"/>
        </w:rPr>
      </w:pPr>
      <w:r>
        <w:rPr>
          <w:rFonts w:ascii="Arial" w:cs="Arial" w:eastAsia="Arial" w:hAnsi="Arial"/>
          <w:sz w:val="19"/>
          <w:szCs w:val="19"/>
          <w:color w:val="auto"/>
        </w:rPr>
        <w:t>We inspected the capital projects budget and construction-in-process listings and inquired of management to identify projects that are designed to replace assets that may be retired prior to the end of the useful life.</w:t>
      </w:r>
    </w:p>
    <w:p>
      <w:pPr>
        <w:spacing w:after="0" w:line="112" w:lineRule="exact"/>
        <w:rPr>
          <w:rFonts w:ascii="Arial" w:cs="Arial" w:eastAsia="Arial" w:hAnsi="Arial"/>
          <w:sz w:val="19"/>
          <w:szCs w:val="19"/>
          <w:color w:val="auto"/>
        </w:rPr>
      </w:pPr>
    </w:p>
    <w:p>
      <w:pPr>
        <w:ind w:left="1240" w:right="600" w:hanging="309"/>
        <w:spacing w:after="0" w:line="264" w:lineRule="auto"/>
        <w:tabs>
          <w:tab w:leader="none" w:pos="1229" w:val="left"/>
        </w:tabs>
        <w:numPr>
          <w:ilvl w:val="1"/>
          <w:numId w:val="47"/>
        </w:numPr>
        <w:rPr>
          <w:rFonts w:ascii="Arial" w:cs="Arial" w:eastAsia="Arial" w:hAnsi="Arial"/>
          <w:sz w:val="19"/>
          <w:szCs w:val="19"/>
          <w:color w:val="auto"/>
        </w:rPr>
      </w:pPr>
      <w:r>
        <w:rPr>
          <w:rFonts w:ascii="Arial" w:cs="Arial" w:eastAsia="Arial" w:hAnsi="Arial"/>
          <w:sz w:val="19"/>
          <w:szCs w:val="19"/>
          <w:color w:val="auto"/>
        </w:rPr>
        <w:t>We inspected minutes of the board of directors and regulatory orders and other filings with the Commissions to identify any evidence that may contradict management's assertion regarding probability of an abandonment.</w:t>
      </w:r>
    </w:p>
    <w:p>
      <w:pPr>
        <w:spacing w:after="0" w:line="112" w:lineRule="exact"/>
        <w:rPr>
          <w:rFonts w:ascii="Arial" w:cs="Arial" w:eastAsia="Arial" w:hAnsi="Arial"/>
          <w:sz w:val="19"/>
          <w:szCs w:val="19"/>
          <w:color w:val="auto"/>
        </w:rPr>
      </w:pPr>
    </w:p>
    <w:p>
      <w:pPr>
        <w:ind w:left="620" w:hanging="307"/>
        <w:spacing w:after="0" w:line="287" w:lineRule="auto"/>
        <w:tabs>
          <w:tab w:leader="none" w:pos="6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compared actual spend for projects that have been capitalized to property, plant, and equipment to budget. We evaluated regulatory filings for any evidence that intervenors are challenging full recovery of the cost of any capital projects. For significant projects that were over budget or if full recovery of project costs is being challenged by intervenors, we evaluated management's assessment of the probability of a disallowance. We tested selected costs included in the capitalized project costs for completeness and accuracy.</w:t>
      </w:r>
    </w:p>
    <w:p>
      <w:pPr>
        <w:spacing w:after="0" w:line="96" w:lineRule="exact"/>
        <w:rPr>
          <w:rFonts w:ascii="Arial" w:cs="Arial" w:eastAsia="Arial" w:hAnsi="Arial"/>
          <w:sz w:val="17"/>
          <w:szCs w:val="17"/>
          <w:color w:val="auto"/>
        </w:rPr>
      </w:pPr>
    </w:p>
    <w:p>
      <w:pPr>
        <w:ind w:left="620" w:right="100" w:hanging="307"/>
        <w:spacing w:after="0" w:line="252" w:lineRule="auto"/>
        <w:tabs>
          <w:tab w:leader="none" w:pos="609" w:val="left"/>
        </w:tabs>
        <w:numPr>
          <w:ilvl w:val="0"/>
          <w:numId w:val="47"/>
        </w:numPr>
        <w:rPr>
          <w:rFonts w:ascii="Arial" w:cs="Arial" w:eastAsia="Arial" w:hAnsi="Arial"/>
          <w:sz w:val="19"/>
          <w:szCs w:val="19"/>
          <w:color w:val="auto"/>
        </w:rPr>
      </w:pPr>
      <w:r>
        <w:rPr>
          <w:rFonts w:ascii="Arial" w:cs="Arial" w:eastAsia="Arial" w:hAnsi="Arial"/>
          <w:sz w:val="19"/>
          <w:szCs w:val="19"/>
          <w:color w:val="auto"/>
        </w:rPr>
        <w:t>We evaluated management's analysis, and letters from internal and external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123" w:lineRule="exact"/>
        <w:rPr>
          <w:rFonts w:ascii="Arial" w:cs="Arial" w:eastAsia="Arial" w:hAnsi="Arial"/>
          <w:sz w:val="19"/>
          <w:szCs w:val="19"/>
          <w:color w:val="auto"/>
        </w:rPr>
      </w:pPr>
    </w:p>
    <w:p>
      <w:pPr>
        <w:ind w:left="620" w:right="60" w:hanging="307"/>
        <w:spacing w:after="0" w:line="252" w:lineRule="auto"/>
        <w:tabs>
          <w:tab w:leader="none" w:pos="609" w:val="left"/>
        </w:tabs>
        <w:numPr>
          <w:ilvl w:val="0"/>
          <w:numId w:val="47"/>
        </w:numPr>
        <w:rPr>
          <w:rFonts w:ascii="Arial" w:cs="Arial" w:eastAsia="Arial" w:hAnsi="Arial"/>
          <w:sz w:val="19"/>
          <w:szCs w:val="19"/>
          <w:color w:val="auto"/>
        </w:rPr>
      </w:pPr>
      <w:r>
        <w:rPr>
          <w:rFonts w:ascii="Arial" w:cs="Arial" w:eastAsia="Arial" w:hAnsi="Arial"/>
          <w:sz w:val="19"/>
          <w:szCs w:val="19"/>
          <w:color w:val="auto"/>
        </w:rPr>
        <w:t>We evaluated management's conclusions for the probable recovery of the retired regulated plant investment with a return. We evaluated management's conclusions regarding the accounting for the abandonment of certain regulated plants and the impact of recent rate orders on the accounting.</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Kansas City, Missouri</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February 24, 2022</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67" w:name="page68"/>
    <w:bookmarkEnd w:id="6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4720"/>
        <w:spacing w:after="0" w:line="412"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shareholder and the Board of Directors of Evergy Kansas Central, Inc. </w:t>
      </w:r>
      <w:r>
        <w:rPr>
          <w:rFonts w:ascii="Arial" w:cs="Arial" w:eastAsia="Arial" w:hAnsi="Arial"/>
          <w:sz w:val="19"/>
          <w:szCs w:val="19"/>
          <w:b w:val="1"/>
          <w:bCs w:val="1"/>
          <w:color w:val="auto"/>
        </w:rPr>
        <w:t>Opinion on the Financial Statements</w:t>
      </w:r>
    </w:p>
    <w:p>
      <w:pPr>
        <w:spacing w:after="0" w:line="2"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We have audited the accompanying consolidated balance sheets of Evergy Kansas Central, Inc. and subsidiaries (the "Company") as of December 31, 2021 and 2020, the related consolidated statements of income, changes in equity, and cash flows, for each of the three years in the period ended December 31, 2021,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16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right="240" w:firstLine="3"/>
        <w:spacing w:after="0" w:line="243" w:lineRule="auto"/>
        <w:tabs>
          <w:tab w:leader="none" w:pos="267"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ind w:right="480"/>
        <w:spacing w:after="0" w:line="410" w:lineRule="auto"/>
        <w:rPr>
          <w:sz w:val="20"/>
          <w:szCs w:val="20"/>
          <w:color w:val="auto"/>
        </w:rPr>
      </w:pPr>
      <w:r>
        <w:rPr>
          <w:rFonts w:ascii="Arial" w:cs="Arial" w:eastAsia="Arial" w:hAnsi="Arial"/>
          <w:sz w:val="19"/>
          <w:szCs w:val="19"/>
          <w:b w:val="1"/>
          <w:bCs w:val="1"/>
          <w:i w:val="1"/>
          <w:iCs w:val="1"/>
          <w:color w:val="auto"/>
        </w:rPr>
        <w:t xml:space="preserve">Rate Matters and Regulation - Impact of Rate Regulation on the Financial Statements - Refer to Notes 1 and 4 to the financial statements </w:t>
      </w:r>
      <w:r>
        <w:rPr>
          <w:rFonts w:ascii="Arial" w:cs="Arial" w:eastAsia="Arial" w:hAnsi="Arial"/>
          <w:sz w:val="19"/>
          <w:szCs w:val="19"/>
          <w:i w:val="1"/>
          <w:iCs w:val="1"/>
          <w:color w:val="auto"/>
        </w:rPr>
        <w:t>Critical Audit Matter Description</w:t>
      </w:r>
    </w:p>
    <w:p>
      <w:pPr>
        <w:spacing w:after="0" w:line="1"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The Company is subject to rate regulation by the Kansas Corporation Commission (the "Commission"), which has jurisdiction with respect to the rates of electric distribution companies in Kansas.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68" w:name="page69"/>
    <w:bookmarkEnd w:id="6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720"/>
        <w:spacing w:after="0" w:line="264" w:lineRule="auto"/>
        <w:rPr>
          <w:sz w:val="20"/>
          <w:szCs w:val="20"/>
          <w:color w:val="auto"/>
        </w:rPr>
      </w:pPr>
      <w:r>
        <w:rPr>
          <w:rFonts w:ascii="Arial" w:cs="Arial" w:eastAsia="Arial" w:hAnsi="Arial"/>
          <w:sz w:val="19"/>
          <w:szCs w:val="19"/>
          <w:color w:val="auto"/>
        </w:rPr>
        <w:t>such as property, plant, and equipment, including asset retirements and abandonments; regulatory assets and liabilities; operating revenues; operating and maintenance expense; and depreciation expense.</w:t>
      </w:r>
    </w:p>
    <w:p>
      <w:pPr>
        <w:spacing w:after="0" w:line="11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Company's rates are subject to regulatory rate-setting processes and annual earnings oversight.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by rates. The Commission's regulation of rates is premised on the full recovery of prudently incurred costs and a reasonable rate of return on invested capital. While the Company has indicated it expects to recover costs from customers through regulated rates, there is a risk that the Commission will not approve (1) full recovery of the costs of providing utility service or (2) recovery of all amounts invested in the utility business and a reasonable return on that investment.</w:t>
      </w:r>
    </w:p>
    <w:p>
      <w:pPr>
        <w:spacing w:after="0" w:line="119" w:lineRule="exact"/>
        <w:rPr>
          <w:sz w:val="20"/>
          <w:szCs w:val="20"/>
          <w:color w:val="auto"/>
        </w:rPr>
      </w:pPr>
    </w:p>
    <w:p>
      <w:pPr>
        <w:ind w:right="160"/>
        <w:spacing w:after="0" w:line="245" w:lineRule="auto"/>
        <w:rPr>
          <w:sz w:val="20"/>
          <w:szCs w:val="20"/>
          <w:color w:val="auto"/>
        </w:rPr>
      </w:pPr>
      <w:r>
        <w:rPr>
          <w:rFonts w:ascii="Arial" w:cs="Arial" w:eastAsia="Arial" w:hAnsi="Arial"/>
          <w:sz w:val="19"/>
          <w:szCs w:val="19"/>
          <w:color w:val="auto"/>
        </w:rPr>
        <w:t>When the Company retires a regulated plant, the Company must assess the probability of recovery of the regulated plant, which is dependent upon amounts that may be recovered through regulated rates, including any return. Pending receipt of regulatory approval for the retirement and/or recovery of the affected plants, accounting for early retirements of regulated plants involves judgment related to the nature of the early retirement and the likelihood that the Company will recover its remaining investment in these retired generating plants with a return. Auditing the judgments related to the nature and likelihood of the retirement and the probability of recovering the generating plant investment with a return involves especially subjective and complex judgment.</w:t>
      </w:r>
    </w:p>
    <w:p>
      <w:pPr>
        <w:spacing w:after="0" w:line="1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(2) probability of potential charges related to the abandonment of regulated plants, and (3) a refund to customers. Given that management's accounting judgments are based on assumptions about the outcome of future decisions by the Commission, auditing these judgments required specialized knowledge of accounting for rate regulation and the rate setting process due to its inherent complexities.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How the Critical Audit Matter Was Addressed in the Audit</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Our audit procedures related to the uncertainty of future decisions by the Commission included the following, among others:</w:t>
      </w:r>
    </w:p>
    <w:p>
      <w:pPr>
        <w:spacing w:after="0" w:line="155" w:lineRule="exact"/>
        <w:rPr>
          <w:sz w:val="20"/>
          <w:szCs w:val="20"/>
          <w:color w:val="auto"/>
        </w:rPr>
      </w:pPr>
    </w:p>
    <w:p>
      <w:pPr>
        <w:ind w:left="620" w:right="360" w:hanging="307"/>
        <w:spacing w:after="0" w:line="252" w:lineRule="auto"/>
        <w:tabs>
          <w:tab w:leader="none" w:pos="609" w:val="left"/>
        </w:tabs>
        <w:numPr>
          <w:ilvl w:val="0"/>
          <w:numId w:val="49"/>
        </w:numPr>
        <w:rPr>
          <w:rFonts w:ascii="Arial" w:cs="Arial" w:eastAsia="Arial" w:hAnsi="Arial"/>
          <w:sz w:val="19"/>
          <w:szCs w:val="19"/>
          <w:color w:val="auto"/>
        </w:rPr>
      </w:pPr>
      <w:r>
        <w:rPr>
          <w:rFonts w:ascii="Arial" w:cs="Arial" w:eastAsia="Arial" w:hAnsi="Arial"/>
          <w:sz w:val="19"/>
          <w:szCs w:val="19"/>
          <w:color w:val="auto"/>
        </w:rPr>
        <w:t>We tested the effectiveness of management's controls over the evaluation of the likelihood of (1) the recovery in future rates of costs incurred as property, plant, and equipment and deferred as regulatory assets and (2) a refund or a future reduction in rates that should be reported as regulatory liabilities.</w:t>
      </w:r>
    </w:p>
    <w:p>
      <w:pPr>
        <w:spacing w:after="0" w:line="123" w:lineRule="exact"/>
        <w:rPr>
          <w:rFonts w:ascii="Arial" w:cs="Arial" w:eastAsia="Arial" w:hAnsi="Arial"/>
          <w:sz w:val="19"/>
          <w:szCs w:val="19"/>
          <w:color w:val="auto"/>
        </w:rPr>
      </w:pPr>
    </w:p>
    <w:p>
      <w:pPr>
        <w:ind w:left="620" w:right="220" w:hanging="307"/>
        <w:spacing w:after="0" w:line="252" w:lineRule="auto"/>
        <w:tabs>
          <w:tab w:leader="none" w:pos="609" w:val="left"/>
        </w:tabs>
        <w:numPr>
          <w:ilvl w:val="0"/>
          <w:numId w:val="49"/>
        </w:numPr>
        <w:rPr>
          <w:rFonts w:ascii="Arial" w:cs="Arial" w:eastAsia="Arial" w:hAnsi="Arial"/>
          <w:sz w:val="19"/>
          <w:szCs w:val="19"/>
          <w:color w:val="auto"/>
        </w:rPr>
      </w:pPr>
      <w:r>
        <w:rPr>
          <w:rFonts w:ascii="Arial" w:cs="Arial" w:eastAsia="Arial" w:hAnsi="Arial"/>
          <w:sz w:val="19"/>
          <w:szCs w:val="19"/>
          <w:color w:val="auto"/>
        </w:rPr>
        <w:t>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123" w:lineRule="exact"/>
        <w:rPr>
          <w:rFonts w:ascii="Arial" w:cs="Arial" w:eastAsia="Arial" w:hAnsi="Arial"/>
          <w:sz w:val="19"/>
          <w:szCs w:val="19"/>
          <w:color w:val="auto"/>
        </w:rPr>
      </w:pPr>
    </w:p>
    <w:p>
      <w:pPr>
        <w:ind w:left="620" w:right="900" w:hanging="307"/>
        <w:spacing w:after="0" w:line="264" w:lineRule="auto"/>
        <w:tabs>
          <w:tab w:leader="none" w:pos="609" w:val="left"/>
        </w:tabs>
        <w:numPr>
          <w:ilvl w:val="0"/>
          <w:numId w:val="49"/>
        </w:numPr>
        <w:rPr>
          <w:rFonts w:ascii="Arial" w:cs="Arial" w:eastAsia="Arial" w:hAnsi="Arial"/>
          <w:sz w:val="19"/>
          <w:szCs w:val="19"/>
          <w:color w:val="auto"/>
        </w:rPr>
      </w:pPr>
      <w:r>
        <w:rPr>
          <w:rFonts w:ascii="Arial" w:cs="Arial" w:eastAsia="Arial" w:hAnsi="Arial"/>
          <w:sz w:val="19"/>
          <w:szCs w:val="19"/>
          <w:color w:val="auto"/>
        </w:rPr>
        <w:t>We evaluated the Company's disclosures related to the impacts of rate regulation, including the balances recorded and regulatory developments.</w:t>
      </w:r>
    </w:p>
    <w:p>
      <w:pPr>
        <w:spacing w:after="0" w:line="112" w:lineRule="exact"/>
        <w:rPr>
          <w:rFonts w:ascii="Arial" w:cs="Arial" w:eastAsia="Arial" w:hAnsi="Arial"/>
          <w:sz w:val="19"/>
          <w:szCs w:val="19"/>
          <w:color w:val="auto"/>
        </w:rPr>
      </w:pPr>
    </w:p>
    <w:p>
      <w:pPr>
        <w:ind w:left="620" w:right="40" w:hanging="307"/>
        <w:spacing w:after="0" w:line="246" w:lineRule="auto"/>
        <w:tabs>
          <w:tab w:leader="none" w:pos="609" w:val="left"/>
        </w:tabs>
        <w:numPr>
          <w:ilvl w:val="0"/>
          <w:numId w:val="49"/>
        </w:numPr>
        <w:rPr>
          <w:rFonts w:ascii="Arial" w:cs="Arial" w:eastAsia="Arial" w:hAnsi="Arial"/>
          <w:sz w:val="19"/>
          <w:szCs w:val="19"/>
          <w:color w:val="auto"/>
        </w:rPr>
      </w:pPr>
      <w:r>
        <w:rPr>
          <w:rFonts w:ascii="Arial" w:cs="Arial" w:eastAsia="Arial" w:hAnsi="Arial"/>
          <w:sz w:val="19"/>
          <w:szCs w:val="19"/>
          <w:color w:val="auto"/>
        </w:rPr>
        <w:t>We evaluated external information and compared it to management's recorded regulatory asset and liability balances for completeness. Such external information included relevant regulatory orders issued by the Commission for the Company and other public utilities in Kansas, regulatory statutes, interpretations, procedural memorandums, filings made by intervenors, and other publicly available information to assess the likelihood of recovery in future rates or of a future reduction in rates based on precedents of the Commission's treatment of similar costs under similar circumstances.</w:t>
      </w:r>
    </w:p>
    <w:p>
      <w:pPr>
        <w:spacing w:after="0" w:line="130" w:lineRule="exact"/>
        <w:rPr>
          <w:rFonts w:ascii="Arial" w:cs="Arial" w:eastAsia="Arial" w:hAnsi="Arial"/>
          <w:sz w:val="19"/>
          <w:szCs w:val="19"/>
          <w:color w:val="auto"/>
        </w:rPr>
      </w:pPr>
    </w:p>
    <w:p>
      <w:pPr>
        <w:ind w:left="620" w:right="640" w:hanging="307"/>
        <w:spacing w:after="0" w:line="308" w:lineRule="auto"/>
        <w:tabs>
          <w:tab w:leader="none" w:pos="609"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regulatory matters in process, we inspected the Company’s filings with the Commission and the filings with the Commission by intervenors that may impact the Company’s future rates, for any evidence that might contradict management’s assertions.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hanging="307"/>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evaluated the reasonableness of management's judgments for potential indicators of abandonment by performing the following:</w:t>
      </w:r>
    </w:p>
    <w:p>
      <w:pPr>
        <w:spacing w:after="0" w:line="166" w:lineRule="exact"/>
        <w:rPr>
          <w:rFonts w:ascii="Arial" w:cs="Arial" w:eastAsia="Arial" w:hAnsi="Arial"/>
          <w:sz w:val="18"/>
          <w:szCs w:val="18"/>
          <w:color w:val="auto"/>
        </w:rPr>
      </w:pPr>
    </w:p>
    <w:p>
      <w:pPr>
        <w:ind w:left="1240" w:hanging="309"/>
        <w:spacing w:after="0"/>
        <w:tabs>
          <w:tab w:leader="none" w:pos="1240" w:val="left"/>
        </w:tabs>
        <w:numPr>
          <w:ilvl w:val="1"/>
          <w:numId w:val="50"/>
        </w:numPr>
        <w:rPr>
          <w:rFonts w:ascii="Arial" w:cs="Arial" w:eastAsia="Arial" w:hAnsi="Arial"/>
          <w:sz w:val="19"/>
          <w:szCs w:val="19"/>
          <w:color w:val="auto"/>
        </w:rPr>
      </w:pPr>
      <w:r>
        <w:rPr>
          <w:rFonts w:ascii="Arial" w:cs="Arial" w:eastAsia="Arial" w:hAnsi="Arial"/>
          <w:sz w:val="19"/>
          <w:szCs w:val="19"/>
          <w:color w:val="auto"/>
        </w:rPr>
        <w:t>We inquired of management about property, plant, and equipment that may be abandoned.</w:t>
      </w:r>
    </w:p>
    <w:p>
      <w:pPr>
        <w:spacing w:after="0" w:line="155" w:lineRule="exact"/>
        <w:rPr>
          <w:rFonts w:ascii="Arial" w:cs="Arial" w:eastAsia="Arial" w:hAnsi="Arial"/>
          <w:sz w:val="19"/>
          <w:szCs w:val="19"/>
          <w:color w:val="auto"/>
        </w:rPr>
      </w:pPr>
    </w:p>
    <w:p>
      <w:pPr>
        <w:ind w:left="1240" w:right="180" w:hanging="309"/>
        <w:spacing w:after="0" w:line="264" w:lineRule="auto"/>
        <w:tabs>
          <w:tab w:leader="none" w:pos="1229" w:val="left"/>
        </w:tabs>
        <w:numPr>
          <w:ilvl w:val="1"/>
          <w:numId w:val="50"/>
        </w:numPr>
        <w:rPr>
          <w:rFonts w:ascii="Arial" w:cs="Arial" w:eastAsia="Arial" w:hAnsi="Arial"/>
          <w:sz w:val="19"/>
          <w:szCs w:val="19"/>
          <w:color w:val="auto"/>
        </w:rPr>
      </w:pPr>
      <w:r>
        <w:rPr>
          <w:rFonts w:ascii="Arial" w:cs="Arial" w:eastAsia="Arial" w:hAnsi="Arial"/>
          <w:sz w:val="19"/>
          <w:szCs w:val="19"/>
          <w:color w:val="auto"/>
        </w:rPr>
        <w:t>We inspected the capital projects budget and construction-in-process listings and inquired of management to identify projects that are designed to replace assets that may be retired prior to the end of the useful life.</w:t>
      </w:r>
    </w:p>
    <w:p>
      <w:pPr>
        <w:spacing w:after="0" w:line="112" w:lineRule="exact"/>
        <w:rPr>
          <w:rFonts w:ascii="Arial" w:cs="Arial" w:eastAsia="Arial" w:hAnsi="Arial"/>
          <w:sz w:val="19"/>
          <w:szCs w:val="19"/>
          <w:color w:val="auto"/>
        </w:rPr>
      </w:pPr>
    </w:p>
    <w:p>
      <w:pPr>
        <w:ind w:left="1240" w:right="680" w:hanging="309"/>
        <w:spacing w:after="0" w:line="264" w:lineRule="auto"/>
        <w:tabs>
          <w:tab w:leader="none" w:pos="1229" w:val="left"/>
        </w:tabs>
        <w:numPr>
          <w:ilvl w:val="1"/>
          <w:numId w:val="50"/>
        </w:numPr>
        <w:rPr>
          <w:rFonts w:ascii="Arial" w:cs="Arial" w:eastAsia="Arial" w:hAnsi="Arial"/>
          <w:sz w:val="19"/>
          <w:szCs w:val="19"/>
          <w:color w:val="auto"/>
        </w:rPr>
      </w:pPr>
      <w:r>
        <w:rPr>
          <w:rFonts w:ascii="Arial" w:cs="Arial" w:eastAsia="Arial" w:hAnsi="Arial"/>
          <w:sz w:val="19"/>
          <w:szCs w:val="19"/>
          <w:color w:val="auto"/>
        </w:rPr>
        <w:t>We inspected minutes of the board of directors and regulatory orders and other filings with the Commission to identify any evidence that may contradict management's assertion regarding probability of an abandonment.</w:t>
      </w:r>
    </w:p>
    <w:p>
      <w:pPr>
        <w:spacing w:after="0" w:line="112" w:lineRule="exact"/>
        <w:rPr>
          <w:rFonts w:ascii="Arial" w:cs="Arial" w:eastAsia="Arial" w:hAnsi="Arial"/>
          <w:sz w:val="19"/>
          <w:szCs w:val="19"/>
          <w:color w:val="auto"/>
        </w:rPr>
      </w:pPr>
    </w:p>
    <w:p>
      <w:pPr>
        <w:ind w:left="620" w:hanging="307"/>
        <w:spacing w:after="0" w:line="287" w:lineRule="auto"/>
        <w:tabs>
          <w:tab w:leader="none" w:pos="609"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compared actual spend for projects that have been capitalized to property, plant, and equipment to budget. We evaluated regulatory filings for any evidence that intervenors are challenging full recovery of the cost of any capital projects. For significant projects that were over budget or if full recovery of project costs is being challenged by intervenors, we evaluated management's assessment of the probability of a disallowance. We tested selected costs included in the capitalized project costs for completeness and accuracy.</w:t>
      </w:r>
    </w:p>
    <w:p>
      <w:pPr>
        <w:spacing w:after="0" w:line="96" w:lineRule="exact"/>
        <w:rPr>
          <w:rFonts w:ascii="Arial" w:cs="Arial" w:eastAsia="Arial" w:hAnsi="Arial"/>
          <w:sz w:val="17"/>
          <w:szCs w:val="17"/>
          <w:color w:val="auto"/>
        </w:rPr>
      </w:pPr>
    </w:p>
    <w:p>
      <w:pPr>
        <w:ind w:left="620" w:right="100" w:hanging="307"/>
        <w:spacing w:after="0" w:line="252" w:lineRule="auto"/>
        <w:tabs>
          <w:tab w:leader="none" w:pos="609" w:val="left"/>
        </w:tabs>
        <w:numPr>
          <w:ilvl w:val="0"/>
          <w:numId w:val="50"/>
        </w:numPr>
        <w:rPr>
          <w:rFonts w:ascii="Arial" w:cs="Arial" w:eastAsia="Arial" w:hAnsi="Arial"/>
          <w:sz w:val="19"/>
          <w:szCs w:val="19"/>
          <w:color w:val="auto"/>
        </w:rPr>
      </w:pPr>
      <w:r>
        <w:rPr>
          <w:rFonts w:ascii="Arial" w:cs="Arial" w:eastAsia="Arial" w:hAnsi="Arial"/>
          <w:sz w:val="19"/>
          <w:szCs w:val="19"/>
          <w:color w:val="auto"/>
        </w:rPr>
        <w:t>We evaluated management's analysis, and letters from internal and external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Kansas City, Missouri</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February 24, 2022</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70" w:name="page71"/>
    <w:bookmarkEnd w:id="7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4740"/>
        <w:spacing w:after="0" w:line="412"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shareholder and the Board of Directors of Evergy Metro, Inc. </w:t>
      </w:r>
      <w:r>
        <w:rPr>
          <w:rFonts w:ascii="Arial" w:cs="Arial" w:eastAsia="Arial" w:hAnsi="Arial"/>
          <w:sz w:val="19"/>
          <w:szCs w:val="19"/>
          <w:b w:val="1"/>
          <w:bCs w:val="1"/>
          <w:color w:val="auto"/>
        </w:rPr>
        <w:t>Opinion on the Financial Statements</w:t>
      </w:r>
    </w:p>
    <w:p>
      <w:pPr>
        <w:spacing w:after="0" w:line="2"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We have audited the accompanying consolidated balance sheets of Evergy Metro, Inc. and subsidiaries (the "Company") as of December 31, 2021 and 2020, the related consolidated statements of comprehensive income, changes in equity, and cash flows, for each of the three years in the period ended December 31, 2021,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16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right="260" w:firstLine="3"/>
        <w:spacing w:after="0" w:line="243" w:lineRule="auto"/>
        <w:tabs>
          <w:tab w:leader="none" w:pos="267"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ind w:right="500"/>
        <w:spacing w:after="0" w:line="410" w:lineRule="auto"/>
        <w:rPr>
          <w:sz w:val="20"/>
          <w:szCs w:val="20"/>
          <w:color w:val="auto"/>
        </w:rPr>
      </w:pPr>
      <w:r>
        <w:rPr>
          <w:rFonts w:ascii="Arial" w:cs="Arial" w:eastAsia="Arial" w:hAnsi="Arial"/>
          <w:sz w:val="19"/>
          <w:szCs w:val="19"/>
          <w:b w:val="1"/>
          <w:bCs w:val="1"/>
          <w:i w:val="1"/>
          <w:iCs w:val="1"/>
          <w:color w:val="auto"/>
        </w:rPr>
        <w:t xml:space="preserve">Rate Matters and Regulation - Impact of Rate Regulation on the Financial Statements - Refer to Notes 1 and 4 to the financial statements </w:t>
      </w:r>
      <w:r>
        <w:rPr>
          <w:rFonts w:ascii="Arial" w:cs="Arial" w:eastAsia="Arial" w:hAnsi="Arial"/>
          <w:sz w:val="19"/>
          <w:szCs w:val="19"/>
          <w:i w:val="1"/>
          <w:iCs w:val="1"/>
          <w:color w:val="auto"/>
        </w:rPr>
        <w:t>Critical Audit Matter Description</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subject to rate regulation by the Kansas Corporation Commission and by the Missouri Public Service Commission (collectively the "Commissions"), which has jurisdiction with respect to the rates of electric distribution companies in Kansas and Missouri, respectively.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1" w:name="page72"/>
    <w:bookmarkEnd w:id="7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40"/>
        <w:spacing w:after="0" w:line="264" w:lineRule="auto"/>
        <w:rPr>
          <w:sz w:val="20"/>
          <w:szCs w:val="20"/>
          <w:color w:val="auto"/>
        </w:rPr>
      </w:pPr>
      <w:r>
        <w:rPr>
          <w:rFonts w:ascii="Arial" w:cs="Arial" w:eastAsia="Arial" w:hAnsi="Arial"/>
          <w:sz w:val="19"/>
          <w:szCs w:val="19"/>
          <w:color w:val="auto"/>
        </w:rPr>
        <w:t>and equipment, including asset retirements and abandonments; regulatory assets and liabilities; operating revenues; operating and maintenance expense; and depreciation expense.</w:t>
      </w:r>
    </w:p>
    <w:p>
      <w:pPr>
        <w:spacing w:after="0" w:line="11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Company's rates are subject to regulatory rate-setting processes and annual earnings oversight.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by rates. The Commissions' regulation of rates is premised on the full recovery of prudently incurred costs and a reasonable rate of return on invested capital. While the Company has indicated it expects to recover costs from customers through regulated rates, there is a risk that the Commissions will not approve (1) full recovery of the costs of providing utility service or (2) full recovery of all amounts invested in the utility business and a reasonable return on that investment.</w:t>
      </w:r>
    </w:p>
    <w:p>
      <w:pPr>
        <w:spacing w:after="0" w:line="119" w:lineRule="exact"/>
        <w:rPr>
          <w:sz w:val="20"/>
          <w:szCs w:val="20"/>
          <w:color w:val="auto"/>
        </w:rPr>
      </w:pPr>
    </w:p>
    <w:p>
      <w:pPr>
        <w:ind w:right="160"/>
        <w:spacing w:after="0" w:line="245" w:lineRule="auto"/>
        <w:rPr>
          <w:sz w:val="20"/>
          <w:szCs w:val="20"/>
          <w:color w:val="auto"/>
        </w:rPr>
      </w:pPr>
      <w:r>
        <w:rPr>
          <w:rFonts w:ascii="Arial" w:cs="Arial" w:eastAsia="Arial" w:hAnsi="Arial"/>
          <w:sz w:val="19"/>
          <w:szCs w:val="19"/>
          <w:color w:val="auto"/>
        </w:rPr>
        <w:t>When the Company retires a regulated plant, the Company must assess the probability of recovery of the regulated plant, which is dependent upon amounts that may be recovered through regulated rates, including any return. Pending receipt of regulatory approval for the retirement and/or recovery of the affected plants, accounting for early retirements of regulated plants involves judgment related to the nature of the early retirement and the likelihood that the Company will recover its remaining investment in these retired generating plants with a return. Auditing the judgments related to the nature and likelihood of the retirement and the probability of recovering the generating plant investment with a return involves especially subjective and complex judgment.</w:t>
      </w:r>
    </w:p>
    <w:p>
      <w:pPr>
        <w:spacing w:after="0" w:line="1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(2) probability of potential charges related to the abandonment of regulated plants, and (3) a refund to customers. Given that management's accounting judgments are based on assumptions about the outcome of future decisions by the Commissions, auditing these judgments required specialized knowledge of accounting for rate regulation and the rate setting process due to its inherent complexities.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How the Critical Audit Matter Was Addressed in the Audit</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Our audit procedures related to the uncertainty of future decisions by the Commissions included the following, among others:</w:t>
      </w:r>
    </w:p>
    <w:p>
      <w:pPr>
        <w:spacing w:after="0" w:line="155" w:lineRule="exact"/>
        <w:rPr>
          <w:sz w:val="20"/>
          <w:szCs w:val="20"/>
          <w:color w:val="auto"/>
        </w:rPr>
      </w:pPr>
    </w:p>
    <w:p>
      <w:pPr>
        <w:ind w:left="620" w:right="360" w:hanging="307"/>
        <w:spacing w:after="0" w:line="252" w:lineRule="auto"/>
        <w:tabs>
          <w:tab w:leader="none" w:pos="609" w:val="left"/>
        </w:tabs>
        <w:numPr>
          <w:ilvl w:val="0"/>
          <w:numId w:val="52"/>
        </w:numPr>
        <w:rPr>
          <w:rFonts w:ascii="Arial" w:cs="Arial" w:eastAsia="Arial" w:hAnsi="Arial"/>
          <w:sz w:val="19"/>
          <w:szCs w:val="19"/>
          <w:color w:val="auto"/>
        </w:rPr>
      </w:pPr>
      <w:r>
        <w:rPr>
          <w:rFonts w:ascii="Arial" w:cs="Arial" w:eastAsia="Arial" w:hAnsi="Arial"/>
          <w:sz w:val="19"/>
          <w:szCs w:val="19"/>
          <w:color w:val="auto"/>
        </w:rPr>
        <w:t>We tested the effectiveness of management's controls over the evaluation of the likelihood of (1) the recovery in future rates of costs incurred as property, plant, and equipment and deferred as regulatory assets and (2) a refund or a future reduction in rates that should be reported as regulatory liabilities.</w:t>
      </w:r>
    </w:p>
    <w:p>
      <w:pPr>
        <w:spacing w:after="0" w:line="123" w:lineRule="exact"/>
        <w:rPr>
          <w:rFonts w:ascii="Arial" w:cs="Arial" w:eastAsia="Arial" w:hAnsi="Arial"/>
          <w:sz w:val="19"/>
          <w:szCs w:val="19"/>
          <w:color w:val="auto"/>
        </w:rPr>
      </w:pPr>
    </w:p>
    <w:p>
      <w:pPr>
        <w:ind w:left="620" w:right="220" w:hanging="307"/>
        <w:spacing w:after="0" w:line="252" w:lineRule="auto"/>
        <w:tabs>
          <w:tab w:leader="none" w:pos="609" w:val="left"/>
        </w:tabs>
        <w:numPr>
          <w:ilvl w:val="0"/>
          <w:numId w:val="52"/>
        </w:numPr>
        <w:rPr>
          <w:rFonts w:ascii="Arial" w:cs="Arial" w:eastAsia="Arial" w:hAnsi="Arial"/>
          <w:sz w:val="19"/>
          <w:szCs w:val="19"/>
          <w:color w:val="auto"/>
        </w:rPr>
      </w:pPr>
      <w:r>
        <w:rPr>
          <w:rFonts w:ascii="Arial" w:cs="Arial" w:eastAsia="Arial" w:hAnsi="Arial"/>
          <w:sz w:val="19"/>
          <w:szCs w:val="19"/>
          <w:color w:val="auto"/>
        </w:rPr>
        <w:t>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123" w:lineRule="exact"/>
        <w:rPr>
          <w:rFonts w:ascii="Arial" w:cs="Arial" w:eastAsia="Arial" w:hAnsi="Arial"/>
          <w:sz w:val="19"/>
          <w:szCs w:val="19"/>
          <w:color w:val="auto"/>
        </w:rPr>
      </w:pPr>
    </w:p>
    <w:p>
      <w:pPr>
        <w:ind w:left="620" w:right="900" w:hanging="307"/>
        <w:spacing w:after="0" w:line="264" w:lineRule="auto"/>
        <w:tabs>
          <w:tab w:leader="none" w:pos="609" w:val="left"/>
        </w:tabs>
        <w:numPr>
          <w:ilvl w:val="0"/>
          <w:numId w:val="52"/>
        </w:numPr>
        <w:rPr>
          <w:rFonts w:ascii="Arial" w:cs="Arial" w:eastAsia="Arial" w:hAnsi="Arial"/>
          <w:sz w:val="19"/>
          <w:szCs w:val="19"/>
          <w:color w:val="auto"/>
        </w:rPr>
      </w:pPr>
      <w:r>
        <w:rPr>
          <w:rFonts w:ascii="Arial" w:cs="Arial" w:eastAsia="Arial" w:hAnsi="Arial"/>
          <w:sz w:val="19"/>
          <w:szCs w:val="19"/>
          <w:color w:val="auto"/>
        </w:rPr>
        <w:t>We evaluated the Company's disclosures related to the impacts of rate regulation, including the balances recorded and regulatory developments.</w:t>
      </w:r>
    </w:p>
    <w:p>
      <w:pPr>
        <w:spacing w:after="0" w:line="112" w:lineRule="exact"/>
        <w:rPr>
          <w:rFonts w:ascii="Arial" w:cs="Arial" w:eastAsia="Arial" w:hAnsi="Arial"/>
          <w:sz w:val="19"/>
          <w:szCs w:val="19"/>
          <w:color w:val="auto"/>
        </w:rPr>
      </w:pPr>
    </w:p>
    <w:p>
      <w:pPr>
        <w:ind w:left="620" w:right="40" w:hanging="307"/>
        <w:spacing w:after="0" w:line="246" w:lineRule="auto"/>
        <w:tabs>
          <w:tab w:leader="none" w:pos="609" w:val="left"/>
        </w:tabs>
        <w:numPr>
          <w:ilvl w:val="0"/>
          <w:numId w:val="52"/>
        </w:numPr>
        <w:rPr>
          <w:rFonts w:ascii="Arial" w:cs="Arial" w:eastAsia="Arial" w:hAnsi="Arial"/>
          <w:sz w:val="19"/>
          <w:szCs w:val="19"/>
          <w:color w:val="auto"/>
        </w:rPr>
      </w:pPr>
      <w:r>
        <w:rPr>
          <w:rFonts w:ascii="Arial" w:cs="Arial" w:eastAsia="Arial" w:hAnsi="Arial"/>
          <w:sz w:val="19"/>
          <w:szCs w:val="19"/>
          <w:color w:val="auto"/>
        </w:rPr>
        <w:t>We evaluated external information and compared it to management's recorded regulatory asset and liability balances for completeness. Such external information included relevant regulatory orders issued by the Commissions for the Company and other public utilities in Kansas and Missouri, regulatory statutes, interpretations, procedural memorandums, filings made by intervenors, and other publicly available information to assess the likelihood of recovery in future rates or of a future reduction in rates based on precedents of the Commissions' treatment of similar costs under similar circumstances.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left="620" w:right="460" w:hanging="307"/>
        <w:spacing w:after="0" w:line="324" w:lineRule="auto"/>
        <w:tabs>
          <w:tab w:leader="none" w:pos="609"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regulatory matters in process, we inspected the Company’s filings with the Commissions and the filings with the Commissions by intervenors that may impact the Company’s future rates, for any evidence that might contradict management’s assertions.</w:t>
      </w:r>
    </w:p>
    <w:p>
      <w:pPr>
        <w:spacing w:after="0" w:line="65" w:lineRule="exact"/>
        <w:rPr>
          <w:rFonts w:ascii="Arial" w:cs="Arial" w:eastAsia="Arial" w:hAnsi="Arial"/>
          <w:sz w:val="17"/>
          <w:szCs w:val="17"/>
          <w:color w:val="auto"/>
        </w:rPr>
      </w:pPr>
    </w:p>
    <w:p>
      <w:pPr>
        <w:ind w:left="620" w:hanging="307"/>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evaluated the reasonableness of management's judgments for potential indicators of abandonment by performing the following:</w:t>
      </w:r>
    </w:p>
    <w:p>
      <w:pPr>
        <w:spacing w:after="0" w:line="166" w:lineRule="exact"/>
        <w:rPr>
          <w:rFonts w:ascii="Arial" w:cs="Arial" w:eastAsia="Arial" w:hAnsi="Arial"/>
          <w:sz w:val="18"/>
          <w:szCs w:val="18"/>
          <w:color w:val="auto"/>
        </w:rPr>
      </w:pPr>
    </w:p>
    <w:p>
      <w:pPr>
        <w:ind w:left="1240" w:hanging="309"/>
        <w:spacing w:after="0"/>
        <w:tabs>
          <w:tab w:leader="none" w:pos="1240" w:val="left"/>
        </w:tabs>
        <w:numPr>
          <w:ilvl w:val="1"/>
          <w:numId w:val="53"/>
        </w:numPr>
        <w:rPr>
          <w:rFonts w:ascii="Arial" w:cs="Arial" w:eastAsia="Arial" w:hAnsi="Arial"/>
          <w:sz w:val="19"/>
          <w:szCs w:val="19"/>
          <w:color w:val="auto"/>
        </w:rPr>
      </w:pPr>
      <w:r>
        <w:rPr>
          <w:rFonts w:ascii="Arial" w:cs="Arial" w:eastAsia="Arial" w:hAnsi="Arial"/>
          <w:sz w:val="19"/>
          <w:szCs w:val="19"/>
          <w:color w:val="auto"/>
        </w:rPr>
        <w:t>We inquired of management about property, plant, and equipment that may be abandoned.</w:t>
      </w:r>
    </w:p>
    <w:p>
      <w:pPr>
        <w:spacing w:after="0" w:line="155" w:lineRule="exact"/>
        <w:rPr>
          <w:rFonts w:ascii="Arial" w:cs="Arial" w:eastAsia="Arial" w:hAnsi="Arial"/>
          <w:sz w:val="19"/>
          <w:szCs w:val="19"/>
          <w:color w:val="auto"/>
        </w:rPr>
      </w:pPr>
    </w:p>
    <w:p>
      <w:pPr>
        <w:ind w:left="1240" w:right="180" w:hanging="309"/>
        <w:spacing w:after="0" w:line="264" w:lineRule="auto"/>
        <w:tabs>
          <w:tab w:leader="none" w:pos="1229" w:val="left"/>
        </w:tabs>
        <w:numPr>
          <w:ilvl w:val="1"/>
          <w:numId w:val="53"/>
        </w:numPr>
        <w:rPr>
          <w:rFonts w:ascii="Arial" w:cs="Arial" w:eastAsia="Arial" w:hAnsi="Arial"/>
          <w:sz w:val="19"/>
          <w:szCs w:val="19"/>
          <w:color w:val="auto"/>
        </w:rPr>
      </w:pPr>
      <w:r>
        <w:rPr>
          <w:rFonts w:ascii="Arial" w:cs="Arial" w:eastAsia="Arial" w:hAnsi="Arial"/>
          <w:sz w:val="19"/>
          <w:szCs w:val="19"/>
          <w:color w:val="auto"/>
        </w:rPr>
        <w:t>We inspected the capital projects budget and construction-in-process listings and inquired of management to identify projects that are designed to replace assets that may be retired prior to the end of the useful life.</w:t>
      </w:r>
    </w:p>
    <w:p>
      <w:pPr>
        <w:spacing w:after="0" w:line="112" w:lineRule="exact"/>
        <w:rPr>
          <w:rFonts w:ascii="Arial" w:cs="Arial" w:eastAsia="Arial" w:hAnsi="Arial"/>
          <w:sz w:val="19"/>
          <w:szCs w:val="19"/>
          <w:color w:val="auto"/>
        </w:rPr>
      </w:pPr>
    </w:p>
    <w:p>
      <w:pPr>
        <w:ind w:left="1240" w:right="600" w:hanging="309"/>
        <w:spacing w:after="0" w:line="264" w:lineRule="auto"/>
        <w:tabs>
          <w:tab w:leader="none" w:pos="1229" w:val="left"/>
        </w:tabs>
        <w:numPr>
          <w:ilvl w:val="1"/>
          <w:numId w:val="53"/>
        </w:numPr>
        <w:rPr>
          <w:rFonts w:ascii="Arial" w:cs="Arial" w:eastAsia="Arial" w:hAnsi="Arial"/>
          <w:sz w:val="19"/>
          <w:szCs w:val="19"/>
          <w:color w:val="auto"/>
        </w:rPr>
      </w:pPr>
      <w:r>
        <w:rPr>
          <w:rFonts w:ascii="Arial" w:cs="Arial" w:eastAsia="Arial" w:hAnsi="Arial"/>
          <w:sz w:val="19"/>
          <w:szCs w:val="19"/>
          <w:color w:val="auto"/>
        </w:rPr>
        <w:t>We inspected minutes of the board of directors and regulatory orders and other filings with the Commissions to identify any evidence that may contradict management's assertion regarding probability of an abandonment.</w:t>
      </w:r>
    </w:p>
    <w:p>
      <w:pPr>
        <w:spacing w:after="0" w:line="112" w:lineRule="exact"/>
        <w:rPr>
          <w:rFonts w:ascii="Arial" w:cs="Arial" w:eastAsia="Arial" w:hAnsi="Arial"/>
          <w:sz w:val="19"/>
          <w:szCs w:val="19"/>
          <w:color w:val="auto"/>
        </w:rPr>
      </w:pPr>
    </w:p>
    <w:p>
      <w:pPr>
        <w:ind w:left="620" w:hanging="307"/>
        <w:spacing w:after="0" w:line="287" w:lineRule="auto"/>
        <w:tabs>
          <w:tab w:leader="none" w:pos="609"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compared actual spend for projects that have been capitalized to property, plant, and equipment to budget. We evaluated regulatory filings for any evidence that intervenors are challenging full recovery of the cost of any capital projects. For significant projects that were over budget or if full recovery of project costs is being challenged by intervenors, we evaluated management's assessment of the probability of a disallowance. We tested selected costs included in the capitalized project costs for completeness and accuracy.</w:t>
      </w:r>
    </w:p>
    <w:p>
      <w:pPr>
        <w:spacing w:after="0" w:line="96" w:lineRule="exact"/>
        <w:rPr>
          <w:rFonts w:ascii="Arial" w:cs="Arial" w:eastAsia="Arial" w:hAnsi="Arial"/>
          <w:sz w:val="17"/>
          <w:szCs w:val="17"/>
          <w:color w:val="auto"/>
        </w:rPr>
      </w:pPr>
    </w:p>
    <w:p>
      <w:pPr>
        <w:ind w:left="620" w:right="100" w:hanging="307"/>
        <w:spacing w:after="0" w:line="252" w:lineRule="auto"/>
        <w:tabs>
          <w:tab w:leader="none" w:pos="609" w:val="left"/>
        </w:tabs>
        <w:numPr>
          <w:ilvl w:val="0"/>
          <w:numId w:val="53"/>
        </w:numPr>
        <w:rPr>
          <w:rFonts w:ascii="Arial" w:cs="Arial" w:eastAsia="Arial" w:hAnsi="Arial"/>
          <w:sz w:val="19"/>
          <w:szCs w:val="19"/>
          <w:color w:val="auto"/>
        </w:rPr>
      </w:pPr>
      <w:r>
        <w:rPr>
          <w:rFonts w:ascii="Arial" w:cs="Arial" w:eastAsia="Arial" w:hAnsi="Arial"/>
          <w:sz w:val="19"/>
          <w:szCs w:val="19"/>
          <w:color w:val="auto"/>
        </w:rPr>
        <w:t>We evaluated management's analysis, and letters from internal and external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Kansas City, Missouri</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February 24, 2022</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73" w:name="page74"/>
    <w:bookmarkEnd w:id="7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rPr>
              <w:t>2020</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2019</w:t>
            </w:r>
          </w:p>
        </w:tc>
      </w:tr>
      <w:tr>
        <w:trPr>
          <w:trHeight w:val="177"/>
        </w:trPr>
        <w:tc>
          <w:tcPr>
            <w:tcW w:w="6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gridSpan w:val="4"/>
          </w:tcPr>
          <w:p>
            <w:pPr>
              <w:jc w:val="right"/>
              <w:ind w:right="163"/>
              <w:spacing w:after="0"/>
              <w:rPr>
                <w:sz w:val="20"/>
                <w:szCs w:val="20"/>
                <w:color w:val="auto"/>
              </w:rPr>
            </w:pPr>
            <w:r>
              <w:rPr>
                <w:rFonts w:ascii="Arial" w:cs="Arial" w:eastAsia="Arial" w:hAnsi="Arial"/>
                <w:sz w:val="14"/>
                <w:szCs w:val="14"/>
                <w:color w:val="auto"/>
              </w:rPr>
              <w:t>(millions, except per share amounts)</w:t>
            </w:r>
          </w:p>
        </w:tc>
        <w:tc>
          <w:tcPr>
            <w:tcW w:w="960" w:type="dxa"/>
            <w:vAlign w:val="bottom"/>
          </w:tcPr>
          <w:p>
            <w:pPr>
              <w:spacing w:after="0"/>
              <w:rPr>
                <w:sz w:val="15"/>
                <w:szCs w:val="15"/>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REVENUES</w:t>
            </w:r>
          </w:p>
        </w:tc>
        <w:tc>
          <w:tcPr>
            <w:tcW w:w="5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5,586.7</w:t>
            </w:r>
          </w:p>
        </w:tc>
        <w:tc>
          <w:tcPr>
            <w:tcW w:w="3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4,913.4</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5,147.8</w:t>
            </w:r>
          </w:p>
        </w:tc>
      </w:tr>
      <w:tr>
        <w:trPr>
          <w:trHeight w:val="183"/>
        </w:trPr>
        <w:tc>
          <w:tcPr>
            <w:tcW w:w="68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9"/>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Fuel and purchased power</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1,557.0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1,099.0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1,265.0</w:t>
            </w:r>
          </w:p>
        </w:tc>
      </w:tr>
      <w:tr>
        <w:trPr>
          <w:trHeight w:val="204"/>
        </w:trPr>
        <w:tc>
          <w:tcPr>
            <w:tcW w:w="6840" w:type="dxa"/>
            <w:vAlign w:val="bottom"/>
          </w:tcPr>
          <w:p>
            <w:pPr>
              <w:ind w:left="140"/>
              <w:spacing w:after="0"/>
              <w:rPr>
                <w:sz w:val="20"/>
                <w:szCs w:val="20"/>
                <w:color w:val="auto"/>
              </w:rPr>
            </w:pPr>
            <w:r>
              <w:rPr>
                <w:rFonts w:ascii="Arial" w:cs="Arial" w:eastAsia="Arial" w:hAnsi="Arial"/>
                <w:sz w:val="15"/>
                <w:szCs w:val="15"/>
                <w:color w:val="auto"/>
              </w:rPr>
              <w:t>SPP network transmission costs</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290.4</w:t>
            </w:r>
          </w:p>
        </w:tc>
        <w:tc>
          <w:tcPr>
            <w:tcW w:w="380" w:type="dxa"/>
            <w:vAlign w:val="bottom"/>
          </w:tcPr>
          <w:p>
            <w:pPr>
              <w:spacing w:after="0"/>
              <w:rPr>
                <w:sz w:val="17"/>
                <w:szCs w:val="17"/>
                <w:color w:val="auto"/>
              </w:rPr>
            </w:pPr>
          </w:p>
        </w:tc>
        <w:tc>
          <w:tcPr>
            <w:tcW w:w="1080" w:type="dxa"/>
            <w:vAlign w:val="bottom"/>
          </w:tcPr>
          <w:p>
            <w:pPr>
              <w:jc w:val="right"/>
              <w:ind w:right="83"/>
              <w:spacing w:after="0"/>
              <w:rPr>
                <w:sz w:val="20"/>
                <w:szCs w:val="20"/>
                <w:color w:val="auto"/>
              </w:rPr>
            </w:pPr>
            <w:r>
              <w:rPr>
                <w:rFonts w:ascii="Arial" w:cs="Arial" w:eastAsia="Arial" w:hAnsi="Arial"/>
                <w:sz w:val="15"/>
                <w:szCs w:val="15"/>
                <w:color w:val="auto"/>
              </w:rPr>
              <w:t>263.2</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251.3</w:t>
            </w:r>
          </w:p>
        </w:tc>
      </w:tr>
      <w:tr>
        <w:trPr>
          <w:trHeight w:val="208"/>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and maintenance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1,107.5</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1,163.0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1,218.5</w:t>
            </w:r>
          </w:p>
        </w:tc>
      </w:tr>
      <w:tr>
        <w:trPr>
          <w:trHeight w:val="204"/>
        </w:trPr>
        <w:tc>
          <w:tcPr>
            <w:tcW w:w="684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896.4</w:t>
            </w:r>
          </w:p>
        </w:tc>
        <w:tc>
          <w:tcPr>
            <w:tcW w:w="380" w:type="dxa"/>
            <w:vAlign w:val="bottom"/>
          </w:tcPr>
          <w:p>
            <w:pPr>
              <w:spacing w:after="0"/>
              <w:rPr>
                <w:sz w:val="17"/>
                <w:szCs w:val="17"/>
                <w:color w:val="auto"/>
              </w:rPr>
            </w:pPr>
          </w:p>
        </w:tc>
        <w:tc>
          <w:tcPr>
            <w:tcW w:w="1080" w:type="dxa"/>
            <w:vAlign w:val="bottom"/>
          </w:tcPr>
          <w:p>
            <w:pPr>
              <w:jc w:val="right"/>
              <w:ind w:right="83"/>
              <w:spacing w:after="0"/>
              <w:rPr>
                <w:sz w:val="20"/>
                <w:szCs w:val="20"/>
                <w:color w:val="auto"/>
              </w:rPr>
            </w:pPr>
            <w:r>
              <w:rPr>
                <w:rFonts w:ascii="Arial" w:cs="Arial" w:eastAsia="Arial" w:hAnsi="Arial"/>
                <w:sz w:val="15"/>
                <w:szCs w:val="15"/>
                <w:color w:val="auto"/>
              </w:rPr>
              <w:t>880.1</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861.7</w:t>
            </w:r>
          </w:p>
        </w:tc>
      </w:tr>
      <w:tr>
        <w:trPr>
          <w:trHeight w:val="208"/>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Taxes other than income tax</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380.5</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364.2</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365.5</w:t>
            </w:r>
          </w:p>
        </w:tc>
      </w:tr>
      <w:tr>
        <w:trPr>
          <w:trHeight w:val="197"/>
        </w:trPr>
        <w:tc>
          <w:tcPr>
            <w:tcW w:w="68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Operating Expenses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4,231.8</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3,769.5</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3,962.0</w:t>
            </w:r>
          </w:p>
        </w:tc>
      </w:tr>
      <w:tr>
        <w:trPr>
          <w:trHeight w:val="201"/>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1,354.9</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1,143.9</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1,185.8</w:t>
            </w:r>
          </w:p>
        </w:tc>
      </w:tr>
      <w:tr>
        <w:trPr>
          <w:trHeight w:val="183"/>
        </w:trPr>
        <w:tc>
          <w:tcPr>
            <w:tcW w:w="684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9"/>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Investment earnings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59.9</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r>
      <w:tr>
        <w:trPr>
          <w:trHeight w:val="204"/>
        </w:trPr>
        <w:tc>
          <w:tcPr>
            <w:tcW w:w="6840" w:type="dxa"/>
            <w:vAlign w:val="bottom"/>
          </w:tcPr>
          <w:p>
            <w:pPr>
              <w:ind w:left="140"/>
              <w:spacing w:after="0"/>
              <w:rPr>
                <w:sz w:val="20"/>
                <w:szCs w:val="20"/>
                <w:color w:val="auto"/>
              </w:rPr>
            </w:pPr>
            <w:r>
              <w:rPr>
                <w:rFonts w:ascii="Arial" w:cs="Arial" w:eastAsia="Arial" w:hAnsi="Arial"/>
                <w:sz w:val="15"/>
                <w:szCs w:val="15"/>
                <w:color w:val="auto"/>
              </w:rPr>
              <w:t>Other income</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46.3</w:t>
            </w:r>
          </w:p>
        </w:tc>
        <w:tc>
          <w:tcPr>
            <w:tcW w:w="380" w:type="dxa"/>
            <w:vAlign w:val="bottom"/>
          </w:tcPr>
          <w:p>
            <w:pPr>
              <w:spacing w:after="0"/>
              <w:rPr>
                <w:sz w:val="17"/>
                <w:szCs w:val="17"/>
                <w:color w:val="auto"/>
              </w:rPr>
            </w:pPr>
          </w:p>
        </w:tc>
        <w:tc>
          <w:tcPr>
            <w:tcW w:w="1080" w:type="dxa"/>
            <w:vAlign w:val="bottom"/>
          </w:tcPr>
          <w:p>
            <w:pPr>
              <w:jc w:val="right"/>
              <w:ind w:right="83"/>
              <w:spacing w:after="0"/>
              <w:rPr>
                <w:sz w:val="20"/>
                <w:szCs w:val="20"/>
                <w:color w:val="auto"/>
              </w:rPr>
            </w:pPr>
            <w:r>
              <w:rPr>
                <w:rFonts w:ascii="Arial" w:cs="Arial" w:eastAsia="Arial" w:hAnsi="Arial"/>
                <w:sz w:val="15"/>
                <w:szCs w:val="15"/>
                <w:color w:val="auto"/>
              </w:rPr>
              <w:t>31.3</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26.9</w:t>
            </w:r>
          </w:p>
        </w:tc>
      </w:tr>
      <w:tr>
        <w:trPr>
          <w:trHeight w:val="208"/>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expense</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(87.4)</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(78.2)</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(76.9)</w:t>
            </w:r>
          </w:p>
        </w:tc>
      </w:tr>
      <w:tr>
        <w:trPr>
          <w:trHeight w:val="197"/>
        </w:trPr>
        <w:tc>
          <w:tcPr>
            <w:tcW w:w="68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Other Income (Expense), Net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18.8</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(36.1)</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w:t>
            </w:r>
          </w:p>
        </w:tc>
      </w:tr>
      <w:tr>
        <w:trPr>
          <w:trHeight w:val="201"/>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372.6</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383.9</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374.0</w:t>
            </w:r>
          </w:p>
        </w:tc>
      </w:tr>
      <w:tr>
        <w:trPr>
          <w:trHeight w:val="197"/>
        </w:trPr>
        <w:tc>
          <w:tcPr>
            <w:tcW w:w="6840" w:type="dxa"/>
            <w:vAlign w:val="bottom"/>
          </w:tcPr>
          <w:p>
            <w:pPr>
              <w:ind w:left="20"/>
              <w:spacing w:after="0"/>
              <w:rPr>
                <w:sz w:val="20"/>
                <w:szCs w:val="20"/>
                <w:color w:val="auto"/>
              </w:rPr>
            </w:pPr>
            <w:r>
              <w:rPr>
                <w:rFonts w:ascii="Arial" w:cs="Arial" w:eastAsia="Arial" w:hAnsi="Arial"/>
                <w:sz w:val="15"/>
                <w:szCs w:val="15"/>
                <w:color w:val="auto"/>
              </w:rPr>
              <w:t>INCOME BEFORE INCOME TAXES</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1,001.1</w:t>
            </w:r>
          </w:p>
        </w:tc>
        <w:tc>
          <w:tcPr>
            <w:tcW w:w="380" w:type="dxa"/>
            <w:vAlign w:val="bottom"/>
          </w:tcPr>
          <w:p>
            <w:pPr>
              <w:spacing w:after="0"/>
              <w:rPr>
                <w:sz w:val="17"/>
                <w:szCs w:val="17"/>
                <w:color w:val="auto"/>
              </w:rPr>
            </w:pPr>
          </w:p>
        </w:tc>
        <w:tc>
          <w:tcPr>
            <w:tcW w:w="1080" w:type="dxa"/>
            <w:vAlign w:val="bottom"/>
          </w:tcPr>
          <w:p>
            <w:pPr>
              <w:jc w:val="right"/>
              <w:ind w:right="83"/>
              <w:spacing w:after="0"/>
              <w:rPr>
                <w:sz w:val="20"/>
                <w:szCs w:val="20"/>
                <w:color w:val="auto"/>
              </w:rPr>
            </w:pPr>
            <w:r>
              <w:rPr>
                <w:rFonts w:ascii="Arial" w:cs="Arial" w:eastAsia="Arial" w:hAnsi="Arial"/>
                <w:sz w:val="15"/>
                <w:szCs w:val="15"/>
                <w:color w:val="auto"/>
              </w:rPr>
              <w:t>723.9</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772.8</w:t>
            </w:r>
          </w:p>
        </w:tc>
      </w:tr>
      <w:tr>
        <w:trPr>
          <w:trHeight w:val="208"/>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117.4</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102.2</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r>
      <w:tr>
        <w:trPr>
          <w:trHeight w:val="204"/>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Equity in earnings of equity method investees, net of income taxes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8.2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8.3</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w:t>
            </w:r>
          </w:p>
        </w:tc>
      </w:tr>
      <w:tr>
        <w:trPr>
          <w:trHeight w:val="201"/>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891.9</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630.0</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685.6</w:t>
            </w:r>
          </w:p>
        </w:tc>
      </w:tr>
      <w:tr>
        <w:trPr>
          <w:trHeight w:val="204"/>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Net income attributable to noncontrolling interests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12.2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11.7</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w:t>
            </w:r>
          </w:p>
        </w:tc>
      </w:tr>
      <w:tr>
        <w:trPr>
          <w:trHeight w:val="207"/>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EVERGY, INC.</w:t>
            </w:r>
          </w:p>
        </w:tc>
        <w:tc>
          <w:tcPr>
            <w:tcW w:w="5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879.7</w:t>
            </w:r>
          </w:p>
        </w:tc>
        <w:tc>
          <w:tcPr>
            <w:tcW w:w="3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618.3</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669.9</w:t>
            </w:r>
          </w:p>
        </w:tc>
      </w:tr>
      <w:tr>
        <w:trPr>
          <w:trHeight w:val="160"/>
        </w:trPr>
        <w:tc>
          <w:tcPr>
            <w:tcW w:w="6840" w:type="dxa"/>
            <w:vAlign w:val="bottom"/>
          </w:tcPr>
          <w:p>
            <w:pPr>
              <w:ind w:left="20"/>
              <w:spacing w:after="0" w:line="160" w:lineRule="exact"/>
              <w:rPr>
                <w:sz w:val="20"/>
                <w:szCs w:val="20"/>
                <w:color w:val="auto"/>
              </w:rPr>
            </w:pPr>
            <w:r>
              <w:rPr>
                <w:rFonts w:ascii="Arial" w:cs="Arial" w:eastAsia="Arial" w:hAnsi="Arial"/>
                <w:sz w:val="15"/>
                <w:szCs w:val="15"/>
                <w:color w:val="auto"/>
              </w:rPr>
              <w:t>BASIC AND DILUTED EARNINGS PER AVERAGE COMMON SHARE OUTSTANDING</w:t>
            </w: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9"/>
        </w:trPr>
        <w:tc>
          <w:tcPr>
            <w:tcW w:w="6840" w:type="dxa"/>
            <w:vAlign w:val="bottom"/>
          </w:tcPr>
          <w:p>
            <w:pPr>
              <w:ind w:left="180"/>
              <w:spacing w:after="0"/>
              <w:rPr>
                <w:sz w:val="20"/>
                <w:szCs w:val="20"/>
                <w:color w:val="auto"/>
              </w:rPr>
            </w:pPr>
            <w:r>
              <w:rPr>
                <w:rFonts w:ascii="Arial" w:cs="Arial" w:eastAsia="Arial" w:hAnsi="Arial"/>
                <w:sz w:val="15"/>
                <w:szCs w:val="15"/>
                <w:color w:val="auto"/>
              </w:rPr>
              <w:t>ATTRIBUTABLE TO EVERGY, INC. (see Note 1)</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 earnings per common share</w:t>
            </w:r>
          </w:p>
        </w:tc>
        <w:tc>
          <w:tcPr>
            <w:tcW w:w="5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3.84</w:t>
            </w:r>
          </w:p>
        </w:tc>
        <w:tc>
          <w:tcPr>
            <w:tcW w:w="3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2.72</w:t>
            </w:r>
          </w:p>
        </w:tc>
        <w:tc>
          <w:tcPr>
            <w:tcW w:w="4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r>
      <w:tr>
        <w:trPr>
          <w:trHeight w:val="204"/>
        </w:trPr>
        <w:tc>
          <w:tcPr>
            <w:tcW w:w="6840" w:type="dxa"/>
            <w:vAlign w:val="bottom"/>
          </w:tcPr>
          <w:p>
            <w:pPr>
              <w:ind w:left="140"/>
              <w:spacing w:after="0"/>
              <w:rPr>
                <w:sz w:val="20"/>
                <w:szCs w:val="20"/>
                <w:color w:val="auto"/>
              </w:rPr>
            </w:pPr>
            <w:r>
              <w:rPr>
                <w:rFonts w:ascii="Arial" w:cs="Arial" w:eastAsia="Arial" w:hAnsi="Arial"/>
                <w:sz w:val="15"/>
                <w:szCs w:val="15"/>
                <w:color w:val="auto"/>
              </w:rPr>
              <w:t>Diluted earnings per common share</w:t>
            </w:r>
          </w:p>
        </w:tc>
        <w:tc>
          <w:tcPr>
            <w:tcW w:w="50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3.83</w:t>
            </w:r>
          </w:p>
        </w:tc>
        <w:tc>
          <w:tcPr>
            <w:tcW w:w="3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3"/>
              <w:spacing w:after="0"/>
              <w:rPr>
                <w:sz w:val="20"/>
                <w:szCs w:val="20"/>
                <w:color w:val="auto"/>
              </w:rPr>
            </w:pPr>
            <w:r>
              <w:rPr>
                <w:rFonts w:ascii="Arial" w:cs="Arial" w:eastAsia="Arial" w:hAnsi="Arial"/>
                <w:sz w:val="15"/>
                <w:szCs w:val="15"/>
                <w:color w:val="auto"/>
              </w:rPr>
              <w:t>2.72</w:t>
            </w:r>
          </w:p>
        </w:tc>
        <w:tc>
          <w:tcPr>
            <w:tcW w:w="4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2.79</w:t>
            </w:r>
          </w:p>
        </w:tc>
      </w:tr>
      <w:tr>
        <w:trPr>
          <w:trHeight w:val="208"/>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COMMON SHARES OUTSTANDING</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4"/>
        </w:trPr>
        <w:tc>
          <w:tcPr>
            <w:tcW w:w="6840" w:type="dxa"/>
            <w:vAlign w:val="bottom"/>
          </w:tcPr>
          <w:p>
            <w:pPr>
              <w:ind w:left="140"/>
              <w:spacing w:after="0"/>
              <w:rPr>
                <w:sz w:val="20"/>
                <w:szCs w:val="20"/>
                <w:color w:val="auto"/>
              </w:rPr>
            </w:pPr>
            <w:r>
              <w:rPr>
                <w:rFonts w:ascii="Arial" w:cs="Arial" w:eastAsia="Arial" w:hAnsi="Arial"/>
                <w:sz w:val="15"/>
                <w:szCs w:val="15"/>
                <w:color w:val="auto"/>
              </w:rPr>
              <w:t>Basic</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229.0</w:t>
            </w:r>
          </w:p>
        </w:tc>
        <w:tc>
          <w:tcPr>
            <w:tcW w:w="380" w:type="dxa"/>
            <w:vAlign w:val="bottom"/>
          </w:tcPr>
          <w:p>
            <w:pPr>
              <w:spacing w:after="0"/>
              <w:rPr>
                <w:sz w:val="17"/>
                <w:szCs w:val="17"/>
                <w:color w:val="auto"/>
              </w:rPr>
            </w:pPr>
          </w:p>
        </w:tc>
        <w:tc>
          <w:tcPr>
            <w:tcW w:w="1080" w:type="dxa"/>
            <w:vAlign w:val="bottom"/>
          </w:tcPr>
          <w:p>
            <w:pPr>
              <w:jc w:val="right"/>
              <w:ind w:right="83"/>
              <w:spacing w:after="0"/>
              <w:rPr>
                <w:sz w:val="20"/>
                <w:szCs w:val="20"/>
                <w:color w:val="auto"/>
              </w:rPr>
            </w:pPr>
            <w:r>
              <w:rPr>
                <w:rFonts w:ascii="Arial" w:cs="Arial" w:eastAsia="Arial" w:hAnsi="Arial"/>
                <w:sz w:val="15"/>
                <w:szCs w:val="15"/>
                <w:color w:val="auto"/>
              </w:rPr>
              <w:t>227.2</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239.5</w:t>
            </w:r>
          </w:p>
        </w:tc>
      </w:tr>
      <w:tr>
        <w:trPr>
          <w:trHeight w:val="214"/>
        </w:trPr>
        <w:tc>
          <w:tcPr>
            <w:tcW w:w="6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229.6</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227.5</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239.9</w:t>
            </w:r>
          </w:p>
        </w:tc>
      </w:tr>
      <w:tr>
        <w:trPr>
          <w:trHeight w:val="204"/>
        </w:trPr>
        <w:tc>
          <w:tcPr>
            <w:tcW w:w="6840" w:type="dxa"/>
            <w:vAlign w:val="bottom"/>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5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891.9</w:t>
            </w:r>
          </w:p>
        </w:tc>
        <w:tc>
          <w:tcPr>
            <w:tcW w:w="3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630.0</w:t>
            </w:r>
          </w:p>
        </w:tc>
        <w:tc>
          <w:tcPr>
            <w:tcW w:w="4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685.6</w:t>
            </w:r>
          </w:p>
        </w:tc>
      </w:tr>
      <w:tr>
        <w:trPr>
          <w:trHeight w:val="203"/>
        </w:trPr>
        <w:tc>
          <w:tcPr>
            <w:tcW w:w="6840" w:type="dxa"/>
            <w:vAlign w:val="bottom"/>
          </w:tcPr>
          <w:p>
            <w:pPr>
              <w:ind w:left="140"/>
              <w:spacing w:after="0"/>
              <w:rPr>
                <w:sz w:val="20"/>
                <w:szCs w:val="20"/>
                <w:color w:val="auto"/>
              </w:rPr>
            </w:pPr>
            <w:r>
              <w:rPr>
                <w:rFonts w:ascii="Arial" w:cs="Arial" w:eastAsia="Arial" w:hAnsi="Arial"/>
                <w:sz w:val="15"/>
                <w:szCs w:val="15"/>
                <w:color w:val="auto"/>
              </w:rPr>
              <w:t>Derivative hedging activity</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6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derivative hedging instruments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w:t>
            </w:r>
          </w:p>
        </w:tc>
      </w:tr>
      <w:tr>
        <w:trPr>
          <w:trHeight w:val="204"/>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Income tax benefit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w:t>
            </w:r>
          </w:p>
        </w:tc>
      </w:tr>
      <w:tr>
        <w:trPr>
          <w:trHeight w:val="201"/>
        </w:trPr>
        <w:tc>
          <w:tcPr>
            <w:tcW w:w="6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loss on derivative hedging instruments</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w:t>
            </w:r>
          </w:p>
        </w:tc>
      </w:tr>
      <w:tr>
        <w:trPr>
          <w:trHeight w:val="204"/>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Reclassification to expenses, net of tax</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5.5</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3.0</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r>
      <w:tr>
        <w:trPr>
          <w:trHeight w:val="201"/>
        </w:trPr>
        <w:tc>
          <w:tcPr>
            <w:tcW w:w="6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Derivative hedging activity, net of tax</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5.5</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3.0</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w:t>
            </w:r>
          </w:p>
        </w:tc>
      </w:tr>
      <w:tr>
        <w:trPr>
          <w:trHeight w:val="183"/>
        </w:trPr>
        <w:tc>
          <w:tcPr>
            <w:tcW w:w="6840" w:type="dxa"/>
            <w:vAlign w:val="bottom"/>
          </w:tcPr>
          <w:p>
            <w:pPr>
              <w:ind w:left="140"/>
              <w:spacing w:after="0"/>
              <w:rPr>
                <w:sz w:val="20"/>
                <w:szCs w:val="20"/>
                <w:color w:val="auto"/>
              </w:rPr>
            </w:pPr>
            <w:r>
              <w:rPr>
                <w:rFonts w:ascii="Arial" w:cs="Arial" w:eastAsia="Arial" w:hAnsi="Arial"/>
                <w:sz w:val="15"/>
                <w:szCs w:val="15"/>
                <w:color w:val="auto"/>
              </w:rPr>
              <w:t>Defined benefit pension plans</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9"/>
        </w:trPr>
        <w:tc>
          <w:tcPr>
            <w:tcW w:w="6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loss arising during period</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(0.1)</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r>
      <w:tr>
        <w:trPr>
          <w:trHeight w:val="204"/>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Income tax benefit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0.7</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r>
      <w:tr>
        <w:trPr>
          <w:trHeight w:val="201"/>
        </w:trPr>
        <w:tc>
          <w:tcPr>
            <w:tcW w:w="6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loss arising during period, net of tax</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(0.1)</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(2.3)</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04"/>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Amortization of net losses included in net periodic benefit costs, net of tax</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(0.1)</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68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Change in unrecognized pension expense, net of tax</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(0.1)</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(2.4)</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19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other comprehensive income (loss)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5.4</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0.6</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w:t>
            </w:r>
          </w:p>
        </w:tc>
      </w:tr>
      <w:tr>
        <w:trPr>
          <w:trHeight w:val="201"/>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897.3</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630.6</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638.6</w:t>
            </w:r>
          </w:p>
        </w:tc>
      </w:tr>
      <w:tr>
        <w:trPr>
          <w:trHeight w:val="204"/>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comprehensive income attributable to noncontrolling interest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12.2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11.7</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w:t>
            </w:r>
          </w:p>
        </w:tc>
      </w:tr>
      <w:tr>
        <w:trPr>
          <w:trHeight w:val="207"/>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 ATTRIBUTABLE TO EVERGY, INC.</w:t>
            </w:r>
          </w:p>
        </w:tc>
        <w:tc>
          <w:tcPr>
            <w:tcW w:w="5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885.1</w:t>
            </w:r>
          </w:p>
        </w:tc>
        <w:tc>
          <w:tcPr>
            <w:tcW w:w="3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618.9</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622.9</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4" w:name="page75"/>
    <w:bookmarkEnd w:id="7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3"/>
              <w:spacing w:after="0"/>
              <w:rPr>
                <w:sz w:val="20"/>
                <w:szCs w:val="20"/>
                <w:color w:val="auto"/>
              </w:rPr>
            </w:pPr>
            <w:r>
              <w:rPr>
                <w:rFonts w:ascii="Arial" w:cs="Arial" w:eastAsia="Arial" w:hAnsi="Arial"/>
                <w:sz w:val="15"/>
                <w:szCs w:val="15"/>
                <w:b w:val="1"/>
                <w:bCs w:val="1"/>
                <w:color w:val="auto"/>
              </w:rPr>
              <w:t>December 31</w:t>
            </w:r>
          </w:p>
        </w:tc>
        <w:tc>
          <w:tcPr>
            <w:tcW w:w="880" w:type="dxa"/>
            <w:vAlign w:val="bottom"/>
          </w:tcPr>
          <w:p>
            <w:pPr>
              <w:spacing w:after="0"/>
              <w:rPr>
                <w:sz w:val="17"/>
                <w:szCs w:val="17"/>
                <w:color w:val="auto"/>
              </w:rPr>
            </w:pPr>
          </w:p>
        </w:tc>
      </w:tr>
      <w:tr>
        <w:trPr>
          <w:trHeight w:val="218"/>
        </w:trPr>
        <w:tc>
          <w:tcPr>
            <w:tcW w:w="8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2020</w:t>
            </w:r>
          </w:p>
        </w:tc>
      </w:tr>
      <w:tr>
        <w:trPr>
          <w:trHeight w:val="202"/>
        </w:trPr>
        <w:tc>
          <w:tcPr>
            <w:tcW w:w="846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380" w:type="dxa"/>
            <w:vAlign w:val="bottom"/>
          </w:tcPr>
          <w:p>
            <w:pPr>
              <w:spacing w:after="0"/>
              <w:rPr>
                <w:sz w:val="17"/>
                <w:szCs w:val="17"/>
                <w:color w:val="auto"/>
              </w:rPr>
            </w:pPr>
          </w:p>
        </w:tc>
        <w:tc>
          <w:tcPr>
            <w:tcW w:w="2400" w:type="dxa"/>
            <w:vAlign w:val="bottom"/>
            <w:gridSpan w:val="3"/>
          </w:tcPr>
          <w:p>
            <w:pPr>
              <w:jc w:val="right"/>
              <w:ind w:right="423"/>
              <w:spacing w:after="0"/>
              <w:rPr>
                <w:sz w:val="20"/>
                <w:szCs w:val="20"/>
                <w:color w:val="auto"/>
              </w:rPr>
            </w:pPr>
            <w:r>
              <w:rPr>
                <w:rFonts w:ascii="Arial" w:cs="Arial" w:eastAsia="Arial" w:hAnsi="Arial"/>
                <w:sz w:val="14"/>
                <w:szCs w:val="14"/>
                <w:color w:val="auto"/>
                <w:w w:val="93"/>
              </w:rPr>
              <w:t>(millions, except share amounts)</w:t>
            </w:r>
          </w:p>
        </w:tc>
      </w:tr>
      <w:tr>
        <w:trPr>
          <w:trHeight w:val="208"/>
        </w:trPr>
        <w:tc>
          <w:tcPr>
            <w:tcW w:w="84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3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26.2</w:t>
            </w:r>
          </w:p>
        </w:tc>
        <w:tc>
          <w:tcPr>
            <w:tcW w:w="5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144.9</w:t>
            </w: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Receivables, net of allowance for credit losses of $32.9 and $19.3, respectively</w:t>
            </w:r>
          </w:p>
        </w:tc>
        <w:tc>
          <w:tcPr>
            <w:tcW w:w="38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Arial" w:cs="Arial" w:eastAsia="Arial" w:hAnsi="Arial"/>
                <w:sz w:val="15"/>
                <w:szCs w:val="15"/>
                <w:b w:val="1"/>
                <w:bCs w:val="1"/>
                <w:color w:val="auto"/>
              </w:rPr>
              <w:t>221.6</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273.9</w:t>
            </w: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receivable pledged as collateral</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319.0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360.0</w:t>
            </w: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Fuel inventory and supplies</w:t>
            </w:r>
          </w:p>
        </w:tc>
        <w:tc>
          <w:tcPr>
            <w:tcW w:w="38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Arial" w:cs="Arial" w:eastAsia="Arial" w:hAnsi="Arial"/>
                <w:sz w:val="15"/>
                <w:szCs w:val="15"/>
                <w:b w:val="1"/>
                <w:bCs w:val="1"/>
                <w:color w:val="auto"/>
              </w:rPr>
              <w:t>566.7</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504.5</w:t>
            </w: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taxes receivable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28.0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62.9</w:t>
            </w: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Regulatory assets</w:t>
            </w:r>
          </w:p>
        </w:tc>
        <w:tc>
          <w:tcPr>
            <w:tcW w:w="38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Arial" w:cs="Arial" w:eastAsia="Arial" w:hAnsi="Arial"/>
                <w:sz w:val="15"/>
                <w:szCs w:val="15"/>
                <w:b w:val="1"/>
                <w:bCs w:val="1"/>
                <w:color w:val="auto"/>
              </w:rPr>
              <w:t>424.1</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206.2</w:t>
            </w: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Prepaid expenses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49.3</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48.2</w:t>
            </w:r>
          </w:p>
        </w:tc>
      </w:tr>
      <w:tr>
        <w:trPr>
          <w:trHeight w:val="204"/>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assets</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75.4</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23.7</w:t>
            </w:r>
          </w:p>
        </w:tc>
      </w:tr>
      <w:tr>
        <w:trPr>
          <w:trHeight w:val="201"/>
        </w:trPr>
        <w:tc>
          <w:tcPr>
            <w:tcW w:w="8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1,710.3</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1,624.3</w:t>
            </w:r>
          </w:p>
        </w:tc>
      </w:tr>
      <w:tr>
        <w:trPr>
          <w:trHeight w:val="197"/>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PROPERTY, PLANT AND EQUIPMENT, NET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21,002.6</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19,951.0</w:t>
            </w:r>
          </w:p>
        </w:tc>
      </w:tr>
      <w:tr>
        <w:trPr>
          <w:trHeight w:val="201"/>
        </w:trPr>
        <w:tc>
          <w:tcPr>
            <w:tcW w:w="8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OF VARIABLE INTEREST ENTITIES, NET</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147.8</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154.9</w:t>
            </w:r>
          </w:p>
        </w:tc>
      </w:tr>
      <w:tr>
        <w:trPr>
          <w:trHeight w:val="196"/>
        </w:trPr>
        <w:tc>
          <w:tcPr>
            <w:tcW w:w="846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Regulatory assets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1,991.1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1,868.2</w:t>
            </w: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Nuclear decommissioning trust fund</w:t>
            </w:r>
          </w:p>
        </w:tc>
        <w:tc>
          <w:tcPr>
            <w:tcW w:w="38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Arial" w:cs="Arial" w:eastAsia="Arial" w:hAnsi="Arial"/>
                <w:sz w:val="15"/>
                <w:szCs w:val="15"/>
                <w:b w:val="1"/>
                <w:bCs w:val="1"/>
                <w:color w:val="auto"/>
              </w:rPr>
              <w:t>768.7</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652.1</w:t>
            </w: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2,336.6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2,336.6</w:t>
            </w:r>
          </w:p>
        </w:tc>
      </w:tr>
      <w:tr>
        <w:trPr>
          <w:trHeight w:val="204"/>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563.4</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527.7</w:t>
            </w:r>
          </w:p>
        </w:tc>
      </w:tr>
      <w:tr>
        <w:trPr>
          <w:trHeight w:val="201"/>
        </w:trPr>
        <w:tc>
          <w:tcPr>
            <w:tcW w:w="8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Other Assets</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5,659.8</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5,384.6</w:t>
            </w:r>
          </w:p>
        </w:tc>
      </w:tr>
      <w:tr>
        <w:trPr>
          <w:trHeight w:val="205"/>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ASSETS</w:t>
            </w:r>
          </w:p>
        </w:tc>
        <w:tc>
          <w:tcPr>
            <w:tcW w:w="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28,520.5</w:t>
            </w:r>
          </w:p>
        </w:tc>
        <w:tc>
          <w:tcPr>
            <w:tcW w:w="5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27,114.8</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to Consolidated Financial Statements are an integral part of these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202"/>
        </w:trPr>
        <w:tc>
          <w:tcPr>
            <w:tcW w:w="8460" w:type="dxa"/>
            <w:vAlign w:val="bottom"/>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3"/>
          </w:tcPr>
          <w:p>
            <w:pPr>
              <w:jc w:val="right"/>
              <w:ind w:right="403"/>
              <w:spacing w:after="0"/>
              <w:rPr>
                <w:sz w:val="20"/>
                <w:szCs w:val="20"/>
                <w:color w:val="auto"/>
              </w:rPr>
            </w:pPr>
            <w:r>
              <w:rPr>
                <w:rFonts w:ascii="Arial" w:cs="Arial" w:eastAsia="Arial" w:hAnsi="Arial"/>
                <w:sz w:val="14"/>
                <w:szCs w:val="14"/>
                <w:color w:val="auto"/>
                <w:w w:val="93"/>
              </w:rPr>
              <w:t>(millions, except share amounts)</w:t>
            </w:r>
          </w:p>
        </w:tc>
        <w:tc>
          <w:tcPr>
            <w:tcW w:w="0" w:type="dxa"/>
            <w:vAlign w:val="bottom"/>
          </w:tcPr>
          <w:p>
            <w:pPr>
              <w:spacing w:after="0"/>
              <w:rPr>
                <w:sz w:val="1"/>
                <w:szCs w:val="1"/>
                <w:color w:val="auto"/>
              </w:rPr>
            </w:pPr>
          </w:p>
        </w:tc>
      </w:tr>
      <w:tr>
        <w:trPr>
          <w:trHeight w:val="208"/>
        </w:trPr>
        <w:tc>
          <w:tcPr>
            <w:tcW w:w="846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maturities of long-term debt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389.3</w:t>
            </w:r>
          </w:p>
        </w:tc>
        <w:tc>
          <w:tcPr>
            <w:tcW w:w="5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436.4</w:t>
            </w:r>
          </w:p>
        </w:tc>
        <w:tc>
          <w:tcPr>
            <w:tcW w:w="0" w:type="dxa"/>
            <w:vAlign w:val="bottom"/>
          </w:tcPr>
          <w:p>
            <w:pPr>
              <w:spacing w:after="0"/>
              <w:rPr>
                <w:sz w:val="1"/>
                <w:szCs w:val="1"/>
                <w:color w:val="auto"/>
              </w:rPr>
            </w:pP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Current maturities of long-term debt of variable interest entities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Notes payable and commercial paper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1,159.3</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315.0</w:t>
            </w:r>
          </w:p>
        </w:tc>
        <w:tc>
          <w:tcPr>
            <w:tcW w:w="0" w:type="dxa"/>
            <w:vAlign w:val="bottom"/>
          </w:tcPr>
          <w:p>
            <w:pPr>
              <w:spacing w:after="0"/>
              <w:rPr>
                <w:sz w:val="1"/>
                <w:szCs w:val="1"/>
                <w:color w:val="auto"/>
              </w:rPr>
            </w:pP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Collateralized note payable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319.0</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360.0</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639.7</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654.0</w:t>
            </w:r>
          </w:p>
        </w:tc>
        <w:tc>
          <w:tcPr>
            <w:tcW w:w="0" w:type="dxa"/>
            <w:vAlign w:val="bottom"/>
          </w:tcPr>
          <w:p>
            <w:pPr>
              <w:spacing w:after="0"/>
              <w:rPr>
                <w:sz w:val="1"/>
                <w:szCs w:val="1"/>
                <w:color w:val="auto"/>
              </w:rPr>
            </w:pP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Accrued taxes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150.4</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143.8</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interest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118.8</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123.4</w:t>
            </w:r>
          </w:p>
        </w:tc>
        <w:tc>
          <w:tcPr>
            <w:tcW w:w="0" w:type="dxa"/>
            <w:vAlign w:val="bottom"/>
          </w:tcPr>
          <w:p>
            <w:pPr>
              <w:spacing w:after="0"/>
              <w:rPr>
                <w:sz w:val="1"/>
                <w:szCs w:val="1"/>
                <w:color w:val="auto"/>
              </w:rPr>
            </w:pP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Regulatory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70.7</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 retirement obligations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19.5</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Accrued compensation and benefits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51.6</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184.6</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182.6</w:t>
            </w:r>
          </w:p>
        </w:tc>
        <w:tc>
          <w:tcPr>
            <w:tcW w:w="0" w:type="dxa"/>
            <w:vAlign w:val="bottom"/>
          </w:tcPr>
          <w:p>
            <w:pPr>
              <w:spacing w:after="0"/>
              <w:rPr>
                <w:sz w:val="1"/>
                <w:szCs w:val="1"/>
                <w:color w:val="auto"/>
              </w:rPr>
            </w:pPr>
          </w:p>
        </w:tc>
      </w:tr>
      <w:tr>
        <w:trPr>
          <w:trHeight w:val="197"/>
        </w:trPr>
        <w:tc>
          <w:tcPr>
            <w:tcW w:w="84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Current Liabilities</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3,102.9</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2,355.8</w:t>
            </w:r>
          </w:p>
        </w:tc>
        <w:tc>
          <w:tcPr>
            <w:tcW w:w="0" w:type="dxa"/>
            <w:vAlign w:val="bottom"/>
          </w:tcPr>
          <w:p>
            <w:pPr>
              <w:spacing w:after="0"/>
              <w:rPr>
                <w:sz w:val="1"/>
                <w:szCs w:val="1"/>
                <w:color w:val="auto"/>
              </w:rPr>
            </w:pPr>
          </w:p>
        </w:tc>
      </w:tr>
      <w:tr>
        <w:trPr>
          <w:trHeight w:val="201"/>
        </w:trPr>
        <w:tc>
          <w:tcPr>
            <w:tcW w:w="8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Long-term debt,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9,297.9</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9,190.9</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income taxes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1,861.9</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1,664.8</w:t>
            </w:r>
          </w:p>
        </w:tc>
        <w:tc>
          <w:tcPr>
            <w:tcW w:w="0" w:type="dxa"/>
            <w:vAlign w:val="bottom"/>
          </w:tcPr>
          <w:p>
            <w:pPr>
              <w:spacing w:after="0"/>
              <w:rPr>
                <w:sz w:val="1"/>
                <w:szCs w:val="1"/>
                <w:color w:val="auto"/>
              </w:rPr>
            </w:pP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Unamortized investment tax credits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181.4</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186.7</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Regulatory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2,705.0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2,638.8</w:t>
            </w:r>
          </w:p>
        </w:tc>
        <w:tc>
          <w:tcPr>
            <w:tcW w:w="0" w:type="dxa"/>
            <w:vAlign w:val="bottom"/>
          </w:tcPr>
          <w:p>
            <w:pPr>
              <w:spacing w:after="0"/>
              <w:rPr>
                <w:sz w:val="1"/>
                <w:szCs w:val="1"/>
                <w:color w:val="auto"/>
              </w:rPr>
            </w:pPr>
          </w:p>
        </w:tc>
      </w:tr>
      <w:tr>
        <w:trPr>
          <w:trHeight w:val="204"/>
        </w:trPr>
        <w:tc>
          <w:tcPr>
            <w:tcW w:w="8460" w:type="dxa"/>
            <w:vAlign w:val="bottom"/>
          </w:tcPr>
          <w:p>
            <w:pPr>
              <w:ind w:left="140"/>
              <w:spacing w:after="0"/>
              <w:rPr>
                <w:sz w:val="20"/>
                <w:szCs w:val="20"/>
                <w:color w:val="auto"/>
              </w:rPr>
            </w:pPr>
            <w:r>
              <w:rPr>
                <w:rFonts w:ascii="Arial" w:cs="Arial" w:eastAsia="Arial" w:hAnsi="Arial"/>
                <w:sz w:val="15"/>
                <w:szCs w:val="15"/>
                <w:color w:val="auto"/>
              </w:rPr>
              <w:t>Pension and post-retirement liability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879.1</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1,149.4</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 retirement obligations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940.6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901.7</w:t>
            </w:r>
          </w:p>
        </w:tc>
        <w:tc>
          <w:tcPr>
            <w:tcW w:w="0" w:type="dxa"/>
            <w:vAlign w:val="bottom"/>
          </w:tcPr>
          <w:p>
            <w:pPr>
              <w:spacing w:after="0"/>
              <w:rPr>
                <w:sz w:val="1"/>
                <w:szCs w:val="1"/>
                <w:color w:val="auto"/>
              </w:rPr>
            </w:pPr>
          </w:p>
        </w:tc>
      </w:tr>
      <w:tr>
        <w:trPr>
          <w:trHeight w:val="204"/>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310.0</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308.2</w:t>
            </w:r>
          </w:p>
        </w:tc>
        <w:tc>
          <w:tcPr>
            <w:tcW w:w="0" w:type="dxa"/>
            <w:vAlign w:val="bottom"/>
          </w:tcPr>
          <w:p>
            <w:pPr>
              <w:spacing w:after="0"/>
              <w:rPr>
                <w:sz w:val="1"/>
                <w:szCs w:val="1"/>
                <w:color w:val="auto"/>
              </w:rPr>
            </w:pPr>
          </w:p>
        </w:tc>
      </w:tr>
      <w:tr>
        <w:trPr>
          <w:trHeight w:val="201"/>
        </w:trPr>
        <w:tc>
          <w:tcPr>
            <w:tcW w:w="8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Long-Term Liabilities</w:t>
            </w:r>
          </w:p>
        </w:tc>
        <w:tc>
          <w:tcPr>
            <w:tcW w:w="1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16,175.9</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16,040.5</w:t>
            </w:r>
          </w:p>
        </w:tc>
        <w:tc>
          <w:tcPr>
            <w:tcW w:w="0" w:type="dxa"/>
            <w:vAlign w:val="bottom"/>
          </w:tcPr>
          <w:p>
            <w:pPr>
              <w:spacing w:after="0"/>
              <w:rPr>
                <w:sz w:val="1"/>
                <w:szCs w:val="1"/>
                <w:color w:val="auto"/>
              </w:rPr>
            </w:pPr>
          </w:p>
        </w:tc>
      </w:tr>
      <w:tr>
        <w:trPr>
          <w:trHeight w:val="183"/>
        </w:trPr>
        <w:tc>
          <w:tcPr>
            <w:tcW w:w="8460" w:type="dxa"/>
            <w:vAlign w:val="bottom"/>
          </w:tcPr>
          <w:p>
            <w:pPr>
              <w:ind w:left="20"/>
              <w:spacing w:after="0"/>
              <w:rPr>
                <w:sz w:val="20"/>
                <w:szCs w:val="20"/>
                <w:color w:val="auto"/>
              </w:rPr>
            </w:pPr>
            <w:r>
              <w:rPr>
                <w:rFonts w:ascii="Arial" w:cs="Arial" w:eastAsia="Arial" w:hAnsi="Arial"/>
                <w:sz w:val="15"/>
                <w:szCs w:val="15"/>
                <w:color w:val="auto"/>
              </w:rPr>
              <w:t>Commitments and Contingencies (Note 14)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140"/>
              <w:spacing w:after="0"/>
              <w:rPr>
                <w:sz w:val="20"/>
                <w:szCs w:val="20"/>
                <w:color w:val="auto"/>
              </w:rPr>
            </w:pPr>
            <w:r>
              <w:rPr>
                <w:rFonts w:ascii="Arial" w:cs="Arial" w:eastAsia="Arial" w:hAnsi="Arial"/>
                <w:sz w:val="15"/>
                <w:szCs w:val="15"/>
                <w:color w:val="auto"/>
              </w:rPr>
              <w:t>Evergy, Inc. Shareholders' Equity: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Common stock - 600,000,000 shares authorized, without par value</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7,205.5</w:t>
            </w:r>
          </w:p>
        </w:tc>
        <w:tc>
          <w:tcPr>
            <w:tcW w:w="5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rPr>
              <w:t>7,080.0</w:t>
            </w:r>
          </w:p>
        </w:tc>
        <w:tc>
          <w:tcPr>
            <w:tcW w:w="0" w:type="dxa"/>
            <w:vAlign w:val="bottom"/>
          </w:tcPr>
          <w:p>
            <w:pPr>
              <w:spacing w:after="0"/>
              <w:rPr>
                <w:sz w:val="1"/>
                <w:szCs w:val="1"/>
                <w:color w:val="auto"/>
              </w:rPr>
            </w:pPr>
          </w:p>
        </w:tc>
      </w:tr>
      <w:tr>
        <w:trPr>
          <w:trHeight w:val="201"/>
        </w:trPr>
        <w:tc>
          <w:tcPr>
            <w:tcW w:w="8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229,299,900 and 226,836,670 shares issued, stated value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60" w:type="dxa"/>
            <w:vAlign w:val="bottom"/>
          </w:tcPr>
          <w:p>
            <w:pPr>
              <w:ind w:left="320"/>
              <w:spacing w:after="0"/>
              <w:rPr>
                <w:sz w:val="20"/>
                <w:szCs w:val="20"/>
                <w:color w:val="auto"/>
              </w:rPr>
            </w:pPr>
            <w:r>
              <w:rPr>
                <w:rFonts w:ascii="Arial" w:cs="Arial" w:eastAsia="Arial" w:hAnsi="Arial"/>
                <w:sz w:val="15"/>
                <w:szCs w:val="15"/>
                <w:color w:val="auto"/>
              </w:rPr>
              <w:t>Retained earnings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2,082.9</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1,702.8</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(44.0)</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197"/>
        </w:trPr>
        <w:tc>
          <w:tcPr>
            <w:tcW w:w="8460" w:type="dxa"/>
            <w:vAlign w:val="bottom"/>
          </w:tcPr>
          <w:p>
            <w:pPr>
              <w:ind w:left="440"/>
              <w:spacing w:after="0"/>
              <w:rPr>
                <w:sz w:val="20"/>
                <w:szCs w:val="20"/>
                <w:color w:val="auto"/>
              </w:rPr>
            </w:pPr>
            <w:r>
              <w:rPr>
                <w:rFonts w:ascii="Arial" w:cs="Arial" w:eastAsia="Arial" w:hAnsi="Arial"/>
                <w:sz w:val="15"/>
                <w:szCs w:val="15"/>
                <w:color w:val="auto"/>
              </w:rPr>
              <w:t>Total Evergy, Inc. Shareholders' Equity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9,244.4</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8,733.4</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(2.7)</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97"/>
        </w:trPr>
        <w:tc>
          <w:tcPr>
            <w:tcW w:w="84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Equity</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9,241.7</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8,718.5</w:t>
            </w:r>
          </w:p>
        </w:tc>
        <w:tc>
          <w:tcPr>
            <w:tcW w:w="0" w:type="dxa"/>
            <w:vAlign w:val="bottom"/>
          </w:tcPr>
          <w:p>
            <w:pPr>
              <w:spacing w:after="0"/>
              <w:rPr>
                <w:sz w:val="1"/>
                <w:szCs w:val="1"/>
                <w:color w:val="auto"/>
              </w:rPr>
            </w:pPr>
          </w:p>
        </w:tc>
      </w:tr>
      <w:tr>
        <w:trPr>
          <w:trHeight w:val="207"/>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LIABILITIES AND EQUITY</w:t>
            </w:r>
          </w:p>
        </w:tc>
        <w:tc>
          <w:tcPr>
            <w:tcW w:w="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28,520.5</w:t>
            </w:r>
          </w:p>
        </w:tc>
        <w:tc>
          <w:tcPr>
            <w:tcW w:w="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27,114.8</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76" w:name="page77"/>
    <w:bookmarkEnd w:id="7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rPr>
              <w:t>2020</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2019</w:t>
            </w:r>
          </w:p>
        </w:tc>
      </w:tr>
      <w:tr>
        <w:trPr>
          <w:trHeight w:val="203"/>
        </w:trPr>
        <w:tc>
          <w:tcPr>
            <w:tcW w:w="7360" w:type="dxa"/>
            <w:vAlign w:val="bottom"/>
          </w:tcPr>
          <w:p>
            <w:pPr>
              <w:ind w:left="20"/>
              <w:spacing w:after="0"/>
              <w:rPr>
                <w:sz w:val="20"/>
                <w:szCs w:val="20"/>
                <w:color w:val="auto"/>
              </w:rPr>
            </w:pPr>
            <w:r>
              <w:rPr>
                <w:rFonts w:ascii="Arial" w:cs="Arial" w:eastAsia="Arial" w:hAnsi="Arial"/>
                <w:sz w:val="15"/>
                <w:szCs w:val="15"/>
                <w:color w:val="auto"/>
              </w:rPr>
              <w:t>CASH FLOWS FROM (USED IN) OPERATING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23"/>
              <w:spacing w:after="0"/>
              <w:rPr>
                <w:sz w:val="20"/>
                <w:szCs w:val="20"/>
                <w:color w:val="auto"/>
              </w:rPr>
            </w:pPr>
            <w:r>
              <w:rPr>
                <w:rFonts w:ascii="Arial" w:cs="Arial" w:eastAsia="Arial" w:hAnsi="Arial"/>
                <w:sz w:val="14"/>
                <w:szCs w:val="14"/>
                <w:color w:val="auto"/>
              </w:rPr>
              <w:t>(millions)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891.9</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630.0</w:t>
            </w:r>
          </w:p>
        </w:tc>
        <w:tc>
          <w:tcPr>
            <w:tcW w:w="3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685.6</w:t>
            </w:r>
          </w:p>
        </w:tc>
      </w:tr>
      <w:tr>
        <w:trPr>
          <w:trHeight w:val="203"/>
        </w:trPr>
        <w:tc>
          <w:tcPr>
            <w:tcW w:w="7360" w:type="dxa"/>
            <w:vAlign w:val="bottom"/>
          </w:tcPr>
          <w:p>
            <w:pPr>
              <w:ind w:left="20"/>
              <w:spacing w:after="0"/>
              <w:rPr>
                <w:sz w:val="20"/>
                <w:szCs w:val="20"/>
                <w:color w:val="auto"/>
              </w:rPr>
            </w:pPr>
            <w:r>
              <w:rPr>
                <w:rFonts w:ascii="Arial" w:cs="Arial" w:eastAsia="Arial" w:hAnsi="Arial"/>
                <w:sz w:val="15"/>
                <w:szCs w:val="15"/>
                <w:color w:val="auto"/>
              </w:rPr>
              <w:t>Adjustments to reconcile income to net cash from operating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896.4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880.1</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861.7</w:t>
            </w:r>
          </w:p>
        </w:tc>
      </w:tr>
      <w:tr>
        <w:trPr>
          <w:trHeight w:val="204"/>
        </w:trPr>
        <w:tc>
          <w:tcPr>
            <w:tcW w:w="7360" w:type="dxa"/>
            <w:vAlign w:val="bottom"/>
          </w:tcPr>
          <w:p>
            <w:pPr>
              <w:ind w:left="220"/>
              <w:spacing w:after="0"/>
              <w:rPr>
                <w:sz w:val="20"/>
                <w:szCs w:val="20"/>
                <w:color w:val="auto"/>
              </w:rPr>
            </w:pPr>
            <w:r>
              <w:rPr>
                <w:rFonts w:ascii="Arial" w:cs="Arial" w:eastAsia="Arial" w:hAnsi="Arial"/>
                <w:sz w:val="15"/>
                <w:szCs w:val="15"/>
                <w:color w:val="auto"/>
              </w:rPr>
              <w:t>Amortization of nuclear fuel</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51.4</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58.3</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51.4</w:t>
            </w:r>
          </w:p>
        </w:tc>
      </w:tr>
      <w:tr>
        <w:trPr>
          <w:trHeight w:val="208"/>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Amortization of deferred refueling outage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25.1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25.4</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w:t>
            </w:r>
          </w:p>
        </w:tc>
      </w:tr>
      <w:tr>
        <w:trPr>
          <w:trHeight w:val="204"/>
        </w:trPr>
        <w:tc>
          <w:tcPr>
            <w:tcW w:w="7360" w:type="dxa"/>
            <w:vAlign w:val="bottom"/>
          </w:tcPr>
          <w:p>
            <w:pPr>
              <w:ind w:left="220"/>
              <w:spacing w:after="0"/>
              <w:rPr>
                <w:sz w:val="20"/>
                <w:szCs w:val="20"/>
                <w:color w:val="auto"/>
              </w:rPr>
            </w:pPr>
            <w:r>
              <w:rPr>
                <w:rFonts w:ascii="Arial" w:cs="Arial" w:eastAsia="Arial" w:hAnsi="Arial"/>
                <w:sz w:val="15"/>
                <w:szCs w:val="15"/>
                <w:color w:val="auto"/>
              </w:rPr>
              <w:t>Amortization of corporate-owned life insurance</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24.1</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20.1</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08"/>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Non-cash compensation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15.6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16.0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r>
      <w:tr>
        <w:trPr>
          <w:trHeight w:val="204"/>
        </w:trPr>
        <w:tc>
          <w:tcPr>
            <w:tcW w:w="7360" w:type="dxa"/>
            <w:vAlign w:val="bottom"/>
          </w:tcPr>
          <w:p>
            <w:pPr>
              <w:ind w:left="220"/>
              <w:spacing w:after="0"/>
              <w:rPr>
                <w:sz w:val="20"/>
                <w:szCs w:val="20"/>
                <w:color w:val="auto"/>
              </w:rPr>
            </w:pPr>
            <w:r>
              <w:rPr>
                <w:rFonts w:ascii="Arial" w:cs="Arial" w:eastAsia="Arial" w:hAnsi="Arial"/>
                <w:sz w:val="15"/>
                <w:szCs w:val="15"/>
                <w:color w:val="auto"/>
              </w:rPr>
              <w:t>Net deferred income taxes and credits</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102.2</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126.9</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121.5</w:t>
            </w:r>
          </w:p>
        </w:tc>
      </w:tr>
      <w:tr>
        <w:trPr>
          <w:trHeight w:val="208"/>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(29.4)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(17.2)</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04"/>
        </w:trPr>
        <w:tc>
          <w:tcPr>
            <w:tcW w:w="7360" w:type="dxa"/>
            <w:vAlign w:val="bottom"/>
          </w:tcPr>
          <w:p>
            <w:pPr>
              <w:ind w:left="220"/>
              <w:spacing w:after="0"/>
              <w:rPr>
                <w:sz w:val="20"/>
                <w:szCs w:val="20"/>
                <w:color w:val="auto"/>
              </w:rPr>
            </w:pPr>
            <w:r>
              <w:rPr>
                <w:rFonts w:ascii="Arial" w:cs="Arial" w:eastAsia="Arial" w:hAnsi="Arial"/>
                <w:sz w:val="15"/>
                <w:szCs w:val="15"/>
                <w:color w:val="auto"/>
              </w:rPr>
              <w:t>Payments for asset retirement obligations</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(22.6)</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(18.4)</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(17.8)</w:t>
            </w:r>
          </w:p>
        </w:tc>
      </w:tr>
      <w:tr>
        <w:trPr>
          <w:trHeight w:val="208"/>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Equity in earnings of equity method investees, net of income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204"/>
        </w:trPr>
        <w:tc>
          <w:tcPr>
            <w:tcW w:w="7360" w:type="dxa"/>
            <w:vAlign w:val="bottom"/>
          </w:tcPr>
          <w:p>
            <w:pPr>
              <w:ind w:left="220"/>
              <w:spacing w:after="0"/>
              <w:rPr>
                <w:sz w:val="20"/>
                <w:szCs w:val="20"/>
                <w:color w:val="auto"/>
              </w:rPr>
            </w:pPr>
            <w:r>
              <w:rPr>
                <w:rFonts w:ascii="Arial" w:cs="Arial" w:eastAsia="Arial" w:hAnsi="Arial"/>
                <w:sz w:val="15"/>
                <w:szCs w:val="15"/>
                <w:color w:val="auto"/>
              </w:rPr>
              <w:t>Income from corporate-owned life insurance</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(14.2)</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(8.2)</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(29.6)</w:t>
            </w:r>
          </w:p>
        </w:tc>
      </w:tr>
      <w:tr>
        <w:trPr>
          <w:trHeight w:val="208"/>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0.8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203"/>
        </w:trPr>
        <w:tc>
          <w:tcPr>
            <w:tcW w:w="7360" w:type="dxa"/>
            <w:vAlign w:val="bottom"/>
          </w:tcPr>
          <w:p>
            <w:pPr>
              <w:ind w:left="20"/>
              <w:spacing w:after="0"/>
              <w:rPr>
                <w:sz w:val="20"/>
                <w:szCs w:val="20"/>
                <w:color w:val="auto"/>
              </w:rPr>
            </w:pPr>
            <w:r>
              <w:rPr>
                <w:rFonts w:ascii="Arial" w:cs="Arial" w:eastAsia="Arial" w:hAnsi="Arial"/>
                <w:sz w:val="15"/>
                <w:szCs w:val="15"/>
                <w:color w:val="auto"/>
              </w:rPr>
              <w:t>Changes in working capital items: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receivable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69.9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r>
      <w:tr>
        <w:trPr>
          <w:trHeight w:val="204"/>
        </w:trPr>
        <w:tc>
          <w:tcPr>
            <w:tcW w:w="7360" w:type="dxa"/>
            <w:vAlign w:val="bottom"/>
          </w:tcPr>
          <w:p>
            <w:pPr>
              <w:ind w:left="220"/>
              <w:spacing w:after="0"/>
              <w:rPr>
                <w:sz w:val="20"/>
                <w:szCs w:val="20"/>
                <w:color w:val="auto"/>
              </w:rPr>
            </w:pPr>
            <w:r>
              <w:rPr>
                <w:rFonts w:ascii="Arial" w:cs="Arial" w:eastAsia="Arial" w:hAnsi="Arial"/>
                <w:sz w:val="15"/>
                <w:szCs w:val="15"/>
                <w:color w:val="auto"/>
              </w:rPr>
              <w:t>Accounts receivable pledged as collateral</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41.0</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(21.0)</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26.0</w:t>
            </w:r>
          </w:p>
        </w:tc>
      </w:tr>
      <w:tr>
        <w:trPr>
          <w:trHeight w:val="208"/>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Fuel inventory and supplies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(61.6)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(22.3)</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w:t>
            </w:r>
          </w:p>
        </w:tc>
      </w:tr>
      <w:tr>
        <w:trPr>
          <w:trHeight w:val="204"/>
        </w:trPr>
        <w:tc>
          <w:tcPr>
            <w:tcW w:w="7360" w:type="dxa"/>
            <w:vAlign w:val="bottom"/>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(299.8)</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16.9</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43.4</w:t>
            </w:r>
          </w:p>
        </w:tc>
      </w:tr>
      <w:tr>
        <w:trPr>
          <w:trHeight w:val="208"/>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payable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(55.1)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134.3</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r>
      <w:tr>
        <w:trPr>
          <w:trHeight w:val="204"/>
        </w:trPr>
        <w:tc>
          <w:tcPr>
            <w:tcW w:w="7360" w:type="dxa"/>
            <w:vAlign w:val="bottom"/>
          </w:tcPr>
          <w:p>
            <w:pPr>
              <w:ind w:left="220"/>
              <w:spacing w:after="0"/>
              <w:rPr>
                <w:sz w:val="20"/>
                <w:szCs w:val="20"/>
                <w:color w:val="auto"/>
              </w:rPr>
            </w:pPr>
            <w:r>
              <w:rPr>
                <w:rFonts w:ascii="Arial" w:cs="Arial" w:eastAsia="Arial" w:hAnsi="Arial"/>
                <w:sz w:val="15"/>
                <w:szCs w:val="15"/>
                <w:color w:val="auto"/>
              </w:rPr>
              <w:t>Accrued taxes</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41.4</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6.7</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(8.2)</w:t>
            </w:r>
          </w:p>
        </w:tc>
      </w:tr>
      <w:tr>
        <w:trPr>
          <w:trHeight w:val="208"/>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current 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(19.4)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(98.9)</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w:t>
            </w: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Changes in other assets</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(251.5)</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119.5</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79.8</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Changes in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(31.7)</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(82.0)</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(75.5)</w:t>
            </w:r>
          </w:p>
        </w:tc>
      </w:tr>
      <w:tr>
        <w:trPr>
          <w:trHeight w:val="197"/>
        </w:trPr>
        <w:tc>
          <w:tcPr>
            <w:tcW w:w="73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Cash Flows from Operating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1,351.7</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1,753.8</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1,749.0</w:t>
            </w:r>
          </w:p>
        </w:tc>
      </w:tr>
      <w:tr>
        <w:trPr>
          <w:trHeight w:val="201"/>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(USED IN) INVESTING ACTIVITIES: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Additions to property, plant and equipment</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(1,972.5)</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(1,560.3)</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(1,210.1)</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of securities - trusts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(158.2)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(65.6)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w:t>
            </w: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Sale of securities - trusts</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115.7</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56.5</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47.3</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in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(14.2)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(19.1)</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Proceeds from investment in corporate-owned life insurance</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77.0</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65.9</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161.7</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38.4</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(11.1)</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r>
      <w:tr>
        <w:trPr>
          <w:trHeight w:val="197"/>
        </w:trPr>
        <w:tc>
          <w:tcPr>
            <w:tcW w:w="73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(1,913.8)</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(1,533.7)</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(1,080.3)</w:t>
            </w:r>
          </w:p>
        </w:tc>
      </w:tr>
      <w:tr>
        <w:trPr>
          <w:trHeight w:val="201"/>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(USED IN) FINANCING ACTIVITIES: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Short-term debt, net</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840.5</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(246.9)</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(176.7)</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term loan facility</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Repayment of term loan facility</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(1,000.0)</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Collateralized short-term borrowings,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(41.0)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21.0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Issuance of common stock</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112.5</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long-term debt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497.3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888.8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2,372.7</w:t>
            </w: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Retirements of long-term debt</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(432.0)</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(251.1)</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(701.1)</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Retirements of long-term debt of variable interest entities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(18.8)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(32.3)</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w:t>
            </w: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Payment for settlement of interest rate swap accounted for as a cash flow hedge</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(69.8)</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54.4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55.5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w:t>
            </w: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Repayment of borrowings against cash surrender value of corporate-owned life insurance</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(62.3)</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(54.8)</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(127.5)</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dividends paid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(497.9)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(465.0)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(462.5)</w:t>
            </w: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Repurchase of common stock under repurchase plan</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(1,628.7)</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 to shareholders of noncontrolling interests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r>
      <w:tr>
        <w:trPr>
          <w:trHeight w:val="204"/>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(9.3)</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(13.6)</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r>
      <w:tr>
        <w:trPr>
          <w:trHeight w:val="199"/>
        </w:trPr>
        <w:tc>
          <w:tcPr>
            <w:tcW w:w="7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Cash Flows from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443.4</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(98.4)</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(805.8)</w:t>
            </w:r>
          </w:p>
        </w:tc>
      </w:tr>
      <w:tr>
        <w:trPr>
          <w:trHeight w:val="199"/>
        </w:trPr>
        <w:tc>
          <w:tcPr>
            <w:tcW w:w="7360" w:type="dxa"/>
            <w:vAlign w:val="bottom"/>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(118.7)</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121.7</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(137.1)</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4"/>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Beginning of period</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144.9</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23.2</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160.3</w:t>
            </w:r>
          </w:p>
        </w:tc>
      </w:tr>
      <w:tr>
        <w:trPr>
          <w:trHeight w:val="207"/>
        </w:trPr>
        <w:tc>
          <w:tcPr>
            <w:tcW w:w="7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End of period</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26.2</w:t>
            </w:r>
          </w:p>
        </w:tc>
        <w:tc>
          <w:tcPr>
            <w:tcW w:w="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144.9</w:t>
            </w:r>
          </w:p>
        </w:tc>
        <w:tc>
          <w:tcPr>
            <w:tcW w:w="3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77" w:name="page78"/>
    <w:bookmarkEnd w:id="7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Equity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5"/>
                <w:szCs w:val="15"/>
                <w:b w:val="1"/>
                <w:bCs w:val="1"/>
                <w:color w:val="auto"/>
                <w:w w:val="92"/>
              </w:rPr>
              <w:t>Evergy, Inc. Shareholders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w w:val="98"/>
              </w:rPr>
              <w:t>Common</w:t>
            </w:r>
          </w:p>
        </w:tc>
        <w:tc>
          <w:tcPr>
            <w:tcW w:w="140" w:type="dxa"/>
            <w:vAlign w:val="bottom"/>
          </w:tcPr>
          <w:p>
            <w:pPr>
              <w:spacing w:after="0"/>
              <w:rPr>
                <w:sz w:val="12"/>
                <w:szCs w:val="12"/>
                <w:color w:val="auto"/>
              </w:rPr>
            </w:pPr>
          </w:p>
        </w:tc>
        <w:tc>
          <w:tcPr>
            <w:tcW w:w="8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w w:val="94"/>
              </w:rPr>
              <w:t>Retained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3"/>
              <w:spacing w:after="0" w:line="142" w:lineRule="exact"/>
              <w:rPr>
                <w:sz w:val="20"/>
                <w:szCs w:val="20"/>
                <w:color w:val="auto"/>
              </w:rPr>
            </w:pPr>
            <w:r>
              <w:rPr>
                <w:rFonts w:ascii="Arial" w:cs="Arial" w:eastAsia="Arial" w:hAnsi="Arial"/>
                <w:sz w:val="15"/>
                <w:szCs w:val="15"/>
                <w:b w:val="1"/>
                <w:bCs w:val="1"/>
                <w:color w:val="auto"/>
                <w:w w:val="93"/>
              </w:rPr>
              <w:t>Non-</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03"/>
              <w:spacing w:after="0"/>
              <w:rPr>
                <w:sz w:val="20"/>
                <w:szCs w:val="20"/>
                <w:color w:val="auto"/>
              </w:rPr>
            </w:pPr>
            <w:r>
              <w:rPr>
                <w:rFonts w:ascii="Arial" w:cs="Arial" w:eastAsia="Arial" w:hAnsi="Arial"/>
                <w:sz w:val="15"/>
                <w:szCs w:val="15"/>
                <w:b w:val="1"/>
                <w:bCs w:val="1"/>
                <w:color w:val="auto"/>
              </w:rPr>
              <w:t>AOCI</w:t>
            </w:r>
          </w:p>
        </w:tc>
        <w:tc>
          <w:tcPr>
            <w:tcW w:w="120" w:type="dxa"/>
            <w:vAlign w:val="bottom"/>
          </w:tcPr>
          <w:p>
            <w:pPr>
              <w:spacing w:after="0"/>
              <w:rPr>
                <w:sz w:val="13"/>
                <w:szCs w:val="13"/>
                <w:color w:val="auto"/>
              </w:rPr>
            </w:pPr>
          </w:p>
        </w:tc>
        <w:tc>
          <w:tcPr>
            <w:tcW w:w="880" w:type="dxa"/>
            <w:vAlign w:val="bottom"/>
          </w:tcPr>
          <w:p>
            <w:pPr>
              <w:jc w:val="center"/>
              <w:ind w:right="43"/>
              <w:spacing w:after="0" w:line="155" w:lineRule="exact"/>
              <w:rPr>
                <w:sz w:val="20"/>
                <w:szCs w:val="20"/>
                <w:color w:val="auto"/>
              </w:rPr>
            </w:pPr>
            <w:r>
              <w:rPr>
                <w:rFonts w:ascii="Arial" w:cs="Arial" w:eastAsia="Arial" w:hAnsi="Arial"/>
                <w:sz w:val="15"/>
                <w:szCs w:val="15"/>
                <w:b w:val="1"/>
                <w:bCs w:val="1"/>
                <w:color w:val="auto"/>
                <w:w w:val="92"/>
              </w:rPr>
              <w:t>controlling</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9"/>
              </w:rPr>
              <w:t>Total equity</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shares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stock</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5"/>
              </w:rPr>
              <w:t>earnings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9"/>
              </w:rPr>
              <w:t>interests</w:t>
            </w:r>
          </w:p>
        </w:tc>
        <w:tc>
          <w:tcPr>
            <w:tcW w:w="9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5"/>
          </w:tcPr>
          <w:p>
            <w:pPr>
              <w:jc w:val="right"/>
              <w:ind w:right="103"/>
              <w:spacing w:after="0"/>
              <w:rPr>
                <w:sz w:val="20"/>
                <w:szCs w:val="20"/>
                <w:color w:val="auto"/>
              </w:rPr>
            </w:pPr>
            <w:r>
              <w:rPr>
                <w:rFonts w:ascii="Arial" w:cs="Arial" w:eastAsia="Arial" w:hAnsi="Arial"/>
                <w:sz w:val="14"/>
                <w:szCs w:val="14"/>
                <w:color w:val="auto"/>
              </w:rPr>
              <w:t>(millions, except share amounts)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2018</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255,326,252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1,346.0</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9,990.7</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669.9</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15.7</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685.6</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Issuance of stock compensation and reinvested dividends, net of tax withholding</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111,849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Dividends declared on common stock ($1.93 per share)</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(462.5)</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(462.5)</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 equivalents declared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Stock compensation expense</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16.3</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common stock under repurchase plan</w:t>
            </w:r>
          </w:p>
        </w:tc>
        <w:tc>
          <w:tcPr>
            <w:tcW w:w="136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(28,796,658)</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(1,628.7)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(1,628.7)</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Consolidation of noncontrolling interests</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3.8</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 to shareholders of noncontrolling interests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Derivative hedging activity, net of tax</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(46.4)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unrecognized pension expense, net of tax</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Balance as of December 31, 2019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226,641,443</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7,070.4</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1,551.5</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8,545.3</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630.0</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w w:val="97"/>
              </w:rPr>
              <w:t>Issuance of stock compensation and reinvested dividends, net of tax withholding</w:t>
            </w:r>
          </w:p>
        </w:tc>
        <w:tc>
          <w:tcPr>
            <w:tcW w:w="1180" w:type="dxa"/>
            <w:vAlign w:val="bottom"/>
          </w:tcPr>
          <w:p>
            <w:pPr>
              <w:jc w:val="right"/>
              <w:spacing w:after="0"/>
              <w:rPr>
                <w:sz w:val="20"/>
                <w:szCs w:val="20"/>
                <w:color w:val="auto"/>
              </w:rPr>
            </w:pPr>
            <w:r>
              <w:rPr>
                <w:rFonts w:ascii="Arial" w:cs="Arial" w:eastAsia="Arial" w:hAnsi="Arial"/>
                <w:sz w:val="15"/>
                <w:szCs w:val="15"/>
                <w:color w:val="auto"/>
              </w:rPr>
              <w:t>195,227</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Dividends declared on common stock ($2.05 per share)</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(465.0)</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Dividend equivalents declared</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compensation expense</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Derivative hedging activity, net of tax</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unrecognized pension expense, net of tax</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226,836,670</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7,080.0</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1,702.8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8,718.5</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879.7</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12.2</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891.9</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stock, net of issuance costs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2,269,447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w w:val="97"/>
              </w:rPr>
              <w:t>Issuance of stock compensation and reinvested dividends, net of tax withholding</w:t>
            </w:r>
          </w:p>
        </w:tc>
        <w:tc>
          <w:tcPr>
            <w:tcW w:w="1180" w:type="dxa"/>
            <w:vAlign w:val="bottom"/>
          </w:tcPr>
          <w:p>
            <w:pPr>
              <w:jc w:val="right"/>
              <w:spacing w:after="0"/>
              <w:rPr>
                <w:sz w:val="20"/>
                <w:szCs w:val="20"/>
                <w:color w:val="auto"/>
              </w:rPr>
            </w:pPr>
            <w:r>
              <w:rPr>
                <w:rFonts w:ascii="Arial" w:cs="Arial" w:eastAsia="Arial" w:hAnsi="Arial"/>
                <w:sz w:val="15"/>
                <w:szCs w:val="15"/>
                <w:color w:val="auto"/>
              </w:rPr>
              <w:t>139,729</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restricted common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54,054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Dividends declared on common stock ($2.178 per share)</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(497.9)</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(497.9)</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 equivalents declared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Stock compensation expense</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13.8</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Unearned compensation</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rPr>
                <w:sz w:val="20"/>
                <w:szCs w:val="20"/>
                <w:color w:val="auto"/>
              </w:rPr>
            </w:pPr>
            <w:r>
              <w:rPr>
                <w:rFonts w:ascii="Arial" w:cs="Arial" w:eastAsia="Arial" w:hAnsi="Arial"/>
                <w:sz w:val="15"/>
                <w:szCs w:val="15"/>
                <w:color w:val="auto"/>
              </w:rPr>
              <w:t>Issuance of restricted common stock</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 expense recognized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Derivative hedging activity, net of tax</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unrecognized pension expense, net of tax</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229,299,900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7,205.5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2,082.9</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9,241.7</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8" w:name="page79"/>
    <w:bookmarkEnd w:id="7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KANSAS CENTRAL,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Income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2021</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rPr>
              <w:t>2020</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2019</w:t>
            </w:r>
          </w:p>
        </w:tc>
      </w:tr>
      <w:tr>
        <w:trPr>
          <w:trHeight w:val="177"/>
        </w:trPr>
        <w:tc>
          <w:tcPr>
            <w:tcW w:w="6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83"/>
              <w:spacing w:after="0"/>
              <w:rPr>
                <w:sz w:val="20"/>
                <w:szCs w:val="20"/>
                <w:color w:val="auto"/>
              </w:rPr>
            </w:pPr>
            <w:r>
              <w:rPr>
                <w:rFonts w:ascii="Arial" w:cs="Arial" w:eastAsia="Arial" w:hAnsi="Arial"/>
                <w:sz w:val="14"/>
                <w:szCs w:val="14"/>
                <w:color w:val="auto"/>
              </w:rPr>
              <w:t>(millions)</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REVENUES</w:t>
            </w:r>
          </w:p>
        </w:tc>
        <w:tc>
          <w:tcPr>
            <w:tcW w:w="5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2,847.3</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2,418.1</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2,507.4</w:t>
            </w:r>
          </w:p>
        </w:tc>
      </w:tr>
      <w:tr>
        <w:trPr>
          <w:trHeight w:val="183"/>
        </w:trPr>
        <w:tc>
          <w:tcPr>
            <w:tcW w:w="68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9"/>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Fuel and purchased power</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638.7</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427.6</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493.0</w:t>
            </w:r>
          </w:p>
        </w:tc>
      </w:tr>
      <w:tr>
        <w:trPr>
          <w:trHeight w:val="204"/>
        </w:trPr>
        <w:tc>
          <w:tcPr>
            <w:tcW w:w="6840" w:type="dxa"/>
            <w:vAlign w:val="bottom"/>
          </w:tcPr>
          <w:p>
            <w:pPr>
              <w:ind w:left="140"/>
              <w:spacing w:after="0"/>
              <w:rPr>
                <w:sz w:val="20"/>
                <w:szCs w:val="20"/>
                <w:color w:val="auto"/>
              </w:rPr>
            </w:pPr>
            <w:r>
              <w:rPr>
                <w:rFonts w:ascii="Arial" w:cs="Arial" w:eastAsia="Arial" w:hAnsi="Arial"/>
                <w:sz w:val="15"/>
                <w:szCs w:val="15"/>
                <w:color w:val="auto"/>
              </w:rPr>
              <w:t>SPP network transmission costs</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290.4</w:t>
            </w:r>
          </w:p>
        </w:tc>
        <w:tc>
          <w:tcPr>
            <w:tcW w:w="28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263.2</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251.3</w:t>
            </w:r>
          </w:p>
        </w:tc>
      </w:tr>
      <w:tr>
        <w:trPr>
          <w:trHeight w:val="208"/>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and maintenance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530.8</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513.6</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530.5</w:t>
            </w:r>
          </w:p>
        </w:tc>
      </w:tr>
      <w:tr>
        <w:trPr>
          <w:trHeight w:val="204"/>
        </w:trPr>
        <w:tc>
          <w:tcPr>
            <w:tcW w:w="684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467.2</w:t>
            </w:r>
          </w:p>
        </w:tc>
        <w:tc>
          <w:tcPr>
            <w:tcW w:w="28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453.1</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443.8</w:t>
            </w:r>
          </w:p>
        </w:tc>
      </w:tr>
      <w:tr>
        <w:trPr>
          <w:trHeight w:val="208"/>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Taxes other than income tax</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203.9</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193.3</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192.3</w:t>
            </w:r>
          </w:p>
        </w:tc>
      </w:tr>
      <w:tr>
        <w:trPr>
          <w:trHeight w:val="197"/>
        </w:trPr>
        <w:tc>
          <w:tcPr>
            <w:tcW w:w="68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Operating Expenses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2,131.0</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1,850.8</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1,910.9</w:t>
            </w:r>
          </w:p>
        </w:tc>
      </w:tr>
      <w:tr>
        <w:trPr>
          <w:trHeight w:val="201"/>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716.3</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567.3</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596.5</w:t>
            </w:r>
          </w:p>
        </w:tc>
      </w:tr>
      <w:tr>
        <w:trPr>
          <w:trHeight w:val="183"/>
        </w:trPr>
        <w:tc>
          <w:tcPr>
            <w:tcW w:w="684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9"/>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Investment earnings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1.3</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04"/>
        </w:trPr>
        <w:tc>
          <w:tcPr>
            <w:tcW w:w="6840" w:type="dxa"/>
            <w:vAlign w:val="bottom"/>
          </w:tcPr>
          <w:p>
            <w:pPr>
              <w:ind w:left="140"/>
              <w:spacing w:after="0"/>
              <w:rPr>
                <w:sz w:val="20"/>
                <w:szCs w:val="20"/>
                <w:color w:val="auto"/>
              </w:rPr>
            </w:pPr>
            <w:r>
              <w:rPr>
                <w:rFonts w:ascii="Arial" w:cs="Arial" w:eastAsia="Arial" w:hAnsi="Arial"/>
                <w:sz w:val="15"/>
                <w:szCs w:val="15"/>
                <w:color w:val="auto"/>
              </w:rPr>
              <w:t>Other income</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27.0</w:t>
            </w:r>
          </w:p>
        </w:tc>
        <w:tc>
          <w:tcPr>
            <w:tcW w:w="28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21.4</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23.1</w:t>
            </w:r>
          </w:p>
        </w:tc>
      </w:tr>
      <w:tr>
        <w:trPr>
          <w:trHeight w:val="208"/>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expense</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(35.9)</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(38.9)</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w:t>
            </w:r>
          </w:p>
        </w:tc>
      </w:tr>
      <w:tr>
        <w:trPr>
          <w:trHeight w:val="197"/>
        </w:trPr>
        <w:tc>
          <w:tcPr>
            <w:tcW w:w="68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Other Expense, Net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(7.6)</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(12.7)</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w:t>
            </w:r>
          </w:p>
        </w:tc>
      </w:tr>
      <w:tr>
        <w:trPr>
          <w:trHeight w:val="201"/>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160.3</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167.6</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177.0</w:t>
            </w:r>
          </w:p>
        </w:tc>
      </w:tr>
      <w:tr>
        <w:trPr>
          <w:trHeight w:val="197"/>
        </w:trPr>
        <w:tc>
          <w:tcPr>
            <w:tcW w:w="6840" w:type="dxa"/>
            <w:vAlign w:val="bottom"/>
          </w:tcPr>
          <w:p>
            <w:pPr>
              <w:ind w:left="20"/>
              <w:spacing w:after="0"/>
              <w:rPr>
                <w:sz w:val="20"/>
                <w:szCs w:val="20"/>
                <w:color w:val="auto"/>
              </w:rPr>
            </w:pPr>
            <w:r>
              <w:rPr>
                <w:rFonts w:ascii="Arial" w:cs="Arial" w:eastAsia="Arial" w:hAnsi="Arial"/>
                <w:sz w:val="15"/>
                <w:szCs w:val="15"/>
                <w:color w:val="auto"/>
              </w:rPr>
              <w:t>INCOME BEFORE INCOME TAXES</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548.4</w:t>
            </w:r>
          </w:p>
        </w:tc>
        <w:tc>
          <w:tcPr>
            <w:tcW w:w="28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387.0</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406.6</w:t>
            </w:r>
          </w:p>
        </w:tc>
      </w:tr>
      <w:tr>
        <w:trPr>
          <w:trHeight w:val="208"/>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51.7</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155.8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w:t>
            </w:r>
          </w:p>
        </w:tc>
      </w:tr>
      <w:tr>
        <w:trPr>
          <w:trHeight w:val="204"/>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Equity in earnings of equity method investees, net of income taxes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4.0</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4.6</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r>
      <w:tr>
        <w:trPr>
          <w:trHeight w:val="201"/>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500.7</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235.8</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359.1</w:t>
            </w:r>
          </w:p>
        </w:tc>
      </w:tr>
      <w:tr>
        <w:trPr>
          <w:trHeight w:val="204"/>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Net income attributable to noncontrolling interests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12.2</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11.7</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w:t>
            </w:r>
          </w:p>
        </w:tc>
      </w:tr>
      <w:tr>
        <w:trPr>
          <w:trHeight w:val="207"/>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EVERGY KANSAS CENTRAL, INC.</w:t>
            </w:r>
          </w:p>
        </w:tc>
        <w:tc>
          <w:tcPr>
            <w:tcW w:w="5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488.5</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224.1</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343.4</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9" w:name="page80"/>
    <w:bookmarkEnd w:id="7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KANSAS CENTRAL,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880" w:type="dxa"/>
            <w:vAlign w:val="bottom"/>
          </w:tcPr>
          <w:p>
            <w:pPr>
              <w:spacing w:after="0"/>
              <w:rPr>
                <w:sz w:val="17"/>
                <w:szCs w:val="17"/>
                <w:color w:val="auto"/>
              </w:rPr>
            </w:pPr>
          </w:p>
        </w:tc>
      </w:tr>
      <w:tr>
        <w:trPr>
          <w:trHeight w:val="218"/>
        </w:trPr>
        <w:tc>
          <w:tcPr>
            <w:tcW w:w="8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2020</w:t>
            </w:r>
          </w:p>
        </w:tc>
      </w:tr>
      <w:tr>
        <w:trPr>
          <w:trHeight w:val="202"/>
        </w:trPr>
        <w:tc>
          <w:tcPr>
            <w:tcW w:w="848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360" w:type="dxa"/>
            <w:vAlign w:val="bottom"/>
          </w:tcPr>
          <w:p>
            <w:pPr>
              <w:spacing w:after="0"/>
              <w:rPr>
                <w:sz w:val="17"/>
                <w:szCs w:val="17"/>
                <w:color w:val="auto"/>
              </w:rPr>
            </w:pPr>
          </w:p>
        </w:tc>
        <w:tc>
          <w:tcPr>
            <w:tcW w:w="2400" w:type="dxa"/>
            <w:vAlign w:val="bottom"/>
            <w:gridSpan w:val="3"/>
          </w:tcPr>
          <w:p>
            <w:pPr>
              <w:jc w:val="right"/>
              <w:ind w:right="403"/>
              <w:spacing w:after="0"/>
              <w:rPr>
                <w:sz w:val="20"/>
                <w:szCs w:val="20"/>
                <w:color w:val="auto"/>
              </w:rPr>
            </w:pPr>
            <w:r>
              <w:rPr>
                <w:rFonts w:ascii="Arial" w:cs="Arial" w:eastAsia="Arial" w:hAnsi="Arial"/>
                <w:sz w:val="14"/>
                <w:szCs w:val="14"/>
                <w:color w:val="auto"/>
                <w:w w:val="94"/>
              </w:rPr>
              <w:t>(millions, except share amounts)</w:t>
            </w:r>
          </w:p>
        </w:tc>
      </w:tr>
      <w:tr>
        <w:trPr>
          <w:trHeight w:val="208"/>
        </w:trPr>
        <w:tc>
          <w:tcPr>
            <w:tcW w:w="84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3.1</w:t>
            </w:r>
          </w:p>
        </w:tc>
        <w:tc>
          <w:tcPr>
            <w:tcW w:w="5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28.7</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Receivables, net of allowance for credit losses of $13.0 and $7.5, respectively</w:t>
            </w:r>
          </w:p>
        </w:tc>
        <w:tc>
          <w:tcPr>
            <w:tcW w:w="36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Arial" w:cs="Arial" w:eastAsia="Arial" w:hAnsi="Arial"/>
                <w:sz w:val="15"/>
                <w:szCs w:val="15"/>
                <w:b w:val="1"/>
                <w:bCs w:val="1"/>
                <w:color w:val="auto"/>
              </w:rPr>
              <w:t>201.6</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218.9</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Related party receivables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21.2</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6.7</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Accounts receivable pledged as collateral</w:t>
            </w:r>
          </w:p>
        </w:tc>
        <w:tc>
          <w:tcPr>
            <w:tcW w:w="36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Arial" w:cs="Arial" w:eastAsia="Arial" w:hAnsi="Arial"/>
                <w:sz w:val="15"/>
                <w:szCs w:val="15"/>
                <w:b w:val="1"/>
                <w:bCs w:val="1"/>
                <w:color w:val="auto"/>
              </w:rPr>
              <w:t>153.0</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180.0</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Fuel inventory and supplies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283.2</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276.4</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Income taxes receivable</w:t>
            </w:r>
          </w:p>
        </w:tc>
        <w:tc>
          <w:tcPr>
            <w:tcW w:w="36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Arial" w:cs="Arial" w:eastAsia="Arial" w:hAnsi="Arial"/>
                <w:sz w:val="15"/>
                <w:szCs w:val="15"/>
                <w:b w:val="1"/>
                <w:bCs w:val="1"/>
                <w:color w:val="auto"/>
              </w:rPr>
              <w:t>9.6</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25.3</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Regulatory assets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257.3</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96.2</w:t>
            </w:r>
          </w:p>
        </w:tc>
      </w:tr>
      <w:tr>
        <w:trPr>
          <w:trHeight w:val="204"/>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Prepaid expenses and other assets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41.0</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27.4</w:t>
            </w:r>
          </w:p>
        </w:tc>
      </w:tr>
      <w:tr>
        <w:trPr>
          <w:trHeight w:val="201"/>
        </w:trPr>
        <w:tc>
          <w:tcPr>
            <w:tcW w:w="8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970.0</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859.6</w:t>
            </w:r>
          </w:p>
        </w:tc>
      </w:tr>
      <w:tr>
        <w:trPr>
          <w:trHeight w:val="19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PROPERTY, PLANT AND EQUIPMENT, NET</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10,548.9</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10,193.6</w:t>
            </w:r>
          </w:p>
        </w:tc>
      </w:tr>
      <w:tr>
        <w:trPr>
          <w:trHeight w:val="201"/>
        </w:trPr>
        <w:tc>
          <w:tcPr>
            <w:tcW w:w="8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OF VARIABLE INTEREST ENTITIES, NET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147.8</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154.9</w:t>
            </w:r>
          </w:p>
        </w:tc>
      </w:tr>
      <w:tr>
        <w:trPr>
          <w:trHeight w:val="196"/>
        </w:trPr>
        <w:tc>
          <w:tcPr>
            <w:tcW w:w="848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Regulatory assets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753.6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800.1</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Nuclear decommissioning trust fund</w:t>
            </w:r>
          </w:p>
        </w:tc>
        <w:tc>
          <w:tcPr>
            <w:tcW w:w="36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Arial" w:cs="Arial" w:eastAsia="Arial" w:hAnsi="Arial"/>
                <w:sz w:val="15"/>
                <w:szCs w:val="15"/>
                <w:b w:val="1"/>
                <w:bCs w:val="1"/>
                <w:color w:val="auto"/>
              </w:rPr>
              <w:t>368.4</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309.8</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286.9</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271.1</w:t>
            </w:r>
          </w:p>
        </w:tc>
      </w:tr>
      <w:tr>
        <w:trPr>
          <w:trHeight w:val="197"/>
        </w:trPr>
        <w:tc>
          <w:tcPr>
            <w:tcW w:w="8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Other Assets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1,408.9</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1,381.0</w:t>
            </w:r>
          </w:p>
        </w:tc>
      </w:tr>
      <w:tr>
        <w:trPr>
          <w:trHeight w:val="207"/>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13,075.6</w:t>
            </w:r>
          </w:p>
        </w:tc>
        <w:tc>
          <w:tcPr>
            <w:tcW w:w="5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12,589.1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0" w:name="page81"/>
    <w:bookmarkEnd w:id="8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EVERGY KANSAS CENTRAL,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Balance Sheets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860" w:type="dxa"/>
            <w:vAlign w:val="bottom"/>
          </w:tcPr>
          <w:p>
            <w:pPr>
              <w:spacing w:after="0"/>
              <w:rPr>
                <w:sz w:val="17"/>
                <w:szCs w:val="17"/>
                <w:color w:val="auto"/>
              </w:rPr>
            </w:pPr>
          </w:p>
        </w:tc>
      </w:tr>
      <w:tr>
        <w:trPr>
          <w:trHeight w:val="218"/>
        </w:trPr>
        <w:tc>
          <w:tcPr>
            <w:tcW w:w="8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2020</w:t>
            </w:r>
          </w:p>
        </w:tc>
      </w:tr>
      <w:tr>
        <w:trPr>
          <w:trHeight w:val="202"/>
        </w:trPr>
        <w:tc>
          <w:tcPr>
            <w:tcW w:w="8480" w:type="dxa"/>
            <w:vAlign w:val="bottom"/>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360" w:type="dxa"/>
            <w:vAlign w:val="bottom"/>
          </w:tcPr>
          <w:p>
            <w:pPr>
              <w:spacing w:after="0"/>
              <w:rPr>
                <w:sz w:val="17"/>
                <w:szCs w:val="17"/>
                <w:color w:val="auto"/>
              </w:rPr>
            </w:pPr>
          </w:p>
        </w:tc>
        <w:tc>
          <w:tcPr>
            <w:tcW w:w="2360" w:type="dxa"/>
            <w:vAlign w:val="bottom"/>
            <w:gridSpan w:val="3"/>
          </w:tcPr>
          <w:p>
            <w:pPr>
              <w:jc w:val="right"/>
              <w:ind w:right="383"/>
              <w:spacing w:after="0"/>
              <w:rPr>
                <w:sz w:val="20"/>
                <w:szCs w:val="20"/>
                <w:color w:val="auto"/>
              </w:rPr>
            </w:pPr>
            <w:r>
              <w:rPr>
                <w:rFonts w:ascii="Arial" w:cs="Arial" w:eastAsia="Arial" w:hAnsi="Arial"/>
                <w:sz w:val="14"/>
                <w:szCs w:val="14"/>
                <w:color w:val="auto"/>
                <w:w w:val="93"/>
              </w:rPr>
              <w:t>(millions, except share amounts)</w:t>
            </w:r>
          </w:p>
        </w:tc>
      </w:tr>
      <w:tr>
        <w:trPr>
          <w:trHeight w:val="208"/>
        </w:trPr>
        <w:tc>
          <w:tcPr>
            <w:tcW w:w="848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maturities of long-term debt of variable interest entities</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18.8</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Notes payable and commercial paper</w:t>
            </w:r>
          </w:p>
        </w:tc>
        <w:tc>
          <w:tcPr>
            <w:tcW w:w="36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406.0</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50.0</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Collateralized note payable</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153.0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180.0</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36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232.2</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280.1</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Related party payables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27.5</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21.7</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Accrued taxes</w:t>
            </w:r>
          </w:p>
        </w:tc>
        <w:tc>
          <w:tcPr>
            <w:tcW w:w="36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106.1</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101.5</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interest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71.5</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72.8</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Regulatory liabilities</w:t>
            </w:r>
          </w:p>
        </w:tc>
        <w:tc>
          <w:tcPr>
            <w:tcW w:w="36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12.8</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11.9</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 retirement obligations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7.3</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11.2</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Accrued compensation and benefits</w:t>
            </w:r>
          </w:p>
        </w:tc>
        <w:tc>
          <w:tcPr>
            <w:tcW w:w="36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13.8</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11.1</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126.3</w:t>
            </w: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133.5</w:t>
            </w:r>
          </w:p>
        </w:tc>
      </w:tr>
      <w:tr>
        <w:trPr>
          <w:trHeight w:val="197"/>
        </w:trPr>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Current Liabilities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1,156.5</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892.6</w:t>
            </w:r>
          </w:p>
        </w:tc>
      </w:tr>
      <w:tr>
        <w:trPr>
          <w:trHeight w:val="201"/>
        </w:trPr>
        <w:tc>
          <w:tcPr>
            <w:tcW w:w="8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LIABILITIES:</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Long-term debt, net</w:t>
            </w:r>
          </w:p>
        </w:tc>
        <w:tc>
          <w:tcPr>
            <w:tcW w:w="36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3,934.2</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3,931.5</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income taxes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867.9</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824.5</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Unamortized investment tax credits</w:t>
            </w:r>
          </w:p>
        </w:tc>
        <w:tc>
          <w:tcPr>
            <w:tcW w:w="36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61.7</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65.7</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Regulatory liabilities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1,469.4</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1,461.0</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Pension and post-retirement liability</w:t>
            </w:r>
          </w:p>
        </w:tc>
        <w:tc>
          <w:tcPr>
            <w:tcW w:w="36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Arial" w:cs="Arial" w:eastAsia="Arial" w:hAnsi="Arial"/>
                <w:sz w:val="15"/>
                <w:szCs w:val="15"/>
                <w:b w:val="1"/>
                <w:bCs w:val="1"/>
                <w:color w:val="auto"/>
              </w:rPr>
              <w:t>435.6</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560.3</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 retirement obligations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436.6</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416.0</w:t>
            </w:r>
          </w:p>
        </w:tc>
      </w:tr>
      <w:tr>
        <w:trPr>
          <w:trHeight w:val="204"/>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172.2</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156.7</w:t>
            </w:r>
          </w:p>
        </w:tc>
      </w:tr>
      <w:tr>
        <w:trPr>
          <w:trHeight w:val="201"/>
        </w:trPr>
        <w:tc>
          <w:tcPr>
            <w:tcW w:w="8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Total Long-Term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7,377.6</w:t>
            </w:r>
          </w:p>
        </w:tc>
        <w:tc>
          <w:tcPr>
            <w:tcW w:w="5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7,415.7</w:t>
            </w:r>
          </w:p>
        </w:tc>
      </w:tr>
      <w:tr>
        <w:trPr>
          <w:trHeight w:val="183"/>
        </w:trPr>
        <w:tc>
          <w:tcPr>
            <w:tcW w:w="8480" w:type="dxa"/>
            <w:vAlign w:val="bottom"/>
          </w:tcPr>
          <w:p>
            <w:pPr>
              <w:ind w:left="20"/>
              <w:spacing w:after="0"/>
              <w:rPr>
                <w:sz w:val="20"/>
                <w:szCs w:val="20"/>
                <w:color w:val="auto"/>
              </w:rPr>
            </w:pPr>
            <w:r>
              <w:rPr>
                <w:rFonts w:ascii="Arial" w:cs="Arial" w:eastAsia="Arial" w:hAnsi="Arial"/>
                <w:sz w:val="15"/>
                <w:szCs w:val="15"/>
                <w:color w:val="auto"/>
              </w:rPr>
              <w:t>Commitments and Contingencies (Note 14)</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8480" w:type="dxa"/>
            <w:vAlign w:val="bottom"/>
          </w:tcPr>
          <w:p>
            <w:pPr>
              <w:ind w:left="140"/>
              <w:spacing w:after="0"/>
              <w:rPr>
                <w:sz w:val="20"/>
                <w:szCs w:val="20"/>
                <w:color w:val="auto"/>
              </w:rPr>
            </w:pPr>
            <w:r>
              <w:rPr>
                <w:rFonts w:ascii="Arial" w:cs="Arial" w:eastAsia="Arial" w:hAnsi="Arial"/>
                <w:sz w:val="15"/>
                <w:szCs w:val="15"/>
                <w:color w:val="auto"/>
              </w:rPr>
              <w:t>Evergy Kansas Central, Inc. Shareholder's Equity:</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8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Common stock - 1,000 shares authorized, $0.01 par value, 1 share issued</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2,737.6</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2,737.6</w:t>
            </w:r>
          </w:p>
        </w:tc>
      </w:tr>
      <w:tr>
        <w:trPr>
          <w:trHeight w:val="204"/>
        </w:trPr>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Retained earnings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1,806.6</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1,558.1</w:t>
            </w:r>
          </w:p>
        </w:tc>
      </w:tr>
      <w:tr>
        <w:trPr>
          <w:trHeight w:val="201"/>
        </w:trPr>
        <w:tc>
          <w:tcPr>
            <w:tcW w:w="84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Total Evergy Kansas Central, Inc. Shareholder's Equity</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4,544.2</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4,295.7</w:t>
            </w:r>
          </w:p>
        </w:tc>
      </w:tr>
      <w:tr>
        <w:trPr>
          <w:trHeight w:val="204"/>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Noncontrolling Interests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(2.7)</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(14.9)</w:t>
            </w:r>
          </w:p>
        </w:tc>
      </w:tr>
      <w:tr>
        <w:trPr>
          <w:trHeight w:val="201"/>
        </w:trPr>
        <w:tc>
          <w:tcPr>
            <w:tcW w:w="84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Total Equity</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4,541.5</w:t>
            </w:r>
          </w:p>
        </w:tc>
        <w:tc>
          <w:tcPr>
            <w:tcW w:w="5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4,280.8</w:t>
            </w:r>
          </w:p>
        </w:tc>
      </w:tr>
      <w:tr>
        <w:trPr>
          <w:trHeight w:val="205"/>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 AND EQUITY</w:t>
            </w: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13,075.6</w:t>
            </w:r>
          </w:p>
        </w:tc>
        <w:tc>
          <w:tcPr>
            <w:tcW w:w="5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12,589.1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1" w:name="page82"/>
    <w:bookmarkEnd w:id="8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EVERGY KANSAS CENTRAL, INC.</w:t>
      </w:r>
    </w:p>
    <w:p>
      <w:pPr>
        <w:spacing w:after="0" w:line="34"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2020</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2019</w:t>
            </w:r>
          </w:p>
        </w:tc>
      </w:tr>
      <w:tr>
        <w:trPr>
          <w:trHeight w:val="203"/>
        </w:trPr>
        <w:tc>
          <w:tcPr>
            <w:tcW w:w="7480" w:type="dxa"/>
            <w:vAlign w:val="bottom"/>
          </w:tcPr>
          <w:p>
            <w:pPr>
              <w:ind w:left="20"/>
              <w:spacing w:after="0"/>
              <w:rPr>
                <w:sz w:val="20"/>
                <w:szCs w:val="20"/>
                <w:color w:val="auto"/>
              </w:rPr>
            </w:pPr>
            <w:r>
              <w:rPr>
                <w:rFonts w:ascii="Arial" w:cs="Arial" w:eastAsia="Arial" w:hAnsi="Arial"/>
                <w:sz w:val="15"/>
                <w:szCs w:val="15"/>
                <w:color w:val="auto"/>
              </w:rPr>
              <w:t>CASH FLOWS FROM (USED IN) OPERATING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83"/>
              <w:spacing w:after="0"/>
              <w:rPr>
                <w:sz w:val="20"/>
                <w:szCs w:val="20"/>
                <w:color w:val="auto"/>
              </w:rPr>
            </w:pPr>
            <w:r>
              <w:rPr>
                <w:rFonts w:ascii="Arial" w:cs="Arial" w:eastAsia="Arial" w:hAnsi="Arial"/>
                <w:sz w:val="14"/>
                <w:szCs w:val="14"/>
                <w:color w:val="auto"/>
              </w:rPr>
              <w:t>(millions)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500.7</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235.8</w:t>
            </w: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359.1</w:t>
            </w:r>
          </w:p>
        </w:tc>
      </w:tr>
      <w:tr>
        <w:trPr>
          <w:trHeight w:val="203"/>
        </w:trPr>
        <w:tc>
          <w:tcPr>
            <w:tcW w:w="7480" w:type="dxa"/>
            <w:vAlign w:val="bottom"/>
          </w:tcPr>
          <w:p>
            <w:pPr>
              <w:ind w:left="20"/>
              <w:spacing w:after="0"/>
              <w:rPr>
                <w:sz w:val="20"/>
                <w:szCs w:val="20"/>
                <w:color w:val="auto"/>
              </w:rPr>
            </w:pPr>
            <w:r>
              <w:rPr>
                <w:rFonts w:ascii="Arial" w:cs="Arial" w:eastAsia="Arial" w:hAnsi="Arial"/>
                <w:sz w:val="15"/>
                <w:szCs w:val="15"/>
                <w:color w:val="auto"/>
              </w:rPr>
              <w:t>Adjustments to reconcile income to net cash from operating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467.2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453.1</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443.8</w:t>
            </w:r>
          </w:p>
        </w:tc>
      </w:tr>
      <w:tr>
        <w:trPr>
          <w:trHeight w:val="204"/>
        </w:trPr>
        <w:tc>
          <w:tcPr>
            <w:tcW w:w="7480" w:type="dxa"/>
            <w:vAlign w:val="bottom"/>
          </w:tcPr>
          <w:p>
            <w:pPr>
              <w:ind w:left="220"/>
              <w:spacing w:after="0"/>
              <w:rPr>
                <w:sz w:val="20"/>
                <w:szCs w:val="20"/>
                <w:color w:val="auto"/>
              </w:rPr>
            </w:pPr>
            <w:r>
              <w:rPr>
                <w:rFonts w:ascii="Arial" w:cs="Arial" w:eastAsia="Arial" w:hAnsi="Arial"/>
                <w:sz w:val="15"/>
                <w:szCs w:val="15"/>
                <w:color w:val="auto"/>
              </w:rPr>
              <w:t>Amortization of nuclear fuel</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25.6</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28.8</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25.6</w:t>
            </w:r>
          </w:p>
        </w:tc>
      </w:tr>
      <w:tr>
        <w:trPr>
          <w:trHeight w:val="208"/>
        </w:trPr>
        <w:tc>
          <w:tcPr>
            <w:tcW w:w="7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Amortization of deferred refueling outage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12.6</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r>
      <w:tr>
        <w:trPr>
          <w:trHeight w:val="204"/>
        </w:trPr>
        <w:tc>
          <w:tcPr>
            <w:tcW w:w="7480" w:type="dxa"/>
            <w:vAlign w:val="bottom"/>
          </w:tcPr>
          <w:p>
            <w:pPr>
              <w:ind w:left="220"/>
              <w:spacing w:after="0"/>
              <w:rPr>
                <w:sz w:val="20"/>
                <w:szCs w:val="20"/>
                <w:color w:val="auto"/>
              </w:rPr>
            </w:pPr>
            <w:r>
              <w:rPr>
                <w:rFonts w:ascii="Arial" w:cs="Arial" w:eastAsia="Arial" w:hAnsi="Arial"/>
                <w:sz w:val="15"/>
                <w:szCs w:val="15"/>
                <w:color w:val="auto"/>
              </w:rPr>
              <w:t>Amortization of corporate-owned life insurance</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24.1</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20.1</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08"/>
        </w:trPr>
        <w:tc>
          <w:tcPr>
            <w:tcW w:w="7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deferred income taxes and credits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146.6</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r>
      <w:tr>
        <w:trPr>
          <w:trHeight w:val="204"/>
        </w:trPr>
        <w:tc>
          <w:tcPr>
            <w:tcW w:w="7480" w:type="dxa"/>
            <w:vAlign w:val="bottom"/>
          </w:tcPr>
          <w:p>
            <w:pPr>
              <w:ind w:left="220"/>
              <w:spacing w:after="0"/>
              <w:rPr>
                <w:sz w:val="20"/>
                <w:szCs w:val="20"/>
                <w:color w:val="auto"/>
              </w:rPr>
            </w:pPr>
            <w:r>
              <w:rPr>
                <w:rFonts w:ascii="Arial" w:cs="Arial" w:eastAsia="Arial" w:hAnsi="Arial"/>
                <w:sz w:val="15"/>
                <w:szCs w:val="15"/>
                <w:color w:val="auto"/>
              </w:rPr>
              <w:t>Allowance for equity funds used during construction</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(14.9)</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(9.1)</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7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for asset retirement obligations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r>
      <w:tr>
        <w:trPr>
          <w:trHeight w:val="204"/>
        </w:trPr>
        <w:tc>
          <w:tcPr>
            <w:tcW w:w="7480" w:type="dxa"/>
            <w:vAlign w:val="bottom"/>
          </w:tcPr>
          <w:p>
            <w:pPr>
              <w:ind w:left="220"/>
              <w:spacing w:after="0"/>
              <w:rPr>
                <w:sz w:val="20"/>
                <w:szCs w:val="20"/>
                <w:color w:val="auto"/>
              </w:rPr>
            </w:pPr>
            <w:r>
              <w:rPr>
                <w:rFonts w:ascii="Arial" w:cs="Arial" w:eastAsia="Arial" w:hAnsi="Arial"/>
                <w:sz w:val="15"/>
                <w:szCs w:val="15"/>
                <w:color w:val="auto"/>
              </w:rPr>
              <w:t>Equity in earnings of equity method investees, net of income taxes</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(4.0)</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08"/>
        </w:trPr>
        <w:tc>
          <w:tcPr>
            <w:tcW w:w="7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from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(14.2)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r>
      <w:tr>
        <w:trPr>
          <w:trHeight w:val="204"/>
        </w:trPr>
        <w:tc>
          <w:tcPr>
            <w:tcW w:w="748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(5.5)</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Changes in working capital items: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4"/>
        </w:trPr>
        <w:tc>
          <w:tcPr>
            <w:tcW w:w="7480" w:type="dxa"/>
            <w:vAlign w:val="bottom"/>
          </w:tcPr>
          <w:p>
            <w:pPr>
              <w:ind w:left="22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23.5</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(33.8)</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(65.9)</w:t>
            </w:r>
          </w:p>
        </w:tc>
      </w:tr>
      <w:tr>
        <w:trPr>
          <w:trHeight w:val="208"/>
        </w:trPr>
        <w:tc>
          <w:tcPr>
            <w:tcW w:w="7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receivable pledged as collateral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27.0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r>
      <w:tr>
        <w:trPr>
          <w:trHeight w:val="204"/>
        </w:trPr>
        <w:tc>
          <w:tcPr>
            <w:tcW w:w="7480" w:type="dxa"/>
            <w:vAlign w:val="bottom"/>
          </w:tcPr>
          <w:p>
            <w:pPr>
              <w:ind w:left="220"/>
              <w:spacing w:after="0"/>
              <w:rPr>
                <w:sz w:val="20"/>
                <w:szCs w:val="20"/>
                <w:color w:val="auto"/>
              </w:rPr>
            </w:pPr>
            <w:r>
              <w:rPr>
                <w:rFonts w:ascii="Arial" w:cs="Arial" w:eastAsia="Arial" w:hAnsi="Arial"/>
                <w:sz w:val="15"/>
                <w:szCs w:val="15"/>
                <w:color w:val="auto"/>
              </w:rPr>
              <w:t>Fuel inventory and supplies</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(6.2)</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(9.4)</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10.9</w:t>
            </w:r>
          </w:p>
        </w:tc>
      </w:tr>
      <w:tr>
        <w:trPr>
          <w:trHeight w:val="208"/>
        </w:trPr>
        <w:tc>
          <w:tcPr>
            <w:tcW w:w="7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(196.1)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r>
      <w:tr>
        <w:trPr>
          <w:trHeight w:val="204"/>
        </w:trPr>
        <w:tc>
          <w:tcPr>
            <w:tcW w:w="748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(39.1)</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111.6</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08"/>
        </w:trPr>
        <w:tc>
          <w:tcPr>
            <w:tcW w:w="7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Accrued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20.3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w:t>
            </w:r>
          </w:p>
        </w:tc>
      </w:tr>
      <w:tr>
        <w:trPr>
          <w:trHeight w:val="204"/>
        </w:trPr>
        <w:tc>
          <w:tcPr>
            <w:tcW w:w="7480" w:type="dxa"/>
            <w:vAlign w:val="bottom"/>
          </w:tcPr>
          <w:p>
            <w:pPr>
              <w:ind w:left="220"/>
              <w:spacing w:after="0"/>
              <w:rPr>
                <w:sz w:val="20"/>
                <w:szCs w:val="20"/>
                <w:color w:val="auto"/>
              </w:rPr>
            </w:pPr>
            <w:r>
              <w:rPr>
                <w:rFonts w:ascii="Arial" w:cs="Arial" w:eastAsia="Arial" w:hAnsi="Arial"/>
                <w:sz w:val="15"/>
                <w:szCs w:val="15"/>
                <w:color w:val="auto"/>
              </w:rPr>
              <w:t>Other current liabilities</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(55.0)</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(95.5)</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Changes in other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(48.3)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w:t>
            </w:r>
          </w:p>
        </w:tc>
      </w:tr>
      <w:tr>
        <w:trPr>
          <w:trHeight w:val="204"/>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Changes in other liabilities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(10.0)</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(29.5)</w:t>
            </w:r>
          </w:p>
        </w:tc>
      </w:tr>
      <w:tr>
        <w:trPr>
          <w:trHeight w:val="199"/>
        </w:trPr>
        <w:tc>
          <w:tcPr>
            <w:tcW w:w="7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Cash Flows from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700.1</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847.4</w:t>
            </w: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822.8</w:t>
            </w:r>
          </w:p>
        </w:tc>
      </w:tr>
      <w:tr>
        <w:trPr>
          <w:trHeight w:val="199"/>
        </w:trPr>
        <w:tc>
          <w:tcPr>
            <w:tcW w:w="7480" w:type="dxa"/>
            <w:vAlign w:val="bottom"/>
          </w:tcPr>
          <w:p>
            <w:pPr>
              <w:ind w:left="20"/>
              <w:spacing w:after="0"/>
              <w:rPr>
                <w:sz w:val="20"/>
                <w:szCs w:val="20"/>
                <w:color w:val="auto"/>
              </w:rPr>
            </w:pPr>
            <w:r>
              <w:rPr>
                <w:rFonts w:ascii="Arial" w:cs="Arial" w:eastAsia="Arial" w:hAnsi="Arial"/>
                <w:sz w:val="15"/>
                <w:szCs w:val="15"/>
                <w:color w:val="auto"/>
              </w:rPr>
              <w:t>CASH FLOWS FROM (USED IN) INVESTING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to property, plant and equipment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(835.7)</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(596.1)</w:t>
            </w:r>
          </w:p>
        </w:tc>
      </w:tr>
      <w:tr>
        <w:trPr>
          <w:trHeight w:val="204"/>
        </w:trPr>
        <w:tc>
          <w:tcPr>
            <w:tcW w:w="7480" w:type="dxa"/>
            <w:vAlign w:val="bottom"/>
          </w:tcPr>
          <w:p>
            <w:pPr>
              <w:ind w:left="20"/>
              <w:spacing w:after="0"/>
              <w:rPr>
                <w:sz w:val="20"/>
                <w:szCs w:val="20"/>
                <w:color w:val="auto"/>
              </w:rPr>
            </w:pPr>
            <w:r>
              <w:rPr>
                <w:rFonts w:ascii="Arial" w:cs="Arial" w:eastAsia="Arial" w:hAnsi="Arial"/>
                <w:sz w:val="15"/>
                <w:szCs w:val="15"/>
                <w:color w:val="auto"/>
              </w:rPr>
              <w:t>Purchase of securities - trusts</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(129.9)</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(20.2)</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(21.8)</w:t>
            </w: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 of securities - trusts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97.5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18.6</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w:t>
            </w:r>
          </w:p>
        </w:tc>
      </w:tr>
      <w:tr>
        <w:trPr>
          <w:trHeight w:val="204"/>
        </w:trPr>
        <w:tc>
          <w:tcPr>
            <w:tcW w:w="7480" w:type="dxa"/>
            <w:vAlign w:val="bottom"/>
          </w:tcPr>
          <w:p>
            <w:pPr>
              <w:ind w:left="20"/>
              <w:spacing w:after="0"/>
              <w:rPr>
                <w:sz w:val="20"/>
                <w:szCs w:val="20"/>
                <w:color w:val="auto"/>
              </w:rPr>
            </w:pPr>
            <w:r>
              <w:rPr>
                <w:rFonts w:ascii="Arial" w:cs="Arial" w:eastAsia="Arial" w:hAnsi="Arial"/>
                <w:sz w:val="15"/>
                <w:szCs w:val="15"/>
                <w:color w:val="auto"/>
              </w:rPr>
              <w:t>Investment in corporate-owned life insurance</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(14.2)</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(18.3)</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(17.6)</w:t>
            </w: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investment in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77.0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63.8</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158.9</w:t>
            </w:r>
          </w:p>
        </w:tc>
      </w:tr>
      <w:tr>
        <w:trPr>
          <w:trHeight w:val="204"/>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investing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26.5</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r>
      <w:tr>
        <w:trPr>
          <w:trHeight w:val="199"/>
        </w:trPr>
        <w:tc>
          <w:tcPr>
            <w:tcW w:w="7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Cash Flows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(778.8)</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(677.3)</w:t>
            </w: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(458.2)</w:t>
            </w:r>
          </w:p>
        </w:tc>
      </w:tr>
      <w:tr>
        <w:trPr>
          <w:trHeight w:val="199"/>
        </w:trPr>
        <w:tc>
          <w:tcPr>
            <w:tcW w:w="7480" w:type="dxa"/>
            <w:vAlign w:val="bottom"/>
          </w:tcPr>
          <w:p>
            <w:pPr>
              <w:ind w:left="20"/>
              <w:spacing w:after="0"/>
              <w:rPr>
                <w:sz w:val="20"/>
                <w:szCs w:val="20"/>
                <w:color w:val="auto"/>
              </w:rPr>
            </w:pPr>
            <w:r>
              <w:rPr>
                <w:rFonts w:ascii="Arial" w:cs="Arial" w:eastAsia="Arial" w:hAnsi="Arial"/>
                <w:sz w:val="15"/>
                <w:szCs w:val="15"/>
                <w:color w:val="auto"/>
              </w:rPr>
              <w:t>CASH FLOWS FROM (USED IN) FINANCING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Short-term debt,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354.0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(199.2)</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(162.5)</w:t>
            </w:r>
          </w:p>
        </w:tc>
      </w:tr>
      <w:tr>
        <w:trPr>
          <w:trHeight w:val="204"/>
        </w:trPr>
        <w:tc>
          <w:tcPr>
            <w:tcW w:w="7480" w:type="dxa"/>
            <w:vAlign w:val="bottom"/>
          </w:tcPr>
          <w:p>
            <w:pPr>
              <w:ind w:left="20"/>
              <w:spacing w:after="0"/>
              <w:rPr>
                <w:sz w:val="20"/>
                <w:szCs w:val="20"/>
                <w:color w:val="auto"/>
              </w:rPr>
            </w:pPr>
            <w:r>
              <w:rPr>
                <w:rFonts w:ascii="Arial" w:cs="Arial" w:eastAsia="Arial" w:hAnsi="Arial"/>
                <w:sz w:val="15"/>
                <w:szCs w:val="15"/>
                <w:color w:val="auto"/>
              </w:rPr>
              <w:t>Collateralized short-term debt, net</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(27.0)</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9.0</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(14.0)</w:t>
            </w: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long-term debt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492.7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294.7</w:t>
            </w:r>
          </w:p>
        </w:tc>
      </w:tr>
      <w:tr>
        <w:trPr>
          <w:trHeight w:val="204"/>
        </w:trPr>
        <w:tc>
          <w:tcPr>
            <w:tcW w:w="7480" w:type="dxa"/>
            <w:vAlign w:val="bottom"/>
          </w:tcPr>
          <w:p>
            <w:pPr>
              <w:ind w:left="20"/>
              <w:spacing w:after="0"/>
              <w:rPr>
                <w:sz w:val="20"/>
                <w:szCs w:val="20"/>
                <w:color w:val="auto"/>
              </w:rPr>
            </w:pPr>
            <w:r>
              <w:rPr>
                <w:rFonts w:ascii="Arial" w:cs="Arial" w:eastAsia="Arial" w:hAnsi="Arial"/>
                <w:sz w:val="15"/>
                <w:szCs w:val="15"/>
                <w:color w:val="auto"/>
              </w:rPr>
              <w:t>Retirements of long-term debt</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(250.0)</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(300.0)</w:t>
            </w: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Retirements of long-term debt of variable interest entities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(18.8)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w:t>
            </w:r>
          </w:p>
        </w:tc>
      </w:tr>
      <w:tr>
        <w:trPr>
          <w:trHeight w:val="204"/>
        </w:trPr>
        <w:tc>
          <w:tcPr>
            <w:tcW w:w="7480" w:type="dxa"/>
            <w:vAlign w:val="bottom"/>
          </w:tcPr>
          <w:p>
            <w:pPr>
              <w:ind w:left="20"/>
              <w:spacing w:after="0"/>
              <w:rPr>
                <w:sz w:val="20"/>
                <w:szCs w:val="20"/>
                <w:color w:val="auto"/>
              </w:rPr>
            </w:pPr>
            <w:r>
              <w:rPr>
                <w:rFonts w:ascii="Arial" w:cs="Arial" w:eastAsia="Arial" w:hAnsi="Arial"/>
                <w:sz w:val="15"/>
                <w:szCs w:val="15"/>
                <w:color w:val="auto"/>
              </w:rPr>
              <w:t>Borrowings against cash surrender value of corporate-owned life insurance</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51.4</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52.7</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56.5</w:t>
            </w: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Repayment of 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(62.3)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(125.4)</w:t>
            </w:r>
          </w:p>
        </w:tc>
      </w:tr>
      <w:tr>
        <w:trPr>
          <w:trHeight w:val="204"/>
        </w:trPr>
        <w:tc>
          <w:tcPr>
            <w:tcW w:w="7480" w:type="dxa"/>
            <w:vAlign w:val="bottom"/>
          </w:tcPr>
          <w:p>
            <w:pPr>
              <w:ind w:left="20"/>
              <w:spacing w:after="0"/>
              <w:rPr>
                <w:sz w:val="20"/>
                <w:szCs w:val="20"/>
                <w:color w:val="auto"/>
              </w:rPr>
            </w:pPr>
            <w:r>
              <w:rPr>
                <w:rFonts w:ascii="Arial" w:cs="Arial" w:eastAsia="Arial" w:hAnsi="Arial"/>
                <w:sz w:val="15"/>
                <w:szCs w:val="15"/>
                <w:color w:val="auto"/>
              </w:rPr>
              <w:t>Cash dividends paid</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(240.0)</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(160.0)</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(110.0)</w:t>
            </w: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 to shareholders of noncontrolling interests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r>
      <w:tr>
        <w:trPr>
          <w:trHeight w:val="204"/>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(4.2)</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r>
      <w:tr>
        <w:trPr>
          <w:trHeight w:val="199"/>
        </w:trPr>
        <w:tc>
          <w:tcPr>
            <w:tcW w:w="7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Cash Flows from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53.1</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(403.9)</w:t>
            </w:r>
          </w:p>
        </w:tc>
      </w:tr>
      <w:tr>
        <w:trPr>
          <w:trHeight w:val="199"/>
        </w:trPr>
        <w:tc>
          <w:tcPr>
            <w:tcW w:w="7480" w:type="dxa"/>
            <w:vAlign w:val="bottom"/>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(25.6)</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23.5</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(39.3)</w:t>
            </w: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4"/>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Beginning of period</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28.7</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5.2</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w:t>
            </w:r>
          </w:p>
        </w:tc>
      </w:tr>
      <w:tr>
        <w:trPr>
          <w:trHeight w:val="207"/>
        </w:trPr>
        <w:tc>
          <w:tcPr>
            <w:tcW w:w="7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End of period</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3.1</w:t>
            </w:r>
          </w:p>
        </w:tc>
        <w:tc>
          <w:tcPr>
            <w:tcW w:w="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28.7</w:t>
            </w:r>
          </w:p>
        </w:tc>
        <w:tc>
          <w:tcPr>
            <w:tcW w:w="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2" w:name="page83"/>
    <w:bookmarkEnd w:id="8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KANSAS CENTRAL,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Equity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3360" w:type="dxa"/>
            <w:vAlign w:val="bottom"/>
            <w:tcBorders>
              <w:bottom w:val="single" w:sz="8" w:color="auto"/>
            </w:tcBorders>
            <w:gridSpan w:val="5"/>
          </w:tcPr>
          <w:p>
            <w:pPr>
              <w:jc w:val="right"/>
              <w:ind w:right="243"/>
              <w:spacing w:after="0"/>
              <w:rPr>
                <w:sz w:val="20"/>
                <w:szCs w:val="20"/>
                <w:color w:val="auto"/>
              </w:rPr>
            </w:pPr>
            <w:r>
              <w:rPr>
                <w:rFonts w:ascii="Arial" w:cs="Arial" w:eastAsia="Arial" w:hAnsi="Arial"/>
                <w:sz w:val="15"/>
                <w:szCs w:val="15"/>
                <w:b w:val="1"/>
                <w:bCs w:val="1"/>
                <w:color w:val="auto"/>
              </w:rPr>
              <w:t>Evergy Kansas Central, Inc. Shareholder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Common stock</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63"/>
              <w:spacing w:after="0"/>
              <w:rPr>
                <w:sz w:val="20"/>
                <w:szCs w:val="20"/>
                <w:color w:val="auto"/>
              </w:rPr>
            </w:pPr>
            <w:r>
              <w:rPr>
                <w:rFonts w:ascii="Arial" w:cs="Arial" w:eastAsia="Arial" w:hAnsi="Arial"/>
                <w:sz w:val="15"/>
                <w:szCs w:val="15"/>
                <w:b w:val="1"/>
                <w:bCs w:val="1"/>
                <w:color w:val="auto"/>
              </w:rPr>
              <w:t>Retained</w:t>
            </w:r>
          </w:p>
        </w:tc>
        <w:tc>
          <w:tcPr>
            <w:tcW w:w="120" w:type="dxa"/>
            <w:vAlign w:val="bottom"/>
          </w:tcPr>
          <w:p>
            <w:pPr>
              <w:spacing w:after="0"/>
              <w:rPr>
                <w:sz w:val="12"/>
                <w:szCs w:val="12"/>
                <w:color w:val="auto"/>
              </w:rPr>
            </w:pPr>
          </w:p>
        </w:tc>
        <w:tc>
          <w:tcPr>
            <w:tcW w:w="920" w:type="dxa"/>
            <w:vAlign w:val="bottom"/>
          </w:tcPr>
          <w:p>
            <w:pPr>
              <w:jc w:val="center"/>
              <w:ind w:right="63"/>
              <w:spacing w:after="0" w:line="142" w:lineRule="exact"/>
              <w:rPr>
                <w:sz w:val="20"/>
                <w:szCs w:val="20"/>
                <w:color w:val="auto"/>
              </w:rPr>
            </w:pPr>
            <w:r>
              <w:rPr>
                <w:rFonts w:ascii="Arial" w:cs="Arial" w:eastAsia="Arial" w:hAnsi="Arial"/>
                <w:sz w:val="15"/>
                <w:szCs w:val="15"/>
                <w:b w:val="1"/>
                <w:bCs w:val="1"/>
                <w:color w:val="auto"/>
                <w:w w:val="99"/>
              </w:rPr>
              <w:t>Non-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w w:val="92"/>
              </w:rPr>
              <w:t>Common stock</w:t>
            </w: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43"/>
              <w:spacing w:after="0" w:line="155" w:lineRule="exact"/>
              <w:rPr>
                <w:sz w:val="20"/>
                <w:szCs w:val="20"/>
                <w:color w:val="auto"/>
              </w:rPr>
            </w:pPr>
            <w:r>
              <w:rPr>
                <w:rFonts w:ascii="Arial" w:cs="Arial" w:eastAsia="Arial" w:hAnsi="Arial"/>
                <w:sz w:val="15"/>
                <w:szCs w:val="15"/>
                <w:b w:val="1"/>
                <w:bCs w:val="1"/>
                <w:color w:val="auto"/>
                <w:w w:val="92"/>
              </w:rPr>
              <w:t>controlling</w:t>
            </w:r>
          </w:p>
        </w:tc>
        <w:tc>
          <w:tcPr>
            <w:tcW w:w="120" w:type="dxa"/>
            <w:vAlign w:val="bottom"/>
          </w:tcPr>
          <w:p>
            <w:pPr>
              <w:spacing w:after="0"/>
              <w:rPr>
                <w:sz w:val="13"/>
                <w:szCs w:val="13"/>
                <w:color w:val="auto"/>
              </w:rPr>
            </w:pPr>
          </w:p>
        </w:tc>
        <w:tc>
          <w:tcPr>
            <w:tcW w:w="94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w w:val="92"/>
              </w:rPr>
              <w:t>Total equity</w:t>
            </w:r>
          </w:p>
        </w:tc>
        <w:tc>
          <w:tcPr>
            <w:tcW w:w="0" w:type="dxa"/>
            <w:vAlign w:val="bottom"/>
          </w:tcPr>
          <w:p>
            <w:pPr>
              <w:spacing w:after="0"/>
              <w:rPr>
                <w:sz w:val="1"/>
                <w:szCs w:val="1"/>
                <w:color w:val="auto"/>
              </w:rPr>
            </w:pPr>
          </w:p>
        </w:tc>
      </w:tr>
      <w:tr>
        <w:trPr>
          <w:trHeight w:val="212"/>
        </w:trPr>
        <w:tc>
          <w:tcPr>
            <w:tcW w:w="5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shares</w:t>
            </w:r>
          </w:p>
        </w:tc>
        <w:tc>
          <w:tcPr>
            <w:tcW w:w="10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9"/>
              </w:rPr>
              <w:t>interests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5"/>
          </w:tcPr>
          <w:p>
            <w:pPr>
              <w:jc w:val="right"/>
              <w:ind w:right="703"/>
              <w:spacing w:after="0"/>
              <w:rPr>
                <w:sz w:val="20"/>
                <w:szCs w:val="20"/>
                <w:color w:val="auto"/>
              </w:rPr>
            </w:pPr>
            <w:r>
              <w:rPr>
                <w:rFonts w:ascii="Arial" w:cs="Arial" w:eastAsia="Arial" w:hAnsi="Arial"/>
                <w:sz w:val="14"/>
                <w:szCs w:val="14"/>
                <w:color w:val="auto"/>
              </w:rPr>
              <w:t>(millions, except share amounts)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2018</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1,260.6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3,960.7</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343.4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15.7</w:t>
            </w:r>
          </w:p>
        </w:tc>
        <w:tc>
          <w:tcPr>
            <w:tcW w:w="1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359.1</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Dividends declared on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Consolidation of noncontrolling interests</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 to shareholders of noncontrolling interests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Balance as of December 31, 2019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2,737.6</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1,494.0</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4,205.0</w:t>
            </w: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224.1</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235.8</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Dividends declared on common stock</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(160.0)</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(160.0)</w:t>
            </w: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2,737.6</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1,558.1</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4,280.8</w:t>
            </w: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488.5</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12.2</w:t>
            </w:r>
          </w:p>
        </w:tc>
        <w:tc>
          <w:tcPr>
            <w:tcW w:w="1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500.7</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(240.0)</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(240.0)</w:t>
            </w:r>
          </w:p>
        </w:tc>
        <w:tc>
          <w:tcPr>
            <w:tcW w:w="0" w:type="dxa"/>
            <w:vAlign w:val="bottom"/>
          </w:tcPr>
          <w:p>
            <w:pPr>
              <w:spacing w:after="0"/>
              <w:rPr>
                <w:sz w:val="1"/>
                <w:szCs w:val="1"/>
                <w:color w:val="auto"/>
              </w:rPr>
            </w:pPr>
          </w:p>
        </w:tc>
      </w:tr>
      <w:tr>
        <w:trPr>
          <w:trHeight w:val="205"/>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1,806.6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4,541.5</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3" w:name="page84"/>
    <w:bookmarkEnd w:id="8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2021</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rPr>
              <w:t>2020</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2019</w:t>
            </w:r>
          </w:p>
        </w:tc>
      </w:tr>
      <w:tr>
        <w:trPr>
          <w:trHeight w:val="177"/>
        </w:trPr>
        <w:tc>
          <w:tcPr>
            <w:tcW w:w="6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83"/>
              <w:spacing w:after="0"/>
              <w:rPr>
                <w:sz w:val="20"/>
                <w:szCs w:val="20"/>
                <w:color w:val="auto"/>
              </w:rPr>
            </w:pPr>
            <w:r>
              <w:rPr>
                <w:rFonts w:ascii="Arial" w:cs="Arial" w:eastAsia="Arial" w:hAnsi="Arial"/>
                <w:sz w:val="14"/>
                <w:szCs w:val="14"/>
                <w:color w:val="auto"/>
              </w:rPr>
              <w:t>(millions)</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REVENUES</w:t>
            </w:r>
          </w:p>
        </w:tc>
        <w:tc>
          <w:tcPr>
            <w:tcW w:w="5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1,913.7</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1,705.6</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1,806.5</w:t>
            </w:r>
          </w:p>
        </w:tc>
      </w:tr>
      <w:tr>
        <w:trPr>
          <w:trHeight w:val="196"/>
        </w:trPr>
        <w:tc>
          <w:tcPr>
            <w:tcW w:w="68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Fuel and purchased power</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613.5</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416.1</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482.1</w:t>
            </w:r>
          </w:p>
        </w:tc>
      </w:tr>
      <w:tr>
        <w:trPr>
          <w:trHeight w:val="204"/>
        </w:trPr>
        <w:tc>
          <w:tcPr>
            <w:tcW w:w="6840" w:type="dxa"/>
            <w:vAlign w:val="bottom"/>
          </w:tcPr>
          <w:p>
            <w:pPr>
              <w:ind w:left="140"/>
              <w:spacing w:after="0"/>
              <w:rPr>
                <w:sz w:val="20"/>
                <w:szCs w:val="20"/>
                <w:color w:val="auto"/>
              </w:rPr>
            </w:pPr>
            <w:r>
              <w:rPr>
                <w:rFonts w:ascii="Arial" w:cs="Arial" w:eastAsia="Arial" w:hAnsi="Arial"/>
                <w:sz w:val="15"/>
                <w:szCs w:val="15"/>
                <w:color w:val="auto"/>
              </w:rPr>
              <w:t>Operating and maintenance</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365.4</w:t>
            </w:r>
          </w:p>
        </w:tc>
        <w:tc>
          <w:tcPr>
            <w:tcW w:w="28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407.5</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451.9</w:t>
            </w:r>
          </w:p>
        </w:tc>
      </w:tr>
      <w:tr>
        <w:trPr>
          <w:trHeight w:val="208"/>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321.0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326.1</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318.4</w:t>
            </w:r>
          </w:p>
        </w:tc>
      </w:tr>
      <w:tr>
        <w:trPr>
          <w:trHeight w:val="204"/>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Taxes other than income tax</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126.2</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121.6</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127.6</w:t>
            </w:r>
          </w:p>
        </w:tc>
      </w:tr>
      <w:tr>
        <w:trPr>
          <w:trHeight w:val="201"/>
        </w:trPr>
        <w:tc>
          <w:tcPr>
            <w:tcW w:w="6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1,426.1</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1,271.3</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1,380.0</w:t>
            </w:r>
          </w:p>
        </w:tc>
      </w:tr>
      <w:tr>
        <w:trPr>
          <w:trHeight w:val="19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FROM OPERATIONS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487.6</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434.3</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426.5</w:t>
            </w:r>
          </w:p>
        </w:tc>
      </w:tr>
      <w:tr>
        <w:trPr>
          <w:trHeight w:val="188"/>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4"/>
        </w:trPr>
        <w:tc>
          <w:tcPr>
            <w:tcW w:w="6840" w:type="dxa"/>
            <w:vAlign w:val="bottom"/>
          </w:tcPr>
          <w:p>
            <w:pPr>
              <w:ind w:left="140"/>
              <w:spacing w:after="0"/>
              <w:rPr>
                <w:sz w:val="20"/>
                <w:szCs w:val="20"/>
                <w:color w:val="auto"/>
              </w:rPr>
            </w:pPr>
            <w:r>
              <w:rPr>
                <w:rFonts w:ascii="Arial" w:cs="Arial" w:eastAsia="Arial" w:hAnsi="Arial"/>
                <w:sz w:val="15"/>
                <w:szCs w:val="15"/>
                <w:color w:val="auto"/>
              </w:rPr>
              <w:t>Investment earnings</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b w:val="1"/>
                <w:bCs w:val="1"/>
                <w:color w:val="auto"/>
              </w:rPr>
              <w:t>0.2</w:t>
            </w:r>
          </w:p>
        </w:tc>
        <w:tc>
          <w:tcPr>
            <w:tcW w:w="280" w:type="dxa"/>
            <w:vAlign w:val="bottom"/>
          </w:tcPr>
          <w:p>
            <w:pPr>
              <w:spacing w:after="0"/>
              <w:rPr>
                <w:sz w:val="17"/>
                <w:szCs w:val="17"/>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1.4</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08"/>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income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16.1</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9.2</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204"/>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expense</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(29.4)</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(25.5)</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w:t>
            </w:r>
          </w:p>
        </w:tc>
      </w:tr>
      <w:tr>
        <w:trPr>
          <w:trHeight w:val="201"/>
        </w:trPr>
        <w:tc>
          <w:tcPr>
            <w:tcW w:w="6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Other Expense, Net</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(13.1)</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(14.9)</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w:t>
            </w:r>
          </w:p>
        </w:tc>
      </w:tr>
      <w:tr>
        <w:trPr>
          <w:trHeight w:val="19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expense</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109.8</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113.6</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w:t>
            </w:r>
          </w:p>
        </w:tc>
      </w:tr>
      <w:tr>
        <w:trPr>
          <w:trHeight w:val="201"/>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364.7</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305.8</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290.9</w:t>
            </w:r>
          </w:p>
        </w:tc>
      </w:tr>
      <w:tr>
        <w:trPr>
          <w:trHeight w:val="204"/>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expense</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52.4</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7.1</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w:t>
            </w:r>
          </w:p>
        </w:tc>
      </w:tr>
      <w:tr>
        <w:trPr>
          <w:trHeight w:val="207"/>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5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312.3</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298.7</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255.2</w:t>
            </w:r>
          </w:p>
        </w:tc>
      </w:tr>
      <w:tr>
        <w:trPr>
          <w:trHeight w:val="204"/>
        </w:trPr>
        <w:tc>
          <w:tcPr>
            <w:tcW w:w="6840" w:type="dxa"/>
            <w:vAlign w:val="bottom"/>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5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312.3</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298.7</w:t>
            </w:r>
          </w:p>
        </w:tc>
        <w:tc>
          <w:tcPr>
            <w:tcW w:w="4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255.2</w:t>
            </w:r>
          </w:p>
        </w:tc>
      </w:tr>
      <w:tr>
        <w:trPr>
          <w:trHeight w:val="203"/>
        </w:trPr>
        <w:tc>
          <w:tcPr>
            <w:tcW w:w="684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Derivative hedging activity</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4"/>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Reclassification to expenses, net of tax</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(0.3)</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(0.2)</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r>
      <w:tr>
        <w:trPr>
          <w:trHeight w:val="201"/>
        </w:trPr>
        <w:tc>
          <w:tcPr>
            <w:tcW w:w="6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Derivative hedging activity, net of tax</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(0.3)</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(0.2)</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197"/>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Total other comprehensive income (loss)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(0.3)</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(0.2)</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r>
      <w:tr>
        <w:trPr>
          <w:trHeight w:val="207"/>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5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312.0</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298.5</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255.9</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4" w:name="page85"/>
    <w:bookmarkEnd w:id="8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900" w:type="dxa"/>
            <w:vAlign w:val="bottom"/>
          </w:tcPr>
          <w:p>
            <w:pPr>
              <w:spacing w:after="0"/>
              <w:rPr>
                <w:sz w:val="17"/>
                <w:szCs w:val="17"/>
                <w:color w:val="auto"/>
              </w:rPr>
            </w:pPr>
          </w:p>
        </w:tc>
      </w:tr>
      <w:tr>
        <w:trPr>
          <w:trHeight w:val="218"/>
        </w:trPr>
        <w:tc>
          <w:tcPr>
            <w:tcW w:w="8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rPr>
              <w:t>2020</w:t>
            </w:r>
          </w:p>
        </w:tc>
      </w:tr>
      <w:tr>
        <w:trPr>
          <w:trHeight w:val="202"/>
        </w:trPr>
        <w:tc>
          <w:tcPr>
            <w:tcW w:w="844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360" w:type="dxa"/>
            <w:vAlign w:val="bottom"/>
          </w:tcPr>
          <w:p>
            <w:pPr>
              <w:spacing w:after="0"/>
              <w:rPr>
                <w:sz w:val="17"/>
                <w:szCs w:val="17"/>
                <w:color w:val="auto"/>
              </w:rPr>
            </w:pPr>
          </w:p>
        </w:tc>
        <w:tc>
          <w:tcPr>
            <w:tcW w:w="2420" w:type="dxa"/>
            <w:vAlign w:val="bottom"/>
            <w:gridSpan w:val="3"/>
          </w:tcPr>
          <w:p>
            <w:pPr>
              <w:jc w:val="right"/>
              <w:ind w:right="423"/>
              <w:spacing w:after="0"/>
              <w:rPr>
                <w:sz w:val="20"/>
                <w:szCs w:val="20"/>
                <w:color w:val="auto"/>
              </w:rPr>
            </w:pPr>
            <w:r>
              <w:rPr>
                <w:rFonts w:ascii="Arial" w:cs="Arial" w:eastAsia="Arial" w:hAnsi="Arial"/>
                <w:sz w:val="14"/>
                <w:szCs w:val="14"/>
                <w:color w:val="auto"/>
                <w:w w:val="94"/>
              </w:rPr>
              <w:t>(millions, except share amounts)</w:t>
            </w:r>
          </w:p>
        </w:tc>
      </w:tr>
      <w:tr>
        <w:trPr>
          <w:trHeight w:val="208"/>
        </w:trPr>
        <w:tc>
          <w:tcPr>
            <w:tcW w:w="84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2.1</w:t>
            </w:r>
          </w:p>
        </w:tc>
        <w:tc>
          <w:tcPr>
            <w:tcW w:w="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71.6</w:t>
            </w:r>
          </w:p>
        </w:tc>
      </w:tr>
      <w:tr>
        <w:trPr>
          <w:trHeight w:val="204"/>
        </w:trPr>
        <w:tc>
          <w:tcPr>
            <w:tcW w:w="8440" w:type="dxa"/>
            <w:vAlign w:val="bottom"/>
          </w:tcPr>
          <w:p>
            <w:pPr>
              <w:ind w:left="140"/>
              <w:spacing w:after="0"/>
              <w:rPr>
                <w:sz w:val="20"/>
                <w:szCs w:val="20"/>
                <w:color w:val="auto"/>
              </w:rPr>
            </w:pPr>
            <w:r>
              <w:rPr>
                <w:rFonts w:ascii="Arial" w:cs="Arial" w:eastAsia="Arial" w:hAnsi="Arial"/>
                <w:sz w:val="15"/>
                <w:szCs w:val="15"/>
                <w:color w:val="auto"/>
              </w:rPr>
              <w:t>Receivables, net of allowance for credit losses of $13.3 and $8.1, respectively</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31.0</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Arial" w:cs="Arial" w:eastAsia="Arial" w:hAnsi="Arial"/>
                <w:sz w:val="15"/>
                <w:szCs w:val="15"/>
                <w:color w:val="auto"/>
              </w:rPr>
              <w:t>45.0</w:t>
            </w:r>
          </w:p>
        </w:tc>
      </w:tr>
      <w:tr>
        <w:trPr>
          <w:trHeight w:val="208"/>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Related party receivables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277.8</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225.6</w:t>
            </w:r>
          </w:p>
        </w:tc>
      </w:tr>
      <w:tr>
        <w:trPr>
          <w:trHeight w:val="204"/>
        </w:trPr>
        <w:tc>
          <w:tcPr>
            <w:tcW w:w="8440" w:type="dxa"/>
            <w:vAlign w:val="bottom"/>
          </w:tcPr>
          <w:p>
            <w:pPr>
              <w:ind w:left="140"/>
              <w:spacing w:after="0"/>
              <w:rPr>
                <w:sz w:val="20"/>
                <w:szCs w:val="20"/>
                <w:color w:val="auto"/>
              </w:rPr>
            </w:pPr>
            <w:r>
              <w:rPr>
                <w:rFonts w:ascii="Arial" w:cs="Arial" w:eastAsia="Arial" w:hAnsi="Arial"/>
                <w:sz w:val="15"/>
                <w:szCs w:val="15"/>
                <w:color w:val="auto"/>
              </w:rPr>
              <w:t>Accounts receivable pledged as collateral</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116.0</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Arial" w:cs="Arial" w:eastAsia="Arial" w:hAnsi="Arial"/>
                <w:sz w:val="15"/>
                <w:szCs w:val="15"/>
                <w:color w:val="auto"/>
              </w:rPr>
              <w:t>130.0</w:t>
            </w:r>
          </w:p>
        </w:tc>
      </w:tr>
      <w:tr>
        <w:trPr>
          <w:trHeight w:val="208"/>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Fuel inventory and supplies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211.0</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170.4</w:t>
            </w:r>
          </w:p>
        </w:tc>
      </w:tr>
      <w:tr>
        <w:trPr>
          <w:trHeight w:val="204"/>
        </w:trPr>
        <w:tc>
          <w:tcPr>
            <w:tcW w:w="8440" w:type="dxa"/>
            <w:vAlign w:val="bottom"/>
          </w:tcPr>
          <w:p>
            <w:pPr>
              <w:ind w:left="140"/>
              <w:spacing w:after="0"/>
              <w:rPr>
                <w:sz w:val="20"/>
                <w:szCs w:val="20"/>
                <w:color w:val="auto"/>
              </w:rPr>
            </w:pPr>
            <w:r>
              <w:rPr>
                <w:rFonts w:ascii="Arial" w:cs="Arial" w:eastAsia="Arial" w:hAnsi="Arial"/>
                <w:sz w:val="15"/>
                <w:szCs w:val="15"/>
                <w:color w:val="auto"/>
              </w:rPr>
              <w:t>Income taxes receivable</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Arial" w:cs="Arial" w:eastAsia="Arial" w:hAnsi="Arial"/>
                <w:sz w:val="15"/>
                <w:szCs w:val="15"/>
                <w:color w:val="auto"/>
              </w:rPr>
              <w:t>3.2</w:t>
            </w:r>
          </w:p>
        </w:tc>
      </w:tr>
      <w:tr>
        <w:trPr>
          <w:trHeight w:val="208"/>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Regulatory assets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86.3</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82.0</w:t>
            </w:r>
          </w:p>
        </w:tc>
      </w:tr>
      <w:tr>
        <w:trPr>
          <w:trHeight w:val="204"/>
        </w:trPr>
        <w:tc>
          <w:tcPr>
            <w:tcW w:w="8440" w:type="dxa"/>
            <w:vAlign w:val="bottom"/>
          </w:tcPr>
          <w:p>
            <w:pPr>
              <w:ind w:left="140"/>
              <w:spacing w:after="0"/>
              <w:rPr>
                <w:sz w:val="20"/>
                <w:szCs w:val="20"/>
                <w:color w:val="auto"/>
              </w:rPr>
            </w:pPr>
            <w:r>
              <w:rPr>
                <w:rFonts w:ascii="Arial" w:cs="Arial" w:eastAsia="Arial" w:hAnsi="Arial"/>
                <w:sz w:val="15"/>
                <w:szCs w:val="15"/>
                <w:color w:val="auto"/>
              </w:rPr>
              <w:t>Prepaid expenses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22.6</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Arial" w:cs="Arial" w:eastAsia="Arial" w:hAnsi="Arial"/>
                <w:sz w:val="15"/>
                <w:szCs w:val="15"/>
                <w:color w:val="auto"/>
              </w:rPr>
              <w:t>22.9</w:t>
            </w:r>
          </w:p>
        </w:tc>
      </w:tr>
      <w:tr>
        <w:trPr>
          <w:trHeight w:val="208"/>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19.7</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14.2</w:t>
            </w:r>
          </w:p>
        </w:tc>
      </w:tr>
      <w:tr>
        <w:trPr>
          <w:trHeight w:val="197"/>
        </w:trPr>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Current Assets</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766.5</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764.9</w:t>
            </w:r>
          </w:p>
        </w:tc>
      </w:tr>
      <w:tr>
        <w:trPr>
          <w:trHeight w:val="201"/>
        </w:trPr>
        <w:tc>
          <w:tcPr>
            <w:tcW w:w="8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7,474.9</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7,141.2</w:t>
            </w:r>
          </w:p>
        </w:tc>
      </w:tr>
      <w:tr>
        <w:trPr>
          <w:trHeight w:val="196"/>
        </w:trPr>
        <w:tc>
          <w:tcPr>
            <w:tcW w:w="844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Regulatory assets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410.7</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533.5</w:t>
            </w:r>
          </w:p>
        </w:tc>
      </w:tr>
      <w:tr>
        <w:trPr>
          <w:trHeight w:val="204"/>
        </w:trPr>
        <w:tc>
          <w:tcPr>
            <w:tcW w:w="8440" w:type="dxa"/>
            <w:vAlign w:val="bottom"/>
          </w:tcPr>
          <w:p>
            <w:pPr>
              <w:ind w:left="140"/>
              <w:spacing w:after="0"/>
              <w:rPr>
                <w:sz w:val="20"/>
                <w:szCs w:val="20"/>
                <w:color w:val="auto"/>
              </w:rPr>
            </w:pPr>
            <w:r>
              <w:rPr>
                <w:rFonts w:ascii="Arial" w:cs="Arial" w:eastAsia="Arial" w:hAnsi="Arial"/>
                <w:sz w:val="15"/>
                <w:szCs w:val="15"/>
                <w:color w:val="auto"/>
              </w:rPr>
              <w:t>Nuclear decommissioning trust fund</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400.3</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Arial" w:cs="Arial" w:eastAsia="Arial" w:hAnsi="Arial"/>
                <w:sz w:val="15"/>
                <w:szCs w:val="15"/>
                <w:color w:val="auto"/>
              </w:rPr>
              <w:t>342.3</w:t>
            </w:r>
          </w:p>
        </w:tc>
      </w:tr>
      <w:tr>
        <w:trPr>
          <w:trHeight w:val="208"/>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104.4</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133.9</w:t>
            </w:r>
          </w:p>
        </w:tc>
      </w:tr>
      <w:tr>
        <w:trPr>
          <w:trHeight w:val="197"/>
        </w:trPr>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Other Assets</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915.4</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1,009.7</w:t>
            </w:r>
          </w:p>
        </w:tc>
      </w:tr>
      <w:tr>
        <w:trPr>
          <w:trHeight w:val="207"/>
        </w:trPr>
        <w:tc>
          <w:tcPr>
            <w:tcW w:w="8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9,156.8</w:t>
            </w:r>
          </w:p>
        </w:tc>
        <w:tc>
          <w:tcPr>
            <w:tcW w:w="5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8,915.8</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5" w:name="page86"/>
    <w:bookmarkEnd w:id="8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EVERGY METRO,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Balance Sheets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31</w:t>
            </w:r>
          </w:p>
        </w:tc>
        <w:tc>
          <w:tcPr>
            <w:tcW w:w="860" w:type="dxa"/>
            <w:vAlign w:val="bottom"/>
          </w:tcPr>
          <w:p>
            <w:pPr>
              <w:spacing w:after="0"/>
              <w:rPr>
                <w:sz w:val="17"/>
                <w:szCs w:val="17"/>
                <w:color w:val="auto"/>
              </w:rPr>
            </w:pPr>
          </w:p>
        </w:tc>
      </w:tr>
      <w:tr>
        <w:trPr>
          <w:trHeight w:val="218"/>
        </w:trPr>
        <w:tc>
          <w:tcPr>
            <w:tcW w:w="8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2020</w:t>
            </w:r>
          </w:p>
        </w:tc>
      </w:tr>
      <w:tr>
        <w:trPr>
          <w:trHeight w:val="202"/>
        </w:trPr>
        <w:tc>
          <w:tcPr>
            <w:tcW w:w="8480" w:type="dxa"/>
            <w:vAlign w:val="bottom"/>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360" w:type="dxa"/>
            <w:vAlign w:val="bottom"/>
          </w:tcPr>
          <w:p>
            <w:pPr>
              <w:spacing w:after="0"/>
              <w:rPr>
                <w:sz w:val="17"/>
                <w:szCs w:val="17"/>
                <w:color w:val="auto"/>
              </w:rPr>
            </w:pPr>
          </w:p>
        </w:tc>
        <w:tc>
          <w:tcPr>
            <w:tcW w:w="2360" w:type="dxa"/>
            <w:vAlign w:val="bottom"/>
            <w:gridSpan w:val="3"/>
          </w:tcPr>
          <w:p>
            <w:pPr>
              <w:jc w:val="right"/>
              <w:ind w:right="383"/>
              <w:spacing w:after="0"/>
              <w:rPr>
                <w:sz w:val="20"/>
                <w:szCs w:val="20"/>
                <w:color w:val="auto"/>
              </w:rPr>
            </w:pPr>
            <w:r>
              <w:rPr>
                <w:rFonts w:ascii="Arial" w:cs="Arial" w:eastAsia="Arial" w:hAnsi="Arial"/>
                <w:sz w:val="14"/>
                <w:szCs w:val="14"/>
                <w:color w:val="auto"/>
                <w:w w:val="93"/>
              </w:rPr>
              <w:t>(millions, except share amounts)</w:t>
            </w:r>
          </w:p>
        </w:tc>
      </w:tr>
      <w:tr>
        <w:trPr>
          <w:trHeight w:val="208"/>
        </w:trPr>
        <w:tc>
          <w:tcPr>
            <w:tcW w:w="848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Collateralized note payable</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116.0</w:t>
            </w:r>
          </w:p>
        </w:tc>
        <w:tc>
          <w:tcPr>
            <w:tcW w:w="5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130.0</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305.2</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280.1</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Related party payables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0.1</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0.1</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Accrued taxes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38.6</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34.9</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interest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26.4</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30.0</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Regulatory liabilities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54.6</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8.0</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 retirement obligations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11.0</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21.2</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Accrued compensation and benefits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37.8</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44.4</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48.8</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37.3</w:t>
            </w:r>
          </w:p>
        </w:tc>
      </w:tr>
      <w:tr>
        <w:trPr>
          <w:trHeight w:val="197"/>
        </w:trPr>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Current Liabilities</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638.5</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586.0</w:t>
            </w:r>
          </w:p>
        </w:tc>
      </w:tr>
      <w:tr>
        <w:trPr>
          <w:trHeight w:val="201"/>
        </w:trPr>
        <w:tc>
          <w:tcPr>
            <w:tcW w:w="8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LIABILITIES: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Long-term debt, net</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2,925.0</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2,923.0</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income taxes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606.1</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558.8</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Unamortized investment tax credits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117.2</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118.5</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Regulatory liabilities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954.2</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899.4</w:t>
            </w: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Pension and post-retirement liability</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420.9</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565.1</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 retirement obligations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370.0</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357.7</w:t>
            </w:r>
          </w:p>
        </w:tc>
      </w:tr>
      <w:tr>
        <w:trPr>
          <w:trHeight w:val="204"/>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103.7</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148.1</w:t>
            </w:r>
          </w:p>
        </w:tc>
      </w:tr>
      <w:tr>
        <w:trPr>
          <w:trHeight w:val="201"/>
        </w:trPr>
        <w:tc>
          <w:tcPr>
            <w:tcW w:w="8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Total Long-Term Liabilities</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5,497.1</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5,570.6</w:t>
            </w:r>
          </w:p>
        </w:tc>
      </w:tr>
      <w:tr>
        <w:trPr>
          <w:trHeight w:val="183"/>
        </w:trPr>
        <w:tc>
          <w:tcPr>
            <w:tcW w:w="8480" w:type="dxa"/>
            <w:vAlign w:val="bottom"/>
          </w:tcPr>
          <w:p>
            <w:pPr>
              <w:ind w:left="20"/>
              <w:spacing w:after="0"/>
              <w:rPr>
                <w:sz w:val="20"/>
                <w:szCs w:val="20"/>
                <w:color w:val="auto"/>
              </w:rPr>
            </w:pPr>
            <w:r>
              <w:rPr>
                <w:rFonts w:ascii="Arial" w:cs="Arial" w:eastAsia="Arial" w:hAnsi="Arial"/>
                <w:sz w:val="15"/>
                <w:szCs w:val="15"/>
                <w:color w:val="auto"/>
              </w:rPr>
              <w:t>Commitments and Contingencies (Note 14)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4"/>
        </w:trPr>
        <w:tc>
          <w:tcPr>
            <w:tcW w:w="8480" w:type="dxa"/>
            <w:vAlign w:val="bottom"/>
          </w:tcPr>
          <w:p>
            <w:pPr>
              <w:ind w:left="140"/>
              <w:spacing w:after="0"/>
              <w:rPr>
                <w:sz w:val="20"/>
                <w:szCs w:val="20"/>
                <w:color w:val="auto"/>
              </w:rPr>
            </w:pPr>
            <w:r>
              <w:rPr>
                <w:rFonts w:ascii="Arial" w:cs="Arial" w:eastAsia="Arial" w:hAnsi="Arial"/>
                <w:sz w:val="15"/>
                <w:szCs w:val="15"/>
                <w:color w:val="auto"/>
              </w:rPr>
              <w:t>Common stock - 1,000 shares authorized, without par value, 1 share issued, stated value</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b w:val="1"/>
                <w:bCs w:val="1"/>
                <w:color w:val="auto"/>
              </w:rPr>
              <w:t>1,563.1</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1,563.1</w:t>
            </w: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Retained earnings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1,453.8</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1,191.5</w:t>
            </w:r>
          </w:p>
        </w:tc>
      </w:tr>
      <w:tr>
        <w:trPr>
          <w:trHeight w:val="204"/>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Accumulated other comprehensive income</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4.3</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4.6</w:t>
            </w:r>
          </w:p>
        </w:tc>
      </w:tr>
      <w:tr>
        <w:trPr>
          <w:trHeight w:val="201"/>
        </w:trPr>
        <w:tc>
          <w:tcPr>
            <w:tcW w:w="8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Total Equity</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3,021.2</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2,759.2</w:t>
            </w:r>
          </w:p>
        </w:tc>
      </w:tr>
      <w:tr>
        <w:trPr>
          <w:trHeight w:val="205"/>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 AND EQUITY</w:t>
            </w: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9,156.8</w:t>
            </w:r>
          </w:p>
        </w:tc>
        <w:tc>
          <w:tcPr>
            <w:tcW w:w="5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8,915.8</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6" w:name="page87"/>
    <w:bookmarkEnd w:id="8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2021</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rPr>
              <w:t>2020</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2019</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CASH FLOWS FROM (USED IN) OPERATING ACTIVITIES: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43"/>
              <w:spacing w:after="0"/>
              <w:rPr>
                <w:sz w:val="20"/>
                <w:szCs w:val="20"/>
                <w:color w:val="auto"/>
              </w:rPr>
            </w:pPr>
            <w:r>
              <w:rPr>
                <w:rFonts w:ascii="Arial" w:cs="Arial" w:eastAsia="Arial" w:hAnsi="Arial"/>
                <w:sz w:val="14"/>
                <w:szCs w:val="14"/>
                <w:color w:val="auto"/>
              </w:rPr>
              <w:t>(millions)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312.3</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298.7</w:t>
            </w:r>
          </w:p>
        </w:tc>
        <w:tc>
          <w:tcPr>
            <w:tcW w:w="3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255.2</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Adjustments to reconcile income to net cash from operating activities: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321.0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326.1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318.4</w:t>
            </w:r>
          </w:p>
        </w:tc>
      </w:tr>
      <w:tr>
        <w:trPr>
          <w:trHeight w:val="204"/>
        </w:trPr>
        <w:tc>
          <w:tcPr>
            <w:tcW w:w="7200" w:type="dxa"/>
            <w:vAlign w:val="bottom"/>
          </w:tcPr>
          <w:p>
            <w:pPr>
              <w:ind w:left="220"/>
              <w:spacing w:after="0"/>
              <w:rPr>
                <w:sz w:val="20"/>
                <w:szCs w:val="20"/>
                <w:color w:val="auto"/>
              </w:rPr>
            </w:pPr>
            <w:r>
              <w:rPr>
                <w:rFonts w:ascii="Arial" w:cs="Arial" w:eastAsia="Arial" w:hAnsi="Arial"/>
                <w:sz w:val="15"/>
                <w:szCs w:val="15"/>
                <w:color w:val="auto"/>
              </w:rPr>
              <w:t>Amortization of nuclear fuel</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auto"/>
              </w:rPr>
              <w:t>25.8</w:t>
            </w:r>
          </w:p>
        </w:tc>
        <w:tc>
          <w:tcPr>
            <w:tcW w:w="300" w:type="dxa"/>
            <w:vAlign w:val="bottom"/>
          </w:tcPr>
          <w:p>
            <w:pPr>
              <w:spacing w:after="0"/>
              <w:rPr>
                <w:sz w:val="17"/>
                <w:szCs w:val="17"/>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29.5</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25.9</w:t>
            </w:r>
          </w:p>
        </w:tc>
      </w:tr>
      <w:tr>
        <w:trPr>
          <w:trHeight w:val="208"/>
        </w:trPr>
        <w:tc>
          <w:tcPr>
            <w:tcW w:w="7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Amortization of deferred refueling outage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12.6</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12.7</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r>
      <w:tr>
        <w:trPr>
          <w:trHeight w:val="204"/>
        </w:trPr>
        <w:tc>
          <w:tcPr>
            <w:tcW w:w="7200" w:type="dxa"/>
            <w:vAlign w:val="bottom"/>
          </w:tcPr>
          <w:p>
            <w:pPr>
              <w:ind w:left="220"/>
              <w:spacing w:after="0"/>
              <w:rPr>
                <w:sz w:val="20"/>
                <w:szCs w:val="20"/>
                <w:color w:val="auto"/>
              </w:rPr>
            </w:pPr>
            <w:r>
              <w:rPr>
                <w:rFonts w:ascii="Arial" w:cs="Arial" w:eastAsia="Arial" w:hAnsi="Arial"/>
                <w:sz w:val="15"/>
                <w:szCs w:val="15"/>
                <w:color w:val="auto"/>
              </w:rPr>
              <w:t>Net deferred income taxes and credits</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auto"/>
              </w:rPr>
              <w:t>10.0</w:t>
            </w:r>
          </w:p>
        </w:tc>
        <w:tc>
          <w:tcPr>
            <w:tcW w:w="30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(3.5)</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(30.6)</w:t>
            </w:r>
          </w:p>
        </w:tc>
      </w:tr>
      <w:tr>
        <w:trPr>
          <w:trHeight w:val="208"/>
        </w:trPr>
        <w:tc>
          <w:tcPr>
            <w:tcW w:w="7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Allowance for equity funds used during construction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(12.6)</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04"/>
        </w:trPr>
        <w:tc>
          <w:tcPr>
            <w:tcW w:w="7200" w:type="dxa"/>
            <w:vAlign w:val="bottom"/>
          </w:tcPr>
          <w:p>
            <w:pPr>
              <w:ind w:left="220"/>
              <w:spacing w:after="0"/>
              <w:rPr>
                <w:sz w:val="20"/>
                <w:szCs w:val="20"/>
                <w:color w:val="auto"/>
              </w:rPr>
            </w:pPr>
            <w:r>
              <w:rPr>
                <w:rFonts w:ascii="Arial" w:cs="Arial" w:eastAsia="Arial" w:hAnsi="Arial"/>
                <w:sz w:val="15"/>
                <w:szCs w:val="15"/>
                <w:color w:val="auto"/>
              </w:rPr>
              <w:t>Payments for asset retirement obligations</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b w:val="1"/>
                <w:bCs w:val="1"/>
                <w:color w:val="auto"/>
              </w:rPr>
              <w:t>(7.4)</w:t>
            </w:r>
          </w:p>
        </w:tc>
        <w:tc>
          <w:tcPr>
            <w:tcW w:w="30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(7.5)</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8"/>
        </w:trPr>
        <w:tc>
          <w:tcPr>
            <w:tcW w:w="7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(0.4)</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Changes in working capital items: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receivable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43.2</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w:t>
            </w:r>
          </w:p>
        </w:tc>
      </w:tr>
      <w:tr>
        <w:trPr>
          <w:trHeight w:val="204"/>
        </w:trPr>
        <w:tc>
          <w:tcPr>
            <w:tcW w:w="7200" w:type="dxa"/>
            <w:vAlign w:val="bottom"/>
          </w:tcPr>
          <w:p>
            <w:pPr>
              <w:ind w:left="220"/>
              <w:spacing w:after="0"/>
              <w:rPr>
                <w:sz w:val="20"/>
                <w:szCs w:val="20"/>
                <w:color w:val="auto"/>
              </w:rPr>
            </w:pPr>
            <w:r>
              <w:rPr>
                <w:rFonts w:ascii="Arial" w:cs="Arial" w:eastAsia="Arial" w:hAnsi="Arial"/>
                <w:sz w:val="15"/>
                <w:szCs w:val="15"/>
                <w:color w:val="auto"/>
              </w:rPr>
              <w:t>Accounts receivable pledged as collateral</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auto"/>
              </w:rPr>
              <w:t>14.0</w:t>
            </w:r>
          </w:p>
        </w:tc>
        <w:tc>
          <w:tcPr>
            <w:tcW w:w="30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(12.0)</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208"/>
        </w:trPr>
        <w:tc>
          <w:tcPr>
            <w:tcW w:w="7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Fuel inventory and supplies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(40.6)</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r>
      <w:tr>
        <w:trPr>
          <w:trHeight w:val="204"/>
        </w:trPr>
        <w:tc>
          <w:tcPr>
            <w:tcW w:w="7200" w:type="dxa"/>
            <w:vAlign w:val="bottom"/>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b w:val="1"/>
                <w:bCs w:val="1"/>
                <w:color w:val="auto"/>
              </w:rPr>
              <w:t>(16.3)</w:t>
            </w:r>
          </w:p>
        </w:tc>
        <w:tc>
          <w:tcPr>
            <w:tcW w:w="30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(7.9)</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28.0</w:t>
            </w:r>
          </w:p>
        </w:tc>
      </w:tr>
      <w:tr>
        <w:trPr>
          <w:trHeight w:val="208"/>
        </w:trPr>
        <w:tc>
          <w:tcPr>
            <w:tcW w:w="7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(1.1)</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24.6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r>
      <w:tr>
        <w:trPr>
          <w:trHeight w:val="204"/>
        </w:trPr>
        <w:tc>
          <w:tcPr>
            <w:tcW w:w="7200" w:type="dxa"/>
            <w:vAlign w:val="bottom"/>
          </w:tcPr>
          <w:p>
            <w:pPr>
              <w:ind w:left="220"/>
              <w:spacing w:after="0"/>
              <w:rPr>
                <w:sz w:val="20"/>
                <w:szCs w:val="20"/>
                <w:color w:val="auto"/>
              </w:rPr>
            </w:pPr>
            <w:r>
              <w:rPr>
                <w:rFonts w:ascii="Arial" w:cs="Arial" w:eastAsia="Arial" w:hAnsi="Arial"/>
                <w:sz w:val="15"/>
                <w:szCs w:val="15"/>
                <w:color w:val="auto"/>
              </w:rPr>
              <w:t>Accrued taxes</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auto"/>
              </w:rPr>
              <w:t>6.9</w:t>
            </w:r>
          </w:p>
        </w:tc>
        <w:tc>
          <w:tcPr>
            <w:tcW w:w="300" w:type="dxa"/>
            <w:vAlign w:val="bottom"/>
          </w:tcPr>
          <w:p>
            <w:pPr>
              <w:spacing w:after="0"/>
              <w:rPr>
                <w:sz w:val="17"/>
                <w:szCs w:val="17"/>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1.6</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208"/>
        </w:trPr>
        <w:tc>
          <w:tcPr>
            <w:tcW w:w="7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current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44.0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2.4</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w:t>
            </w:r>
          </w:p>
        </w:tc>
      </w:tr>
      <w:tr>
        <w:trPr>
          <w:trHeight w:val="204"/>
        </w:trPr>
        <w:tc>
          <w:tcPr>
            <w:tcW w:w="7200" w:type="dxa"/>
            <w:vAlign w:val="bottom"/>
          </w:tcPr>
          <w:p>
            <w:pPr>
              <w:ind w:left="20"/>
              <w:spacing w:after="0"/>
              <w:rPr>
                <w:sz w:val="20"/>
                <w:szCs w:val="20"/>
                <w:color w:val="auto"/>
              </w:rPr>
            </w:pPr>
            <w:r>
              <w:rPr>
                <w:rFonts w:ascii="Arial" w:cs="Arial" w:eastAsia="Arial" w:hAnsi="Arial"/>
                <w:sz w:val="15"/>
                <w:szCs w:val="15"/>
                <w:color w:val="auto"/>
              </w:rPr>
              <w:t>Changes in other assets</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auto"/>
              </w:rPr>
              <w:t>61.5</w:t>
            </w:r>
          </w:p>
        </w:tc>
        <w:tc>
          <w:tcPr>
            <w:tcW w:w="300" w:type="dxa"/>
            <w:vAlign w:val="bottom"/>
          </w:tcPr>
          <w:p>
            <w:pPr>
              <w:spacing w:after="0"/>
              <w:rPr>
                <w:sz w:val="17"/>
                <w:szCs w:val="17"/>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59.1</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33.7</w:t>
            </w:r>
          </w:p>
        </w:tc>
      </w:tr>
      <w:tr>
        <w:trPr>
          <w:trHeight w:val="208"/>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Changes in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(38.7)</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(47.3)</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w:t>
            </w:r>
          </w:p>
        </w:tc>
      </w:tr>
      <w:tr>
        <w:trPr>
          <w:trHeight w:val="197"/>
        </w:trPr>
        <w:tc>
          <w:tcPr>
            <w:tcW w:w="72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734.2</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647.5</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614.2</w:t>
            </w:r>
          </w:p>
        </w:tc>
      </w:tr>
      <w:tr>
        <w:trPr>
          <w:trHeight w:val="201"/>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(USED IN) INVESTING ACTIVITIES: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4"/>
        </w:trPr>
        <w:tc>
          <w:tcPr>
            <w:tcW w:w="7200" w:type="dxa"/>
            <w:vAlign w:val="bottom"/>
          </w:tcPr>
          <w:p>
            <w:pPr>
              <w:ind w:left="20"/>
              <w:spacing w:after="0"/>
              <w:rPr>
                <w:sz w:val="20"/>
                <w:szCs w:val="20"/>
                <w:color w:val="auto"/>
              </w:rPr>
            </w:pPr>
            <w:r>
              <w:rPr>
                <w:rFonts w:ascii="Arial" w:cs="Arial" w:eastAsia="Arial" w:hAnsi="Arial"/>
                <w:sz w:val="15"/>
                <w:szCs w:val="15"/>
                <w:color w:val="auto"/>
              </w:rPr>
              <w:t>Additions to property, plant and equipment</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b w:val="1"/>
                <w:bCs w:val="1"/>
                <w:color w:val="auto"/>
              </w:rPr>
              <w:t>(682.9)</w:t>
            </w:r>
          </w:p>
        </w:tc>
        <w:tc>
          <w:tcPr>
            <w:tcW w:w="30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(565.4)</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(445.0)</w:t>
            </w:r>
          </w:p>
        </w:tc>
      </w:tr>
      <w:tr>
        <w:trPr>
          <w:trHeight w:val="208"/>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of securities - trusts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(28.3)</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(45.4)</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r>
      <w:tr>
        <w:trPr>
          <w:trHeight w:val="204"/>
        </w:trPr>
        <w:tc>
          <w:tcPr>
            <w:tcW w:w="7200" w:type="dxa"/>
            <w:vAlign w:val="bottom"/>
          </w:tcPr>
          <w:p>
            <w:pPr>
              <w:ind w:left="20"/>
              <w:spacing w:after="0"/>
              <w:rPr>
                <w:sz w:val="20"/>
                <w:szCs w:val="20"/>
                <w:color w:val="auto"/>
              </w:rPr>
            </w:pPr>
            <w:r>
              <w:rPr>
                <w:rFonts w:ascii="Arial" w:cs="Arial" w:eastAsia="Arial" w:hAnsi="Arial"/>
                <w:sz w:val="15"/>
                <w:szCs w:val="15"/>
                <w:color w:val="auto"/>
              </w:rPr>
              <w:t>Sale of securities - trusts</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auto"/>
              </w:rPr>
              <w:t>18.2</w:t>
            </w:r>
          </w:p>
        </w:tc>
        <w:tc>
          <w:tcPr>
            <w:tcW w:w="300" w:type="dxa"/>
            <w:vAlign w:val="bottom"/>
          </w:tcPr>
          <w:p>
            <w:pPr>
              <w:spacing w:after="0"/>
              <w:rPr>
                <w:sz w:val="17"/>
                <w:szCs w:val="17"/>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37.9</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25.7</w:t>
            </w:r>
          </w:p>
        </w:tc>
      </w:tr>
      <w:tr>
        <w:trPr>
          <w:trHeight w:val="208"/>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money pool lending</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(55.0)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(100.0)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investing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6.8</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4.6</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r>
      <w:tr>
        <w:trPr>
          <w:trHeight w:val="199"/>
        </w:trPr>
        <w:tc>
          <w:tcPr>
            <w:tcW w:w="72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Cash Flows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(741.2)</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(668.3)</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(444.3)</w:t>
            </w:r>
          </w:p>
        </w:tc>
      </w:tr>
      <w:tr>
        <w:trPr>
          <w:trHeight w:val="199"/>
        </w:trPr>
        <w:tc>
          <w:tcPr>
            <w:tcW w:w="7200" w:type="dxa"/>
            <w:vAlign w:val="bottom"/>
          </w:tcPr>
          <w:p>
            <w:pPr>
              <w:ind w:left="20"/>
              <w:spacing w:after="0"/>
              <w:rPr>
                <w:sz w:val="20"/>
                <w:szCs w:val="20"/>
                <w:color w:val="auto"/>
              </w:rPr>
            </w:pPr>
            <w:r>
              <w:rPr>
                <w:rFonts w:ascii="Arial" w:cs="Arial" w:eastAsia="Arial" w:hAnsi="Arial"/>
                <w:sz w:val="15"/>
                <w:szCs w:val="15"/>
                <w:color w:val="auto"/>
              </w:rPr>
              <w:t>CASH FLOWS FROM (USED IN) FINANCING ACTIVITIES: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Short-term debt, net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(199.3)</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r>
      <w:tr>
        <w:trPr>
          <w:trHeight w:val="204"/>
        </w:trPr>
        <w:tc>
          <w:tcPr>
            <w:tcW w:w="7200" w:type="dxa"/>
            <w:vAlign w:val="bottom"/>
          </w:tcPr>
          <w:p>
            <w:pPr>
              <w:ind w:left="20"/>
              <w:spacing w:after="0"/>
              <w:rPr>
                <w:sz w:val="20"/>
                <w:szCs w:val="20"/>
                <w:color w:val="auto"/>
              </w:rPr>
            </w:pPr>
            <w:r>
              <w:rPr>
                <w:rFonts w:ascii="Arial" w:cs="Arial" w:eastAsia="Arial" w:hAnsi="Arial"/>
                <w:sz w:val="15"/>
                <w:szCs w:val="15"/>
                <w:color w:val="auto"/>
              </w:rPr>
              <w:t>Collateralized short-term debt, net</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b w:val="1"/>
                <w:bCs w:val="1"/>
                <w:color w:val="auto"/>
              </w:rPr>
              <w:t>(14.0)</w:t>
            </w:r>
          </w:p>
        </w:tc>
        <w:tc>
          <w:tcPr>
            <w:tcW w:w="300" w:type="dxa"/>
            <w:vAlign w:val="bottom"/>
          </w:tcPr>
          <w:p>
            <w:pPr>
              <w:spacing w:after="0"/>
              <w:rPr>
                <w:sz w:val="17"/>
                <w:szCs w:val="17"/>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12.0</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208"/>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long-term debt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396.2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393.2</w:t>
            </w:r>
          </w:p>
        </w:tc>
      </w:tr>
      <w:tr>
        <w:trPr>
          <w:trHeight w:val="204"/>
        </w:trPr>
        <w:tc>
          <w:tcPr>
            <w:tcW w:w="7200" w:type="dxa"/>
            <w:vAlign w:val="bottom"/>
          </w:tcPr>
          <w:p>
            <w:pPr>
              <w:ind w:left="20"/>
              <w:spacing w:after="0"/>
              <w:rPr>
                <w:sz w:val="20"/>
                <w:szCs w:val="20"/>
                <w:color w:val="auto"/>
              </w:rPr>
            </w:pPr>
            <w:r>
              <w:rPr>
                <w:rFonts w:ascii="Arial" w:cs="Arial" w:eastAsia="Arial" w:hAnsi="Arial"/>
                <w:sz w:val="15"/>
                <w:szCs w:val="15"/>
                <w:color w:val="auto"/>
              </w:rPr>
              <w:t>Retirements of long-term debt</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7"/>
                <w:szCs w:val="17"/>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(400.0)</w:t>
            </w:r>
          </w:p>
        </w:tc>
      </w:tr>
      <w:tr>
        <w:trPr>
          <w:trHeight w:val="208"/>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dividends paid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(50.0)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(120.0)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w:t>
            </w:r>
          </w:p>
        </w:tc>
      </w:tr>
      <w:tr>
        <w:trPr>
          <w:trHeight w:val="204"/>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1.5</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1.5</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r>
      <w:tr>
        <w:trPr>
          <w:trHeight w:val="199"/>
        </w:trPr>
        <w:tc>
          <w:tcPr>
            <w:tcW w:w="72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Cash Flows from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(62.5)</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90.4</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(170.5)</w:t>
            </w:r>
          </w:p>
        </w:tc>
      </w:tr>
      <w:tr>
        <w:trPr>
          <w:trHeight w:val="199"/>
        </w:trPr>
        <w:tc>
          <w:tcPr>
            <w:tcW w:w="7200" w:type="dxa"/>
            <w:vAlign w:val="bottom"/>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b w:val="1"/>
                <w:bCs w:val="1"/>
                <w:color w:val="auto"/>
              </w:rPr>
              <w:t>(69.5)</w:t>
            </w:r>
          </w:p>
        </w:tc>
        <w:tc>
          <w:tcPr>
            <w:tcW w:w="300" w:type="dxa"/>
            <w:vAlign w:val="bottom"/>
          </w:tcPr>
          <w:p>
            <w:pPr>
              <w:spacing w:after="0"/>
              <w:rPr>
                <w:sz w:val="17"/>
                <w:szCs w:val="17"/>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69.6</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08"/>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4"/>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Beginning of period</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71.6</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2.0</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r>
      <w:tr>
        <w:trPr>
          <w:trHeight w:val="207"/>
        </w:trPr>
        <w:tc>
          <w:tcPr>
            <w:tcW w:w="7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End of period</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2.1</w:t>
            </w:r>
          </w:p>
        </w:tc>
        <w:tc>
          <w:tcPr>
            <w:tcW w:w="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71.6</w:t>
            </w:r>
          </w:p>
        </w:tc>
        <w:tc>
          <w:tcPr>
            <w:tcW w:w="3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7" w:name="page88"/>
    <w:bookmarkEnd w:id="8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Equity</w:t>
      </w:r>
    </w:p>
    <w:p>
      <w:pPr>
        <w:spacing w:after="0" w:line="262" w:lineRule="exact"/>
        <w:rPr>
          <w:sz w:val="20"/>
          <w:szCs w:val="20"/>
          <w:color w:val="auto"/>
        </w:rPr>
      </w:pPr>
    </w:p>
    <w:tbl>
      <w:tblPr>
        <w:tblLayout w:type="fixed"/>
        <w:tblInd w:w="5360" w:type="dxa"/>
        <w:tblCellMar>
          <w:top w:w="0" w:type="dxa"/>
          <w:left w:w="0" w:type="dxa"/>
          <w:bottom w:w="0" w:type="dxa"/>
          <w:right w:w="0" w:type="dxa"/>
        </w:tblCellMar>
      </w:tblPr>
      <w:tr>
        <w:trPr>
          <w:trHeight w:val="172"/>
        </w:trPr>
        <w:tc>
          <w:tcPr>
            <w:tcW w:w="1060" w:type="dxa"/>
            <w:vAlign w:val="bottom"/>
            <w:vMerge w:val="restart"/>
          </w:tcPr>
          <w:p>
            <w:pPr>
              <w:jc w:val="center"/>
              <w:ind w:right="3"/>
              <w:spacing w:after="0"/>
              <w:rPr>
                <w:sz w:val="20"/>
                <w:szCs w:val="20"/>
                <w:color w:val="auto"/>
              </w:rPr>
            </w:pPr>
            <w:r>
              <w:rPr>
                <w:rFonts w:ascii="Arial" w:cs="Arial" w:eastAsia="Arial" w:hAnsi="Arial"/>
                <w:sz w:val="15"/>
                <w:szCs w:val="15"/>
                <w:b w:val="1"/>
                <w:bCs w:val="1"/>
                <w:color w:val="auto"/>
                <w:w w:val="90"/>
              </w:rPr>
              <w:t>Common stock</w:t>
            </w:r>
          </w:p>
        </w:tc>
        <w:tc>
          <w:tcPr>
            <w:tcW w:w="1300" w:type="dxa"/>
            <w:vAlign w:val="bottom"/>
          </w:tcPr>
          <w:p>
            <w:pPr>
              <w:spacing w:after="0"/>
              <w:rPr>
                <w:sz w:val="14"/>
                <w:szCs w:val="14"/>
                <w:color w:val="auto"/>
              </w:rPr>
            </w:pPr>
          </w:p>
        </w:tc>
        <w:tc>
          <w:tcPr>
            <w:tcW w:w="96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Retained</w:t>
            </w:r>
          </w:p>
        </w:tc>
        <w:tc>
          <w:tcPr>
            <w:tcW w:w="2340" w:type="dxa"/>
            <w:vAlign w:val="bottom"/>
          </w:tcPr>
          <w:p>
            <w:pPr>
              <w:ind w:left="340"/>
              <w:spacing w:after="0"/>
              <w:rPr>
                <w:sz w:val="20"/>
                <w:szCs w:val="20"/>
                <w:color w:val="auto"/>
              </w:rPr>
            </w:pPr>
            <w:r>
              <w:rPr>
                <w:rFonts w:ascii="Arial" w:cs="Arial" w:eastAsia="Arial" w:hAnsi="Arial"/>
                <w:sz w:val="15"/>
                <w:szCs w:val="15"/>
                <w:b w:val="1"/>
                <w:bCs w:val="1"/>
                <w:color w:val="auto"/>
              </w:rPr>
              <w:t>AOCI - Net</w:t>
            </w:r>
          </w:p>
        </w:tc>
        <w:tc>
          <w:tcPr>
            <w:tcW w:w="0" w:type="dxa"/>
            <w:vAlign w:val="bottom"/>
          </w:tcPr>
          <w:p>
            <w:pPr>
              <w:spacing w:after="0"/>
              <w:rPr>
                <w:sz w:val="1"/>
                <w:szCs w:val="1"/>
                <w:color w:val="auto"/>
              </w:rPr>
            </w:pPr>
          </w:p>
        </w:tc>
      </w:tr>
      <w:tr>
        <w:trPr>
          <w:trHeight w:val="155"/>
        </w:trPr>
        <w:tc>
          <w:tcPr>
            <w:tcW w:w="1060" w:type="dxa"/>
            <w:vAlign w:val="bottom"/>
            <w:vMerge w:val="continue"/>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Common Stock</w:t>
            </w:r>
          </w:p>
        </w:tc>
        <w:tc>
          <w:tcPr>
            <w:tcW w:w="960" w:type="dxa"/>
            <w:vAlign w:val="bottom"/>
            <w:vMerge w:val="continue"/>
          </w:tcPr>
          <w:p>
            <w:pPr>
              <w:spacing w:after="0"/>
              <w:rPr>
                <w:sz w:val="13"/>
                <w:szCs w:val="13"/>
                <w:color w:val="auto"/>
              </w:rPr>
            </w:pPr>
          </w:p>
        </w:tc>
        <w:tc>
          <w:tcPr>
            <w:tcW w:w="2340" w:type="dxa"/>
            <w:vAlign w:val="bottom"/>
          </w:tcPr>
          <w:p>
            <w:pPr>
              <w:ind w:left="180"/>
              <w:spacing w:after="0" w:line="155" w:lineRule="exact"/>
              <w:rPr>
                <w:sz w:val="20"/>
                <w:szCs w:val="20"/>
                <w:color w:val="auto"/>
              </w:rPr>
            </w:pPr>
            <w:r>
              <w:rPr>
                <w:rFonts w:ascii="Arial" w:cs="Arial" w:eastAsia="Arial" w:hAnsi="Arial"/>
                <w:sz w:val="15"/>
                <w:szCs w:val="15"/>
                <w:b w:val="1"/>
                <w:bCs w:val="1"/>
                <w:color w:val="auto"/>
              </w:rPr>
              <w:t>gains (losses) on</w:t>
            </w:r>
          </w:p>
        </w:tc>
        <w:tc>
          <w:tcPr>
            <w:tcW w:w="0" w:type="dxa"/>
            <w:vAlign w:val="bottom"/>
          </w:tcPr>
          <w:p>
            <w:pPr>
              <w:spacing w:after="0"/>
              <w:rPr>
                <w:sz w:val="1"/>
                <w:szCs w:val="1"/>
                <w:color w:val="auto"/>
              </w:rPr>
            </w:pPr>
          </w:p>
        </w:tc>
      </w:tr>
      <w:tr>
        <w:trPr>
          <w:trHeight w:val="202"/>
        </w:trPr>
        <w:tc>
          <w:tcPr>
            <w:tcW w:w="1060" w:type="dxa"/>
            <w:vAlign w:val="bottom"/>
          </w:tcPr>
          <w:p>
            <w:pPr>
              <w:jc w:val="center"/>
              <w:ind w:right="43"/>
              <w:spacing w:after="0"/>
              <w:rPr>
                <w:sz w:val="20"/>
                <w:szCs w:val="20"/>
                <w:color w:val="auto"/>
              </w:rPr>
            </w:pPr>
            <w:r>
              <w:rPr>
                <w:rFonts w:ascii="Arial" w:cs="Arial" w:eastAsia="Arial" w:hAnsi="Arial"/>
                <w:sz w:val="15"/>
                <w:szCs w:val="15"/>
                <w:b w:val="1"/>
                <w:bCs w:val="1"/>
                <w:color w:val="auto"/>
                <w:w w:val="86"/>
              </w:rPr>
              <w:t>shares</w:t>
            </w:r>
          </w:p>
        </w:tc>
        <w:tc>
          <w:tcPr>
            <w:tcW w:w="1300" w:type="dxa"/>
            <w:vAlign w:val="bottom"/>
            <w:vMerge w:val="continue"/>
          </w:tcPr>
          <w:p>
            <w:pPr>
              <w:spacing w:after="0"/>
              <w:rPr>
                <w:sz w:val="17"/>
                <w:szCs w:val="17"/>
                <w:color w:val="auto"/>
              </w:rPr>
            </w:pPr>
          </w:p>
        </w:tc>
        <w:tc>
          <w:tcPr>
            <w:tcW w:w="960" w:type="dxa"/>
            <w:vAlign w:val="bottom"/>
          </w:tcPr>
          <w:p>
            <w:pPr>
              <w:ind w:left="200"/>
              <w:spacing w:after="0"/>
              <w:rPr>
                <w:sz w:val="20"/>
                <w:szCs w:val="20"/>
                <w:color w:val="auto"/>
              </w:rPr>
            </w:pPr>
            <w:r>
              <w:rPr>
                <w:rFonts w:ascii="Arial" w:cs="Arial" w:eastAsia="Arial" w:hAnsi="Arial"/>
                <w:sz w:val="15"/>
                <w:szCs w:val="15"/>
                <w:b w:val="1"/>
                <w:bCs w:val="1"/>
                <w:color w:val="auto"/>
              </w:rPr>
              <w:t>earnings</w:t>
            </w:r>
          </w:p>
        </w:tc>
        <w:tc>
          <w:tcPr>
            <w:tcW w:w="2340" w:type="dxa"/>
            <w:vAlign w:val="bottom"/>
          </w:tcPr>
          <w:p>
            <w:pPr>
              <w:ind w:left="160"/>
              <w:spacing w:after="0"/>
              <w:rPr>
                <w:sz w:val="20"/>
                <w:szCs w:val="20"/>
                <w:color w:val="auto"/>
              </w:rPr>
            </w:pPr>
            <w:r>
              <w:rPr>
                <w:rFonts w:ascii="Arial" w:cs="Arial" w:eastAsia="Arial" w:hAnsi="Arial"/>
                <w:sz w:val="15"/>
                <w:szCs w:val="15"/>
                <w:b w:val="1"/>
                <w:bCs w:val="1"/>
                <w:color w:val="auto"/>
                <w:w w:val="96"/>
              </w:rPr>
              <w:t>cash flow hedges   Total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0565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16510"/>
                    </a:xfrm>
                    <a:prstGeom prst="rect">
                      <a:avLst/>
                    </a:prstGeom>
                    <a:noFill/>
                  </pic:spPr>
                </pic:pic>
              </a:graphicData>
            </a:graphic>
          </wp:anchor>
        </w:drawing>
      </w:r>
    </w:p>
    <w:p>
      <w:pPr>
        <w:spacing w:after="0" w:line="5"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(millions, except share amounts)</w:t>
      </w:r>
    </w:p>
    <w:p>
      <w:pPr>
        <w:sectPr>
          <w:pgSz w:w="11900" w:h="16838" w:orient="portrait"/>
          <w:cols w:equalWidth="0" w:num="1">
            <w:col w:w="11200"/>
          </w:cols>
          <w:pgMar w:left="320" w:top="124" w:right="379" w:bottom="1440" w:gutter="0" w:footer="0" w:header="0"/>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December 31, 2018</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income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Dividends declared on common stock</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 hedging activity, net of tax</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December 31, 2019</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income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Dividends declared on common stock</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 hedging activity, net of tax</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December 31, 2020</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income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Dividends declared on common stock</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 hedging activity, net of tax</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December 31, 2021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1,563.1</w:t>
            </w: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932.6</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4.1</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2,499.8</w:t>
            </w:r>
          </w:p>
        </w:tc>
      </w:tr>
      <w:tr>
        <w:trPr>
          <w:trHeight w:val="206"/>
        </w:trPr>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255.2</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255.2</w:t>
            </w:r>
          </w:p>
        </w:tc>
      </w:tr>
      <w:tr>
        <w:trPr>
          <w:trHeight w:val="206"/>
        </w:trPr>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(175.0)</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(175.0)</w:t>
            </w:r>
          </w:p>
        </w:tc>
      </w:tr>
      <w:tr>
        <w:trPr>
          <w:trHeight w:val="20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0.7</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0.7</w:t>
            </w:r>
          </w:p>
        </w:tc>
      </w:tr>
      <w:tr>
        <w:trPr>
          <w:trHeight w:val="19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1,563.1</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1,012.8</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4.8</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2,580.7</w:t>
            </w:r>
          </w:p>
        </w:tc>
      </w:tr>
      <w:tr>
        <w:trPr>
          <w:trHeight w:val="196"/>
        </w:trPr>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298.7</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298.7</w:t>
            </w:r>
          </w:p>
        </w:tc>
      </w:tr>
      <w:tr>
        <w:trPr>
          <w:trHeight w:val="206"/>
        </w:trPr>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(120.0)</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(120.0)</w:t>
            </w:r>
          </w:p>
        </w:tc>
      </w:tr>
      <w:tr>
        <w:trPr>
          <w:trHeight w:val="20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r>
      <w:tr>
        <w:trPr>
          <w:trHeight w:val="19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1,563.1</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1,191.5</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4.6</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2,759.2</w:t>
            </w:r>
          </w:p>
        </w:tc>
      </w:tr>
      <w:tr>
        <w:trPr>
          <w:trHeight w:val="196"/>
        </w:trPr>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312.3</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312.3</w:t>
            </w:r>
          </w:p>
        </w:tc>
      </w:tr>
      <w:tr>
        <w:trPr>
          <w:trHeight w:val="206"/>
        </w:trPr>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(50.0)</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(50.0)</w:t>
            </w:r>
          </w:p>
        </w:tc>
      </w:tr>
      <w:tr>
        <w:trPr>
          <w:trHeight w:val="20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r>
      <w:tr>
        <w:trPr>
          <w:trHeight w:val="196"/>
        </w:trPr>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1,563.1</w:t>
            </w: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1,453.8</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4.3</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3,021.2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-1739265</wp:posOffset>
            </wp:positionV>
            <wp:extent cx="7105650" cy="1308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-1477645</wp:posOffset>
            </wp:positionV>
            <wp:extent cx="7105650" cy="1308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-1215390</wp:posOffset>
            </wp:positionV>
            <wp:extent cx="7105650" cy="139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-937260</wp:posOffset>
            </wp:positionV>
            <wp:extent cx="7105650" cy="1308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-675005</wp:posOffset>
            </wp:positionV>
            <wp:extent cx="7105650" cy="139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-396875</wp:posOffset>
            </wp:positionV>
            <wp:extent cx="7105650" cy="1308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-135255</wp:posOffset>
            </wp:positionV>
            <wp:extent cx="7105650" cy="155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15557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4540" w:space="720"/>
            <w:col w:w="5940"/>
          </w:cols>
          <w:pgMar w:left="320" w:top="124" w:right="379" w:bottom="1440" w:gutter="0" w:footer="0" w:header="0"/>
          <w:type w:val="continuous"/>
        </w:sectPr>
      </w:pPr>
    </w:p>
    <w:p>
      <w:pPr>
        <w:spacing w:after="0"/>
        <w:rPr>
          <w:sz w:val="20"/>
          <w:szCs w:val="20"/>
          <w:color w:val="auto"/>
        </w:rPr>
      </w:pPr>
      <w:r>
        <w:rPr>
          <w:rFonts w:ascii="Arial" w:cs="Arial" w:eastAsia="Arial" w:hAnsi="Arial"/>
          <w:sz w:val="11"/>
          <w:szCs w:val="11"/>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type w:val="continuous"/>
        </w:sectPr>
      </w:pPr>
    </w:p>
    <w:bookmarkStart w:id="88" w:name="page89"/>
    <w:bookmarkEnd w:id="8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INC.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INC.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METRO, INC.</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Combined Notes to Consolidated Financial Statements</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notes to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w:t>
      </w:r>
    </w:p>
    <w:p>
      <w:pPr>
        <w:spacing w:after="0" w:line="23"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Evergy is a public utility holding company incorporated in 2017 and headquartered in Kansas City, Missouri. Evergy operates primarily through the following wholly-owned direct subsidiaries listed below.</w:t>
      </w:r>
    </w:p>
    <w:p>
      <w:pPr>
        <w:spacing w:after="0" w:line="179" w:lineRule="exact"/>
        <w:rPr>
          <w:sz w:val="20"/>
          <w:szCs w:val="20"/>
          <w:color w:val="auto"/>
        </w:rPr>
      </w:pPr>
    </w:p>
    <w:p>
      <w:pPr>
        <w:ind w:left="620" w:right="140" w:hanging="307"/>
        <w:spacing w:after="0" w:line="252" w:lineRule="auto"/>
        <w:tabs>
          <w:tab w:leader="none" w:pos="6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72" w:lineRule="exact"/>
        <w:rPr>
          <w:rFonts w:ascii="Arial" w:cs="Arial" w:eastAsia="Arial" w:hAnsi="Arial"/>
          <w:sz w:val="19"/>
          <w:szCs w:val="19"/>
          <w:color w:val="auto"/>
        </w:rPr>
      </w:pPr>
    </w:p>
    <w:p>
      <w:pPr>
        <w:ind w:left="620" w:right="120" w:hanging="307"/>
        <w:spacing w:after="0" w:line="264" w:lineRule="auto"/>
        <w:tabs>
          <w:tab w:leader="none" w:pos="6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Evergy Metro, Inc. (Evergy Metro) is an integrated, regulated electric utility that provides electricity to customers in the states of Missouri and Kansas.</w:t>
      </w:r>
    </w:p>
    <w:p>
      <w:pPr>
        <w:spacing w:after="0" w:line="60" w:lineRule="exact"/>
        <w:rPr>
          <w:rFonts w:ascii="Arial" w:cs="Arial" w:eastAsia="Arial" w:hAnsi="Arial"/>
          <w:sz w:val="19"/>
          <w:szCs w:val="19"/>
          <w:color w:val="auto"/>
        </w:rPr>
      </w:pPr>
    </w:p>
    <w:p>
      <w:pPr>
        <w:ind w:left="620" w:right="260" w:hanging="307"/>
        <w:spacing w:after="0" w:line="264" w:lineRule="auto"/>
        <w:tabs>
          <w:tab w:leader="none" w:pos="6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Evergy Missouri West, Inc. (Evergy Missouri West) is an integrated, regulated electric utility that provides electricity to customers in the state of Missouri.</w:t>
      </w:r>
    </w:p>
    <w:p>
      <w:pPr>
        <w:spacing w:after="0" w:line="60" w:lineRule="exact"/>
        <w:rPr>
          <w:rFonts w:ascii="Arial" w:cs="Arial" w:eastAsia="Arial" w:hAnsi="Arial"/>
          <w:sz w:val="19"/>
          <w:szCs w:val="19"/>
          <w:color w:val="auto"/>
        </w:rPr>
      </w:pPr>
    </w:p>
    <w:p>
      <w:pPr>
        <w:ind w:left="620" w:right="240" w:hanging="307"/>
        <w:spacing w:after="0" w:line="248" w:lineRule="auto"/>
        <w:tabs>
          <w:tab w:leader="none" w:pos="6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80"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06"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1.6 million customers in the states of Kansas and Missouri.</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Principles of Consolidation</w:t>
      </w:r>
    </w:p>
    <w:p>
      <w:pPr>
        <w:spacing w:after="0" w:line="23"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Each of Evergy's, Evergy Kansas Central's and Evergy Metro's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89" w:name="page90"/>
    <w:bookmarkEnd w:id="8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Evergy Metro elected not to apply "push-down accounting" related to the Great Plains Energy Incorporated (Great Plains Energy) and Evergy Kansas Central merger in 2018, whereby the adjustments of assets and liabilities to fair value and the resulting goodwill would be recorded on the financial statements of the acquired subsidiary. These adjustments for Evergy Metro, as well as those related to the acquired assets and liabilities of Great Plains Energy and its other direct subsidiaries, are only reflected on Evergy's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Estimates</w:t>
      </w:r>
    </w:p>
    <w:p>
      <w:pPr>
        <w:spacing w:after="0" w:line="23"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The process of preparing financial statements in conformity with generally accepted accounting principles (GAAP) requires the use of estimates and assumptions that affect the reported amounts of certain types of assets, liabilities, revenues and expenses. Such estimates primarily relate to unsettled transactions and events as of the date of the financial statements. Accordingly, upon settlement, actual results may differ from estimated amounts.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Cash equivalents consist of highly liquid investments with original maturities of three months or less at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Fuel Inventory and Supplies</w:t>
      </w:r>
    </w:p>
    <w:p>
      <w:pPr>
        <w:spacing w:after="0" w:line="23" w:lineRule="exact"/>
        <w:rPr>
          <w:sz w:val="20"/>
          <w:szCs w:val="20"/>
          <w:color w:val="auto"/>
        </w:rPr>
      </w:pPr>
    </w:p>
    <w:p>
      <w:pPr>
        <w:ind w:right="120"/>
        <w:spacing w:after="0" w:line="247" w:lineRule="auto"/>
        <w:rPr>
          <w:sz w:val="20"/>
          <w:szCs w:val="20"/>
          <w:color w:val="auto"/>
        </w:rPr>
      </w:pPr>
      <w:r>
        <w:rPr>
          <w:rFonts w:ascii="Arial" w:cs="Arial" w:eastAsia="Arial" w:hAnsi="Arial"/>
          <w:sz w:val="19"/>
          <w:szCs w:val="19"/>
          <w:color w:val="auto"/>
        </w:rPr>
        <w:t>The Evergy Companies record fuel inventory and supplies at average cost. The following table separately states the balances for fuel inventory and supplies.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9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2021</w:t>
            </w:r>
          </w:p>
        </w:tc>
        <w:tc>
          <w:tcPr>
            <w:tcW w:w="1220" w:type="dxa"/>
            <w:vAlign w:val="bottom"/>
            <w:tcBorders>
              <w:top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rPr>
              <w:t>December 31</w:t>
            </w:r>
          </w:p>
        </w:tc>
        <w:tc>
          <w:tcPr>
            <w:tcW w:w="108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Evergy</w:t>
            </w:r>
          </w:p>
        </w:tc>
        <w:tc>
          <w:tcPr>
            <w:tcW w:w="1040" w:type="dxa"/>
            <w:vAlign w:val="bottom"/>
          </w:tcPr>
          <w:p>
            <w:pPr>
              <w:spacing w:after="0"/>
              <w:rPr>
                <w:sz w:val="18"/>
                <w:szCs w:val="18"/>
                <w:color w:val="auto"/>
              </w:rPr>
            </w:pPr>
          </w:p>
        </w:tc>
        <w:tc>
          <w:tcPr>
            <w:tcW w:w="1220" w:type="dxa"/>
            <w:vAlign w:val="bottom"/>
            <w:gridSpan w:val="2"/>
          </w:tcPr>
          <w:p>
            <w:pPr>
              <w:jc w:val="right"/>
              <w:ind w:right="194"/>
              <w:spacing w:after="0"/>
              <w:rPr>
                <w:sz w:val="20"/>
                <w:szCs w:val="20"/>
                <w:color w:val="auto"/>
              </w:rPr>
            </w:pPr>
            <w:r>
              <w:rPr>
                <w:rFonts w:ascii="Arial" w:cs="Arial" w:eastAsia="Arial" w:hAnsi="Arial"/>
                <w:sz w:val="15"/>
                <w:szCs w:val="15"/>
                <w:color w:val="auto"/>
              </w:rPr>
              <w:t>(millions)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Fuel inventory</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160.9</w:t>
            </w:r>
          </w:p>
        </w:tc>
        <w:tc>
          <w:tcPr>
            <w:tcW w:w="6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218"/>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Supplies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405.8</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359.5</w:t>
            </w:r>
          </w:p>
        </w:tc>
        <w:tc>
          <w:tcPr>
            <w:tcW w:w="0" w:type="dxa"/>
            <w:vAlign w:val="bottom"/>
          </w:tcPr>
          <w:p>
            <w:pPr>
              <w:spacing w:after="0"/>
              <w:rPr>
                <w:sz w:val="1"/>
                <w:szCs w:val="1"/>
                <w:color w:val="auto"/>
              </w:rPr>
            </w:pPr>
          </w:p>
        </w:tc>
      </w:tr>
      <w:tr>
        <w:trPr>
          <w:trHeight w:val="212"/>
        </w:trPr>
        <w:tc>
          <w:tcPr>
            <w:tcW w:w="7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Fuel inventory and supplies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566.7</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504.5</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Fuel inventory</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74.3</w:t>
            </w:r>
          </w:p>
        </w:tc>
        <w:tc>
          <w:tcPr>
            <w:tcW w:w="6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18"/>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Supplies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208.9</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197.1</w:t>
            </w:r>
          </w:p>
        </w:tc>
        <w:tc>
          <w:tcPr>
            <w:tcW w:w="0" w:type="dxa"/>
            <w:vAlign w:val="bottom"/>
          </w:tcPr>
          <w:p>
            <w:pPr>
              <w:spacing w:after="0"/>
              <w:rPr>
                <w:sz w:val="1"/>
                <w:szCs w:val="1"/>
                <w:color w:val="auto"/>
              </w:rPr>
            </w:pPr>
          </w:p>
        </w:tc>
      </w:tr>
      <w:tr>
        <w:trPr>
          <w:trHeight w:val="212"/>
        </w:trPr>
        <w:tc>
          <w:tcPr>
            <w:tcW w:w="7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Fuel inventory and supplies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283.2</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Evergy Metro</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Fuel inventory</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62.0</w:t>
            </w:r>
          </w:p>
        </w:tc>
        <w:tc>
          <w:tcPr>
            <w:tcW w:w="6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18"/>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Supplies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149.0</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125.5</w:t>
            </w:r>
          </w:p>
        </w:tc>
        <w:tc>
          <w:tcPr>
            <w:tcW w:w="0" w:type="dxa"/>
            <w:vAlign w:val="bottom"/>
          </w:tcPr>
          <w:p>
            <w:pPr>
              <w:spacing w:after="0"/>
              <w:rPr>
                <w:sz w:val="1"/>
                <w:szCs w:val="1"/>
                <w:color w:val="auto"/>
              </w:rPr>
            </w:pPr>
          </w:p>
        </w:tc>
      </w:tr>
      <w:tr>
        <w:trPr>
          <w:trHeight w:val="219"/>
        </w:trPr>
        <w:tc>
          <w:tcPr>
            <w:tcW w:w="7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Fuel inventory and supplies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211.0</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Property, Plant and Equipment</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Evergy Companies record the value of property, plant and equipment, including that of VIEs, at cost. For plant, cost includes contracted services, direct labor and materials, indirect charges for engineering and supervision and an allowance for funds used during construction (AFUDC). AFUDC represents the allowed cost of capital used to finance utility construction activity. AFUDC equity funds are included as a non-cash item in other income and AFUDC borrowed funds are a reduction of interest expense. AFUDC is computed by applying a composite rate to qualified construction work in progress. The rates used to compute gross AFUDC are compounded semi-annually.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0" w:name="page91"/>
    <w:bookmarkEnd w:id="9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The amounts of the Evergy Companies' AFUDC for borrowed and equity funds are detailed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2019</w:t>
            </w:r>
          </w:p>
        </w:tc>
      </w:tr>
      <w:tr>
        <w:trPr>
          <w:trHeight w:val="212"/>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Evergy</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355"/>
              <w:spacing w:after="0"/>
              <w:rPr>
                <w:sz w:val="20"/>
                <w:szCs w:val="20"/>
                <w:color w:val="auto"/>
              </w:rPr>
            </w:pPr>
            <w:r>
              <w:rPr>
                <w:rFonts w:ascii="Arial" w:cs="Arial" w:eastAsia="Arial" w:hAnsi="Arial"/>
                <w:sz w:val="15"/>
                <w:szCs w:val="15"/>
                <w:color w:val="auto"/>
              </w:rPr>
              <w:t>(millions)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AFUDC borrowed funds</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0"/>
              </w:rPr>
              <w:t>14.7</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16.5</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r>
      <w:tr>
        <w:trPr>
          <w:trHeight w:val="218"/>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AFUDC equity funds</w:t>
            </w: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0"/>
              </w:rPr>
              <w:t>29.4</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17.2</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1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0"/>
              </w:rPr>
              <w:t>44.1</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33.7</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19"/>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AFUDC borrowed funds</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7.1</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8.5</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8"/>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AFUDC equity funds</w:t>
            </w: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0"/>
              </w:rPr>
              <w:t>14.9</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9.1</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0"/>
              </w:rPr>
              <w:t>22.0</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17.6</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9"/>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Evergy Metro</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AFUDC borrowed funds</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6.0</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6.0</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8"/>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AFUDC equity funds</w:t>
            </w: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0"/>
              </w:rPr>
              <w:t>12.6</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8.0</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19"/>
        </w:trPr>
        <w:tc>
          <w:tcPr>
            <w:tcW w:w="70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90"/>
              </w:rPr>
              <w:t>18.6</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14.0</w:t>
            </w:r>
          </w:p>
        </w:tc>
        <w:tc>
          <w:tcPr>
            <w:tcW w:w="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average rates used in the calculation of AFUDC are detailed in the following table.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Borders>
              <w:top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tcBorders>
          </w:tcPr>
          <w:p>
            <w:pPr>
              <w:jc w:val="center"/>
              <w:ind w:left="1894"/>
              <w:spacing w:after="0"/>
              <w:rPr>
                <w:sz w:val="20"/>
                <w:szCs w:val="20"/>
                <w:color w:val="auto"/>
              </w:rPr>
            </w:pPr>
            <w:r>
              <w:rPr>
                <w:rFonts w:ascii="Arial" w:cs="Arial" w:eastAsia="Arial" w:hAnsi="Arial"/>
                <w:sz w:val="17"/>
                <w:szCs w:val="17"/>
                <w:b w:val="1"/>
                <w:bCs w:val="1"/>
                <w:color w:val="auto"/>
                <w:w w:val="89"/>
              </w:rPr>
              <w:t>2021</w:t>
            </w: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2020</w:t>
            </w:r>
          </w:p>
        </w:tc>
        <w:tc>
          <w:tcPr>
            <w:tcW w:w="1600" w:type="dxa"/>
            <w:vAlign w:val="bottom"/>
            <w:tcBorders>
              <w:top w:val="single" w:sz="8" w:color="auto"/>
              <w:bottom w:val="single" w:sz="8" w:color="auto"/>
            </w:tcBorders>
          </w:tcPr>
          <w:p>
            <w:pPr>
              <w:jc w:val="center"/>
              <w:ind w:left="14"/>
              <w:spacing w:after="0"/>
              <w:rPr>
                <w:sz w:val="20"/>
                <w:szCs w:val="20"/>
                <w:color w:val="auto"/>
              </w:rPr>
            </w:pPr>
            <w:r>
              <w:rPr>
                <w:rFonts w:ascii="Arial" w:cs="Arial" w:eastAsia="Arial" w:hAnsi="Arial"/>
                <w:sz w:val="17"/>
                <w:szCs w:val="17"/>
                <w:b w:val="1"/>
                <w:bCs w:val="1"/>
                <w:color w:val="auto"/>
                <w:w w:val="89"/>
              </w:rPr>
              <w:t>2019</w:t>
            </w:r>
          </w:p>
        </w:tc>
      </w:tr>
      <w:tr>
        <w:trPr>
          <w:trHeight w:val="212"/>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 Kansas Central</w:t>
            </w:r>
          </w:p>
        </w:tc>
        <w:tc>
          <w:tcPr>
            <w:tcW w:w="3680" w:type="dxa"/>
            <w:vAlign w:val="bottom"/>
            <w:shd w:val="clear" w:color="auto" w:fill="CCEEFF"/>
          </w:tcPr>
          <w:p>
            <w:pPr>
              <w:jc w:val="center"/>
              <w:ind w:left="1914"/>
              <w:spacing w:after="0"/>
              <w:rPr>
                <w:sz w:val="20"/>
                <w:szCs w:val="20"/>
                <w:color w:val="auto"/>
              </w:rPr>
            </w:pPr>
            <w:r>
              <w:rPr>
                <w:rFonts w:ascii="Arial" w:cs="Arial" w:eastAsia="Arial" w:hAnsi="Arial"/>
                <w:sz w:val="17"/>
                <w:szCs w:val="17"/>
                <w:color w:val="auto"/>
                <w:w w:val="92"/>
              </w:rPr>
              <w:t>4.9%</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4.7%</w:t>
            </w:r>
          </w:p>
        </w:tc>
        <w:tc>
          <w:tcPr>
            <w:tcW w:w="160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2"/>
              </w:rPr>
              <w:t>3.0%</w:t>
            </w:r>
          </w:p>
        </w:tc>
      </w:tr>
      <w:tr>
        <w:trPr>
          <w:trHeight w:val="218"/>
        </w:trPr>
        <w:tc>
          <w:tcPr>
            <w:tcW w:w="4260" w:type="dxa"/>
            <w:vAlign w:val="bottom"/>
          </w:tcPr>
          <w:p>
            <w:pPr>
              <w:ind w:left="20"/>
              <w:spacing w:after="0"/>
              <w:rPr>
                <w:sz w:val="20"/>
                <w:szCs w:val="20"/>
                <w:color w:val="auto"/>
              </w:rPr>
            </w:pPr>
            <w:r>
              <w:rPr>
                <w:rFonts w:ascii="Arial" w:cs="Arial" w:eastAsia="Arial" w:hAnsi="Arial"/>
                <w:sz w:val="17"/>
                <w:szCs w:val="17"/>
                <w:color w:val="auto"/>
              </w:rPr>
              <w:t>Evergy Metro</w:t>
            </w:r>
          </w:p>
        </w:tc>
        <w:tc>
          <w:tcPr>
            <w:tcW w:w="3680" w:type="dxa"/>
            <w:vAlign w:val="bottom"/>
          </w:tcPr>
          <w:p>
            <w:pPr>
              <w:jc w:val="center"/>
              <w:ind w:left="1914"/>
              <w:spacing w:after="0"/>
              <w:rPr>
                <w:sz w:val="20"/>
                <w:szCs w:val="20"/>
                <w:color w:val="auto"/>
              </w:rPr>
            </w:pPr>
            <w:r>
              <w:rPr>
                <w:rFonts w:ascii="Arial" w:cs="Arial" w:eastAsia="Arial" w:hAnsi="Arial"/>
                <w:sz w:val="17"/>
                <w:szCs w:val="17"/>
                <w:color w:val="auto"/>
                <w:w w:val="92"/>
              </w:rPr>
              <w:t>5.6%</w:t>
            </w:r>
          </w:p>
        </w:tc>
        <w:tc>
          <w:tcPr>
            <w:tcW w:w="1700" w:type="dxa"/>
            <w:vAlign w:val="bottom"/>
          </w:tcPr>
          <w:p>
            <w:pPr>
              <w:jc w:val="center"/>
              <w:spacing w:after="0"/>
              <w:rPr>
                <w:sz w:val="20"/>
                <w:szCs w:val="20"/>
                <w:color w:val="auto"/>
              </w:rPr>
            </w:pPr>
            <w:r>
              <w:rPr>
                <w:rFonts w:ascii="Arial" w:cs="Arial" w:eastAsia="Arial" w:hAnsi="Arial"/>
                <w:sz w:val="17"/>
                <w:szCs w:val="17"/>
                <w:color w:val="auto"/>
                <w:w w:val="92"/>
              </w:rPr>
              <w:t>5.2%</w:t>
            </w:r>
          </w:p>
        </w:tc>
        <w:tc>
          <w:tcPr>
            <w:tcW w:w="1600" w:type="dxa"/>
            <w:vAlign w:val="bottom"/>
          </w:tcPr>
          <w:p>
            <w:pPr>
              <w:jc w:val="center"/>
              <w:ind w:left="34"/>
              <w:spacing w:after="0"/>
              <w:rPr>
                <w:sz w:val="20"/>
                <w:szCs w:val="20"/>
                <w:color w:val="auto"/>
              </w:rPr>
            </w:pPr>
            <w:r>
              <w:rPr>
                <w:rFonts w:ascii="Arial" w:cs="Arial" w:eastAsia="Arial" w:hAnsi="Arial"/>
                <w:sz w:val="17"/>
                <w:szCs w:val="17"/>
                <w:color w:val="auto"/>
                <w:w w:val="92"/>
              </w:rPr>
              <w:t>4.6%</w:t>
            </w:r>
          </w:p>
        </w:tc>
      </w:tr>
      <w:tr>
        <w:trPr>
          <w:trHeight w:val="22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Evergy Missouri West</w:t>
            </w:r>
          </w:p>
        </w:tc>
        <w:tc>
          <w:tcPr>
            <w:tcW w:w="3680" w:type="dxa"/>
            <w:vAlign w:val="bottom"/>
            <w:tcBorders>
              <w:bottom w:val="single" w:sz="8" w:color="auto"/>
            </w:tcBorders>
            <w:shd w:val="clear" w:color="auto" w:fill="CCEEFF"/>
          </w:tcPr>
          <w:p>
            <w:pPr>
              <w:jc w:val="center"/>
              <w:ind w:left="1914"/>
              <w:spacing w:after="0"/>
              <w:rPr>
                <w:sz w:val="20"/>
                <w:szCs w:val="20"/>
                <w:color w:val="auto"/>
              </w:rPr>
            </w:pPr>
            <w:r>
              <w:rPr>
                <w:rFonts w:ascii="Arial" w:cs="Arial" w:eastAsia="Arial" w:hAnsi="Arial"/>
                <w:sz w:val="17"/>
                <w:szCs w:val="17"/>
                <w:color w:val="auto"/>
                <w:w w:val="92"/>
              </w:rPr>
              <w:t>2.6%</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3.5%</w:t>
            </w:r>
          </w:p>
        </w:tc>
        <w:tc>
          <w:tcPr>
            <w:tcW w:w="1600" w:type="dxa"/>
            <w:vAlign w:val="bottom"/>
            <w:tcBorders>
              <w:bottom w:val="single" w:sz="8" w:color="auto"/>
            </w:tcBorders>
            <w:shd w:val="clear" w:color="auto" w:fill="CCEEFF"/>
          </w:tcPr>
          <w:p>
            <w:pPr>
              <w:jc w:val="center"/>
              <w:ind w:left="34"/>
              <w:spacing w:after="0"/>
              <w:rPr>
                <w:sz w:val="20"/>
                <w:szCs w:val="20"/>
                <w:color w:val="auto"/>
              </w:rPr>
            </w:pPr>
            <w:r>
              <w:rPr>
                <w:rFonts w:ascii="Arial" w:cs="Arial" w:eastAsia="Arial" w:hAnsi="Arial"/>
                <w:sz w:val="17"/>
                <w:szCs w:val="17"/>
                <w:color w:val="auto"/>
                <w:w w:val="92"/>
              </w:rPr>
              <w:t>3.7%</w:t>
            </w:r>
          </w:p>
        </w:tc>
      </w:tr>
    </w:tbl>
    <w:p>
      <w:pPr>
        <w:spacing w:after="0" w:line="280" w:lineRule="exact"/>
        <w:rPr>
          <w:sz w:val="20"/>
          <w:szCs w:val="20"/>
          <w:color w:val="auto"/>
        </w:rPr>
      </w:pPr>
    </w:p>
    <w:p>
      <w:pPr>
        <w:jc w:val="both"/>
        <w:ind w:right="180"/>
        <w:spacing w:after="0" w:line="267" w:lineRule="auto"/>
        <w:rPr>
          <w:sz w:val="20"/>
          <w:szCs w:val="20"/>
          <w:color w:val="auto"/>
        </w:rPr>
      </w:pPr>
      <w:r>
        <w:rPr>
          <w:rFonts w:ascii="Arial" w:cs="Arial" w:eastAsia="Arial" w:hAnsi="Arial"/>
          <w:sz w:val="18"/>
          <w:szCs w:val="18"/>
          <w:color w:val="auto"/>
        </w:rPr>
        <w:t>When property units are retired or otherwise disposed, the original cost, net of salvage, is charged to accumulated depreciation. Repair of property and replacement of items not considered to be units of property are expensed as incurred, except for planned refueling and maintenance outages at Wolf Creek Generating Station (Wolf Creek). As authorized by regulators, the incremental maintenance cost incurred for such outages is deferred and amortized to expense ratably over the period between planned outages.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Depreciation and Amortization</w:t>
      </w:r>
    </w:p>
    <w:p>
      <w:pPr>
        <w:spacing w:after="0" w:line="2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Depreciation and amortization of utility plant other than nuclear fuel is computed using the straight-line method over the estimated lives of depreciable property based on rates approved by state regulatory authorities. Annual depreciation rates average approximately 3%. See Note 7 for more details. Nuclear fuel is amortized to fuel expense based on the quantity of heat produced during the generation of electricity.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depreciable lives of Evergy's, Evergy Kansas Central's and Evergy Metro's property, plant and equipment are detailed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Evergy</w:t>
            </w:r>
          </w:p>
        </w:tc>
        <w:tc>
          <w:tcPr>
            <w:tcW w:w="1040" w:type="dxa"/>
            <w:vAlign w:val="bottom"/>
            <w:tcBorders>
              <w:top w:val="single" w:sz="8" w:color="auto"/>
              <w:bottom w:val="single" w:sz="8" w:color="auto"/>
            </w:tcBorders>
          </w:tcPr>
          <w:p>
            <w:pPr>
              <w:spacing w:after="0"/>
              <w:rPr>
                <w:sz w:val="21"/>
                <w:szCs w:val="21"/>
                <w:color w:val="auto"/>
              </w:rPr>
            </w:pPr>
          </w:p>
        </w:tc>
        <w:tc>
          <w:tcPr>
            <w:tcW w:w="32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2"/>
              </w:rPr>
              <w:t>Evergy Kansas Central</w:t>
            </w:r>
          </w:p>
        </w:tc>
        <w:tc>
          <w:tcPr>
            <w:tcW w:w="2620" w:type="dxa"/>
            <w:vAlign w:val="bottom"/>
            <w:tcBorders>
              <w:top w:val="single" w:sz="8" w:color="auto"/>
              <w:bottom w:val="single" w:sz="8" w:color="auto"/>
            </w:tcBorders>
            <w:gridSpan w:val="3"/>
          </w:tcPr>
          <w:p>
            <w:pPr>
              <w:jc w:val="center"/>
              <w:ind w:left="114"/>
              <w:spacing w:after="0"/>
              <w:rPr>
                <w:sz w:val="20"/>
                <w:szCs w:val="20"/>
                <w:color w:val="auto"/>
              </w:rPr>
            </w:pPr>
            <w:r>
              <w:rPr>
                <w:rFonts w:ascii="Arial" w:cs="Arial" w:eastAsia="Arial" w:hAnsi="Arial"/>
                <w:sz w:val="17"/>
                <w:szCs w:val="17"/>
                <w:b w:val="1"/>
                <w:bCs w:val="1"/>
                <w:color w:val="auto"/>
                <w:w w:val="94"/>
              </w:rPr>
              <w:t>Evergy Metro</w:t>
            </w:r>
          </w:p>
        </w:tc>
      </w:tr>
      <w:tr>
        <w:trPr>
          <w:trHeight w:val="196"/>
        </w:trPr>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89"/>
              </w:rPr>
              <w:t>(years)</w:t>
            </w: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Generating facilities</w:t>
            </w:r>
          </w:p>
        </w:tc>
        <w:tc>
          <w:tcPr>
            <w:tcW w:w="1140" w:type="dxa"/>
            <w:vAlign w:val="bottom"/>
            <w:shd w:val="clear" w:color="auto" w:fill="CCEEFF"/>
          </w:tcPr>
          <w:p>
            <w:pPr>
              <w:jc w:val="center"/>
              <w:ind w:left="694"/>
              <w:spacing w:after="0"/>
              <w:rPr>
                <w:sz w:val="20"/>
                <w:szCs w:val="20"/>
                <w:color w:val="auto"/>
              </w:rPr>
            </w:pPr>
            <w:r>
              <w:rPr>
                <w:rFonts w:ascii="Arial" w:cs="Arial" w:eastAsia="Arial" w:hAnsi="Arial"/>
                <w:sz w:val="17"/>
                <w:szCs w:val="17"/>
                <w:color w:val="auto"/>
                <w:w w:val="84"/>
              </w:rPr>
              <w:t>8</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1040" w:type="dxa"/>
            <w:vAlign w:val="bottom"/>
            <w:shd w:val="clear" w:color="auto" w:fill="CCEEFF"/>
          </w:tcPr>
          <w:p>
            <w:pPr>
              <w:jc w:val="right"/>
              <w:ind w:right="694"/>
              <w:spacing w:after="0"/>
              <w:rPr>
                <w:sz w:val="20"/>
                <w:szCs w:val="20"/>
                <w:color w:val="auto"/>
              </w:rPr>
            </w:pPr>
            <w:r>
              <w:rPr>
                <w:rFonts w:ascii="Arial" w:cs="Arial" w:eastAsia="Arial" w:hAnsi="Arial"/>
                <w:sz w:val="17"/>
                <w:szCs w:val="17"/>
                <w:color w:val="auto"/>
              </w:rPr>
              <w:t>87</w:t>
            </w:r>
          </w:p>
        </w:tc>
        <w:tc>
          <w:tcPr>
            <w:tcW w:w="132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4"/>
              </w:rPr>
              <w:t>8</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13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87</w:t>
            </w:r>
          </w:p>
        </w:tc>
        <w:tc>
          <w:tcPr>
            <w:tcW w:w="1140" w:type="dxa"/>
            <w:vAlign w:val="bottom"/>
            <w:shd w:val="clear" w:color="auto" w:fill="CCEEFF"/>
          </w:tcPr>
          <w:p>
            <w:pPr>
              <w:jc w:val="center"/>
              <w:ind w:left="514"/>
              <w:spacing w:after="0"/>
              <w:rPr>
                <w:sz w:val="20"/>
                <w:szCs w:val="20"/>
                <w:color w:val="auto"/>
              </w:rPr>
            </w:pPr>
            <w:r>
              <w:rPr>
                <w:rFonts w:ascii="Arial" w:cs="Arial" w:eastAsia="Arial" w:hAnsi="Arial"/>
                <w:sz w:val="17"/>
                <w:szCs w:val="17"/>
                <w:color w:val="auto"/>
                <w:w w:val="94"/>
              </w:rPr>
              <w:t>20</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94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60</w:t>
            </w:r>
          </w:p>
        </w:tc>
      </w:tr>
      <w:tr>
        <w:trPr>
          <w:trHeight w:val="218"/>
        </w:trPr>
        <w:tc>
          <w:tcPr>
            <w:tcW w:w="2440" w:type="dxa"/>
            <w:vAlign w:val="bottom"/>
          </w:tcPr>
          <w:p>
            <w:pPr>
              <w:ind w:left="20"/>
              <w:spacing w:after="0"/>
              <w:rPr>
                <w:sz w:val="20"/>
                <w:szCs w:val="20"/>
                <w:color w:val="auto"/>
              </w:rPr>
            </w:pPr>
            <w:r>
              <w:rPr>
                <w:rFonts w:ascii="Arial" w:cs="Arial" w:eastAsia="Arial" w:hAnsi="Arial"/>
                <w:sz w:val="17"/>
                <w:szCs w:val="17"/>
                <w:color w:val="auto"/>
              </w:rPr>
              <w:t>Transmission facilities</w:t>
            </w:r>
          </w:p>
        </w:tc>
        <w:tc>
          <w:tcPr>
            <w:tcW w:w="1140" w:type="dxa"/>
            <w:vAlign w:val="bottom"/>
          </w:tcPr>
          <w:p>
            <w:pPr>
              <w:jc w:val="center"/>
              <w:ind w:left="674"/>
              <w:spacing w:after="0"/>
              <w:rPr>
                <w:sz w:val="20"/>
                <w:szCs w:val="20"/>
                <w:color w:val="auto"/>
              </w:rPr>
            </w:pPr>
            <w:r>
              <w:rPr>
                <w:rFonts w:ascii="Arial" w:cs="Arial" w:eastAsia="Arial" w:hAnsi="Arial"/>
                <w:sz w:val="17"/>
                <w:szCs w:val="17"/>
                <w:color w:val="auto"/>
                <w:w w:val="94"/>
              </w:rPr>
              <w:t>15</w:t>
            </w:r>
          </w:p>
        </w:tc>
        <w:tc>
          <w:tcPr>
            <w:tcW w:w="72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1040" w:type="dxa"/>
            <w:vAlign w:val="bottom"/>
          </w:tcPr>
          <w:p>
            <w:pPr>
              <w:jc w:val="right"/>
              <w:ind w:right="694"/>
              <w:spacing w:after="0"/>
              <w:rPr>
                <w:sz w:val="20"/>
                <w:szCs w:val="20"/>
                <w:color w:val="auto"/>
              </w:rPr>
            </w:pPr>
            <w:r>
              <w:rPr>
                <w:rFonts w:ascii="Arial" w:cs="Arial" w:eastAsia="Arial" w:hAnsi="Arial"/>
                <w:sz w:val="17"/>
                <w:szCs w:val="17"/>
                <w:color w:val="auto"/>
              </w:rPr>
              <w:t>94</w:t>
            </w:r>
          </w:p>
        </w:tc>
        <w:tc>
          <w:tcPr>
            <w:tcW w:w="1320" w:type="dxa"/>
            <w:vAlign w:val="bottom"/>
          </w:tcPr>
          <w:p>
            <w:pPr>
              <w:jc w:val="center"/>
              <w:ind w:left="794"/>
              <w:spacing w:after="0"/>
              <w:rPr>
                <w:sz w:val="20"/>
                <w:szCs w:val="20"/>
                <w:color w:val="auto"/>
              </w:rPr>
            </w:pPr>
            <w:r>
              <w:rPr>
                <w:rFonts w:ascii="Arial" w:cs="Arial" w:eastAsia="Arial" w:hAnsi="Arial"/>
                <w:sz w:val="17"/>
                <w:szCs w:val="17"/>
                <w:color w:val="auto"/>
                <w:w w:val="84"/>
              </w:rPr>
              <w:t>36</w:t>
            </w:r>
          </w:p>
        </w:tc>
        <w:tc>
          <w:tcPr>
            <w:tcW w:w="66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1300" w:type="dxa"/>
            <w:vAlign w:val="bottom"/>
          </w:tcPr>
          <w:p>
            <w:pPr>
              <w:jc w:val="right"/>
              <w:ind w:right="914"/>
              <w:spacing w:after="0"/>
              <w:rPr>
                <w:sz w:val="20"/>
                <w:szCs w:val="20"/>
                <w:color w:val="auto"/>
              </w:rPr>
            </w:pPr>
            <w:r>
              <w:rPr>
                <w:rFonts w:ascii="Arial" w:cs="Arial" w:eastAsia="Arial" w:hAnsi="Arial"/>
                <w:sz w:val="17"/>
                <w:szCs w:val="17"/>
                <w:color w:val="auto"/>
              </w:rPr>
              <w:t>94</w:t>
            </w:r>
          </w:p>
        </w:tc>
        <w:tc>
          <w:tcPr>
            <w:tcW w:w="1140" w:type="dxa"/>
            <w:vAlign w:val="bottom"/>
          </w:tcPr>
          <w:p>
            <w:pPr>
              <w:jc w:val="center"/>
              <w:ind w:left="514"/>
              <w:spacing w:after="0"/>
              <w:rPr>
                <w:sz w:val="20"/>
                <w:szCs w:val="20"/>
                <w:color w:val="auto"/>
              </w:rPr>
            </w:pPr>
            <w:r>
              <w:rPr>
                <w:rFonts w:ascii="Arial" w:cs="Arial" w:eastAsia="Arial" w:hAnsi="Arial"/>
                <w:sz w:val="17"/>
                <w:szCs w:val="17"/>
                <w:color w:val="auto"/>
                <w:w w:val="94"/>
              </w:rPr>
              <w:t>15</w:t>
            </w:r>
          </w:p>
        </w:tc>
        <w:tc>
          <w:tcPr>
            <w:tcW w:w="54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940" w:type="dxa"/>
            <w:vAlign w:val="bottom"/>
          </w:tcPr>
          <w:p>
            <w:pPr>
              <w:jc w:val="right"/>
              <w:ind w:right="494"/>
              <w:spacing w:after="0"/>
              <w:rPr>
                <w:sz w:val="20"/>
                <w:szCs w:val="20"/>
                <w:color w:val="auto"/>
              </w:rPr>
            </w:pPr>
            <w:r>
              <w:rPr>
                <w:rFonts w:ascii="Arial" w:cs="Arial" w:eastAsia="Arial" w:hAnsi="Arial"/>
                <w:sz w:val="17"/>
                <w:szCs w:val="17"/>
                <w:color w:val="auto"/>
              </w:rPr>
              <w:t>70</w:t>
            </w:r>
          </w:p>
        </w:tc>
      </w:tr>
      <w:tr>
        <w:trPr>
          <w:trHeight w:val="220"/>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 facilities</w:t>
            </w:r>
          </w:p>
        </w:tc>
        <w:tc>
          <w:tcPr>
            <w:tcW w:w="1140" w:type="dxa"/>
            <w:vAlign w:val="bottom"/>
            <w:shd w:val="clear" w:color="auto" w:fill="CCEEFF"/>
          </w:tcPr>
          <w:p>
            <w:pPr>
              <w:jc w:val="center"/>
              <w:ind w:left="694"/>
              <w:spacing w:after="0"/>
              <w:rPr>
                <w:sz w:val="20"/>
                <w:szCs w:val="20"/>
                <w:color w:val="auto"/>
              </w:rPr>
            </w:pPr>
            <w:r>
              <w:rPr>
                <w:rFonts w:ascii="Arial" w:cs="Arial" w:eastAsia="Arial" w:hAnsi="Arial"/>
                <w:sz w:val="17"/>
                <w:szCs w:val="17"/>
                <w:color w:val="auto"/>
                <w:w w:val="84"/>
              </w:rPr>
              <w:t>8</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1040" w:type="dxa"/>
            <w:vAlign w:val="bottom"/>
            <w:shd w:val="clear" w:color="auto" w:fill="CCEEFF"/>
          </w:tcPr>
          <w:p>
            <w:pPr>
              <w:jc w:val="right"/>
              <w:ind w:right="694"/>
              <w:spacing w:after="0"/>
              <w:rPr>
                <w:sz w:val="20"/>
                <w:szCs w:val="20"/>
                <w:color w:val="auto"/>
              </w:rPr>
            </w:pPr>
            <w:r>
              <w:rPr>
                <w:rFonts w:ascii="Arial" w:cs="Arial" w:eastAsia="Arial" w:hAnsi="Arial"/>
                <w:sz w:val="17"/>
                <w:szCs w:val="17"/>
                <w:color w:val="auto"/>
              </w:rPr>
              <w:t>73</w:t>
            </w:r>
          </w:p>
        </w:tc>
        <w:tc>
          <w:tcPr>
            <w:tcW w:w="132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4"/>
              </w:rPr>
              <w:t>19</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13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73</w:t>
            </w:r>
          </w:p>
        </w:tc>
        <w:tc>
          <w:tcPr>
            <w:tcW w:w="1140" w:type="dxa"/>
            <w:vAlign w:val="bottom"/>
            <w:shd w:val="clear" w:color="auto" w:fill="CCEEFF"/>
          </w:tcPr>
          <w:p>
            <w:pPr>
              <w:jc w:val="center"/>
              <w:ind w:left="494"/>
              <w:spacing w:after="0"/>
              <w:rPr>
                <w:sz w:val="20"/>
                <w:szCs w:val="20"/>
                <w:color w:val="auto"/>
              </w:rPr>
            </w:pPr>
            <w:r>
              <w:rPr>
                <w:rFonts w:ascii="Arial" w:cs="Arial" w:eastAsia="Arial" w:hAnsi="Arial"/>
                <w:sz w:val="17"/>
                <w:szCs w:val="17"/>
                <w:color w:val="auto"/>
                <w:w w:val="84"/>
              </w:rPr>
              <w:t>8</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94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55</w:t>
            </w:r>
          </w:p>
        </w:tc>
      </w:tr>
      <w:tr>
        <w:trPr>
          <w:trHeight w:val="225"/>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tcPr>
          <w:p>
            <w:pPr>
              <w:jc w:val="center"/>
              <w:ind w:left="694"/>
              <w:spacing w:after="0"/>
              <w:rPr>
                <w:sz w:val="20"/>
                <w:szCs w:val="20"/>
                <w:color w:val="auto"/>
              </w:rPr>
            </w:pPr>
            <w:r>
              <w:rPr>
                <w:rFonts w:ascii="Arial" w:cs="Arial" w:eastAsia="Arial" w:hAnsi="Arial"/>
                <w:sz w:val="17"/>
                <w:szCs w:val="17"/>
                <w:color w:val="auto"/>
                <w:w w:val="84"/>
              </w:rPr>
              <w:t>5</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to</w:t>
            </w:r>
          </w:p>
        </w:tc>
        <w:tc>
          <w:tcPr>
            <w:tcW w:w="104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color w:val="auto"/>
              </w:rPr>
              <w:t>84</w:t>
            </w:r>
          </w:p>
        </w:tc>
        <w:tc>
          <w:tcPr>
            <w:tcW w:w="1320" w:type="dxa"/>
            <w:vAlign w:val="bottom"/>
            <w:tcBorders>
              <w:bottom w:val="single" w:sz="8" w:color="auto"/>
            </w:tcBorders>
          </w:tcPr>
          <w:p>
            <w:pPr>
              <w:jc w:val="center"/>
              <w:ind w:left="794"/>
              <w:spacing w:after="0"/>
              <w:rPr>
                <w:sz w:val="20"/>
                <w:szCs w:val="20"/>
                <w:color w:val="auto"/>
              </w:rPr>
            </w:pPr>
            <w:r>
              <w:rPr>
                <w:rFonts w:ascii="Arial" w:cs="Arial" w:eastAsia="Arial" w:hAnsi="Arial"/>
                <w:sz w:val="17"/>
                <w:szCs w:val="17"/>
                <w:color w:val="auto"/>
                <w:w w:val="84"/>
              </w:rPr>
              <w:t>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to</w:t>
            </w:r>
          </w:p>
        </w:tc>
        <w:tc>
          <w:tcPr>
            <w:tcW w:w="13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rPr>
              <w:t>84</w:t>
            </w:r>
          </w:p>
        </w:tc>
        <w:tc>
          <w:tcPr>
            <w:tcW w:w="1140" w:type="dxa"/>
            <w:vAlign w:val="bottom"/>
            <w:tcBorders>
              <w:bottom w:val="single" w:sz="8" w:color="auto"/>
            </w:tcBorders>
          </w:tcPr>
          <w:p>
            <w:pPr>
              <w:jc w:val="center"/>
              <w:ind w:left="494"/>
              <w:spacing w:after="0"/>
              <w:rPr>
                <w:sz w:val="20"/>
                <w:szCs w:val="20"/>
                <w:color w:val="auto"/>
              </w:rPr>
            </w:pPr>
            <w:r>
              <w:rPr>
                <w:rFonts w:ascii="Arial" w:cs="Arial" w:eastAsia="Arial" w:hAnsi="Arial"/>
                <w:sz w:val="17"/>
                <w:szCs w:val="17"/>
                <w:color w:val="auto"/>
                <w:w w:val="84"/>
              </w:rPr>
              <w:t>5</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to</w:t>
            </w: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50</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Plant to be Retired, Net</w:t>
      </w:r>
    </w:p>
    <w:p>
      <w:pPr>
        <w:spacing w:after="0" w:line="23"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When the Evergy Companies retire utility plant, the original cost, net of salvage, is charged to accumulated depreciation. However, when it becomes probable an asset will be retired significantly in advance of its original expected useful life and in the near term, the cost of the asset and related accumulated depreciation is recognized as a separate asset and a probable abandonment. If the asset is still in service, the net amount is classified as plant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1" w:name="page92"/>
    <w:bookmarkEnd w:id="9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680"/>
        <w:spacing w:after="0" w:line="264" w:lineRule="auto"/>
        <w:rPr>
          <w:sz w:val="20"/>
          <w:szCs w:val="20"/>
          <w:color w:val="auto"/>
        </w:rPr>
      </w:pPr>
      <w:r>
        <w:rPr>
          <w:rFonts w:ascii="Arial" w:cs="Arial" w:eastAsia="Arial" w:hAnsi="Arial"/>
          <w:sz w:val="19"/>
          <w:szCs w:val="19"/>
          <w:color w:val="auto"/>
        </w:rPr>
        <w:t>be retired, net on the consolidated balance sheets. If the asset is no longer in service, the net amount is classified as a regulatory asset on the consolidated balance sheets.</w:t>
      </w:r>
    </w:p>
    <w:p>
      <w:pPr>
        <w:spacing w:after="0" w:line="164"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The Evergy Companies must also assess the probability of full recovery of the remaining net book value of the abandonment. The net book value that may be retained as an asset on the balance sheet for the abandonment is dependent upon amounts that may be recovered through regulated rates, including any return. An impairment charge, if any, would equal the difference between the remaining net book value of the asset and the present value of the future revenues expected from the asset.</w:t>
      </w:r>
    </w:p>
    <w:p>
      <w:pPr>
        <w:spacing w:after="0" w:line="180"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Evergy Missouri West has determined that its November 2018 retirement of Sibley No. 3 Unit meets the criteria to be considered an abandonment. As of December 31, 2021, Evergy has classified the remaining Sibley No. 3 Unit net book value of $123.4 million as retired generation facilities within regulatory assets on its consolidated balance sheet. This regulatory asset is reduced by approximately $9 million of annual amortization expense, which is an amount equal to the annual depreciation expense for the asset reflected in retail rates.</w:t>
      </w:r>
    </w:p>
    <w:p>
      <w:pPr>
        <w:spacing w:after="0" w:line="1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October 2019, the Missouri Public Service Commission (MPSC) granted the request of certain intervenors for an Accounting Authority Order (AAO) that requires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 for consideration in Evergy Missouri West's current rate case, which was filed in January 2022. See Note 4 for additional information regarding the AAO and Evergy Missouri West's current rate case.</w:t>
      </w:r>
    </w:p>
    <w:p>
      <w:pPr>
        <w:spacing w:after="0" w:line="168"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Evergy Missouri West expects that the MPSC's decision in its current rate case regarding the AAO could impact the valuation of its regulatory asset for retired generation facilities but as of December 31, 2021, has concluded that no impairment is required based on the relevant facts and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Nuclear Plant Decommissioning Costs</w:t>
      </w:r>
    </w:p>
    <w:p>
      <w:pPr>
        <w:spacing w:after="0" w:line="23"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Nuclear plant decommissioning cost estimates are based on either the immediate dismantlement method or the deferred dismantling method as determined by the State Corporation Commission of the State of Kansas (KCC) and MPSC and include the costs of decontamination, dismantlement and site restoration. Based on these cost estimates, Evergy Kansas Central and Evergy Metro each contribute to a tax-qualified trust fund to be used to decommission Wolf Creek. Related liabilities for decommissioning are included on Evergy's, Evergy Kansas Central's and Evergy Metro's consolidated balance sheets in asset retirement obligations (AROs).</w:t>
      </w:r>
    </w:p>
    <w:p>
      <w:pPr>
        <w:spacing w:after="0" w:line="185"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As a result of the authorized regulatory treatment and related regulatory accounting, differences between the fair value of the assets held in the nuclear decommissioning trust and the amounts recorded for the accumulated accretion and depreciation expense associated with the decommissioning ARO are recorded as a regulatory liability on Evergy's, Evergy Kansas Central's and Evergy Metro's consolidated balance sheets. See Note 6 for discussion of AROs including those associated with nuclear plant decommissioning costs.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Regulatory Accounting</w:t>
      </w:r>
    </w:p>
    <w:p>
      <w:pPr>
        <w:spacing w:after="0" w:line="23" w:lineRule="exact"/>
        <w:rPr>
          <w:sz w:val="20"/>
          <w:szCs w:val="20"/>
          <w:color w:val="auto"/>
        </w:rPr>
      </w:pPr>
    </w:p>
    <w:p>
      <w:pPr>
        <w:ind w:right="380"/>
        <w:spacing w:after="0" w:line="243" w:lineRule="auto"/>
        <w:rPr>
          <w:sz w:val="20"/>
          <w:szCs w:val="20"/>
          <w:color w:val="auto"/>
        </w:rPr>
      </w:pPr>
      <w:r>
        <w:rPr>
          <w:rFonts w:ascii="Arial" w:cs="Arial" w:eastAsia="Arial" w:hAnsi="Arial"/>
          <w:sz w:val="19"/>
          <w:szCs w:val="19"/>
          <w:color w:val="auto"/>
        </w:rPr>
        <w:t>Accounting standards are applied that recognize the economic effects of rate regulation. Accordingly, regulatory assets and liabilities have been recorded when required by a regulatory order or based on regulatory precedent. See Note 4 for additional information concerning regulatory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2" w:name="page93"/>
    <w:bookmarkEnd w:id="9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Surrender Value of Life Insurance</w:t>
      </w:r>
    </w:p>
    <w:p>
      <w:pPr>
        <w:spacing w:after="0" w:line="23" w:lineRule="exact"/>
        <w:rPr>
          <w:sz w:val="20"/>
          <w:szCs w:val="20"/>
          <w:color w:val="auto"/>
        </w:rPr>
      </w:pPr>
    </w:p>
    <w:p>
      <w:pPr>
        <w:ind w:right="460"/>
        <w:spacing w:after="0" w:line="304" w:lineRule="auto"/>
        <w:rPr>
          <w:sz w:val="20"/>
          <w:szCs w:val="20"/>
          <w:color w:val="auto"/>
        </w:rPr>
      </w:pPr>
      <w:r>
        <w:rPr>
          <w:rFonts w:ascii="Arial" w:cs="Arial" w:eastAsia="Arial" w:hAnsi="Arial"/>
          <w:sz w:val="17"/>
          <w:szCs w:val="17"/>
          <w:color w:val="auto"/>
        </w:rPr>
        <w:t>Amounts related to corporate-owned life insurance (COLI) are recorded on the consolidated balance sheets in other long-term assets and are detailed in the following table for Evergy. Substantially all of Evergy's COLI-related balances relate to Evergy Kansas Central's COLI activity.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top w:val="single" w:sz="8" w:color="auto"/>
            </w:tcBorders>
          </w:tcPr>
          <w:p>
            <w:pPr>
              <w:spacing w:after="0"/>
              <w:rPr>
                <w:sz w:val="20"/>
                <w:szCs w:val="20"/>
                <w:color w:val="auto"/>
              </w:rPr>
            </w:pPr>
          </w:p>
        </w:tc>
      </w:tr>
      <w:tr>
        <w:trPr>
          <w:trHeight w:val="224"/>
        </w:trPr>
        <w:tc>
          <w:tcPr>
            <w:tcW w:w="7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r>
      <w:tr>
        <w:trPr>
          <w:trHeight w:val="213"/>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Evergy</w:t>
            </w:r>
          </w:p>
        </w:tc>
        <w:tc>
          <w:tcPr>
            <w:tcW w:w="560" w:type="dxa"/>
            <w:vAlign w:val="bottom"/>
          </w:tcPr>
          <w:p>
            <w:pPr>
              <w:spacing w:after="0"/>
              <w:rPr>
                <w:sz w:val="18"/>
                <w:szCs w:val="18"/>
                <w:color w:val="auto"/>
              </w:rPr>
            </w:pPr>
          </w:p>
        </w:tc>
        <w:tc>
          <w:tcPr>
            <w:tcW w:w="1900" w:type="dxa"/>
            <w:vAlign w:val="bottom"/>
            <w:gridSpan w:val="2"/>
          </w:tcPr>
          <w:p>
            <w:pPr>
              <w:jc w:val="right"/>
              <w:ind w:right="214"/>
              <w:spacing w:after="0"/>
              <w:rPr>
                <w:sz w:val="20"/>
                <w:szCs w:val="20"/>
                <w:color w:val="auto"/>
              </w:rPr>
            </w:pPr>
            <w:r>
              <w:rPr>
                <w:rFonts w:ascii="Arial" w:cs="Arial" w:eastAsia="Arial" w:hAnsi="Arial"/>
                <w:sz w:val="15"/>
                <w:szCs w:val="15"/>
                <w:color w:val="auto"/>
              </w:rPr>
              <w:t>(millions)</w:t>
            </w:r>
          </w:p>
        </w:tc>
        <w:tc>
          <w:tcPr>
            <w:tcW w:w="1060" w:type="dxa"/>
            <w:vAlign w:val="bottom"/>
          </w:tcPr>
          <w:p>
            <w:pPr>
              <w:spacing w:after="0"/>
              <w:rPr>
                <w:sz w:val="18"/>
                <w:szCs w:val="18"/>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surrender value of policies</w:t>
            </w:r>
          </w:p>
        </w:tc>
        <w:tc>
          <w:tcPr>
            <w:tcW w:w="5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1,363.0</w:t>
            </w:r>
          </w:p>
        </w:tc>
        <w:tc>
          <w:tcPr>
            <w:tcW w:w="6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1,369.6</w:t>
            </w:r>
          </w:p>
        </w:tc>
      </w:tr>
      <w:tr>
        <w:trPr>
          <w:trHeight w:val="21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Borrowings against policies</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(1,232.3)</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(1,237.6)</w:t>
            </w:r>
          </w:p>
        </w:tc>
      </w:tr>
      <w:tr>
        <w:trPr>
          <w:trHeight w:val="219"/>
        </w:trPr>
        <w:tc>
          <w:tcPr>
            <w:tcW w:w="7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Corporate-owned life insurance, net</w:t>
            </w:r>
          </w:p>
        </w:tc>
        <w:tc>
          <w:tcPr>
            <w:tcW w:w="5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130.7</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132.0</w:t>
            </w:r>
          </w:p>
        </w:tc>
      </w:tr>
    </w:tbl>
    <w:p>
      <w:pPr>
        <w:spacing w:after="0" w:line="267" w:lineRule="exact"/>
        <w:rPr>
          <w:sz w:val="20"/>
          <w:szCs w:val="20"/>
          <w:color w:val="auto"/>
        </w:rPr>
      </w:pPr>
    </w:p>
    <w:p>
      <w:pPr>
        <w:jc w:val="both"/>
        <w:ind w:right="120"/>
        <w:spacing w:after="0" w:line="252" w:lineRule="auto"/>
        <w:rPr>
          <w:sz w:val="20"/>
          <w:szCs w:val="20"/>
          <w:color w:val="auto"/>
        </w:rPr>
      </w:pPr>
      <w:r>
        <w:rPr>
          <w:rFonts w:ascii="Arial" w:cs="Arial" w:eastAsia="Arial" w:hAnsi="Arial"/>
          <w:sz w:val="19"/>
          <w:szCs w:val="19"/>
          <w:color w:val="auto"/>
        </w:rPr>
        <w:t>Increases in cash surrender value and death benefits are recorded in other income in the Evergy Companies' consolidated statements of income and comprehensive income. Interest expense incurred on policy loans is offset against the policy income. Income from death benefits is highly variable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Fair Value of Financial Instruments</w:t>
      </w:r>
    </w:p>
    <w:p>
      <w:pPr>
        <w:spacing w:after="0" w:line="23" w:lineRule="exact"/>
        <w:rPr>
          <w:sz w:val="20"/>
          <w:szCs w:val="20"/>
          <w:color w:val="auto"/>
        </w:rPr>
      </w:pPr>
    </w:p>
    <w:p>
      <w:pPr>
        <w:ind w:right="200"/>
        <w:spacing w:after="0" w:line="247" w:lineRule="auto"/>
        <w:rPr>
          <w:sz w:val="20"/>
          <w:szCs w:val="20"/>
          <w:color w:val="auto"/>
        </w:rPr>
      </w:pPr>
      <w:r>
        <w:rPr>
          <w:rFonts w:ascii="Arial" w:cs="Arial" w:eastAsia="Arial" w:hAnsi="Arial"/>
          <w:sz w:val="19"/>
          <w:szCs w:val="19"/>
          <w:color w:val="auto"/>
        </w:rPr>
        <w:t>The following methods and assumptions were used to estimate the fair value of the following financial instruments for which it was practicable to estimate that value.</w:t>
      </w:r>
    </w:p>
    <w:p>
      <w:pPr>
        <w:spacing w:after="0" w:line="179"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i w:val="1"/>
          <w:iCs w:val="1"/>
          <w:color w:val="auto"/>
        </w:rPr>
        <w:t xml:space="preserve">Nuclear decommissioning trust fund </w:t>
      </w:r>
      <w:r>
        <w:rPr>
          <w:rFonts w:ascii="Arial" w:cs="Arial" w:eastAsia="Arial" w:hAnsi="Arial"/>
          <w:sz w:val="19"/>
          <w:szCs w:val="19"/>
          <w:color w:val="auto"/>
        </w:rPr>
        <w:t>- The Evergy Companies' nuclear decommissioning trust fund assets are recorded at fair value based on quoted</w:t>
      </w:r>
      <w:r>
        <w:rPr>
          <w:rFonts w:ascii="Arial" w:cs="Arial" w:eastAsia="Arial" w:hAnsi="Arial"/>
          <w:sz w:val="19"/>
          <w:szCs w:val="19"/>
          <w:i w:val="1"/>
          <w:iCs w:val="1"/>
          <w:color w:val="auto"/>
        </w:rPr>
        <w:t xml:space="preserve"> </w:t>
      </w:r>
      <w:r>
        <w:rPr>
          <w:rFonts w:ascii="Arial" w:cs="Arial" w:eastAsia="Arial" w:hAnsi="Arial"/>
          <w:sz w:val="19"/>
          <w:szCs w:val="19"/>
          <w:color w:val="auto"/>
        </w:rPr>
        <w:t>market prices of the investments held by the fund and/or valuation models.</w:t>
      </w:r>
    </w:p>
    <w:p>
      <w:pPr>
        <w:spacing w:after="0" w:line="164"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i w:val="1"/>
          <w:iCs w:val="1"/>
          <w:color w:val="auto"/>
        </w:rPr>
        <w:t xml:space="preserve">Pension plans </w:t>
      </w:r>
      <w:r>
        <w:rPr>
          <w:rFonts w:ascii="Arial" w:cs="Arial" w:eastAsia="Arial" w:hAnsi="Arial"/>
          <w:sz w:val="19"/>
          <w:szCs w:val="19"/>
          <w:color w:val="auto"/>
        </w:rPr>
        <w:t>- For financial reporting purposes, the market value of plan assets is the fair value based on quoted market prices of the investments</w:t>
      </w:r>
      <w:r>
        <w:rPr>
          <w:rFonts w:ascii="Arial" w:cs="Arial" w:eastAsia="Arial" w:hAnsi="Arial"/>
          <w:sz w:val="19"/>
          <w:szCs w:val="19"/>
          <w:i w:val="1"/>
          <w:iCs w:val="1"/>
          <w:color w:val="auto"/>
        </w:rPr>
        <w:t xml:space="preserve"> </w:t>
      </w:r>
      <w:r>
        <w:rPr>
          <w:rFonts w:ascii="Arial" w:cs="Arial" w:eastAsia="Arial" w:hAnsi="Arial"/>
          <w:sz w:val="19"/>
          <w:szCs w:val="19"/>
          <w:color w:val="auto"/>
        </w:rPr>
        <w:t>held by the fund and/or valuation models.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Recognition</w:t>
      </w:r>
    </w:p>
    <w:p>
      <w:pPr>
        <w:spacing w:after="0" w:line="2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Evergy Companies recognize revenue on the sale of electricity to customers over time as the service is provided in the amount they have the right to invoice. Revenues recorded include electric services provided but not yet billed by the Evergy Companies. Unbilled revenues are recorded for kWh usage in the period following the customers' billing cycle to the end of the month. This estimate is based on net system kWh usage less actual billed kWhs. The Evergy Companies' estimated unbilled kWhs are allocated and priced by regulatory jurisdiction across the rate classes based on actual billing rates. The Evergy Companies' unbilled revenue estimate is affected by factors including fluctuations in energy demand, weather, line losses and changes in the composition of customer classes. See Note 3 for the balance of unbilled receivables for each of Evergy, Evergy Kansas Central and Evergy Metro as of December 31, 2021 and 2020.</w:t>
      </w:r>
    </w:p>
    <w:p>
      <w:pPr>
        <w:spacing w:after="0" w:line="173" w:lineRule="exact"/>
        <w:rPr>
          <w:sz w:val="20"/>
          <w:szCs w:val="20"/>
          <w:color w:val="auto"/>
        </w:rPr>
      </w:pPr>
    </w:p>
    <w:p>
      <w:pPr>
        <w:ind w:right="260"/>
        <w:spacing w:after="0" w:line="252" w:lineRule="auto"/>
        <w:rPr>
          <w:sz w:val="20"/>
          <w:szCs w:val="20"/>
          <w:color w:val="auto"/>
        </w:rPr>
      </w:pPr>
      <w:r>
        <w:rPr>
          <w:rFonts w:ascii="Arial" w:cs="Arial" w:eastAsia="Arial" w:hAnsi="Arial"/>
          <w:sz w:val="19"/>
          <w:szCs w:val="19"/>
          <w:color w:val="auto"/>
        </w:rPr>
        <w:t>The Evergy Companies also collect sales taxes and franchise fees from customers concurrent with revenue-producing activities that are levied by state and local governments. These items are excluded from revenue, and thus are not reflected on the consolidated statements of income and comprehensive income for Evergy, Evergy Kansas Central and Evergy Metro.</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See Note 2 for additional details regarding revenue recognition from sales of electricity by the Evergy Companies.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Allowance for Credit Losses</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Historical loss information generally provides the basis for the Evergy Companies' assessment of expected credit losses. The Evergy Companies use an aging of accounts receivable method to assess historical loss information. When historical experience may not fully reflect the Evergy Companies' expectations about the future, the Evergy Companies will adjust historical loss information, as necessary, to reflect the current conditions and reasonable and supportable forecasts not already reflected in the historical loss information.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3" w:name="page94"/>
    <w:bookmarkEnd w:id="9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420"/>
        <w:spacing w:after="0" w:line="264" w:lineRule="auto"/>
        <w:rPr>
          <w:sz w:val="20"/>
          <w:szCs w:val="20"/>
          <w:color w:val="auto"/>
        </w:rPr>
      </w:pPr>
      <w:r>
        <w:rPr>
          <w:rFonts w:ascii="Arial" w:cs="Arial" w:eastAsia="Arial" w:hAnsi="Arial"/>
          <w:sz w:val="19"/>
          <w:szCs w:val="19"/>
          <w:color w:val="auto"/>
        </w:rPr>
        <w:t>Receivables are charged off when they are deemed uncollectible, which is based on a number of factors including specific facts surrounding an account and management's judgment.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Asset Impairments</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Long-lived assets and finite-lived intangible assets subject to amortization are reviewed for impairment whenever events or changes in circumstances indicate that the carrying amount of an asset may not be recoverable. If the sum of the undiscounted expected future cash flows from an asset to be held and used is less than the carrying value of the asset, an asset impairment must be recognized in the financial statements. The amount of impairment recognized is the excess of the carrying value of the asset over its fair value.</w:t>
      </w:r>
    </w:p>
    <w:p>
      <w:pPr>
        <w:spacing w:after="0" w:line="170"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Goodwill and indefinite lived intangible assets are tested for impairment annually and when an event occurs indicating the possibility that an impairment exists. The annual test must be performed at the same time each year.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See Note 5 for additional details on goodwill.</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Taxes</w:t>
      </w:r>
    </w:p>
    <w:p>
      <w:pPr>
        <w:spacing w:after="0" w:line="23"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color w:val="auto"/>
        </w:rPr>
        <w:t>Income taxes are accounted for using the asset/liability approach. Deferred tax assets and liabilities are determined based on the temporary differences between the financial reporting and tax bases of assets and liabilities, applying enacted statutory tax rates in effect for the year in which the differences are expected to reverse. Deferred tax assets are reduced by a valuation allowance when, in the opinion of management, it is more likely than not that some portion of the deferred tax assets will not be realized.</w:t>
      </w:r>
    </w:p>
    <w:p>
      <w:pPr>
        <w:spacing w:after="0" w:line="186" w:lineRule="exact"/>
        <w:rPr>
          <w:sz w:val="20"/>
          <w:szCs w:val="20"/>
          <w:color w:val="auto"/>
        </w:rPr>
      </w:pPr>
    </w:p>
    <w:p>
      <w:pPr>
        <w:ind w:right="740"/>
        <w:spacing w:after="0" w:line="324" w:lineRule="auto"/>
        <w:rPr>
          <w:sz w:val="20"/>
          <w:szCs w:val="20"/>
          <w:color w:val="auto"/>
        </w:rPr>
      </w:pPr>
      <w:r>
        <w:rPr>
          <w:rFonts w:ascii="Arial" w:cs="Arial" w:eastAsia="Arial" w:hAnsi="Arial"/>
          <w:sz w:val="17"/>
          <w:szCs w:val="17"/>
          <w:color w:val="auto"/>
        </w:rPr>
        <w:t>The Evergy Companies recognize tax benefits based on a "more-likely-than-not" recognition threshold. In addition, the Evergy Companies recognize interest accrued related to unrecognized tax benefits in interest expense and penalties in operating expenses.</w:t>
      </w:r>
    </w:p>
    <w:p>
      <w:pPr>
        <w:spacing w:after="0" w:line="117" w:lineRule="exact"/>
        <w:rPr>
          <w:sz w:val="20"/>
          <w:szCs w:val="20"/>
          <w:color w:val="auto"/>
        </w:rPr>
      </w:pPr>
    </w:p>
    <w:p>
      <w:pPr>
        <w:jc w:val="both"/>
        <w:ind w:right="60"/>
        <w:spacing w:after="0" w:line="248" w:lineRule="auto"/>
        <w:rPr>
          <w:sz w:val="20"/>
          <w:szCs w:val="20"/>
          <w:color w:val="auto"/>
        </w:rPr>
      </w:pPr>
      <w:r>
        <w:rPr>
          <w:rFonts w:ascii="Arial" w:cs="Arial" w:eastAsia="Arial" w:hAnsi="Arial"/>
          <w:sz w:val="19"/>
          <w:szCs w:val="19"/>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Evergy Kansas Central's and Evergy Metro's income tax provisions include taxes allocated based on their separate company's income or loss.</w:t>
      </w:r>
    </w:p>
    <w:p>
      <w:pPr>
        <w:spacing w:after="0" w:line="180" w:lineRule="exact"/>
        <w:rPr>
          <w:sz w:val="20"/>
          <w:szCs w:val="20"/>
          <w:color w:val="auto"/>
        </w:rPr>
      </w:pPr>
    </w:p>
    <w:p>
      <w:pPr>
        <w:jc w:val="both"/>
        <w:ind w:right="120"/>
        <w:spacing w:after="0" w:line="322" w:lineRule="auto"/>
        <w:rPr>
          <w:sz w:val="20"/>
          <w:szCs w:val="20"/>
          <w:color w:val="auto"/>
        </w:rPr>
      </w:pPr>
      <w:r>
        <w:rPr>
          <w:rFonts w:ascii="Arial" w:cs="Arial" w:eastAsia="Arial" w:hAnsi="Arial"/>
          <w:sz w:val="16"/>
          <w:szCs w:val="16"/>
          <w:color w:val="auto"/>
        </w:rPr>
        <w:t>The Evergy Companies have established a net regulatory liability for future refunds to be made to customers for amounts collected from customers in excess of income taxes in current rates. Tax credits are recognized in the year generated except for certain Evergy Kansas Central, Evergy Metro and Evergy Missouri West investment tax credits that have been deferred and amortized over the remaining service lives of the related properties.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4" w:name="page95"/>
    <w:bookmarkEnd w:id="9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Income (Expense), Net</w:t>
      </w:r>
    </w:p>
    <w:p>
      <w:pPr>
        <w:spacing w:after="0" w:line="10" w:lineRule="exact"/>
        <w:rPr>
          <w:sz w:val="20"/>
          <w:szCs w:val="20"/>
          <w:color w:val="auto"/>
        </w:rPr>
      </w:pPr>
    </w:p>
    <w:p>
      <w:pPr>
        <w:ind w:right="320"/>
        <w:spacing w:after="0" w:line="229" w:lineRule="auto"/>
        <w:rPr>
          <w:sz w:val="20"/>
          <w:szCs w:val="20"/>
          <w:color w:val="auto"/>
        </w:rPr>
      </w:pPr>
      <w:r>
        <w:rPr>
          <w:rFonts w:ascii="Arial" w:cs="Arial" w:eastAsia="Arial" w:hAnsi="Arial"/>
          <w:sz w:val="19"/>
          <w:szCs w:val="19"/>
          <w:color w:val="auto"/>
        </w:rPr>
        <w:t>In 2021, Evergy's investment earnings included a $27.7 million unrealized gain related to Evergy’s investment in an early-stage energy solutions company. See “Evergy Equity Investment” in this Note 1 for further information.</w:t>
      </w:r>
    </w:p>
    <w:p>
      <w:pPr>
        <w:spacing w:after="0" w:line="160" w:lineRule="exact"/>
        <w:rPr>
          <w:sz w:val="20"/>
          <w:szCs w:val="20"/>
          <w:color w:val="auto"/>
        </w:rPr>
      </w:pPr>
    </w:p>
    <w:p>
      <w:pPr>
        <w:ind w:right="320"/>
        <w:spacing w:after="0" w:line="238" w:lineRule="auto"/>
        <w:rPr>
          <w:sz w:val="20"/>
          <w:szCs w:val="20"/>
          <w:color w:val="auto"/>
        </w:rPr>
      </w:pPr>
      <w:r>
        <w:rPr>
          <w:rFonts w:ascii="Arial" w:cs="Arial" w:eastAsia="Arial" w:hAnsi="Arial"/>
          <w:sz w:val="19"/>
          <w:szCs w:val="19"/>
          <w:color w:val="auto"/>
        </w:rPr>
        <w:t>The Evergy Companies’ other income includes income from AFUDC equity funds. See “Property, Plant and Equipment” in this Note 1 for these amounts for 2021, 2020 and 2019.</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shows the detail of other expense for each of the Evergy Companies.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2"/>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Evergy</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Arial" w:cs="Arial" w:eastAsia="Arial" w:hAnsi="Arial"/>
                <w:sz w:val="15"/>
                <w:szCs w:val="15"/>
                <w:color w:val="auto"/>
              </w:rPr>
              <w:t>(millions)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Non-service cost component of net benefit cost</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4"/>
              </w:rPr>
              <w:t>(55.6)</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(58.6)</w:t>
            </w: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r>
      <w:tr>
        <w:trPr>
          <w:trHeight w:val="218"/>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4"/>
              </w:rPr>
              <w:t>(31.8)</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(19.6)</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w:t>
            </w:r>
          </w:p>
        </w:tc>
      </w:tr>
      <w:tr>
        <w:trPr>
          <w:trHeight w:val="21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expense</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4"/>
              </w:rPr>
              <w:t>(87.4)</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(78.2)</w:t>
            </w: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r>
      <w:tr>
        <w:trPr>
          <w:trHeight w:val="219"/>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Non-service cost component of net benefit cost</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4"/>
              </w:rPr>
              <w:t>(15.6)</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(21.2)</w:t>
            </w: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18"/>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4"/>
              </w:rPr>
              <w:t>(20.3)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(17.7)</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r>
      <w:tr>
        <w:trPr>
          <w:trHeight w:val="21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expense</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4"/>
              </w:rPr>
              <w:t>(35.9)</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(38.9)</w:t>
            </w: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r>
      <w:tr>
        <w:trPr>
          <w:trHeight w:val="219"/>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Evergy Metro</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Non-service cost component of net benefit cost</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4"/>
              </w:rPr>
              <w:t>(26.7)</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(24.2)</w:t>
            </w: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18"/>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(2.7)</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19"/>
        </w:trPr>
        <w:tc>
          <w:tcPr>
            <w:tcW w:w="70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Other expense</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94"/>
              </w:rPr>
              <w:t>(29.4)</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(25.5)</w:t>
            </w:r>
          </w:p>
        </w:tc>
        <w:tc>
          <w:tcPr>
            <w:tcW w:w="3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Earnings Per Share</w:t>
      </w:r>
    </w:p>
    <w:p>
      <w:pPr>
        <w:spacing w:after="0" w:line="23"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color w:val="auto"/>
        </w:rPr>
        <w:t>To compute basic earnings per share (EPS), Evergy divides net income attributable to Evergy, Inc. by the weighted average number of common shares outstanding. Diluted EPS includes the effect of issuable common shares resulting from restricted share units (RSUs), restricted stock and a warrant. Evergy computes the dilutive effects of potential issuances of common shares using the treasury stock method or the contingently issuable share method, as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reconciles Evergy's basic and diluted EPS.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2"/>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Income</w:t>
            </w:r>
          </w:p>
        </w:tc>
        <w:tc>
          <w:tcPr>
            <w:tcW w:w="840" w:type="dxa"/>
            <w:vAlign w:val="bottom"/>
          </w:tcPr>
          <w:p>
            <w:pPr>
              <w:spacing w:after="0"/>
              <w:rPr>
                <w:sz w:val="18"/>
                <w:szCs w:val="18"/>
                <w:color w:val="auto"/>
              </w:rPr>
            </w:pPr>
          </w:p>
        </w:tc>
        <w:tc>
          <w:tcPr>
            <w:tcW w:w="2500" w:type="dxa"/>
            <w:vAlign w:val="bottom"/>
            <w:gridSpan w:val="4"/>
          </w:tcPr>
          <w:p>
            <w:pPr>
              <w:jc w:val="right"/>
              <w:spacing w:after="0"/>
              <w:rPr>
                <w:sz w:val="20"/>
                <w:szCs w:val="20"/>
                <w:color w:val="auto"/>
              </w:rPr>
            </w:pPr>
            <w:r>
              <w:rPr>
                <w:rFonts w:ascii="Arial" w:cs="Arial" w:eastAsia="Arial" w:hAnsi="Arial"/>
                <w:sz w:val="15"/>
                <w:szCs w:val="15"/>
                <w:color w:val="auto"/>
                <w:w w:val="99"/>
              </w:rPr>
              <w:t>(millions, except per share amounts)</w:t>
            </w:r>
          </w:p>
        </w:tc>
        <w:tc>
          <w:tcPr>
            <w:tcW w:w="900" w:type="dxa"/>
            <w:vAlign w:val="bottom"/>
          </w:tcPr>
          <w:p>
            <w:pPr>
              <w:spacing w:after="0"/>
              <w:rPr>
                <w:sz w:val="18"/>
                <w:szCs w:val="18"/>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9"/>
              </w:rPr>
              <w:t>891.9</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630.0</w:t>
            </w:r>
          </w:p>
        </w:tc>
        <w:tc>
          <w:tcPr>
            <w:tcW w:w="5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685.6</w:t>
            </w:r>
          </w:p>
        </w:tc>
      </w:tr>
      <w:tr>
        <w:trPr>
          <w:trHeight w:val="218"/>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Net income attributable to noncontrolling interests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11.7</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r>
      <w:tr>
        <w:trPr>
          <w:trHeight w:val="212"/>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Evergy, Inc.</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879.7</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618.3</w:t>
            </w:r>
          </w:p>
        </w:tc>
        <w:tc>
          <w:tcPr>
            <w:tcW w:w="5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669.9</w:t>
            </w:r>
          </w:p>
        </w:tc>
      </w:tr>
      <w:tr>
        <w:trPr>
          <w:trHeight w:val="213"/>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Common Shares Outstanding</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number of common shares outstanding - basic</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9"/>
              </w:rPr>
              <w:t>229.0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227.2</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w:t>
            </w:r>
          </w:p>
        </w:tc>
      </w:tr>
      <w:tr>
        <w:trPr>
          <w:trHeight w:val="218"/>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Add: effect of dilutive securities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0.6</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0.3</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r>
      <w:tr>
        <w:trPr>
          <w:trHeight w:val="212"/>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average number of common shares outstanding</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229.6</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227.5</w:t>
            </w: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239.9</w:t>
            </w:r>
          </w:p>
        </w:tc>
      </w:tr>
      <w:tr>
        <w:trPr>
          <w:trHeight w:val="213"/>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Basic EPS</w:t>
            </w: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3.84</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4"/>
              <w:spacing w:after="0"/>
              <w:rPr>
                <w:sz w:val="20"/>
                <w:szCs w:val="20"/>
                <w:color w:val="auto"/>
              </w:rPr>
            </w:pPr>
            <w:r>
              <w:rPr>
                <w:rFonts w:ascii="Arial" w:cs="Arial" w:eastAsia="Arial" w:hAnsi="Arial"/>
                <w:sz w:val="17"/>
                <w:szCs w:val="17"/>
                <w:color w:val="auto"/>
              </w:rPr>
              <w:t>2.72</w:t>
            </w:r>
          </w:p>
        </w:tc>
        <w:tc>
          <w:tcPr>
            <w:tcW w:w="5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2.80</w:t>
            </w:r>
          </w:p>
        </w:tc>
      </w:tr>
      <w:tr>
        <w:trPr>
          <w:trHeight w:val="225"/>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Diluted EPS</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3.83</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2.72</w:t>
            </w:r>
          </w:p>
        </w:tc>
        <w:tc>
          <w:tcPr>
            <w:tcW w:w="5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r>
    </w:tbl>
    <w:p>
      <w:pPr>
        <w:spacing w:after="0" w:line="280"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There were no anti-dilutive securities excluded from the computation of diluted EPS for 2021. Anti-dilutive shares excluded from the computation of diluted EPS for 2020 and 2019 were 127,884 RSUs and 785 RSUs,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5" w:name="page96"/>
    <w:bookmarkEnd w:id="9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Supplemental Cash Flow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Year Ended December 31</w:t>
            </w:r>
          </w:p>
        </w:tc>
        <w:tc>
          <w:tcPr>
            <w:tcW w:w="16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3"/>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Evergy</w:t>
            </w: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Arial" w:cs="Arial" w:eastAsia="Arial" w:hAnsi="Arial"/>
                <w:sz w:val="15"/>
                <w:szCs w:val="15"/>
                <w:color w:val="auto"/>
              </w:rPr>
              <w:t>(millions)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5700" w:type="dxa"/>
            <w:vAlign w:val="bottom"/>
          </w:tcPr>
          <w:p>
            <w:pPr>
              <w:ind w:left="20"/>
              <w:spacing w:after="0"/>
              <w:rPr>
                <w:sz w:val="20"/>
                <w:szCs w:val="20"/>
                <w:color w:val="auto"/>
              </w:rPr>
            </w:pPr>
            <w:r>
              <w:rPr>
                <w:rFonts w:ascii="Arial" w:cs="Arial" w:eastAsia="Arial" w:hAnsi="Arial"/>
                <w:sz w:val="17"/>
                <w:szCs w:val="17"/>
                <w:color w:val="auto"/>
              </w:rPr>
              <w:t>Cash paid for (received from):</w:t>
            </w: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net of amount capitalized</w:t>
            </w:r>
          </w:p>
        </w:tc>
        <w:tc>
          <w:tcPr>
            <w:tcW w:w="1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356.9</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367.6</w:t>
            </w: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329.5</w:t>
            </w:r>
          </w:p>
        </w:tc>
      </w:tr>
      <w:tr>
        <w:trPr>
          <w:trHeight w:val="218"/>
        </w:trPr>
        <w:tc>
          <w:tcPr>
            <w:tcW w:w="5700" w:type="dxa"/>
            <w:vAlign w:val="bottom"/>
          </w:tcPr>
          <w:p>
            <w:pPr>
              <w:ind w:left="220"/>
              <w:spacing w:after="0"/>
              <w:rPr>
                <w:sz w:val="20"/>
                <w:szCs w:val="20"/>
                <w:color w:val="auto"/>
              </w:rPr>
            </w:pPr>
            <w:r>
              <w:rPr>
                <w:rFonts w:ascii="Arial" w:cs="Arial" w:eastAsia="Arial" w:hAnsi="Arial"/>
                <w:sz w:val="17"/>
                <w:szCs w:val="17"/>
                <w:color w:val="auto"/>
              </w:rPr>
              <w:t>Interest of VIEs</w:t>
            </w:r>
          </w:p>
        </w:tc>
        <w:tc>
          <w:tcPr>
            <w:tcW w:w="16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7"/>
                <w:szCs w:val="17"/>
                <w:color w:val="auto"/>
              </w:rPr>
              <w:t>0.2</w:t>
            </w:r>
          </w:p>
        </w:tc>
        <w:tc>
          <w:tcPr>
            <w:tcW w:w="32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0.8</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net of refunds</w:t>
            </w: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(46.5)</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8"/>
        </w:trPr>
        <w:tc>
          <w:tcPr>
            <w:tcW w:w="5700" w:type="dxa"/>
            <w:vAlign w:val="bottom"/>
          </w:tcPr>
          <w:p>
            <w:pPr>
              <w:ind w:left="20"/>
              <w:spacing w:after="0"/>
              <w:rPr>
                <w:sz w:val="20"/>
                <w:szCs w:val="20"/>
                <w:color w:val="auto"/>
              </w:rPr>
            </w:pPr>
            <w:r>
              <w:rPr>
                <w:rFonts w:ascii="Arial" w:cs="Arial" w:eastAsia="Arial" w:hAnsi="Arial"/>
                <w:sz w:val="17"/>
                <w:szCs w:val="17"/>
                <w:color w:val="auto"/>
              </w:rPr>
              <w:t>Non-cash investing transactions:</w:t>
            </w: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Property, plant and equipment additions</w:t>
            </w: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269.3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463.3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w:t>
            </w:r>
          </w:p>
        </w:tc>
      </w:tr>
      <w:tr>
        <w:trPr>
          <w:trHeight w:val="218"/>
        </w:trPr>
        <w:tc>
          <w:tcPr>
            <w:tcW w:w="5700" w:type="dxa"/>
            <w:vAlign w:val="bottom"/>
          </w:tcPr>
          <w:p>
            <w:pPr>
              <w:ind w:left="20"/>
              <w:spacing w:after="0"/>
              <w:rPr>
                <w:sz w:val="20"/>
                <w:szCs w:val="20"/>
                <w:color w:val="auto"/>
              </w:rPr>
            </w:pPr>
            <w:r>
              <w:rPr>
                <w:rFonts w:ascii="Arial" w:cs="Arial" w:eastAsia="Arial" w:hAnsi="Arial"/>
                <w:sz w:val="17"/>
                <w:szCs w:val="17"/>
                <w:color w:val="auto"/>
              </w:rPr>
              <w:t>Non-cash financing transactions:</w:t>
            </w: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6"/>
        </w:trPr>
        <w:tc>
          <w:tcPr>
            <w:tcW w:w="5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Issuance of stock for compensation and reinvested dividends</w:t>
            </w:r>
          </w:p>
        </w:tc>
        <w:tc>
          <w:tcPr>
            <w:tcW w:w="1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0.7</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0.9</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Year Ended December 31</w:t>
            </w:r>
          </w:p>
        </w:tc>
        <w:tc>
          <w:tcPr>
            <w:tcW w:w="2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3"/>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36"/>
              <w:spacing w:after="0"/>
              <w:rPr>
                <w:sz w:val="20"/>
                <w:szCs w:val="20"/>
                <w:color w:val="auto"/>
              </w:rPr>
            </w:pPr>
            <w:r>
              <w:rPr>
                <w:rFonts w:ascii="Arial" w:cs="Arial" w:eastAsia="Arial" w:hAnsi="Arial"/>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Cash paid for (received from):</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4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net of amount capitalized</w:t>
            </w:r>
          </w:p>
        </w:tc>
        <w:tc>
          <w:tcPr>
            <w:tcW w:w="2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149.3</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157.5</w:t>
            </w:r>
          </w:p>
        </w:tc>
        <w:tc>
          <w:tcPr>
            <w:tcW w:w="4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w:t>
            </w:r>
          </w:p>
        </w:tc>
      </w:tr>
      <w:tr>
        <w:trPr>
          <w:trHeight w:val="218"/>
        </w:trPr>
        <w:tc>
          <w:tcPr>
            <w:tcW w:w="4980" w:type="dxa"/>
            <w:vAlign w:val="bottom"/>
          </w:tcPr>
          <w:p>
            <w:pPr>
              <w:ind w:left="220"/>
              <w:spacing w:after="0"/>
              <w:rPr>
                <w:sz w:val="20"/>
                <w:szCs w:val="20"/>
                <w:color w:val="auto"/>
              </w:rPr>
            </w:pPr>
            <w:r>
              <w:rPr>
                <w:rFonts w:ascii="Arial" w:cs="Arial" w:eastAsia="Arial" w:hAnsi="Arial"/>
                <w:sz w:val="17"/>
                <w:szCs w:val="17"/>
                <w:color w:val="auto"/>
              </w:rPr>
              <w:t>Interest of VIEs</w:t>
            </w:r>
          </w:p>
        </w:tc>
        <w:tc>
          <w:tcPr>
            <w:tcW w:w="232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0.2</w:t>
            </w:r>
          </w:p>
        </w:tc>
        <w:tc>
          <w:tcPr>
            <w:tcW w:w="34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0.8</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4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net of refunds</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37.5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4.7</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Non-cash investing transactions:</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6"/>
        </w:trPr>
        <w:tc>
          <w:tcPr>
            <w:tcW w:w="4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Property, plant and equipment additions</w:t>
            </w:r>
          </w:p>
        </w:tc>
        <w:tc>
          <w:tcPr>
            <w:tcW w:w="2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101.9</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235.4</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Year Ended December 31</w:t>
            </w:r>
          </w:p>
        </w:tc>
        <w:tc>
          <w:tcPr>
            <w:tcW w:w="2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3"/>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Evergy Metro</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36"/>
              <w:spacing w:after="0"/>
              <w:rPr>
                <w:sz w:val="20"/>
                <w:szCs w:val="20"/>
                <w:color w:val="auto"/>
              </w:rPr>
            </w:pPr>
            <w:r>
              <w:rPr>
                <w:rFonts w:ascii="Arial" w:cs="Arial" w:eastAsia="Arial" w:hAnsi="Arial"/>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Cash paid for (received from):</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4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net of amount capitalized</w:t>
            </w:r>
          </w:p>
        </w:tc>
        <w:tc>
          <w:tcPr>
            <w:tcW w:w="2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110.8</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109.9</w:t>
            </w:r>
          </w:p>
        </w:tc>
        <w:tc>
          <w:tcPr>
            <w:tcW w:w="4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r>
      <w:tr>
        <w:trPr>
          <w:trHeight w:val="218"/>
        </w:trPr>
        <w:tc>
          <w:tcPr>
            <w:tcW w:w="4980" w:type="dxa"/>
            <w:vAlign w:val="bottom"/>
          </w:tcPr>
          <w:p>
            <w:pPr>
              <w:ind w:left="220"/>
              <w:spacing w:after="0"/>
              <w:rPr>
                <w:sz w:val="20"/>
                <w:szCs w:val="20"/>
                <w:color w:val="auto"/>
              </w:rPr>
            </w:pPr>
            <w:r>
              <w:rPr>
                <w:rFonts w:ascii="Arial" w:cs="Arial" w:eastAsia="Arial" w:hAnsi="Arial"/>
                <w:sz w:val="17"/>
                <w:szCs w:val="17"/>
                <w:color w:val="auto"/>
              </w:rPr>
              <w:t>Income taxes, net of refunds</w:t>
            </w:r>
          </w:p>
        </w:tc>
        <w:tc>
          <w:tcPr>
            <w:tcW w:w="232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36.6</w:t>
            </w:r>
          </w:p>
        </w:tc>
        <w:tc>
          <w:tcPr>
            <w:tcW w:w="34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4.8</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77.0</w:t>
            </w:r>
          </w:p>
        </w:tc>
      </w:tr>
      <w:tr>
        <w:trPr>
          <w:trHeight w:val="22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investing transactions:</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49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Property, plant and equipment additions</w:t>
            </w:r>
          </w:p>
        </w:tc>
        <w:tc>
          <w:tcPr>
            <w:tcW w:w="2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102.2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192.5</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r>
    </w:tbl>
    <w:p>
      <w:pPr>
        <w:spacing w:after="0" w:line="280" w:lineRule="exact"/>
        <w:rPr>
          <w:sz w:val="20"/>
          <w:szCs w:val="20"/>
          <w:color w:val="auto"/>
        </w:rPr>
      </w:pPr>
    </w:p>
    <w:p>
      <w:pPr>
        <w:jc w:val="both"/>
        <w:ind w:right="60"/>
        <w:spacing w:after="0" w:line="264" w:lineRule="auto"/>
        <w:rPr>
          <w:sz w:val="20"/>
          <w:szCs w:val="20"/>
          <w:color w:val="auto"/>
        </w:rPr>
      </w:pPr>
      <w:r>
        <w:rPr>
          <w:rFonts w:ascii="Arial" w:cs="Arial" w:eastAsia="Arial" w:hAnsi="Arial"/>
          <w:sz w:val="19"/>
          <w:szCs w:val="19"/>
          <w:color w:val="auto"/>
        </w:rPr>
        <w:t>Non-cash property, plant and equipment additions in 2020 for Evergy, Evergy Kansas Central and Evergy Metro include a non-cash addition related to the revision in estimate of the Wolf Creek ARO liability in the third quarter of 2020. See Note 6 for more details.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Dividends Declared</w:t>
      </w:r>
    </w:p>
    <w:p>
      <w:pPr>
        <w:spacing w:after="0" w:line="23" w:lineRule="exact"/>
        <w:rPr>
          <w:sz w:val="20"/>
          <w:szCs w:val="20"/>
          <w:color w:val="auto"/>
        </w:rPr>
      </w:pPr>
    </w:p>
    <w:p>
      <w:pPr>
        <w:ind w:right="120"/>
        <w:spacing w:after="0" w:line="247" w:lineRule="auto"/>
        <w:rPr>
          <w:sz w:val="20"/>
          <w:szCs w:val="20"/>
          <w:color w:val="auto"/>
        </w:rPr>
      </w:pPr>
      <w:r>
        <w:rPr>
          <w:rFonts w:ascii="Arial" w:cs="Arial" w:eastAsia="Arial" w:hAnsi="Arial"/>
          <w:sz w:val="19"/>
          <w:szCs w:val="19"/>
          <w:color w:val="auto"/>
        </w:rPr>
        <w:t>In February 2022, Evergy's Board of Directors (Evergy Board) declared a quarterly dividend of $0.5725 per share on Evergy's common stock. The common dividend is payable March 21, 2022, to shareholders of record as of March 7, 2022.</w:t>
      </w:r>
    </w:p>
    <w:p>
      <w:pPr>
        <w:spacing w:after="0" w:line="179" w:lineRule="exact"/>
        <w:rPr>
          <w:sz w:val="20"/>
          <w:szCs w:val="20"/>
          <w:color w:val="auto"/>
        </w:rPr>
      </w:pPr>
    </w:p>
    <w:p>
      <w:pPr>
        <w:ind w:right="380"/>
        <w:spacing w:after="0" w:line="264" w:lineRule="auto"/>
        <w:rPr>
          <w:sz w:val="20"/>
          <w:szCs w:val="20"/>
          <w:color w:val="auto"/>
        </w:rPr>
      </w:pPr>
      <w:r>
        <w:rPr>
          <w:rFonts w:ascii="Arial" w:cs="Arial" w:eastAsia="Arial" w:hAnsi="Arial"/>
          <w:sz w:val="19"/>
          <w:szCs w:val="19"/>
          <w:color w:val="auto"/>
        </w:rPr>
        <w:t>In February 2022, Evergy Kansas Central's Board of Directors declared a cash dividend to Evergy of up to $25.0 million, payable on March 18, 2022.</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February 2021 Winter Weather Event</w:t>
      </w:r>
    </w:p>
    <w:p>
      <w:pPr>
        <w:spacing w:after="0" w:line="2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 The February 2021 winter weather event resulted in an increase in the demand for natural gas used by the Evergy Companies for generating electricity and also contributed to the limited availability of other generation resources, including coal and renewables, within the SPP Integrated Marketplace. The Evergy Companies are members of the SPP and, as a result, principally sell and purchase power for the Evergy Companies' retail electric customers through the SPP Integrated Marketplace. These circumstances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6" w:name="page97"/>
    <w:bookmarkEnd w:id="9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resulted in higher than normal market prices for both natural gas and power for the duration of the February 2021 winter weather event. These higher than normal market prices also included make-whole payments calculated by the SPP to compensate natural gas generators within the SPP Integrated Marketplace for costs incurred in excess of revenues. As part of the February 2021 winter weather event and inclusive of the aforementioned items, Evergy incurred natural gas and purchased power costs, net of wholesale revenues, of $365.5 million. This $365.5 million of net fuel and purchased power costs was primarily driven by $296.4 million of costs at Evergy Missouri West and $133.9 million of costs at Evergy Kansas Central, partially offset by $64.8 million of net wholesale revenues at Evergy Metro. The amount of purchased power costs incurred by the Evergy Companies during the February 2021 winter weather event is subject to resettlement activity and further review by the SPP. This review and any subsequent resettlement activity could result in increases or decreases to the final amount of purchased power costs incurred by the Evergy Companies during the February 2021 winter weather event and these changes could be material.</w:t>
      </w:r>
    </w:p>
    <w:p>
      <w:pPr>
        <w:spacing w:after="0" w:line="1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Evergy Companies have fuel recovery mechanisms in their Kansas and Missouri jurisdictions, as applicable, that allow them to defer substantially all of any increased fuel and purchased power costs, net of wholesale revenues, to a regulatory asset or liability for future recovery from or refund to customers. Further, in February 2021, the KCC issued an emergency AAO that allowed Evergy Kansas Central and Evergy Metro's Kansas jurisdiction to defer to a regulatory asset any extraordinary costs, including carrying costs, incurred to provide electric service during the February 2021 winter weather event for consideration in future rate proceedings. Additionally, in June 2021, Evergy Metro and Evergy Missouri West filed a joint request for an AAO with the MPSC that would allow for the extraordinary costs and revenues to provide service during the February 2021 winter weather event, including carrying costs, to be deferred to a regulatory asset or a regulatory liability for consideration in future proceedings. See Note 4 for additional information regarding the AAOs.</w:t>
      </w:r>
    </w:p>
    <w:p>
      <w:pPr>
        <w:spacing w:after="0" w:line="17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As of December 31, 2021, the Evergy Companies have deferred substantially all of the fuel and purchased power costs, net of wholesale revenues, related to the February 2021 winter weather event to a regulatory asset or liability pursuant to the mechanisms discussed above. While the Evergy Companies expect to recover substantially all of any increased fuel and purchased power costs related to the February 2021 winter weather event from customers, the timing of the cost recovery could be delayed or spread over a longer than typical recovery timeframe by the KCC or the MPSC to help moderate monthly customer bill impacts given the extraordinary nature of the February 2021 winter weather event.</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across the central and southern United States driven by the February 2021 winter weather event discussed above, Evergy and Evergy Kansas Central recorded $94.5 million of energy marketing margins in 2021 related to the February 2021 winter weather event, primarily driven by activities in the Electric Reliability Council of Texas (ERCOT).</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Equity Investment</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time to time, Evergy makes limited equity investments in early-stage energy solution companies. These investments have historically not had a significant impact on Evergy's results of operations. In October 2021, an equity investment in which Evergy held a minority stake through an initial investment of $3.7 million was acquired through a transaction involving a special purpose acquisition company (SPAC). As a result of its equity investment in the company that was acquired in the SPAC transaction, Evergy received shares of the resulting public company upon the closing of the transaction, which are subject to a restriction on sale of up for 150 days. Evergy recorded a $27.7 million unrealized gain in the fourth quarter of 2021 for the conversion of its shares into the newly formed public company and based on the closing share price as of December 31, 2021 adjusted to reflect the restriction on the sale of the shares. The fair value of Evergy's investment is largely dependent on the performance of the new public company's stock, which is subject to significant market volatility and is also affected by the restriction on sale of the shares until March 2022, when the restriction expires.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7" w:name="page98"/>
    <w:bookmarkEnd w:id="9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Evergy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255"/>
              <w:spacing w:after="0"/>
              <w:rPr>
                <w:sz w:val="20"/>
                <w:szCs w:val="20"/>
                <w:color w:val="auto"/>
              </w:rPr>
            </w:pPr>
            <w:r>
              <w:rPr>
                <w:rFonts w:ascii="Arial" w:cs="Arial" w:eastAsia="Arial" w:hAnsi="Arial"/>
                <w:sz w:val="17"/>
                <w:szCs w:val="17"/>
                <w:b w:val="1"/>
                <w:bCs w:val="1"/>
                <w:color w:val="auto"/>
                <w:w w:val="89"/>
              </w:rPr>
              <w:t>2020</w:t>
            </w: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r>
      <w:tr>
        <w:trPr>
          <w:trHeight w:val="212"/>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Revenues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center"/>
              <w:ind w:right="235"/>
              <w:spacing w:after="0"/>
              <w:rPr>
                <w:sz w:val="20"/>
                <w:szCs w:val="20"/>
                <w:color w:val="auto"/>
              </w:rPr>
            </w:pPr>
            <w:r>
              <w:rPr>
                <w:rFonts w:ascii="Arial" w:cs="Arial" w:eastAsia="Arial" w:hAnsi="Arial"/>
                <w:sz w:val="15"/>
                <w:szCs w:val="15"/>
                <w:color w:val="auto"/>
                <w:w w:val="99"/>
              </w:rPr>
              <w:t>(millions)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1,918.3</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1,909.2</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1,908.1</w:t>
            </w:r>
          </w:p>
        </w:tc>
      </w:tr>
      <w:tr>
        <w:trPr>
          <w:trHeight w:val="218"/>
        </w:trPr>
        <w:tc>
          <w:tcPr>
            <w:tcW w:w="6620" w:type="dxa"/>
            <w:vAlign w:val="bottom"/>
          </w:tcPr>
          <w:p>
            <w:pPr>
              <w:ind w:left="120"/>
              <w:spacing w:after="0"/>
              <w:rPr>
                <w:sz w:val="20"/>
                <w:szCs w:val="20"/>
                <w:color w:val="auto"/>
              </w:rPr>
            </w:pPr>
            <w:r>
              <w:rPr>
                <w:rFonts w:ascii="Arial" w:cs="Arial" w:eastAsia="Arial" w:hAnsi="Arial"/>
                <w:sz w:val="17"/>
                <w:szCs w:val="17"/>
                <w:color w:val="auto"/>
              </w:rPr>
              <w:t>Commercial</w:t>
            </w:r>
          </w:p>
        </w:tc>
        <w:tc>
          <w:tcPr>
            <w:tcW w:w="32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1,681.3</w:t>
            </w:r>
          </w:p>
        </w:tc>
        <w:tc>
          <w:tcPr>
            <w:tcW w:w="38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1,641.7</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1,781.6</w:t>
            </w:r>
          </w:p>
        </w:tc>
      </w:tr>
      <w:tr>
        <w:trPr>
          <w:trHeight w:val="220"/>
        </w:trPr>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Industrial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597.0</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588.7</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621.6</w:t>
            </w:r>
          </w:p>
        </w:tc>
      </w:tr>
      <w:tr>
        <w:trPr>
          <w:trHeight w:val="218"/>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retail</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38.5</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w:t>
            </w:r>
          </w:p>
        </w:tc>
      </w:tr>
      <w:tr>
        <w:trPr>
          <w:trHeight w:val="213"/>
        </w:trPr>
        <w:tc>
          <w:tcPr>
            <w:tcW w:w="6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electric retail</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4,229.7</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4,178.1</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4,358.4</w:t>
            </w:r>
          </w:p>
        </w:tc>
      </w:tr>
      <w:tr>
        <w:trPr>
          <w:trHeight w:val="218"/>
        </w:trPr>
        <w:tc>
          <w:tcPr>
            <w:tcW w:w="6620" w:type="dxa"/>
            <w:vAlign w:val="bottom"/>
          </w:tcPr>
          <w:p>
            <w:pPr>
              <w:ind w:left="120"/>
              <w:spacing w:after="0"/>
              <w:rPr>
                <w:sz w:val="20"/>
                <w:szCs w:val="20"/>
                <w:color w:val="auto"/>
              </w:rPr>
            </w:pPr>
            <w:r>
              <w:rPr>
                <w:rFonts w:ascii="Arial" w:cs="Arial" w:eastAsia="Arial" w:hAnsi="Arial"/>
                <w:sz w:val="17"/>
                <w:szCs w:val="17"/>
                <w:color w:val="auto"/>
              </w:rPr>
              <w:t>Wholesale</w:t>
            </w:r>
          </w:p>
        </w:tc>
        <w:tc>
          <w:tcPr>
            <w:tcW w:w="32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717.2</w:t>
            </w:r>
          </w:p>
        </w:tc>
        <w:tc>
          <w:tcPr>
            <w:tcW w:w="38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264.0</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327.5</w:t>
            </w:r>
          </w:p>
        </w:tc>
      </w:tr>
      <w:tr>
        <w:trPr>
          <w:trHeight w:val="220"/>
        </w:trPr>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Transmission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356.8</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318.5</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309.2</w:t>
            </w:r>
          </w:p>
        </w:tc>
      </w:tr>
      <w:tr>
        <w:trPr>
          <w:trHeight w:val="218"/>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Industrial steam and 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25.4</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21.0</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 from contracts with customers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5,329.1</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4,781.6</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5,019.6</w:t>
            </w:r>
          </w:p>
        </w:tc>
      </w:tr>
      <w:tr>
        <w:trPr>
          <w:trHeight w:val="218"/>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257.6</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131.8</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w:t>
            </w:r>
          </w:p>
        </w:tc>
      </w:tr>
      <w:tr>
        <w:trPr>
          <w:trHeight w:val="219"/>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revenues</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5,586.7</w:t>
            </w:r>
          </w:p>
        </w:tc>
        <w:tc>
          <w:tcPr>
            <w:tcW w:w="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4,913.4</w:t>
            </w:r>
          </w:p>
        </w:tc>
        <w:tc>
          <w:tcPr>
            <w:tcW w:w="4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5,147.8</w:t>
            </w:r>
          </w:p>
        </w:tc>
      </w:tr>
      <w:tr>
        <w:trPr>
          <w:trHeight w:val="534"/>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9"/>
        </w:trPr>
        <w:tc>
          <w:tcPr>
            <w:tcW w:w="6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55"/>
              <w:spacing w:after="0"/>
              <w:rPr>
                <w:sz w:val="20"/>
                <w:szCs w:val="20"/>
                <w:color w:val="auto"/>
              </w:rPr>
            </w:pPr>
            <w:r>
              <w:rPr>
                <w:rFonts w:ascii="Arial" w:cs="Arial" w:eastAsia="Arial" w:hAnsi="Arial"/>
                <w:sz w:val="17"/>
                <w:szCs w:val="17"/>
                <w:b w:val="1"/>
                <w:bCs w:val="1"/>
                <w:color w:val="auto"/>
                <w:w w:val="89"/>
              </w:rPr>
              <w:t>2020</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r>
      <w:tr>
        <w:trPr>
          <w:trHeight w:val="212"/>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Revenues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center"/>
              <w:ind w:right="235"/>
              <w:spacing w:after="0"/>
              <w:rPr>
                <w:sz w:val="20"/>
                <w:szCs w:val="20"/>
                <w:color w:val="auto"/>
              </w:rPr>
            </w:pPr>
            <w:r>
              <w:rPr>
                <w:rFonts w:ascii="Arial" w:cs="Arial" w:eastAsia="Arial" w:hAnsi="Arial"/>
                <w:sz w:val="15"/>
                <w:szCs w:val="15"/>
                <w:color w:val="auto"/>
                <w:w w:val="99"/>
              </w:rPr>
              <w:t>(millions)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824.1</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801.2</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793.9</w:t>
            </w:r>
          </w:p>
        </w:tc>
      </w:tr>
      <w:tr>
        <w:trPr>
          <w:trHeight w:val="218"/>
        </w:trPr>
        <w:tc>
          <w:tcPr>
            <w:tcW w:w="6620" w:type="dxa"/>
            <w:vAlign w:val="bottom"/>
          </w:tcPr>
          <w:p>
            <w:pPr>
              <w:ind w:left="120"/>
              <w:spacing w:after="0"/>
              <w:rPr>
                <w:sz w:val="20"/>
                <w:szCs w:val="20"/>
                <w:color w:val="auto"/>
              </w:rPr>
            </w:pPr>
            <w:r>
              <w:rPr>
                <w:rFonts w:ascii="Arial" w:cs="Arial" w:eastAsia="Arial" w:hAnsi="Arial"/>
                <w:sz w:val="17"/>
                <w:szCs w:val="17"/>
                <w:color w:val="auto"/>
              </w:rPr>
              <w:t>Commercial</w:t>
            </w:r>
          </w:p>
        </w:tc>
        <w:tc>
          <w:tcPr>
            <w:tcW w:w="32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694.1</w:t>
            </w:r>
          </w:p>
        </w:tc>
        <w:tc>
          <w:tcPr>
            <w:tcW w:w="38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665.6</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709.1</w:t>
            </w:r>
          </w:p>
        </w:tc>
      </w:tr>
      <w:tr>
        <w:trPr>
          <w:trHeight w:val="220"/>
        </w:trPr>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Industrial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391.7</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379.9</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401.3</w:t>
            </w:r>
          </w:p>
        </w:tc>
      </w:tr>
      <w:tr>
        <w:trPr>
          <w:trHeight w:val="218"/>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retail</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17.1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17.7</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r>
      <w:tr>
        <w:trPr>
          <w:trHeight w:val="213"/>
        </w:trPr>
        <w:tc>
          <w:tcPr>
            <w:tcW w:w="6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electric retail</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1,927.0</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1,864.4</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1,925.3</w:t>
            </w:r>
          </w:p>
        </w:tc>
      </w:tr>
      <w:tr>
        <w:trPr>
          <w:trHeight w:val="218"/>
        </w:trPr>
        <w:tc>
          <w:tcPr>
            <w:tcW w:w="6620" w:type="dxa"/>
            <w:vAlign w:val="bottom"/>
          </w:tcPr>
          <w:p>
            <w:pPr>
              <w:ind w:left="120"/>
              <w:spacing w:after="0"/>
              <w:rPr>
                <w:sz w:val="20"/>
                <w:szCs w:val="20"/>
                <w:color w:val="auto"/>
              </w:rPr>
            </w:pPr>
            <w:r>
              <w:rPr>
                <w:rFonts w:ascii="Arial" w:cs="Arial" w:eastAsia="Arial" w:hAnsi="Arial"/>
                <w:sz w:val="17"/>
                <w:szCs w:val="17"/>
                <w:color w:val="auto"/>
              </w:rPr>
              <w:t>Wholesale</w:t>
            </w:r>
          </w:p>
        </w:tc>
        <w:tc>
          <w:tcPr>
            <w:tcW w:w="32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453.1</w:t>
            </w:r>
          </w:p>
        </w:tc>
        <w:tc>
          <w:tcPr>
            <w:tcW w:w="38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215.4</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239.9</w:t>
            </w:r>
          </w:p>
        </w:tc>
      </w:tr>
      <w:tr>
        <w:trPr>
          <w:trHeight w:val="220"/>
        </w:trPr>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Transmission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322.9</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287.3</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273.3</w:t>
            </w:r>
          </w:p>
        </w:tc>
      </w:tr>
      <w:tr>
        <w:trPr>
          <w:trHeight w:val="218"/>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2.2</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2.3</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 from contracts with customers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2,705.2</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2,369.4</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2,444.3</w:t>
            </w:r>
          </w:p>
        </w:tc>
      </w:tr>
      <w:tr>
        <w:trPr>
          <w:trHeight w:val="218"/>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142.1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48.7</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w:t>
            </w:r>
          </w:p>
        </w:tc>
      </w:tr>
      <w:tr>
        <w:trPr>
          <w:trHeight w:val="219"/>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revenues</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2,847.3</w:t>
            </w:r>
          </w:p>
        </w:tc>
        <w:tc>
          <w:tcPr>
            <w:tcW w:w="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2,418.1</w:t>
            </w:r>
          </w:p>
        </w:tc>
        <w:tc>
          <w:tcPr>
            <w:tcW w:w="4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2,507.4</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8" w:name="page99"/>
    <w:bookmarkEnd w:id="9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Evergy Metro</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r>
      <w:tr>
        <w:trPr>
          <w:trHeight w:val="212"/>
        </w:trPr>
        <w:tc>
          <w:tcPr>
            <w:tcW w:w="6420" w:type="dxa"/>
            <w:vAlign w:val="bottom"/>
          </w:tcPr>
          <w:p>
            <w:pPr>
              <w:ind w:left="20"/>
              <w:spacing w:after="0"/>
              <w:rPr>
                <w:sz w:val="20"/>
                <w:szCs w:val="20"/>
                <w:color w:val="auto"/>
              </w:rPr>
            </w:pPr>
            <w:r>
              <w:rPr>
                <w:rFonts w:ascii="Arial" w:cs="Arial" w:eastAsia="Arial" w:hAnsi="Arial"/>
                <w:sz w:val="17"/>
                <w:szCs w:val="17"/>
                <w:b w:val="1"/>
                <w:bCs w:val="1"/>
                <w:color w:val="auto"/>
              </w:rPr>
              <w:t>Revenues</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395"/>
              <w:spacing w:after="0"/>
              <w:rPr>
                <w:sz w:val="20"/>
                <w:szCs w:val="20"/>
                <w:color w:val="auto"/>
              </w:rPr>
            </w:pPr>
            <w:r>
              <w:rPr>
                <w:rFonts w:ascii="Arial" w:cs="Arial" w:eastAsia="Arial" w:hAnsi="Arial"/>
                <w:sz w:val="15"/>
                <w:szCs w:val="15"/>
                <w:color w:val="auto"/>
              </w:rPr>
              <w:t>(millions)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w:t>
            </w: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691.9</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714.7</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712.4</w:t>
            </w:r>
          </w:p>
        </w:tc>
      </w:tr>
      <w:tr>
        <w:trPr>
          <w:trHeight w:val="218"/>
        </w:trPr>
        <w:tc>
          <w:tcPr>
            <w:tcW w:w="6420" w:type="dxa"/>
            <w:vAlign w:val="bottom"/>
          </w:tcPr>
          <w:p>
            <w:pPr>
              <w:ind w:left="120"/>
              <w:spacing w:after="0"/>
              <w:rPr>
                <w:sz w:val="20"/>
                <w:szCs w:val="20"/>
                <w:color w:val="auto"/>
              </w:rPr>
            </w:pPr>
            <w:r>
              <w:rPr>
                <w:rFonts w:ascii="Arial" w:cs="Arial" w:eastAsia="Arial" w:hAnsi="Arial"/>
                <w:sz w:val="17"/>
                <w:szCs w:val="17"/>
                <w:color w:val="auto"/>
              </w:rPr>
              <w:t>Commercial</w:t>
            </w:r>
          </w:p>
        </w:tc>
        <w:tc>
          <w:tcPr>
            <w:tcW w:w="52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713.3</w:t>
            </w:r>
          </w:p>
        </w:tc>
        <w:tc>
          <w:tcPr>
            <w:tcW w:w="38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717.1</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786.1</w:t>
            </w:r>
          </w:p>
        </w:tc>
      </w:tr>
      <w:tr>
        <w:trPr>
          <w:trHeight w:val="220"/>
        </w:trPr>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Industrial</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122.0</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128.8</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w:t>
            </w:r>
          </w:p>
        </w:tc>
      </w:tr>
      <w:tr>
        <w:trPr>
          <w:trHeight w:val="218"/>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retail</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9.2</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11.7</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electric retail</w:t>
            </w: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1,536.4</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1,572.3</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1,651.7</w:t>
            </w:r>
          </w:p>
        </w:tc>
      </w:tr>
      <w:tr>
        <w:trPr>
          <w:trHeight w:val="218"/>
        </w:trPr>
        <w:tc>
          <w:tcPr>
            <w:tcW w:w="6420" w:type="dxa"/>
            <w:vAlign w:val="bottom"/>
          </w:tcPr>
          <w:p>
            <w:pPr>
              <w:ind w:left="120"/>
              <w:spacing w:after="0"/>
              <w:rPr>
                <w:sz w:val="20"/>
                <w:szCs w:val="20"/>
                <w:color w:val="auto"/>
              </w:rPr>
            </w:pPr>
            <w:r>
              <w:rPr>
                <w:rFonts w:ascii="Arial" w:cs="Arial" w:eastAsia="Arial" w:hAnsi="Arial"/>
                <w:sz w:val="17"/>
                <w:szCs w:val="17"/>
                <w:color w:val="auto"/>
              </w:rPr>
              <w:t>Wholesale</w:t>
            </w:r>
          </w:p>
        </w:tc>
        <w:tc>
          <w:tcPr>
            <w:tcW w:w="520" w:type="dxa"/>
            <w:vAlign w:val="bottom"/>
          </w:tcPr>
          <w:p>
            <w:pPr>
              <w:spacing w:after="0"/>
              <w:rPr>
                <w:sz w:val="18"/>
                <w:szCs w:val="18"/>
                <w:color w:val="auto"/>
              </w:rPr>
            </w:pP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242.6</w:t>
            </w:r>
          </w:p>
        </w:tc>
        <w:tc>
          <w:tcPr>
            <w:tcW w:w="38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35.0</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70.9</w:t>
            </w:r>
          </w:p>
        </w:tc>
      </w:tr>
      <w:tr>
        <w:trPr>
          <w:trHeight w:val="220"/>
        </w:trPr>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Transmission</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17.1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13.9</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18"/>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3.6</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2.6</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 from contracts with customers</w:t>
            </w: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1,799.7</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1,623.8</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1,742.9</w:t>
            </w:r>
          </w:p>
        </w:tc>
      </w:tr>
      <w:tr>
        <w:trPr>
          <w:trHeight w:val="218"/>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114.0</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81.8</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w:t>
            </w:r>
          </w:p>
        </w:tc>
      </w:tr>
      <w:tr>
        <w:trPr>
          <w:trHeight w:val="219"/>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revenues</w:t>
            </w:r>
          </w:p>
        </w:tc>
        <w:tc>
          <w:tcPr>
            <w:tcW w:w="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1,913.7</w:t>
            </w:r>
          </w:p>
        </w:tc>
        <w:tc>
          <w:tcPr>
            <w:tcW w:w="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1,705.6</w:t>
            </w:r>
          </w:p>
        </w:tc>
        <w:tc>
          <w:tcPr>
            <w:tcW w:w="4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1,806.5</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 Revenues</w:t>
      </w:r>
    </w:p>
    <w:p>
      <w:pPr>
        <w:spacing w:after="0" w:line="23" w:lineRule="exact"/>
        <w:rPr>
          <w:sz w:val="20"/>
          <w:szCs w:val="20"/>
          <w:color w:val="auto"/>
        </w:rPr>
      </w:pPr>
    </w:p>
    <w:p>
      <w:pPr>
        <w:ind w:right="300"/>
        <w:spacing w:after="0" w:line="242" w:lineRule="auto"/>
        <w:rPr>
          <w:sz w:val="20"/>
          <w:szCs w:val="20"/>
          <w:color w:val="auto"/>
        </w:rPr>
      </w:pPr>
      <w:r>
        <w:rPr>
          <w:rFonts w:ascii="Arial" w:cs="Arial" w:eastAsia="Arial" w:hAnsi="Arial"/>
          <w:sz w:val="19"/>
          <w:szCs w:val="19"/>
          <w:color w:val="auto"/>
        </w:rPr>
        <w:t>The Evergy Companies' retail revenues are generated by the regulated sale of electricity to their residential, commercial and industrial customers within their franchised service territories. The Evergy Companies recognize revenue on the sale of electricity to their customers over time as the service is provided in the amount they have a right to invoice. Retail customers are billed monthly at the tariff rates approved by the KCC and MPSC based on customer kWh usage.</w:t>
      </w:r>
    </w:p>
    <w:p>
      <w:pPr>
        <w:spacing w:after="0" w:line="186"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Revenues recorded include electric services provided but not yet billed by the Evergy Companies. Unbilled revenues are recorded for kWh usage in the period following the customers' billing cycle to the end of the month. This estimate is based on net system kWh usage less actual billed kWhs. The Evergy Companies' estimated unbilled kWhs are allocated and priced by regulatory jurisdiction across the rate classes based on actual billing rates.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The Evergy Companies also collect sales taxes and franchise fees from customers concurrent with revenue-producing activities that are levied by state and local governments. These items are excluded from revenue, and thus not reflected on the statements of income and comprehensive income, for Evergy, Evergy Kansas Central and Evergy Metro.</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Wholesale Revenues</w:t>
      </w:r>
    </w:p>
    <w:p>
      <w:pPr>
        <w:spacing w:after="0" w:line="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Evergy Companies' wholesale revenues are generated by the sale of wholesale power and capacity in circumstances when the power that the Evergy Companies generate is not required for customers in their service territory. These sales primarily occur within the SPP Integrated Marketplace. The Evergy Companies also purchase power from the SPP Integrated Marketplace and record sale and purchase activity on a net basis in wholesale revenue or fuel and purchased power expense. In addition, the Evergy Companies sell wholesale power and capacity through bilateral contracts to other counterparties, such as electric cooperatives, municipalities and other electric utilities.</w:t>
      </w:r>
    </w:p>
    <w:p>
      <w:pPr>
        <w:spacing w:after="0" w:line="169"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For both wholesale sales to the SPP Integrated Marketplace and through bilateral contracts, the Evergy Companies recognize revenue on the sale of wholesale electricity to their customers over time as the service is provided in the amount they have a right to invoice.</w:t>
      </w:r>
    </w:p>
    <w:p>
      <w:pPr>
        <w:spacing w:after="0" w:line="141"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color w:val="auto"/>
        </w:rPr>
        <w:t>Wholesale sales within the SPP Integrated Marketplace are billed weekly based on the fixed transaction price determined by the market at the time of the sale and the MWh quantity purchased. Wholesale sales from bilateral contracts are billed monthly based on the contractually determined transaction price and the kWh quantity purchased.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9" w:name="page100"/>
    <w:bookmarkEnd w:id="9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Transmission Revenues</w:t>
      </w:r>
    </w:p>
    <w:p>
      <w:pPr>
        <w:spacing w:after="0" w:line="2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Evergy Companies' transmission revenues are generated by the use of their transmission networks by the SPP. To enable optimal use of the diverse generating resources in the SPP region, the Evergy Companies, as well as other transmission owners, allow the SPP to access and operate their transmission networks. As new transmission lines are constructed, they are included in the transmission network available to the SPP. In exchange for providing access, the SPP pays the Evergy Companies consideration determined by formula rates approved by the Federal Energy Regulatory Commission (FERC), which include the cost to construct and maintain the transmission lines and a return on investment. The price for access to the Evergy Companies' transmission networks are updated annually based on projected costs. Projections are updated to actual costs and the difference is included in subsequent year's prices.</w:t>
      </w:r>
    </w:p>
    <w:p>
      <w:pPr>
        <w:spacing w:after="0" w:line="173"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The Evergy Companies have different treatment for their legacy transmission facilities within the SPP, which results in different levels of transmission revenue being received from the SPP. Evergy Kansas Central's transmission revenues from SPP include amounts that Evergy Kansas Central pays to the SPP on behalf of its retail electric customers for the use of Evergy Kansas Central's legacy transmission facilities. These transmission revenues are mostly offset by SPP network transmission cost expense that Evergy Kansas Central pays on behalf of its retail customers. Evergy Metro and Evergy Missouri West do not pay the SPP for their retail customers’ use of the Evergy Metro and Evergy Missouri West legacy transmission facilities and correspondingly, their transmission revenues also do not reflect the associated transmission revenue from the SPP.</w:t>
      </w:r>
    </w:p>
    <w:p>
      <w:pPr>
        <w:spacing w:after="0" w:line="186"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color w:val="auto"/>
        </w:rPr>
        <w:t>The Evergy Companies recognize revenue on the sale of transmission service to their customers over time as the service is provided in the amount they have a right to invoice. Transmission service to the SPP is billed monthly based on a fixed transaction price determined by FERC formula transmission rates along with other SPP-specific charges and the MW quantity purchased.</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Industrial Steam and Other Revenues</w:t>
      </w:r>
    </w:p>
    <w:p>
      <w:pPr>
        <w:spacing w:after="0" w:line="2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Evergy's industrial steam and other revenues are primarily generated by the regulated sale of industrial steam to Evergy Missouri West's steam customers. Evergy recognizes revenue on the sale of industrial steam to its customers over time as the service is provided in the amount that it has the right to invoice. Steam customers are billed on a monthly basis at the tariff rate approved by the MPSC based on customer MMBtu usage.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0" w:name="page101"/>
    <w:bookmarkEnd w:id="10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 RECEIVABLES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The Evergy Companies' receivables are detailed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5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2021</w:t>
            </w:r>
          </w:p>
        </w:tc>
        <w:tc>
          <w:tcPr>
            <w:tcW w:w="1260" w:type="dxa"/>
            <w:vAlign w:val="bottom"/>
            <w:tcBorders>
              <w:top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rPr>
              <w:t>December 31</w:t>
            </w:r>
          </w:p>
        </w:tc>
        <w:tc>
          <w:tcPr>
            <w:tcW w:w="112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4"/>
        </w:trPr>
        <w:tc>
          <w:tcPr>
            <w:tcW w:w="7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Evergy</w:t>
            </w:r>
          </w:p>
        </w:tc>
        <w:tc>
          <w:tcPr>
            <w:tcW w:w="1280" w:type="dxa"/>
            <w:vAlign w:val="bottom"/>
          </w:tcPr>
          <w:p>
            <w:pPr>
              <w:spacing w:after="0"/>
              <w:rPr>
                <w:sz w:val="18"/>
                <w:szCs w:val="18"/>
                <w:color w:val="auto"/>
              </w:rPr>
            </w:pPr>
          </w:p>
        </w:tc>
        <w:tc>
          <w:tcPr>
            <w:tcW w:w="1260" w:type="dxa"/>
            <w:vAlign w:val="bottom"/>
            <w:gridSpan w:val="2"/>
          </w:tcPr>
          <w:p>
            <w:pPr>
              <w:jc w:val="right"/>
              <w:ind w:right="214"/>
              <w:spacing w:after="0"/>
              <w:rPr>
                <w:sz w:val="20"/>
                <w:szCs w:val="20"/>
                <w:color w:val="auto"/>
              </w:rPr>
            </w:pPr>
            <w:r>
              <w:rPr>
                <w:rFonts w:ascii="Arial" w:cs="Arial" w:eastAsia="Arial" w:hAnsi="Arial"/>
                <w:sz w:val="15"/>
                <w:szCs w:val="15"/>
                <w:color w:val="auto"/>
              </w:rPr>
              <w:t>(millions)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Customer accounts receivable - billed</w:t>
            </w:r>
          </w:p>
        </w:tc>
        <w:tc>
          <w:tcPr>
            <w:tcW w:w="128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13.7</w:t>
            </w:r>
          </w:p>
        </w:tc>
        <w:tc>
          <w:tcPr>
            <w:tcW w:w="6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8"/>
        </w:trPr>
        <w:tc>
          <w:tcPr>
            <w:tcW w:w="7580" w:type="dxa"/>
            <w:vAlign w:val="bottom"/>
          </w:tcPr>
          <w:p>
            <w:pPr>
              <w:ind w:left="140"/>
              <w:spacing w:after="0"/>
              <w:rPr>
                <w:sz w:val="20"/>
                <w:szCs w:val="20"/>
                <w:color w:val="auto"/>
              </w:rPr>
            </w:pPr>
            <w:r>
              <w:rPr>
                <w:rFonts w:ascii="Arial" w:cs="Arial" w:eastAsia="Arial" w:hAnsi="Arial"/>
                <w:sz w:val="17"/>
                <w:szCs w:val="17"/>
                <w:color w:val="auto"/>
              </w:rPr>
              <w:t>Customer accounts receivable - unbilled</w:t>
            </w:r>
          </w:p>
        </w:tc>
        <w:tc>
          <w:tcPr>
            <w:tcW w:w="1280" w:type="dxa"/>
            <w:vAlign w:val="bottom"/>
          </w:tcPr>
          <w:p>
            <w:pPr>
              <w:spacing w:after="0"/>
              <w:rPr>
                <w:sz w:val="18"/>
                <w:szCs w:val="18"/>
                <w:color w:val="auto"/>
              </w:rPr>
            </w:pPr>
          </w:p>
        </w:tc>
        <w:tc>
          <w:tcPr>
            <w:tcW w:w="660" w:type="dxa"/>
            <w:vAlign w:val="bottom"/>
          </w:tcPr>
          <w:p>
            <w:pPr>
              <w:jc w:val="right"/>
              <w:ind w:right="95"/>
              <w:spacing w:after="0"/>
              <w:rPr>
                <w:sz w:val="20"/>
                <w:szCs w:val="20"/>
                <w:color w:val="auto"/>
              </w:rPr>
            </w:pPr>
            <w:r>
              <w:rPr>
                <w:rFonts w:ascii="Arial" w:cs="Arial" w:eastAsia="Arial" w:hAnsi="Arial"/>
                <w:sz w:val="17"/>
                <w:szCs w:val="17"/>
                <w:color w:val="auto"/>
              </w:rPr>
              <w:t>80.1</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110.0</w:t>
            </w:r>
          </w:p>
        </w:tc>
        <w:tc>
          <w:tcPr>
            <w:tcW w:w="0" w:type="dxa"/>
            <w:vAlign w:val="bottom"/>
          </w:tcPr>
          <w:p>
            <w:pPr>
              <w:spacing w:after="0"/>
              <w:rPr>
                <w:sz w:val="1"/>
                <w:szCs w:val="1"/>
                <w:color w:val="auto"/>
              </w:rPr>
            </w:pPr>
          </w:p>
        </w:tc>
      </w:tr>
      <w:tr>
        <w:trPr>
          <w:trHeight w:val="220"/>
        </w:trPr>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receivables</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160.7</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Allowance for credit losses</w:t>
            </w: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(32.9)</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2"/>
        </w:trPr>
        <w:tc>
          <w:tcPr>
            <w:tcW w:w="7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128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221.6</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273.9</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Customer accounts receivable - billed</w:t>
            </w:r>
          </w:p>
        </w:tc>
        <w:tc>
          <w:tcPr>
            <w:tcW w:w="128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9.7</w:t>
            </w:r>
          </w:p>
        </w:tc>
        <w:tc>
          <w:tcPr>
            <w:tcW w:w="6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580" w:type="dxa"/>
            <w:vAlign w:val="bottom"/>
          </w:tcPr>
          <w:p>
            <w:pPr>
              <w:ind w:left="140"/>
              <w:spacing w:after="0"/>
              <w:rPr>
                <w:sz w:val="20"/>
                <w:szCs w:val="20"/>
                <w:color w:val="auto"/>
              </w:rPr>
            </w:pPr>
            <w:r>
              <w:rPr>
                <w:rFonts w:ascii="Arial" w:cs="Arial" w:eastAsia="Arial" w:hAnsi="Arial"/>
                <w:sz w:val="17"/>
                <w:szCs w:val="17"/>
                <w:color w:val="auto"/>
              </w:rPr>
              <w:t>Customer accounts receivable - unbilled</w:t>
            </w:r>
          </w:p>
        </w:tc>
        <w:tc>
          <w:tcPr>
            <w:tcW w:w="1280" w:type="dxa"/>
            <w:vAlign w:val="bottom"/>
          </w:tcPr>
          <w:p>
            <w:pPr>
              <w:spacing w:after="0"/>
              <w:rPr>
                <w:sz w:val="18"/>
                <w:szCs w:val="18"/>
                <w:color w:val="auto"/>
              </w:rPr>
            </w:pPr>
          </w:p>
        </w:tc>
        <w:tc>
          <w:tcPr>
            <w:tcW w:w="660" w:type="dxa"/>
            <w:vAlign w:val="bottom"/>
          </w:tcPr>
          <w:p>
            <w:pPr>
              <w:jc w:val="right"/>
              <w:ind w:right="95"/>
              <w:spacing w:after="0"/>
              <w:rPr>
                <w:sz w:val="20"/>
                <w:szCs w:val="20"/>
                <w:color w:val="auto"/>
              </w:rPr>
            </w:pPr>
            <w:r>
              <w:rPr>
                <w:rFonts w:ascii="Arial" w:cs="Arial" w:eastAsia="Arial" w:hAnsi="Arial"/>
                <w:sz w:val="17"/>
                <w:szCs w:val="17"/>
                <w:color w:val="auto"/>
              </w:rPr>
              <w:t>26.4</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20"/>
        </w:trPr>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receivables</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178.5</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Allowance for credit losses</w:t>
            </w: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(13.0)</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2"/>
        </w:trPr>
        <w:tc>
          <w:tcPr>
            <w:tcW w:w="7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128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201.6</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Evergy Metro</w:t>
            </w: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Customer accounts receivable - billed</w:t>
            </w:r>
          </w:p>
        </w:tc>
        <w:tc>
          <w:tcPr>
            <w:tcW w:w="128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2.7</w:t>
            </w:r>
          </w:p>
        </w:tc>
        <w:tc>
          <w:tcPr>
            <w:tcW w:w="6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8"/>
        </w:trPr>
        <w:tc>
          <w:tcPr>
            <w:tcW w:w="7580" w:type="dxa"/>
            <w:vAlign w:val="bottom"/>
          </w:tcPr>
          <w:p>
            <w:pPr>
              <w:ind w:left="140"/>
              <w:spacing w:after="0"/>
              <w:rPr>
                <w:sz w:val="20"/>
                <w:szCs w:val="20"/>
                <w:color w:val="auto"/>
              </w:rPr>
            </w:pPr>
            <w:r>
              <w:rPr>
                <w:rFonts w:ascii="Arial" w:cs="Arial" w:eastAsia="Arial" w:hAnsi="Arial"/>
                <w:sz w:val="17"/>
                <w:szCs w:val="17"/>
                <w:color w:val="auto"/>
              </w:rPr>
              <w:t>Customer accounts receivable - unbilled</w:t>
            </w:r>
          </w:p>
        </w:tc>
        <w:tc>
          <w:tcPr>
            <w:tcW w:w="1280" w:type="dxa"/>
            <w:vAlign w:val="bottom"/>
          </w:tcPr>
          <w:p>
            <w:pPr>
              <w:spacing w:after="0"/>
              <w:rPr>
                <w:sz w:val="18"/>
                <w:szCs w:val="18"/>
                <w:color w:val="auto"/>
              </w:rPr>
            </w:pPr>
          </w:p>
        </w:tc>
        <w:tc>
          <w:tcPr>
            <w:tcW w:w="660" w:type="dxa"/>
            <w:vAlign w:val="bottom"/>
          </w:tcPr>
          <w:p>
            <w:pPr>
              <w:jc w:val="right"/>
              <w:ind w:right="95"/>
              <w:spacing w:after="0"/>
              <w:rPr>
                <w:sz w:val="20"/>
                <w:szCs w:val="20"/>
                <w:color w:val="auto"/>
              </w:rPr>
            </w:pPr>
            <w:r>
              <w:rPr>
                <w:rFonts w:ascii="Arial" w:cs="Arial" w:eastAsia="Arial" w:hAnsi="Arial"/>
                <w:sz w:val="17"/>
                <w:szCs w:val="17"/>
                <w:color w:val="auto"/>
              </w:rPr>
              <w:t>25.9</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20"/>
        </w:trPr>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receivables</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15.7</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Allowance for credit losses</w:t>
            </w: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(13.3)</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9"/>
        </w:trPr>
        <w:tc>
          <w:tcPr>
            <w:tcW w:w="7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128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31.0</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The Evergy Companies' other receivables at December 31, 2021 and 2020,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700" w:type="dxa"/>
            <w:vAlign w:val="bottom"/>
            <w:tcBorders>
              <w:top w:val="single" w:sz="8" w:color="auto"/>
            </w:tcBorders>
          </w:tcPr>
          <w:p>
            <w:pPr>
              <w:spacing w:after="0"/>
              <w:rPr>
                <w:sz w:val="21"/>
                <w:szCs w:val="21"/>
                <w:color w:val="auto"/>
              </w:rPr>
            </w:pPr>
          </w:p>
        </w:tc>
        <w:tc>
          <w:tcPr>
            <w:tcW w:w="42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0"/>
              </w:rPr>
              <w:t>December 31</w:t>
            </w:r>
          </w:p>
        </w:tc>
        <w:tc>
          <w:tcPr>
            <w:tcW w:w="112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5"/>
                <w:szCs w:val="15"/>
                <w:color w:val="auto"/>
                <w:w w:val="99"/>
              </w:rPr>
              <w:t>(millions)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w:t>
            </w:r>
          </w:p>
        </w:tc>
        <w:tc>
          <w:tcPr>
            <w:tcW w:w="42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63.7</w:t>
            </w:r>
          </w:p>
        </w:tc>
        <w:tc>
          <w:tcPr>
            <w:tcW w:w="6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Evergy Kansas Central</w:t>
            </w:r>
          </w:p>
        </w:tc>
        <w:tc>
          <w:tcPr>
            <w:tcW w:w="4200" w:type="dxa"/>
            <w:vAlign w:val="bottom"/>
          </w:tcPr>
          <w:p>
            <w:pPr>
              <w:spacing w:after="0"/>
              <w:rPr>
                <w:sz w:val="18"/>
                <w:szCs w:val="18"/>
                <w:color w:val="auto"/>
              </w:rPr>
            </w:pPr>
          </w:p>
        </w:tc>
        <w:tc>
          <w:tcPr>
            <w:tcW w:w="600" w:type="dxa"/>
            <w:vAlign w:val="bottom"/>
          </w:tcPr>
          <w:p>
            <w:pPr>
              <w:jc w:val="right"/>
              <w:ind w:right="76"/>
              <w:spacing w:after="0"/>
              <w:rPr>
                <w:sz w:val="20"/>
                <w:szCs w:val="20"/>
                <w:color w:val="auto"/>
              </w:rPr>
            </w:pPr>
            <w:r>
              <w:rPr>
                <w:rFonts w:ascii="Arial" w:cs="Arial" w:eastAsia="Arial" w:hAnsi="Arial"/>
                <w:sz w:val="17"/>
                <w:szCs w:val="17"/>
                <w:color w:val="auto"/>
              </w:rPr>
              <w:t>62.6</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26"/>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Evergy Metro</w:t>
            </w:r>
          </w:p>
        </w:tc>
        <w:tc>
          <w:tcPr>
            <w:tcW w:w="4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0.5</w:t>
            </w: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1" w:name="page102"/>
    <w:bookmarkEnd w:id="10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The change in the Evergy Companies' allowance for credit losses is summarized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2020</w:t>
            </w:r>
          </w:p>
        </w:tc>
      </w:tr>
      <w:tr>
        <w:trPr>
          <w:trHeight w:val="212"/>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Evergy</w:t>
            </w:r>
          </w:p>
        </w:tc>
        <w:tc>
          <w:tcPr>
            <w:tcW w:w="1180" w:type="dxa"/>
            <w:vAlign w:val="bottom"/>
          </w:tcPr>
          <w:p>
            <w:pPr>
              <w:spacing w:after="0"/>
              <w:rPr>
                <w:sz w:val="18"/>
                <w:szCs w:val="18"/>
                <w:color w:val="auto"/>
              </w:rPr>
            </w:pPr>
          </w:p>
        </w:tc>
        <w:tc>
          <w:tcPr>
            <w:tcW w:w="1220" w:type="dxa"/>
            <w:vAlign w:val="bottom"/>
            <w:gridSpan w:val="2"/>
          </w:tcPr>
          <w:p>
            <w:pPr>
              <w:jc w:val="right"/>
              <w:ind w:right="154"/>
              <w:spacing w:after="0"/>
              <w:rPr>
                <w:sz w:val="20"/>
                <w:szCs w:val="20"/>
                <w:color w:val="auto"/>
              </w:rPr>
            </w:pPr>
            <w:r>
              <w:rPr>
                <w:rFonts w:ascii="Arial" w:cs="Arial" w:eastAsia="Arial" w:hAnsi="Arial"/>
                <w:sz w:val="15"/>
                <w:szCs w:val="15"/>
                <w:color w:val="auto"/>
              </w:rPr>
              <w:t>(millions)</w:t>
            </w:r>
          </w:p>
        </w:tc>
        <w:tc>
          <w:tcPr>
            <w:tcW w:w="1300" w:type="dxa"/>
            <w:vAlign w:val="bottom"/>
          </w:tcPr>
          <w:p>
            <w:pPr>
              <w:spacing w:after="0"/>
              <w:rPr>
                <w:sz w:val="18"/>
                <w:szCs w:val="18"/>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 January 1</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19.3</w:t>
            </w:r>
          </w:p>
        </w:tc>
        <w:tc>
          <w:tcPr>
            <w:tcW w:w="5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18"/>
        </w:trPr>
        <w:tc>
          <w:tcPr>
            <w:tcW w:w="7540" w:type="dxa"/>
            <w:vAlign w:val="bottom"/>
          </w:tcPr>
          <w:p>
            <w:pPr>
              <w:ind w:left="140"/>
              <w:spacing w:after="0"/>
              <w:rPr>
                <w:sz w:val="20"/>
                <w:szCs w:val="20"/>
                <w:color w:val="auto"/>
              </w:rPr>
            </w:pPr>
            <w:r>
              <w:rPr>
                <w:rFonts w:ascii="Arial" w:cs="Arial" w:eastAsia="Arial" w:hAnsi="Arial"/>
                <w:sz w:val="17"/>
                <w:szCs w:val="17"/>
                <w:color w:val="auto"/>
              </w:rPr>
              <w:t>Credit loss expense</w:t>
            </w:r>
          </w:p>
        </w:tc>
        <w:tc>
          <w:tcPr>
            <w:tcW w:w="118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28.0</w:t>
            </w:r>
          </w:p>
        </w:tc>
        <w:tc>
          <w:tcPr>
            <w:tcW w:w="5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24.9</w:t>
            </w:r>
          </w:p>
        </w:tc>
      </w:tr>
      <w:tr>
        <w:trPr>
          <w:trHeight w:val="220"/>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Write-offs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(26.4)</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8"/>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Recoveries of prior write-offs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12.0</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r>
      <w:tr>
        <w:trPr>
          <w:trHeight w:val="212"/>
        </w:trPr>
        <w:tc>
          <w:tcPr>
            <w:tcW w:w="7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 December 31</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32.9</w:t>
            </w: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13"/>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 January 1</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7.5</w:t>
            </w:r>
          </w:p>
        </w:tc>
        <w:tc>
          <w:tcPr>
            <w:tcW w:w="5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8"/>
        </w:trPr>
        <w:tc>
          <w:tcPr>
            <w:tcW w:w="7540" w:type="dxa"/>
            <w:vAlign w:val="bottom"/>
          </w:tcPr>
          <w:p>
            <w:pPr>
              <w:ind w:left="140"/>
              <w:spacing w:after="0"/>
              <w:rPr>
                <w:sz w:val="20"/>
                <w:szCs w:val="20"/>
                <w:color w:val="auto"/>
              </w:rPr>
            </w:pPr>
            <w:r>
              <w:rPr>
                <w:rFonts w:ascii="Arial" w:cs="Arial" w:eastAsia="Arial" w:hAnsi="Arial"/>
                <w:sz w:val="17"/>
                <w:szCs w:val="17"/>
                <w:color w:val="auto"/>
              </w:rPr>
              <w:t>Credit loss expense</w:t>
            </w:r>
          </w:p>
        </w:tc>
        <w:tc>
          <w:tcPr>
            <w:tcW w:w="118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12.0</w:t>
            </w:r>
          </w:p>
        </w:tc>
        <w:tc>
          <w:tcPr>
            <w:tcW w:w="5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20"/>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Write-offs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(11.0)</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8"/>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Recoveries of prior write-offs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4.5</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12"/>
        </w:trPr>
        <w:tc>
          <w:tcPr>
            <w:tcW w:w="7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 December 31</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13.0</w:t>
            </w: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3"/>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Evergy Metro</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 January 1</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8.1</w:t>
            </w:r>
          </w:p>
        </w:tc>
        <w:tc>
          <w:tcPr>
            <w:tcW w:w="5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8"/>
        </w:trPr>
        <w:tc>
          <w:tcPr>
            <w:tcW w:w="7540" w:type="dxa"/>
            <w:vAlign w:val="bottom"/>
          </w:tcPr>
          <w:p>
            <w:pPr>
              <w:ind w:left="140"/>
              <w:spacing w:after="0"/>
              <w:rPr>
                <w:sz w:val="20"/>
                <w:szCs w:val="20"/>
                <w:color w:val="auto"/>
              </w:rPr>
            </w:pPr>
            <w:r>
              <w:rPr>
                <w:rFonts w:ascii="Arial" w:cs="Arial" w:eastAsia="Arial" w:hAnsi="Arial"/>
                <w:sz w:val="17"/>
                <w:szCs w:val="17"/>
                <w:color w:val="auto"/>
              </w:rPr>
              <w:t>Credit loss expense</w:t>
            </w:r>
          </w:p>
        </w:tc>
        <w:tc>
          <w:tcPr>
            <w:tcW w:w="118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10.5</w:t>
            </w:r>
          </w:p>
        </w:tc>
        <w:tc>
          <w:tcPr>
            <w:tcW w:w="5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20"/>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Write-offs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(10.6)</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18"/>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Recoveries of prior write-offs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5.3</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r>
      <w:tr>
        <w:trPr>
          <w:trHeight w:val="219"/>
        </w:trPr>
        <w:tc>
          <w:tcPr>
            <w:tcW w:w="7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 December 31</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13.3</w:t>
            </w: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 of Accounts Receivable</w:t>
      </w:r>
    </w:p>
    <w:p>
      <w:pPr>
        <w:spacing w:after="0" w:line="23"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58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0"/>
              </w:rPr>
              <w:t>December 31</w:t>
            </w:r>
          </w:p>
        </w:tc>
        <w:tc>
          <w:tcPr>
            <w:tcW w:w="1200" w:type="dxa"/>
            <w:vAlign w:val="bottom"/>
            <w:tcBorders>
              <w:top w:val="single" w:sz="8" w:color="auto"/>
            </w:tcBorders>
            <w:vMerge w:val="restart"/>
          </w:tcPr>
          <w:p>
            <w:pPr>
              <w:jc w:val="right"/>
              <w:ind w:right="61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4"/>
        </w:trPr>
        <w:tc>
          <w:tcPr>
            <w:tcW w:w="45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Arial" w:cs="Arial" w:eastAsia="Arial" w:hAnsi="Arial"/>
                <w:sz w:val="15"/>
                <w:szCs w:val="15"/>
                <w:color w:val="auto"/>
              </w:rPr>
              <w:t>(millions)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w:t>
            </w:r>
          </w:p>
        </w:tc>
        <w:tc>
          <w:tcPr>
            <w:tcW w:w="412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319.0</w:t>
            </w:r>
          </w:p>
        </w:tc>
        <w:tc>
          <w:tcPr>
            <w:tcW w:w="68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0" w:type="dxa"/>
            <w:vAlign w:val="bottom"/>
          </w:tcPr>
          <w:p>
            <w:pPr>
              <w:spacing w:after="0"/>
              <w:rPr>
                <w:sz w:val="1"/>
                <w:szCs w:val="1"/>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Evergy Kansas Central</w:t>
            </w:r>
          </w:p>
        </w:tc>
        <w:tc>
          <w:tcPr>
            <w:tcW w:w="412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153.0</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180.0</w:t>
            </w:r>
          </w:p>
        </w:tc>
        <w:tc>
          <w:tcPr>
            <w:tcW w:w="0" w:type="dxa"/>
            <w:vAlign w:val="bottom"/>
          </w:tcPr>
          <w:p>
            <w:pPr>
              <w:spacing w:after="0"/>
              <w:rPr>
                <w:sz w:val="1"/>
                <w:szCs w:val="1"/>
                <w:color w:val="auto"/>
              </w:rPr>
            </w:pPr>
          </w:p>
        </w:tc>
      </w:tr>
      <w:tr>
        <w:trPr>
          <w:trHeight w:val="22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Evergy Metro</w:t>
            </w:r>
          </w:p>
        </w:tc>
        <w:tc>
          <w:tcPr>
            <w:tcW w:w="4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116.0</w:t>
            </w:r>
          </w:p>
        </w:tc>
        <w:tc>
          <w:tcPr>
            <w:tcW w:w="6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Each receivable sale facility expires in 2024. Evergy Kansas Central's facility allows for $185.0 million in aggregate outstanding principal amount of borrowings from mid-October through mid-June and then $200.0 million 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RATE MATTERS AND REGULATION</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KCC Proceedings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Kansas Central 2021 Transmission Delivery Charge (TDC)</w:t>
      </w:r>
    </w:p>
    <w:p>
      <w:pPr>
        <w:spacing w:after="0" w:line="1" w:lineRule="exact"/>
        <w:rPr>
          <w:sz w:val="20"/>
          <w:szCs w:val="20"/>
          <w:color w:val="auto"/>
        </w:rPr>
      </w:pPr>
    </w:p>
    <w:p>
      <w:pPr>
        <w:ind w:right="220"/>
        <w:spacing w:after="0" w:line="243" w:lineRule="auto"/>
        <w:rPr>
          <w:sz w:val="20"/>
          <w:szCs w:val="20"/>
          <w:color w:val="auto"/>
        </w:rPr>
      </w:pPr>
      <w:r>
        <w:rPr>
          <w:rFonts w:ascii="Arial" w:cs="Arial" w:eastAsia="Arial" w:hAnsi="Arial"/>
          <w:sz w:val="19"/>
          <w:szCs w:val="19"/>
          <w:color w:val="auto"/>
        </w:rPr>
        <w:t>In April 2021, the KCC issued an order adjusting Evergy Kansas Central's retail prices to include updated transmission costs as reflected in the FERC transmission formula rate (TFR). The new prices were effective in April 2021 and are expected to increase Evergy Kansas Central's annual retail revenues by $37.9 million when compared to 2020.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2" w:name="page103"/>
    <w:bookmarkEnd w:id="10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Metro 2021 TDC</w:t>
      </w:r>
    </w:p>
    <w:p>
      <w:pPr>
        <w:spacing w:after="0" w:line="17" w:lineRule="exact"/>
        <w:rPr>
          <w:sz w:val="20"/>
          <w:szCs w:val="20"/>
          <w:color w:val="auto"/>
        </w:rPr>
      </w:pPr>
    </w:p>
    <w:p>
      <w:pPr>
        <w:jc w:val="both"/>
        <w:ind w:right="160"/>
        <w:spacing w:after="0" w:line="243" w:lineRule="auto"/>
        <w:rPr>
          <w:sz w:val="20"/>
          <w:szCs w:val="20"/>
          <w:color w:val="auto"/>
        </w:rPr>
      </w:pPr>
      <w:r>
        <w:rPr>
          <w:rFonts w:ascii="Arial" w:cs="Arial" w:eastAsia="Arial" w:hAnsi="Arial"/>
          <w:sz w:val="19"/>
          <w:szCs w:val="19"/>
          <w:color w:val="auto"/>
        </w:rPr>
        <w:t>In April 2021, the KCC issued an order adjusting Evergy Metro's retail prices to include updated transmission costs as reflected in the FERC TFR. The new prices were effective in May 2021 and are expected to decrease Evergy Metro's annual retail revenues by $2.4 million when compared to 2020.</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Kansas Central and Evergy Metro Earnings Review and Sharing Plan (ERSP)</w:t>
      </w:r>
    </w:p>
    <w:p>
      <w:pPr>
        <w:spacing w:after="0" w:line="17"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155" w:lineRule="exact"/>
        <w:rPr>
          <w:sz w:val="20"/>
          <w:szCs w:val="20"/>
          <w:color w:val="auto"/>
        </w:rPr>
      </w:pPr>
    </w:p>
    <w:p>
      <w:pPr>
        <w:ind w:right="420"/>
        <w:spacing w:after="0" w:line="248" w:lineRule="auto"/>
        <w:rPr>
          <w:sz w:val="20"/>
          <w:szCs w:val="20"/>
          <w:color w:val="auto"/>
        </w:rPr>
      </w:pPr>
      <w:r>
        <w:rPr>
          <w:rFonts w:ascii="Arial" w:cs="Arial" w:eastAsia="Arial" w:hAnsi="Arial"/>
          <w:sz w:val="19"/>
          <w:szCs w:val="19"/>
          <w:color w:val="auto"/>
        </w:rPr>
        <w:t>Evergy Kansas Central's and Evergy Metro's 2020 calculations of annual earnings did not result in a significant refund obligation. As of December 31, 2021, Evergy Kansas Central estimates its 2021 annual earnings will not result in a refund obligation. As of December 31, 2021, Evergy Metro estimates its 2021 annual earnings will result in a $2.0 million refund obligation. The final refund obligations for 2021 will be decided by the KCC and could vary from the current estimates.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Kansas Central and Evergy Metro February 2021 Winter Weather Event AAO</w:t>
      </w:r>
    </w:p>
    <w:p>
      <w:pPr>
        <w:spacing w:after="0" w:line="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February 2021, the KCC issued an emergency AAO directing all Kansas-jurisdictional natural gas and electric utilities, including Evergy Kansas Central and Evergy Metro, to defer to a regulatory asset or regulatory liability any extraordinary costs or revenues, including carrying costs, to provide electric service during the February 2021 winter weather event for consideration in future rate proceedings.</w:t>
      </w:r>
    </w:p>
    <w:p>
      <w:pPr>
        <w:spacing w:after="0" w:line="165" w:lineRule="exact"/>
        <w:rPr>
          <w:sz w:val="20"/>
          <w:szCs w:val="20"/>
          <w:color w:val="auto"/>
        </w:rPr>
      </w:pPr>
    </w:p>
    <w:p>
      <w:pPr>
        <w:ind w:right="240"/>
        <w:spacing w:after="0" w:line="248" w:lineRule="auto"/>
        <w:rPr>
          <w:sz w:val="20"/>
          <w:szCs w:val="20"/>
          <w:color w:val="auto"/>
        </w:rPr>
      </w:pPr>
      <w:r>
        <w:rPr>
          <w:rFonts w:ascii="Arial" w:cs="Arial" w:eastAsia="Arial" w:hAnsi="Arial"/>
          <w:sz w:val="19"/>
          <w:szCs w:val="19"/>
          <w:color w:val="auto"/>
        </w:rPr>
        <w:t>As of December 31, 2021, Evergy Kansas Central had recognized a regulatory asset pursuant to the AAO of $121.5 million related to its costs incurred during the February 2021 winter weather event, primarily consisting of increased fuel and purchased power costs. As of December 31, 2021, Evergy Metro's Kansas jurisdiction had recognized a regulatory liability of $39.5 million related to its increased wholesale revenues during the February 2021 winter weather event.</w:t>
      </w:r>
    </w:p>
    <w:p>
      <w:pPr>
        <w:spacing w:after="0" w:line="180"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In July 2021, Evergy Kansas Central and Evergy Metro made a joint filing with the KCC regarding the timing and method of recovery or refund for costs and revenues deferred pursuant to the February 2021 winter weather event AAO. In the filing, Evergy Kansas Central and Evergy Metro requested to recover or refund, as appropriate, their deferred February 2021 winter weather event amounts to customers through their fuel recovery mechanisms over two years and one year, respectively, beginning in April 2022. As part of the filing, Evergy Metro also requested an approximately $6 million decrease to its February 2021 winter weather event refund to Kansas customers, which is not currently reflected in its regulatory liability for the February 2021 winter weather event, for jurisdictional allocation differences in its Kansas and Missouri fuel recovery mechanisms.</w:t>
      </w:r>
    </w:p>
    <w:p>
      <w:pPr>
        <w:spacing w:after="0" w:line="153"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In January 2022, KCC staff filed their report and recommendation regarding the February 2021 winter weather event and the related costs and revenues deferred by Evergy Kansas Central and Evergy Metro as a result of the AAO granted by the KCC in February 2021. The report concluded that the costs incurred and revenues earned by Evergy Kansas Central and Evergy Metro during the February 2021 winter weather event were prudent. The KCC staff also recommended the following: (1) that Evergy Metro extend the time period of its refund to customers from one year to two years; (2) that the KCC reject the approximately $6 million reduction in refund to customers requested by Evergy Metro due to jurisdictional allocation differences in its Kansas and Missouri fuel recovery mechanisms and (3) that Evergy Metro and the other active parties in the case work to determine the appropriate level of carrying charges that should apply to the amounts deferred related to the February 2021 winter weather event.</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A decision by the KCC regarding Evergy Kansas Central’s and Evergy Metro’s joint filing is expected in the first half of 2022.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3" w:name="page104"/>
    <w:bookmarkEnd w:id="10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Lawrence Energy Center (LEC) Unit 4 Securitization</w:t>
      </w:r>
    </w:p>
    <w:p>
      <w:pPr>
        <w:spacing w:after="0" w:line="17" w:lineRule="exact"/>
        <w:rPr>
          <w:sz w:val="20"/>
          <w:szCs w:val="20"/>
          <w:color w:val="auto"/>
        </w:rPr>
      </w:pPr>
    </w:p>
    <w:p>
      <w:pPr>
        <w:ind w:right="180"/>
        <w:spacing w:after="0" w:line="241" w:lineRule="auto"/>
        <w:rPr>
          <w:sz w:val="20"/>
          <w:szCs w:val="20"/>
          <w:color w:val="auto"/>
        </w:rPr>
      </w:pPr>
      <w:r>
        <w:rPr>
          <w:rFonts w:ascii="Arial" w:cs="Arial" w:eastAsia="Arial" w:hAnsi="Arial"/>
          <w:sz w:val="19"/>
          <w:szCs w:val="19"/>
          <w:color w:val="auto"/>
        </w:rPr>
        <w:t>In April 2021, the state of Kansas passed the Utility Financing and Securitization Act (UFSA) which allows certain public utilities, including Evergy Kansas Central and Evergy Metro, to securitize utility assets in order to recover energy transition costs relating to the early retirement of certain generating assets. To recover the energy transition costs through securitization as allowed in the UFSA, a public utility must obtain a predetermination order from the KCC finding that the retirement of the subject generation facility is reasonable. Upon the receipt of a successful predetermination order, the public utility must then file an application with the KCC for a financing order to issue securitized bonds to recover the energy transition costs. The UFSA also allows the pursuit of securitization to help finance qualified extraordinary expenses, such as fuel costs incurred during extreme weather events.</w:t>
      </w:r>
    </w:p>
    <w:p>
      <w:pPr>
        <w:spacing w:after="0" w:line="18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In September 2021, Evergy Kansas Central filed a predetermination request with the KCC for the ratemaking principles and treatment related to its planned investment in approximately 190 MW of solar generation and the planned retirement of coal-fired LEC Unit 4 and related coal-handling facilities for LEC Units 4 and 5, both of which are expected to occur between December 2023 and the first half of 2024. In February 2022, Evergy Kansas Central withdrew its predetermination request with the KCC in order to finalize definitive documentation associated with the solar investment and to develop additional information to enable the KCC to evaluate its predetermination request. Evergy Kansas Central anticipates refiling its predetermination request, including this additional information, later in 2022.</w:t>
      </w:r>
    </w:p>
    <w:p>
      <w:pPr>
        <w:spacing w:after="0" w:line="153"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If the KCC finds that Evergy Kansas Central's planned retirement of LEC Unit 4 and investment in 190 MW of solar generation is prudent as part of a predetermination request, Evergy Kansas Central then plans to file an application with the KCC for a financing order authorizing the issuance of securitized bonds to recover energy transition costs associated with the retirement of LEC Unit 4 and the related coal-handling facilities for LEC Units 4 and 5.</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MPSC Proceedings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Metro 2022 Rate Case Proceeding</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In January 2022, Evergy Metro filed an application with the MPSC to request an increase to its retail revenues of $43.9 million before rebasing fuel and purchased power expense, with a return on equity of 10% and a rate-making equity ratio of 51.19%. The request reflects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Metro also requested an additional $3.8 million increase associated with rebasing fuel and purchased power expense as well as the implementation of tracking mechanisms for both property tax expense and credit loss expense and the creation of a storm reserve as part of its application with the MPSC.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An evidentiary hearing in the case is expected to occur in September 2022 and new rates are expected to be effective in December 2022.</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Missouri West 2022 Rate Case Proceeding</w:t>
      </w:r>
    </w:p>
    <w:p>
      <w:pPr>
        <w:spacing w:after="0" w:line="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January 2022, Evergy Missouri West filed an application with the MPSC to request an increase to its retail revenues of $27.7 million before rebasing fuel and purchased power expense, with a return on equity of 10% and a rate-making equity ratio of 51.81%. The request reflects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Missouri West also requested an additional $32.1 million increase associated with rebasing fuel and purchased power expense, the implementation of tracking mechanisms for both property tax expense and credit loss expense, the creation of a storm reserve, and the full return of and return on its unrecovered investment related to the 2018 retirement of Sibley Station as part of its application with the MPSC.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An evidentiary hearing in the case is expected to occur in September 2022 and new rates are expected to be effective in December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4" w:name="page105"/>
    <w:bookmarkEnd w:id="10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Missouri West Other Proceedings</w:t>
      </w:r>
    </w:p>
    <w:p>
      <w:pPr>
        <w:spacing w:after="0" w:line="17"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color w:val="auto"/>
        </w:rPr>
        <w:t>In December 2018, the Office of the Public Counsel (OPC) and the Midwest Energy Consumers Group (MECG) filed a petition with the MPSC requesting an AAO that would require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w:t>
      </w:r>
    </w:p>
    <w:p>
      <w:pPr>
        <w:spacing w:after="0" w:line="18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October 2019, the MPSC granted OPC's and MECG's request for an AAO and required Evergy Missouri West to record a regulatory liability for the revenues discussed above for consideration in Evergy Missouri West's current rate case. Depending on the MPSC's decision in the current rate case, Evergy Missouri West could be required to refund to customers all or a portion of amounts collected in revenue for Sibley Station since December 2018 or, alternatively, could be required to make no refunds. As part of its current rate case, Evergy Missouri West is proposing to refund to customers the revenues collected from customers for non-fuel operations and maintenance costs and other costs associated with Sibley Station following the station's retirement but not the return on investment.</w:t>
      </w:r>
    </w:p>
    <w:p>
      <w:pPr>
        <w:spacing w:after="0" w:line="171"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As a result of the MPSC order, Evergy has recorded a regulatory liability of $29.3 million as of December 31, 2021 for the estimated amount of revenues that Evergy Missouri West has collected from customers for Sibley Station since December 2018 that Evergy has determined is probable of refund. Evergy expects that it will continue to defer such amounts as collected from customers until new rates become effective in Evergy Missouri West's current rate case.</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accrual for this estimated amount does not include certain revenues collected related to Sibley Station that Evergy has determined to not be probable of refund in the current rate case based on the relevant facts and circumstances. Although Evergy has determined these additional revenues to not be probable of refund, the ultimate resolution of this matter in Evergy Missouri West's current rate case is uncertain and could result in an estimated loss of approximately $50 million when new rates are expected to become effective in December 2022. Evergy's regulatory liability for probable refunds as of December 31, 2021 and estimated loss in excess of the amount accrued represent estimates that could change significantly based on ongoing developments including decisions in other regulatory proceedings that establish precedent applicable to this matter and positions of parties on this issue in Evergy Missouri West's 2022 rate case.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Metro and Evergy Missouri West February 2021 Winter Weather Event AAO</w:t>
      </w:r>
    </w:p>
    <w:p>
      <w:pPr>
        <w:spacing w:after="0" w:line="17"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In June 2021, Evergy Metro and Evergy Missouri West filed a joint request for an AAO with the MPSC that would allow Evergy Metro and Evergy Missouri West to defer to a regulatory asset or regulatory liability any extraordinary costs or revenues, including carrying costs, to provide electric service during the February 2021 winter weather event for consideration in future proceedings.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Evergy Metro and Evergy Missouri West have currently deferred substantially all of their fuel and purchased power costs, net of wholesale revenues, related to the February 2021 winter weather event to a regulatory asset or liability pursuant to their ability to recover or refund these amounts through their fuel recovery mechanisms, which allow for the recovery or refund of 95% of increases in fuel and purchased power costs, net of wholesale revenues, above the amount included in base rates to customers. This AAO request is intended to address the recovery or refund of the February 2021 winter weather event amounts separate from the normal fuel recovery mechanism process given the extraordinary nature of the February 2021 winter weather event and to help moderate customer bill impacts. As of December 31, 2021, Evergy Metro's Missouri jurisdiction had recognized a regulatory liability of $25.6 million related to its increased wholesale revenues during the February 2021 winter weather event. As of December 31, 2021, Evergy Missouri West had recognized a regulatory asset of $281.6 million related to its costs incurred during the February 2021 winter weather event, primarily consisting of increased fuel and purchased power costs.</w:t>
      </w:r>
    </w:p>
    <w:p>
      <w:pPr>
        <w:spacing w:after="0" w:line="163" w:lineRule="exact"/>
        <w:rPr>
          <w:sz w:val="20"/>
          <w:szCs w:val="20"/>
          <w:color w:val="auto"/>
        </w:rPr>
      </w:pPr>
    </w:p>
    <w:p>
      <w:pPr>
        <w:ind w:right="200"/>
        <w:spacing w:after="0" w:line="248" w:lineRule="auto"/>
        <w:rPr>
          <w:sz w:val="20"/>
          <w:szCs w:val="20"/>
          <w:color w:val="auto"/>
        </w:rPr>
      </w:pPr>
      <w:r>
        <w:rPr>
          <w:rFonts w:ascii="Arial" w:cs="Arial" w:eastAsia="Arial" w:hAnsi="Arial"/>
          <w:sz w:val="19"/>
          <w:szCs w:val="19"/>
          <w:color w:val="auto"/>
        </w:rPr>
        <w:t>In the AAO filing, Evergy Metro requested to refund its deferred February 2021 winter weather event amounts to customers through its fuel recovery mechanism over one year, beginning in April 2022. In the same AAO filing, Evergy Missouri West requested to exclude its deferred February 2021 winter weather event amounts from recovery through its fuel recovery mechanism and indicated its intent to recover them through issuing securitized bonds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5" w:name="page106"/>
    <w:bookmarkEnd w:id="10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pursuant to the securitization legislation signed into law in Missouri in July 2021. As part of the filing, Evergy Metro also requested an approximately $5 million decrease to its February 2021 winter weather refund to Missouri customers, which is not currently reflected in its regulatory liability for the February 2021 winter weather event, for jurisdictional allocation differences in its Kansas and Missouri fuel recovery mechanisms and for the portion of net wholesale revenues not traditionally refundable because of the 5% sharing provision of its fuel recovery mechanism. Evergy Missouri West requested an approximately $15 million increase to its February 2021 winter weather event recovery from Missouri customers, which is not currently reflected in its regulatory asset for the February 2021 winter weather event, for the portion of net fuel and purchased power costs not traditionally recoverable because of the 5% sharing provision of its fuel recovery mechanism.</w:t>
      </w:r>
    </w:p>
    <w:p>
      <w:pPr>
        <w:spacing w:after="0" w:line="15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In September 2021, MPSC staff filed their recommendation regarding the February 2021 winter weather event and the related costs and revenues deferred by Evergy Metro and Evergy Missouri West. The MPSC staff recommended that the MPSC reject Evergy Metro’s AAO request, including the approximately $5 million reduction in refund to customers requested by Evergy Metro due to jurisdictional allocation differences in its Kansas and Missouri fuel recovery mechanisms, and refund the excess wholesale revenues from the February 2021 winter weather event to customers through its normal fuel recovery mechanism process. The MPSC staff recommended that the MPSC approve Evergy Missouri West’s AAO request, including the approximately $15 million of additional recovery requested related to the 5% sharing provision of its fuel recovery mechanism, but that the AAO deferral should not include carrying costs as they should be determined in a future ratemaking proceeding.</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A decision by the MPSC regarding Evergy Metro’s and Evergy Missouri West’s joint request is expected in the first half of 2022.</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FERC Proceedings</w:t>
      </w:r>
    </w:p>
    <w:p>
      <w:pPr>
        <w:spacing w:after="0" w:line="2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Kansas Central TFR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In the most recent three years, the updated TFR was expected to adjust Evergy Kansas Central's annual transmission revenues by approximately:</w:t>
      </w:r>
    </w:p>
    <w:p>
      <w:pPr>
        <w:spacing w:after="0" w:line="111" w:lineRule="exact"/>
        <w:rPr>
          <w:sz w:val="20"/>
          <w:szCs w:val="20"/>
          <w:color w:val="auto"/>
        </w:rPr>
      </w:pPr>
    </w:p>
    <w:p>
      <w:pPr>
        <w:ind w:left="620" w:hanging="307"/>
        <w:spacing w:after="0"/>
        <w:tabs>
          <w:tab w:leader="none" w:pos="6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$33.2 million increase effective in January 2022;</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$32.4 million increase effective in January 2021; and</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$6.8 million increase effective in January 2020.</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Evergy Metro TFR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three years, the updated TFR was expected to adjust Evergy Metro's annual transmission revenues by approximately:</w:t>
      </w:r>
    </w:p>
    <w:p>
      <w:pPr>
        <w:spacing w:after="0" w:line="99" w:lineRule="exact"/>
        <w:rPr>
          <w:sz w:val="20"/>
          <w:szCs w:val="20"/>
          <w:color w:val="auto"/>
        </w:rPr>
      </w:pPr>
    </w:p>
    <w:p>
      <w:pPr>
        <w:ind w:left="620" w:hanging="307"/>
        <w:spacing w:after="0"/>
        <w:tabs>
          <w:tab w:leader="none" w:pos="6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$18.1 million increase effective in January 2022;</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$3.9 million decrease effective in January 2021; and</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$1.7 million decrease effective in January 2020.</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Regulatory Assets and Liabilities</w:t>
      </w:r>
    </w:p>
    <w:p>
      <w:pPr>
        <w:spacing w:after="0" w:line="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Evergy Companies have recorded assets and liabilities on their consolidated balance sheets resulting from the effects of the ratemaking process, which would not otherwise be recorded if they were not regulated. Regulatory assets represent incurred costs that are probable of recovery from future revenues. Regulatory liabilities represent future reductions in revenues or refunds to customers.</w:t>
      </w:r>
    </w:p>
    <w:p>
      <w:pPr>
        <w:spacing w:after="0" w:line="165" w:lineRule="exact"/>
        <w:rPr>
          <w:sz w:val="20"/>
          <w:szCs w:val="20"/>
          <w:color w:val="auto"/>
        </w:rPr>
      </w:pPr>
    </w:p>
    <w:p>
      <w:pPr>
        <w:ind w:right="320"/>
        <w:spacing w:after="0" w:line="264" w:lineRule="auto"/>
        <w:rPr>
          <w:sz w:val="20"/>
          <w:szCs w:val="20"/>
          <w:color w:val="auto"/>
        </w:rPr>
      </w:pPr>
      <w:r>
        <w:rPr>
          <w:rFonts w:ascii="Arial" w:cs="Arial" w:eastAsia="Arial" w:hAnsi="Arial"/>
          <w:sz w:val="19"/>
          <w:szCs w:val="19"/>
          <w:color w:val="auto"/>
        </w:rPr>
        <w:t>Management regularly assesses whether regulatory assets and liabilities are probable of future recovery or refund by considering factors such as decisions by the MPSC, KCC or FERC in Evergy Kansas Central's, Evergy Metro's 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6" w:name="page107"/>
    <w:bookmarkEnd w:id="10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Evergy Missouri West's rate case filings; decisions in other regulatory proceedings, including decisions related to other companies that establish precedent on matters applicable to the Evergy Companies; and changes in laws and regulations. If recovery or refund of regulatory assets or liabilities is not approved by regulators or is no longer deemed probable, these regulatory assets or liabilities are recognized in the current period results of operations. The Evergy Companies continued ability to meet the criteria for recording regulatory assets and liabilities may be affected in the future by restructuring and deregulation in the electric industry or changes in accounting rules. In the event that the criteria no longer applied to any or all of the Evergy Companies' operations, the related regulatory assets and liabilities would be written off unless an appropriate regulatory recovery mechanism were provided. Additionally, these factors could result in an impairment on utility plant assets.</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The Evergy Companies' regulatory assets and liabilities are detailed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0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14"/>
              <w:spacing w:after="0"/>
              <w:rPr>
                <w:sz w:val="20"/>
                <w:szCs w:val="20"/>
                <w:color w:val="auto"/>
              </w:rPr>
            </w:pPr>
            <w:r>
              <w:rPr>
                <w:rFonts w:ascii="Arial" w:cs="Arial" w:eastAsia="Arial" w:hAnsi="Arial"/>
                <w:sz w:val="17"/>
                <w:szCs w:val="17"/>
                <w:b w:val="1"/>
                <w:bCs w:val="1"/>
                <w:color w:val="auto"/>
              </w:rPr>
              <w:t>December 31</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7"/>
                <w:szCs w:val="17"/>
                <w:b w:val="1"/>
                <w:bCs w:val="1"/>
                <w:color w:val="auto"/>
              </w:rPr>
              <w:t>2020</w:t>
            </w:r>
          </w:p>
        </w:tc>
        <w:tc>
          <w:tcPr>
            <w:tcW w:w="4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ind w:left="80"/>
              <w:spacing w:after="0" w:line="162" w:lineRule="exact"/>
              <w:rPr>
                <w:sz w:val="20"/>
                <w:szCs w:val="20"/>
                <w:color w:val="auto"/>
              </w:rPr>
            </w:pPr>
            <w:r>
              <w:rPr>
                <w:rFonts w:ascii="Arial" w:cs="Arial" w:eastAsia="Arial" w:hAnsi="Arial"/>
                <w:sz w:val="17"/>
                <w:szCs w:val="17"/>
                <w:b w:val="1"/>
                <w:bCs w:val="1"/>
                <w:color w:val="auto"/>
              </w:rPr>
              <w:t>Evergy</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ind w:left="80"/>
              <w:spacing w:after="0" w:line="162" w:lineRule="exact"/>
              <w:rPr>
                <w:sz w:val="20"/>
                <w:szCs w:val="20"/>
                <w:color w:val="auto"/>
              </w:rPr>
            </w:pPr>
            <w:r>
              <w:rPr>
                <w:rFonts w:ascii="Arial" w:cs="Arial" w:eastAsia="Arial" w:hAnsi="Arial"/>
                <w:sz w:val="17"/>
                <w:szCs w:val="17"/>
                <w:b w:val="1"/>
                <w:bCs w:val="1"/>
                <w:color w:val="auto"/>
              </w:rPr>
              <w:t>Evergy</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Evergy</w:t>
            </w:r>
          </w:p>
        </w:tc>
        <w:tc>
          <w:tcPr>
            <w:tcW w:w="260" w:type="dxa"/>
            <w:vAlign w:val="bottom"/>
          </w:tcPr>
          <w:p>
            <w:pPr>
              <w:spacing w:after="0"/>
              <w:rPr>
                <w:sz w:val="14"/>
                <w:szCs w:val="14"/>
                <w:color w:val="auto"/>
              </w:rPr>
            </w:pPr>
          </w:p>
        </w:tc>
        <w:tc>
          <w:tcPr>
            <w:tcW w:w="940" w:type="dxa"/>
            <w:vAlign w:val="bottom"/>
          </w:tcPr>
          <w:p>
            <w:pPr>
              <w:ind w:left="80"/>
              <w:spacing w:after="0" w:line="167" w:lineRule="exact"/>
              <w:rPr>
                <w:sz w:val="20"/>
                <w:szCs w:val="20"/>
                <w:color w:val="auto"/>
              </w:rPr>
            </w:pPr>
            <w:r>
              <w:rPr>
                <w:rFonts w:ascii="Arial" w:cs="Arial" w:eastAsia="Arial" w:hAnsi="Arial"/>
                <w:sz w:val="17"/>
                <w:szCs w:val="17"/>
                <w:b w:val="1"/>
                <w:bCs w:val="1"/>
                <w:color w:val="auto"/>
              </w:rPr>
              <w:t>Kansas</w:t>
            </w:r>
          </w:p>
        </w:tc>
        <w:tc>
          <w:tcPr>
            <w:tcW w:w="1340" w:type="dxa"/>
            <w:vAlign w:val="bottom"/>
            <w:gridSpan w:val="3"/>
            <w:vMerge w:val="restart"/>
          </w:tcPr>
          <w:p>
            <w:pPr>
              <w:ind w:left="120"/>
              <w:spacing w:after="0"/>
              <w:rPr>
                <w:sz w:val="20"/>
                <w:szCs w:val="20"/>
                <w:color w:val="auto"/>
              </w:rPr>
            </w:pPr>
            <w:r>
              <w:rPr>
                <w:rFonts w:ascii="Arial" w:cs="Arial" w:eastAsia="Arial" w:hAnsi="Arial"/>
                <w:sz w:val="17"/>
                <w:szCs w:val="17"/>
                <w:b w:val="1"/>
                <w:bCs w:val="1"/>
                <w:color w:val="auto"/>
              </w:rPr>
              <w:t>Evergy Metro</w:t>
            </w:r>
          </w:p>
        </w:tc>
        <w:tc>
          <w:tcPr>
            <w:tcW w:w="260" w:type="dxa"/>
            <w:vAlign w:val="bottom"/>
          </w:tcPr>
          <w:p>
            <w:pPr>
              <w:spacing w:after="0"/>
              <w:rPr>
                <w:sz w:val="14"/>
                <w:szCs w:val="14"/>
                <w:color w:val="auto"/>
              </w:rPr>
            </w:pPr>
          </w:p>
        </w:tc>
        <w:tc>
          <w:tcPr>
            <w:tcW w:w="86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w w:val="91"/>
              </w:rPr>
              <w:t>Evergy</w:t>
            </w:r>
          </w:p>
        </w:tc>
        <w:tc>
          <w:tcPr>
            <w:tcW w:w="260" w:type="dxa"/>
            <w:vAlign w:val="bottom"/>
          </w:tcPr>
          <w:p>
            <w:pPr>
              <w:spacing w:after="0"/>
              <w:rPr>
                <w:sz w:val="14"/>
                <w:szCs w:val="14"/>
                <w:color w:val="auto"/>
              </w:rPr>
            </w:pPr>
          </w:p>
        </w:tc>
        <w:tc>
          <w:tcPr>
            <w:tcW w:w="940" w:type="dxa"/>
            <w:vAlign w:val="bottom"/>
          </w:tcPr>
          <w:p>
            <w:pPr>
              <w:ind w:left="80"/>
              <w:spacing w:after="0" w:line="167" w:lineRule="exact"/>
              <w:rPr>
                <w:sz w:val="20"/>
                <w:szCs w:val="20"/>
                <w:color w:val="auto"/>
              </w:rPr>
            </w:pPr>
            <w:r>
              <w:rPr>
                <w:rFonts w:ascii="Arial" w:cs="Arial" w:eastAsia="Arial" w:hAnsi="Arial"/>
                <w:sz w:val="17"/>
                <w:szCs w:val="17"/>
                <w:b w:val="1"/>
                <w:bCs w:val="1"/>
                <w:color w:val="auto"/>
              </w:rPr>
              <w:t>Kansas</w:t>
            </w:r>
          </w:p>
        </w:tc>
        <w:tc>
          <w:tcPr>
            <w:tcW w:w="120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Evergy Metro</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Central</w:t>
            </w:r>
          </w:p>
        </w:tc>
        <w:tc>
          <w:tcPr>
            <w:tcW w:w="134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Central</w:t>
            </w:r>
          </w:p>
        </w:tc>
        <w:tc>
          <w:tcPr>
            <w:tcW w:w="12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Regulatory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(millions)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Pension and post-retirement costs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567.2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265.6</w:t>
            </w:r>
          </w:p>
        </w:tc>
        <w:tc>
          <w:tcPr>
            <w:tcW w:w="4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867.8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412.9</w:t>
            </w:r>
          </w:p>
        </w:tc>
        <w:tc>
          <w:tcPr>
            <w:tcW w:w="4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359.9</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Debt reacquisition costs</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94.4</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86.7</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98.9</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91.3</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Debt fair value adjustment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96.5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104.0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4060" w:type="dxa"/>
            <w:vAlign w:val="bottom"/>
          </w:tcPr>
          <w:p>
            <w:pPr>
              <w:ind w:left="140"/>
              <w:spacing w:after="0" w:line="168" w:lineRule="exact"/>
              <w:rPr>
                <w:sz w:val="20"/>
                <w:szCs w:val="20"/>
                <w:color w:val="auto"/>
              </w:rPr>
            </w:pPr>
            <w:r>
              <w:rPr>
                <w:rFonts w:ascii="Arial" w:cs="Arial" w:eastAsia="Arial" w:hAnsi="Arial"/>
                <w:sz w:val="17"/>
                <w:szCs w:val="17"/>
                <w:color w:val="auto"/>
              </w:rPr>
              <w:t>Asset retirement obligations fair value</w:t>
            </w:r>
          </w:p>
        </w:tc>
        <w:tc>
          <w:tcPr>
            <w:tcW w:w="18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117.9</w:t>
            </w:r>
          </w:p>
        </w:tc>
        <w:tc>
          <w:tcPr>
            <w:tcW w:w="26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860" w:type="dxa"/>
            <w:vAlign w:val="bottom"/>
            <w:vMerge w:val="restart"/>
          </w:tcPr>
          <w:p>
            <w:pPr>
              <w:jc w:val="right"/>
              <w:ind w:right="54"/>
              <w:spacing w:after="0"/>
              <w:rPr>
                <w:sz w:val="20"/>
                <w:szCs w:val="20"/>
                <w:color w:val="auto"/>
              </w:rPr>
            </w:pPr>
            <w:r>
              <w:rPr>
                <w:rFonts w:ascii="Arial" w:cs="Arial" w:eastAsia="Arial" w:hAnsi="Arial"/>
                <w:sz w:val="17"/>
                <w:szCs w:val="17"/>
                <w:color w:val="auto"/>
              </w:rPr>
              <w:t>116.2</w:t>
            </w:r>
          </w:p>
        </w:tc>
        <w:tc>
          <w:tcPr>
            <w:tcW w:w="26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260"/>
              <w:spacing w:after="0"/>
              <w:rPr>
                <w:sz w:val="20"/>
                <w:szCs w:val="20"/>
                <w:color w:val="auto"/>
              </w:rPr>
            </w:pPr>
            <w:r>
              <w:rPr>
                <w:rFonts w:ascii="Arial" w:cs="Arial" w:eastAsia="Arial" w:hAnsi="Arial"/>
                <w:sz w:val="17"/>
                <w:szCs w:val="17"/>
                <w:color w:val="auto"/>
              </w:rPr>
              <w:t>adjustment</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98.5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50.1</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52.7</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Cost of removal</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257.5</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141.0</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90.2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183.4</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125.7</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retirement obligations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119.3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52.3</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170.8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55.0</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Analog meter unrecovered investment</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18.4</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18.4</w:t>
            </w:r>
          </w:p>
        </w:tc>
        <w:tc>
          <w:tcPr>
            <w:tcW w:w="4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24.1</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24.1</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Treasury yield hedges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20.4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20.4</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21.5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21.5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Iatan No. 1 and common facilities</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6.5</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6.9</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Iatan No. 2 construction accounting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24.7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25.4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Kansas property tax surcharge</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39.6</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31.6</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28.9</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23.7</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Disallowed plant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14.2</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La Cygne environmental costs</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11.2</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9.0</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12.4</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10.1</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customer programs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18.7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6.4</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16.3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5.7</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Fuel recovery mechanisms</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202.5</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120.8</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26.2</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1.2</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February 2021 winter weather event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403.1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121.5</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Solar rebates</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20.2</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25.9</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Wolf Creek outage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20.4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10.2</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5.0</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68"/>
        </w:trPr>
        <w:tc>
          <w:tcPr>
            <w:tcW w:w="4060" w:type="dxa"/>
            <w:vAlign w:val="bottom"/>
          </w:tcPr>
          <w:p>
            <w:pPr>
              <w:ind w:left="140"/>
              <w:spacing w:after="0" w:line="168" w:lineRule="exact"/>
              <w:rPr>
                <w:sz w:val="20"/>
                <w:szCs w:val="20"/>
                <w:color w:val="auto"/>
              </w:rPr>
            </w:pPr>
            <w:r>
              <w:rPr>
                <w:rFonts w:ascii="Arial" w:cs="Arial" w:eastAsia="Arial" w:hAnsi="Arial"/>
                <w:sz w:val="17"/>
                <w:szCs w:val="17"/>
                <w:color w:val="auto"/>
              </w:rPr>
              <w:t>Pension and other post-retirement benefit</w:t>
            </w:r>
          </w:p>
        </w:tc>
        <w:tc>
          <w:tcPr>
            <w:tcW w:w="18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65.6</w:t>
            </w:r>
          </w:p>
        </w:tc>
        <w:tc>
          <w:tcPr>
            <w:tcW w:w="26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23.0</w:t>
            </w:r>
          </w:p>
        </w:tc>
        <w:tc>
          <w:tcPr>
            <w:tcW w:w="4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29.6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54"/>
              <w:spacing w:after="0"/>
              <w:rPr>
                <w:sz w:val="20"/>
                <w:szCs w:val="20"/>
                <w:color w:val="auto"/>
              </w:rPr>
            </w:pPr>
            <w:r>
              <w:rPr>
                <w:rFonts w:ascii="Arial" w:cs="Arial" w:eastAsia="Arial" w:hAnsi="Arial"/>
                <w:sz w:val="17"/>
                <w:szCs w:val="17"/>
                <w:color w:val="auto"/>
              </w:rPr>
              <w:t>49.8</w:t>
            </w:r>
          </w:p>
        </w:tc>
        <w:tc>
          <w:tcPr>
            <w:tcW w:w="26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12.8</w:t>
            </w:r>
          </w:p>
        </w:tc>
        <w:tc>
          <w:tcPr>
            <w:tcW w:w="4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8"/>
        </w:trPr>
        <w:tc>
          <w:tcPr>
            <w:tcW w:w="4060" w:type="dxa"/>
            <w:vAlign w:val="bottom"/>
          </w:tcPr>
          <w:p>
            <w:pPr>
              <w:ind w:left="260"/>
              <w:spacing w:after="0"/>
              <w:rPr>
                <w:sz w:val="20"/>
                <w:szCs w:val="20"/>
                <w:color w:val="auto"/>
              </w:rPr>
            </w:pPr>
            <w:r>
              <w:rPr>
                <w:rFonts w:ascii="Arial" w:cs="Arial" w:eastAsia="Arial" w:hAnsi="Arial"/>
                <w:sz w:val="17"/>
                <w:szCs w:val="17"/>
                <w:color w:val="auto"/>
              </w:rPr>
              <w:t>non-service costs</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Retired generation facilities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123.4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128.4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Merger transition costs</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32.7</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15.6</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37.6</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18.0</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regulatory assets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42.3</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24.1</w:t>
            </w: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35.4</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22.1</w:t>
            </w: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2,415.2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1,010.9</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2,074.4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896.3</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615.5</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Less: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(424.1)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(257.3)</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(206.2)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(96.2)</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noncurrent regulatory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1,991.1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753.6</w:t>
            </w:r>
          </w:p>
        </w:tc>
        <w:tc>
          <w:tcPr>
            <w:tcW w:w="4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410.7</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1,868.2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800.1</w:t>
            </w:r>
          </w:p>
        </w:tc>
        <w:tc>
          <w:tcPr>
            <w:tcW w:w="4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533.5</w:t>
            </w:r>
          </w:p>
        </w:tc>
        <w:tc>
          <w:tcPr>
            <w:tcW w:w="0" w:type="dxa"/>
            <w:vAlign w:val="bottom"/>
          </w:tcPr>
          <w:p>
            <w:pPr>
              <w:spacing w:after="0"/>
              <w:rPr>
                <w:sz w:val="1"/>
                <w:szCs w:val="1"/>
                <w:color w:val="auto"/>
              </w:rPr>
            </w:pPr>
          </w:p>
        </w:tc>
      </w:tr>
      <w:tr>
        <w:trPr>
          <w:trHeight w:val="824"/>
        </w:trPr>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34"/>
              <w:spacing w:after="0"/>
              <w:rPr>
                <w:sz w:val="20"/>
                <w:szCs w:val="20"/>
                <w:color w:val="auto"/>
              </w:rPr>
            </w:pPr>
            <w:r>
              <w:rPr>
                <w:rFonts w:ascii="Arial" w:cs="Arial" w:eastAsia="Arial" w:hAnsi="Arial"/>
                <w:sz w:val="17"/>
                <w:szCs w:val="17"/>
                <w:color w:val="auto"/>
              </w:rPr>
              <w:t>105</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7" w:name="page108"/>
    <w:bookmarkEnd w:id="10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0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4"/>
          </w:tcPr>
          <w:p>
            <w:pPr>
              <w:jc w:val="right"/>
              <w:ind w:right="614"/>
              <w:spacing w:after="0"/>
              <w:rPr>
                <w:sz w:val="20"/>
                <w:szCs w:val="20"/>
                <w:color w:val="auto"/>
              </w:rPr>
            </w:pPr>
            <w:r>
              <w:rPr>
                <w:rFonts w:ascii="Arial" w:cs="Arial" w:eastAsia="Arial" w:hAnsi="Arial"/>
                <w:sz w:val="17"/>
                <w:szCs w:val="17"/>
                <w:b w:val="1"/>
                <w:bCs w:val="1"/>
                <w:color w:val="auto"/>
              </w:rPr>
              <w:t>December 31</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7"/>
                <w:szCs w:val="17"/>
                <w:b w:val="1"/>
                <w:bCs w:val="1"/>
                <w:color w:val="auto"/>
              </w:rPr>
              <w:t>2020</w:t>
            </w:r>
          </w:p>
        </w:tc>
        <w:tc>
          <w:tcPr>
            <w:tcW w:w="4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ind w:left="80"/>
              <w:spacing w:after="0" w:line="162" w:lineRule="exact"/>
              <w:rPr>
                <w:sz w:val="20"/>
                <w:szCs w:val="20"/>
                <w:color w:val="auto"/>
              </w:rPr>
            </w:pPr>
            <w:r>
              <w:rPr>
                <w:rFonts w:ascii="Arial" w:cs="Arial" w:eastAsia="Arial" w:hAnsi="Arial"/>
                <w:sz w:val="17"/>
                <w:szCs w:val="17"/>
                <w:b w:val="1"/>
                <w:bCs w:val="1"/>
                <w:color w:val="auto"/>
              </w:rPr>
              <w:t>Evergy</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ind w:left="80"/>
              <w:spacing w:after="0" w:line="162" w:lineRule="exact"/>
              <w:rPr>
                <w:sz w:val="20"/>
                <w:szCs w:val="20"/>
                <w:color w:val="auto"/>
              </w:rPr>
            </w:pPr>
            <w:r>
              <w:rPr>
                <w:rFonts w:ascii="Arial" w:cs="Arial" w:eastAsia="Arial" w:hAnsi="Arial"/>
                <w:sz w:val="17"/>
                <w:szCs w:val="17"/>
                <w:b w:val="1"/>
                <w:bCs w:val="1"/>
                <w:color w:val="auto"/>
              </w:rPr>
              <w:t>Evergy</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Evergy</w:t>
            </w:r>
          </w:p>
        </w:tc>
        <w:tc>
          <w:tcPr>
            <w:tcW w:w="260" w:type="dxa"/>
            <w:vAlign w:val="bottom"/>
          </w:tcPr>
          <w:p>
            <w:pPr>
              <w:spacing w:after="0"/>
              <w:rPr>
                <w:sz w:val="14"/>
                <w:szCs w:val="14"/>
                <w:color w:val="auto"/>
              </w:rPr>
            </w:pPr>
          </w:p>
        </w:tc>
        <w:tc>
          <w:tcPr>
            <w:tcW w:w="940" w:type="dxa"/>
            <w:vAlign w:val="bottom"/>
          </w:tcPr>
          <w:p>
            <w:pPr>
              <w:ind w:left="80"/>
              <w:spacing w:after="0" w:line="167" w:lineRule="exact"/>
              <w:rPr>
                <w:sz w:val="20"/>
                <w:szCs w:val="20"/>
                <w:color w:val="auto"/>
              </w:rPr>
            </w:pPr>
            <w:r>
              <w:rPr>
                <w:rFonts w:ascii="Arial" w:cs="Arial" w:eastAsia="Arial" w:hAnsi="Arial"/>
                <w:sz w:val="17"/>
                <w:szCs w:val="17"/>
                <w:b w:val="1"/>
                <w:bCs w:val="1"/>
                <w:color w:val="auto"/>
              </w:rPr>
              <w:t>Kansas</w:t>
            </w:r>
          </w:p>
        </w:tc>
        <w:tc>
          <w:tcPr>
            <w:tcW w:w="1340" w:type="dxa"/>
            <w:vAlign w:val="bottom"/>
            <w:gridSpan w:val="3"/>
            <w:vMerge w:val="restart"/>
          </w:tcPr>
          <w:p>
            <w:pPr>
              <w:ind w:left="120"/>
              <w:spacing w:after="0"/>
              <w:rPr>
                <w:sz w:val="20"/>
                <w:szCs w:val="20"/>
                <w:color w:val="auto"/>
              </w:rPr>
            </w:pPr>
            <w:r>
              <w:rPr>
                <w:rFonts w:ascii="Arial" w:cs="Arial" w:eastAsia="Arial" w:hAnsi="Arial"/>
                <w:sz w:val="17"/>
                <w:szCs w:val="17"/>
                <w:b w:val="1"/>
                <w:bCs w:val="1"/>
                <w:color w:val="auto"/>
              </w:rPr>
              <w:t>Evergy Metro</w:t>
            </w:r>
          </w:p>
        </w:tc>
        <w:tc>
          <w:tcPr>
            <w:tcW w:w="260" w:type="dxa"/>
            <w:vAlign w:val="bottom"/>
          </w:tcPr>
          <w:p>
            <w:pPr>
              <w:spacing w:after="0"/>
              <w:rPr>
                <w:sz w:val="14"/>
                <w:szCs w:val="14"/>
                <w:color w:val="auto"/>
              </w:rPr>
            </w:pPr>
          </w:p>
        </w:tc>
        <w:tc>
          <w:tcPr>
            <w:tcW w:w="86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w w:val="91"/>
              </w:rPr>
              <w:t>Evergy</w:t>
            </w:r>
          </w:p>
        </w:tc>
        <w:tc>
          <w:tcPr>
            <w:tcW w:w="260" w:type="dxa"/>
            <w:vAlign w:val="bottom"/>
          </w:tcPr>
          <w:p>
            <w:pPr>
              <w:spacing w:after="0"/>
              <w:rPr>
                <w:sz w:val="14"/>
                <w:szCs w:val="14"/>
                <w:color w:val="auto"/>
              </w:rPr>
            </w:pPr>
          </w:p>
        </w:tc>
        <w:tc>
          <w:tcPr>
            <w:tcW w:w="940" w:type="dxa"/>
            <w:vAlign w:val="bottom"/>
          </w:tcPr>
          <w:p>
            <w:pPr>
              <w:ind w:left="80"/>
              <w:spacing w:after="0" w:line="167" w:lineRule="exact"/>
              <w:rPr>
                <w:sz w:val="20"/>
                <w:szCs w:val="20"/>
                <w:color w:val="auto"/>
              </w:rPr>
            </w:pPr>
            <w:r>
              <w:rPr>
                <w:rFonts w:ascii="Arial" w:cs="Arial" w:eastAsia="Arial" w:hAnsi="Arial"/>
                <w:sz w:val="17"/>
                <w:szCs w:val="17"/>
                <w:b w:val="1"/>
                <w:bCs w:val="1"/>
                <w:color w:val="auto"/>
              </w:rPr>
              <w:t>Kansas</w:t>
            </w:r>
          </w:p>
        </w:tc>
        <w:tc>
          <w:tcPr>
            <w:tcW w:w="120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Evergy Metro</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Central</w:t>
            </w:r>
          </w:p>
        </w:tc>
        <w:tc>
          <w:tcPr>
            <w:tcW w:w="134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Central</w:t>
            </w:r>
          </w:p>
        </w:tc>
        <w:tc>
          <w:tcPr>
            <w:tcW w:w="12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Regulatory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5"/>
                <w:szCs w:val="15"/>
                <w:color w:val="auto"/>
              </w:rPr>
              <w:t>(millions)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Taxes refundable through future rates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1,969.5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1,143.7</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2,055.7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1,184.5</w:t>
            </w:r>
          </w:p>
        </w:tc>
        <w:tc>
          <w:tcPr>
            <w:tcW w:w="4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650.2</w:t>
            </w:r>
          </w:p>
        </w:tc>
        <w:tc>
          <w:tcPr>
            <w:tcW w:w="0" w:type="dxa"/>
            <w:vAlign w:val="bottom"/>
          </w:tcPr>
          <w:p>
            <w:pPr>
              <w:spacing w:after="0"/>
              <w:rPr>
                <w:sz w:val="1"/>
                <w:szCs w:val="1"/>
                <w:color w:val="auto"/>
              </w:rPr>
            </w:pPr>
          </w:p>
        </w:tc>
      </w:tr>
      <w:tr>
        <w:trPr>
          <w:trHeight w:val="168"/>
        </w:trPr>
        <w:tc>
          <w:tcPr>
            <w:tcW w:w="4060" w:type="dxa"/>
            <w:vAlign w:val="bottom"/>
          </w:tcPr>
          <w:p>
            <w:pPr>
              <w:ind w:left="140"/>
              <w:spacing w:after="0" w:line="168" w:lineRule="exact"/>
              <w:rPr>
                <w:sz w:val="20"/>
                <w:szCs w:val="20"/>
                <w:color w:val="auto"/>
              </w:rPr>
            </w:pPr>
            <w:r>
              <w:rPr>
                <w:rFonts w:ascii="Arial" w:cs="Arial" w:eastAsia="Arial" w:hAnsi="Arial"/>
                <w:sz w:val="17"/>
                <w:szCs w:val="17"/>
                <w:color w:val="auto"/>
              </w:rPr>
              <w:t>Deferred regulatory gain from sale</w:t>
            </w:r>
          </w:p>
        </w:tc>
        <w:tc>
          <w:tcPr>
            <w:tcW w:w="18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42.6</w:t>
            </w:r>
          </w:p>
        </w:tc>
        <w:tc>
          <w:tcPr>
            <w:tcW w:w="26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42.6</w:t>
            </w:r>
          </w:p>
        </w:tc>
        <w:tc>
          <w:tcPr>
            <w:tcW w:w="40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860" w:type="dxa"/>
            <w:vAlign w:val="bottom"/>
            <w:vMerge w:val="restart"/>
          </w:tcPr>
          <w:p>
            <w:pPr>
              <w:jc w:val="right"/>
              <w:ind w:right="54"/>
              <w:spacing w:after="0"/>
              <w:rPr>
                <w:sz w:val="20"/>
                <w:szCs w:val="20"/>
                <w:color w:val="auto"/>
              </w:rPr>
            </w:pPr>
            <w:r>
              <w:rPr>
                <w:rFonts w:ascii="Arial" w:cs="Arial" w:eastAsia="Arial" w:hAnsi="Arial"/>
                <w:sz w:val="17"/>
                <w:szCs w:val="17"/>
                <w:color w:val="auto"/>
              </w:rPr>
              <w:t>48.1</w:t>
            </w:r>
          </w:p>
        </w:tc>
        <w:tc>
          <w:tcPr>
            <w:tcW w:w="26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48.1</w:t>
            </w:r>
          </w:p>
        </w:tc>
        <w:tc>
          <w:tcPr>
            <w:tcW w:w="4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leaseback</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Emission allowances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42.1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46.1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Nuclear decommissioning</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400.1</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175.7</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224.4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319.7</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138.2</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181.5</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Pension and post-retirement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44.4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23.2</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50.8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31.4</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168"/>
        </w:trPr>
        <w:tc>
          <w:tcPr>
            <w:tcW w:w="4060" w:type="dxa"/>
            <w:vAlign w:val="bottom"/>
          </w:tcPr>
          <w:p>
            <w:pPr>
              <w:ind w:left="140"/>
              <w:spacing w:after="0" w:line="168" w:lineRule="exact"/>
              <w:rPr>
                <w:sz w:val="20"/>
                <w:szCs w:val="20"/>
                <w:color w:val="auto"/>
              </w:rPr>
            </w:pPr>
            <w:r>
              <w:rPr>
                <w:rFonts w:ascii="Arial" w:cs="Arial" w:eastAsia="Arial" w:hAnsi="Arial"/>
                <w:sz w:val="17"/>
                <w:szCs w:val="17"/>
                <w:color w:val="auto"/>
              </w:rPr>
              <w:t>Jurisdictional allowance for funds used</w:t>
            </w:r>
          </w:p>
        </w:tc>
        <w:tc>
          <w:tcPr>
            <w:tcW w:w="18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27.5</w:t>
            </w:r>
          </w:p>
        </w:tc>
        <w:tc>
          <w:tcPr>
            <w:tcW w:w="26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25.8</w:t>
            </w:r>
          </w:p>
        </w:tc>
        <w:tc>
          <w:tcPr>
            <w:tcW w:w="4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54"/>
              <w:spacing w:after="0"/>
              <w:rPr>
                <w:sz w:val="20"/>
                <w:szCs w:val="20"/>
                <w:color w:val="auto"/>
              </w:rPr>
            </w:pPr>
            <w:r>
              <w:rPr>
                <w:rFonts w:ascii="Arial" w:cs="Arial" w:eastAsia="Arial" w:hAnsi="Arial"/>
                <w:sz w:val="17"/>
                <w:szCs w:val="17"/>
                <w:color w:val="auto"/>
              </w:rPr>
              <w:t>28.7</w:t>
            </w:r>
          </w:p>
        </w:tc>
        <w:tc>
          <w:tcPr>
            <w:tcW w:w="26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7"/>
                <w:szCs w:val="17"/>
                <w:color w:val="auto"/>
              </w:rPr>
              <w:t>27.0</w:t>
            </w:r>
          </w:p>
        </w:tc>
        <w:tc>
          <w:tcPr>
            <w:tcW w:w="4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during construction</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La Cygne leasehold dismantling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29.6</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29.6</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Cost of removal</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4.4</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Kansas tax credits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16.7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16.7</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Purchase power agreement</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5.8</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5.8</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6.3</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Fuel recovery mechanisms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7"/>
                <w:szCs w:val="17"/>
                <w:color w:val="auto"/>
              </w:rPr>
              <w:t>February 2021 winter weather event</w:t>
            </w:r>
          </w:p>
        </w:tc>
        <w:tc>
          <w:tcPr>
            <w:tcW w:w="1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65.1</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Sibley AAO</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18.4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regulatory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96.5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19.1</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55.8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7.8</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2,775.7</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1,482.2</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1,008.8</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2,664.9</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1,472.9</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907.4</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Less: current portion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(70.7)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(12.8)</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(26.1)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(11.9)</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noncurrent regulatory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2,705.0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1,469.4</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954.2</w:t>
            </w: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2,638.8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1,461.0</w:t>
            </w:r>
          </w:p>
        </w:tc>
        <w:tc>
          <w:tcPr>
            <w:tcW w:w="4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899.4</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summarizes the nature and period of recovery for each of the regulatory assets listed in the table above.</w:t>
      </w:r>
    </w:p>
    <w:p>
      <w:pPr>
        <w:spacing w:after="0" w:line="201"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color w:val="auto"/>
        </w:rPr>
        <w:t xml:space="preserve">Pension and post-retirement costs: </w:t>
      </w:r>
      <w:r>
        <w:rPr>
          <w:rFonts w:ascii="Arial" w:cs="Arial" w:eastAsia="Arial" w:hAnsi="Arial"/>
          <w:sz w:val="17"/>
          <w:szCs w:val="17"/>
          <w:color w:val="auto"/>
        </w:rPr>
        <w:t>Represents unrecognized gains and losses and prior service costs that will be recognized in future net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pension and post-retirement costs, pension settlements amortized over various periods and financial and regulatory accounting method differences that will be eliminated over the life of the pension plans. Of these amounts, $494.6 million, $265.6 million and $179.0 million for Evergy, Evergy Kansas Central and Evergy Metro, respectively, are not included in rate base and are amortized over various periods. Additionally, $219.7 million, $(11.6) million and $123.3 million for Evergy, Evergy Kansas Central and Evergy Metro, respectively, represent differences between pension and post-retirement costs under GAAP and pension and post-retirement costs for ratemaking that will be recovered or refunded in future rates and differences in accumulated unrecognized gains and losses and prior service costs between Evergy and Evergy Metro due to Evergy Metro electing not to apply "push-down accounting" related to the Great Plains Energy and Evergy Kansas Central merger.</w:t>
      </w:r>
    </w:p>
    <w:p>
      <w:pPr>
        <w:spacing w:after="0" w:line="45" w:lineRule="exact"/>
        <w:rPr>
          <w:sz w:val="20"/>
          <w:szCs w:val="20"/>
          <w:color w:val="auto"/>
        </w:rPr>
      </w:pPr>
    </w:p>
    <w:p>
      <w:pPr>
        <w:ind w:right="280"/>
        <w:spacing w:after="0" w:line="271" w:lineRule="auto"/>
        <w:rPr>
          <w:sz w:val="20"/>
          <w:szCs w:val="20"/>
          <w:color w:val="auto"/>
        </w:rPr>
      </w:pPr>
      <w:r>
        <w:rPr>
          <w:rFonts w:ascii="Arial" w:cs="Arial" w:eastAsia="Arial" w:hAnsi="Arial"/>
          <w:sz w:val="19"/>
          <w:szCs w:val="19"/>
          <w:b w:val="1"/>
          <w:bCs w:val="1"/>
          <w:color w:val="auto"/>
        </w:rPr>
        <w:t xml:space="preserve">Debt reacquisition costs: </w:t>
      </w:r>
      <w:r>
        <w:rPr>
          <w:rFonts w:ascii="Arial" w:cs="Arial" w:eastAsia="Arial" w:hAnsi="Arial"/>
          <w:sz w:val="19"/>
          <w:szCs w:val="19"/>
          <w:color w:val="auto"/>
        </w:rPr>
        <w:t>Includes costs incurred to reacquire and refinance debt. These costs are amortized over the term of the new debt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remaining lives of the old debt issuances if no new debt was issued and are not included in rate base.</w:t>
      </w:r>
    </w:p>
    <w:p>
      <w:pPr>
        <w:spacing w:after="0" w:line="48" w:lineRule="exact"/>
        <w:rPr>
          <w:sz w:val="20"/>
          <w:szCs w:val="20"/>
          <w:color w:val="auto"/>
        </w:rPr>
      </w:pPr>
    </w:p>
    <w:p>
      <w:pPr>
        <w:ind w:right="360"/>
        <w:spacing w:after="0" w:line="256" w:lineRule="auto"/>
        <w:rPr>
          <w:sz w:val="20"/>
          <w:szCs w:val="20"/>
          <w:color w:val="auto"/>
        </w:rPr>
      </w:pPr>
      <w:r>
        <w:rPr>
          <w:rFonts w:ascii="Arial" w:cs="Arial" w:eastAsia="Arial" w:hAnsi="Arial"/>
          <w:sz w:val="19"/>
          <w:szCs w:val="19"/>
          <w:b w:val="1"/>
          <w:bCs w:val="1"/>
          <w:color w:val="auto"/>
        </w:rPr>
        <w:t xml:space="preserve">Debt fair value adjustment: </w:t>
      </w:r>
      <w:r>
        <w:rPr>
          <w:rFonts w:ascii="Arial" w:cs="Arial" w:eastAsia="Arial" w:hAnsi="Arial"/>
          <w:sz w:val="19"/>
          <w:szCs w:val="19"/>
          <w:color w:val="auto"/>
        </w:rPr>
        <w:t>Represents purchase accounting adjustments recorded to state the carrying value of Evergy Metro and Evergy</w:t>
      </w:r>
      <w:r>
        <w:rPr>
          <w:rFonts w:ascii="Arial" w:cs="Arial" w:eastAsia="Arial" w:hAnsi="Arial"/>
          <w:sz w:val="19"/>
          <w:szCs w:val="19"/>
          <w:b w:val="1"/>
          <w:bCs w:val="1"/>
          <w:color w:val="auto"/>
        </w:rPr>
        <w:t xml:space="preserve"> </w:t>
      </w:r>
      <w:r>
        <w:rPr>
          <w:rFonts w:ascii="Arial" w:cs="Arial" w:eastAsia="Arial" w:hAnsi="Arial"/>
          <w:sz w:val="19"/>
          <w:szCs w:val="19"/>
          <w:color w:val="auto"/>
        </w:rPr>
        <w:t>Missouri West long-term debt at fair value in connection with the Great Plains Energy and Evergy Kansas Central merger. Amount is amortized over the life of the related debt and is not included in rate base.</w:t>
      </w:r>
    </w:p>
    <w:p>
      <w:pPr>
        <w:spacing w:after="0" w:line="61"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b w:val="1"/>
          <w:bCs w:val="1"/>
          <w:color w:val="auto"/>
        </w:rPr>
        <w:t xml:space="preserve">Asset retirement obligations fair value adjustment: </w:t>
      </w:r>
      <w:r>
        <w:rPr>
          <w:rFonts w:ascii="Arial" w:cs="Arial" w:eastAsia="Arial" w:hAnsi="Arial"/>
          <w:sz w:val="19"/>
          <w:szCs w:val="19"/>
          <w:color w:val="auto"/>
        </w:rPr>
        <w:t>Represents purchase accounting adjustments recorded to state the carrying value of Evergy</w:t>
      </w:r>
      <w:r>
        <w:rPr>
          <w:rFonts w:ascii="Arial" w:cs="Arial" w:eastAsia="Arial" w:hAnsi="Arial"/>
          <w:sz w:val="19"/>
          <w:szCs w:val="19"/>
          <w:b w:val="1"/>
          <w:bCs w:val="1"/>
          <w:color w:val="auto"/>
        </w:rPr>
        <w:t xml:space="preserve"> </w:t>
      </w:r>
      <w:r>
        <w:rPr>
          <w:rFonts w:ascii="Arial" w:cs="Arial" w:eastAsia="Arial" w:hAnsi="Arial"/>
          <w:sz w:val="19"/>
          <w:szCs w:val="19"/>
          <w:color w:val="auto"/>
        </w:rPr>
        <w:t>Metro and Evergy Missouri West AROs at fair value in connection with the Great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8" w:name="page109"/>
    <w:bookmarkEnd w:id="10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Plains Energy and Evergy Kansas Central merger. Amount is amortized over the life of the related plant and is not included in rate base.</w:t>
      </w:r>
    </w:p>
    <w:p>
      <w:pPr>
        <w:spacing w:after="0" w:line="109" w:lineRule="exact"/>
        <w:rPr>
          <w:sz w:val="20"/>
          <w:szCs w:val="20"/>
          <w:color w:val="auto"/>
        </w:rPr>
      </w:pPr>
    </w:p>
    <w:p>
      <w:pPr>
        <w:ind w:right="600"/>
        <w:spacing w:after="0" w:line="299" w:lineRule="auto"/>
        <w:rPr>
          <w:sz w:val="20"/>
          <w:szCs w:val="20"/>
          <w:color w:val="auto"/>
        </w:rPr>
      </w:pPr>
      <w:r>
        <w:rPr>
          <w:rFonts w:ascii="Arial" w:cs="Arial" w:eastAsia="Arial" w:hAnsi="Arial"/>
          <w:sz w:val="18"/>
          <w:szCs w:val="18"/>
          <w:b w:val="1"/>
          <w:bCs w:val="1"/>
          <w:color w:val="auto"/>
        </w:rPr>
        <w:t xml:space="preserve">Depreciation: </w:t>
      </w:r>
      <w:r>
        <w:rPr>
          <w:rFonts w:ascii="Arial" w:cs="Arial" w:eastAsia="Arial" w:hAnsi="Arial"/>
          <w:sz w:val="18"/>
          <w:szCs w:val="18"/>
          <w:color w:val="auto"/>
        </w:rPr>
        <w:t>Represents the difference between regulatory depreciation expense and depreciation expense recorded for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These assets are included in rate base and the difference is amortized over the life of the related plant.</w:t>
      </w:r>
    </w:p>
    <w:p>
      <w:pPr>
        <w:spacing w:after="0" w:line="26"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b w:val="1"/>
          <w:bCs w:val="1"/>
          <w:color w:val="auto"/>
        </w:rPr>
        <w:t xml:space="preserve">Cost of removal: </w:t>
      </w:r>
      <w:r>
        <w:rPr>
          <w:rFonts w:ascii="Arial" w:cs="Arial" w:eastAsia="Arial" w:hAnsi="Arial"/>
          <w:sz w:val="19"/>
          <w:szCs w:val="19"/>
          <w:color w:val="auto"/>
        </w:rPr>
        <w:t>Represents amounts spent, but not yet collected, to dispose of plant assets. This asset will decrease as removal costs are collected</w:t>
      </w:r>
      <w:r>
        <w:rPr>
          <w:rFonts w:ascii="Arial" w:cs="Arial" w:eastAsia="Arial" w:hAnsi="Arial"/>
          <w:sz w:val="19"/>
          <w:szCs w:val="19"/>
          <w:b w:val="1"/>
          <w:bCs w:val="1"/>
          <w:color w:val="auto"/>
        </w:rPr>
        <w:t xml:space="preserve"> </w:t>
      </w:r>
      <w:r>
        <w:rPr>
          <w:rFonts w:ascii="Arial" w:cs="Arial" w:eastAsia="Arial" w:hAnsi="Arial"/>
          <w:sz w:val="19"/>
          <w:szCs w:val="19"/>
          <w:color w:val="auto"/>
        </w:rPr>
        <w:t>in rates and is included in rate base.</w:t>
      </w:r>
    </w:p>
    <w:p>
      <w:pPr>
        <w:spacing w:after="0" w:line="4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b w:val="1"/>
          <w:bCs w:val="1"/>
          <w:color w:val="auto"/>
        </w:rPr>
        <w:t xml:space="preserve">Asset retirement obligations: </w:t>
      </w:r>
      <w:r>
        <w:rPr>
          <w:rFonts w:ascii="Arial" w:cs="Arial" w:eastAsia="Arial" w:hAnsi="Arial"/>
          <w:sz w:val="19"/>
          <w:szCs w:val="19"/>
          <w:color w:val="auto"/>
        </w:rPr>
        <w:t>Represents amounts associated with AROs as discussed further in Note 6. These amounts are recovered over the life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related plant and are not included in rate base.</w:t>
      </w:r>
    </w:p>
    <w:p>
      <w:pPr>
        <w:spacing w:after="0" w:line="48" w:lineRule="exact"/>
        <w:rPr>
          <w:sz w:val="20"/>
          <w:szCs w:val="20"/>
          <w:color w:val="auto"/>
        </w:rPr>
      </w:pPr>
    </w:p>
    <w:p>
      <w:pPr>
        <w:spacing w:after="0" w:line="299" w:lineRule="auto"/>
        <w:rPr>
          <w:sz w:val="20"/>
          <w:szCs w:val="20"/>
          <w:color w:val="auto"/>
        </w:rPr>
      </w:pPr>
      <w:r>
        <w:rPr>
          <w:rFonts w:ascii="Arial" w:cs="Arial" w:eastAsia="Arial" w:hAnsi="Arial"/>
          <w:sz w:val="18"/>
          <w:szCs w:val="18"/>
          <w:b w:val="1"/>
          <w:bCs w:val="1"/>
          <w:color w:val="auto"/>
        </w:rPr>
        <w:t xml:space="preserve">Analog meter unrecovered investment: </w:t>
      </w:r>
      <w:r>
        <w:rPr>
          <w:rFonts w:ascii="Arial" w:cs="Arial" w:eastAsia="Arial" w:hAnsi="Arial"/>
          <w:sz w:val="18"/>
          <w:szCs w:val="18"/>
          <w:color w:val="auto"/>
        </w:rPr>
        <w:t>Represents the deferral of unrecovered investment of retired analog meters. Of this amount, $10.1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is not included in rate base for Evergy and Evergy Kansas Central and is being amortized over a five-year period.</w:t>
      </w:r>
    </w:p>
    <w:p>
      <w:pPr>
        <w:spacing w:after="0" w:line="26" w:lineRule="exact"/>
        <w:rPr>
          <w:sz w:val="20"/>
          <w:szCs w:val="20"/>
          <w:color w:val="auto"/>
        </w:rPr>
      </w:pPr>
    </w:p>
    <w:p>
      <w:pPr>
        <w:ind w:right="480"/>
        <w:spacing w:after="0" w:line="271" w:lineRule="auto"/>
        <w:rPr>
          <w:sz w:val="20"/>
          <w:szCs w:val="20"/>
          <w:color w:val="auto"/>
        </w:rPr>
      </w:pPr>
      <w:r>
        <w:rPr>
          <w:rFonts w:ascii="Arial" w:cs="Arial" w:eastAsia="Arial" w:hAnsi="Arial"/>
          <w:sz w:val="19"/>
          <w:szCs w:val="19"/>
          <w:b w:val="1"/>
          <w:bCs w:val="1"/>
          <w:color w:val="auto"/>
        </w:rPr>
        <w:t xml:space="preserve">Treasury yield hedges: </w:t>
      </w:r>
      <w:r>
        <w:rPr>
          <w:rFonts w:ascii="Arial" w:cs="Arial" w:eastAsia="Arial" w:hAnsi="Arial"/>
          <w:sz w:val="19"/>
          <w:szCs w:val="19"/>
          <w:color w:val="auto"/>
        </w:rPr>
        <w:t>Represents the effective portion of treasury yield hedge transactions. Amortization of this amount will be included in</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expense over the term of the related debt and is not included in rate base.</w:t>
      </w:r>
    </w:p>
    <w:p>
      <w:pPr>
        <w:spacing w:after="0" w:line="48" w:lineRule="exact"/>
        <w:rPr>
          <w:sz w:val="20"/>
          <w:szCs w:val="20"/>
          <w:color w:val="auto"/>
        </w:rPr>
      </w:pPr>
    </w:p>
    <w:p>
      <w:pPr>
        <w:ind w:right="500"/>
        <w:spacing w:after="0" w:line="271" w:lineRule="auto"/>
        <w:rPr>
          <w:sz w:val="20"/>
          <w:szCs w:val="20"/>
          <w:color w:val="auto"/>
        </w:rPr>
      </w:pPr>
      <w:r>
        <w:rPr>
          <w:rFonts w:ascii="Arial" w:cs="Arial" w:eastAsia="Arial" w:hAnsi="Arial"/>
          <w:sz w:val="19"/>
          <w:szCs w:val="19"/>
          <w:b w:val="1"/>
          <w:bCs w:val="1"/>
          <w:color w:val="auto"/>
        </w:rPr>
        <w:t xml:space="preserve">Iatan No. 1 and common facilities: </w:t>
      </w:r>
      <w:r>
        <w:rPr>
          <w:rFonts w:ascii="Arial" w:cs="Arial" w:eastAsia="Arial" w:hAnsi="Arial"/>
          <w:sz w:val="19"/>
          <w:szCs w:val="19"/>
          <w:color w:val="auto"/>
        </w:rPr>
        <w:t>Represents depreciation and carrying costs related to Iatan No. 1 and common facilities. These costs are</w:t>
      </w:r>
      <w:r>
        <w:rPr>
          <w:rFonts w:ascii="Arial" w:cs="Arial" w:eastAsia="Arial" w:hAnsi="Arial"/>
          <w:sz w:val="19"/>
          <w:szCs w:val="19"/>
          <w:b w:val="1"/>
          <w:bCs w:val="1"/>
          <w:color w:val="auto"/>
        </w:rPr>
        <w:t xml:space="preserve"> </w:t>
      </w:r>
      <w:r>
        <w:rPr>
          <w:rFonts w:ascii="Arial" w:cs="Arial" w:eastAsia="Arial" w:hAnsi="Arial"/>
          <w:sz w:val="19"/>
          <w:szCs w:val="19"/>
          <w:color w:val="auto"/>
        </w:rPr>
        <w:t>included in rate base and amortized over various periods.</w:t>
      </w:r>
    </w:p>
    <w:p>
      <w:pPr>
        <w:spacing w:after="0" w:line="48"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b w:val="1"/>
          <w:bCs w:val="1"/>
          <w:color w:val="auto"/>
        </w:rPr>
        <w:t xml:space="preserve">Iatan No. 2 construction accounting costs: </w:t>
      </w:r>
      <w:r>
        <w:rPr>
          <w:rFonts w:ascii="Arial" w:cs="Arial" w:eastAsia="Arial" w:hAnsi="Arial"/>
          <w:sz w:val="19"/>
          <w:szCs w:val="19"/>
          <w:color w:val="auto"/>
        </w:rPr>
        <w:t>Represents the construction accounting costs related to Iatan No. 2. These costs are included in rate</w:t>
      </w:r>
      <w:r>
        <w:rPr>
          <w:rFonts w:ascii="Arial" w:cs="Arial" w:eastAsia="Arial" w:hAnsi="Arial"/>
          <w:sz w:val="19"/>
          <w:szCs w:val="19"/>
          <w:b w:val="1"/>
          <w:bCs w:val="1"/>
          <w:color w:val="auto"/>
        </w:rPr>
        <w:t xml:space="preserve"> </w:t>
      </w:r>
      <w:r>
        <w:rPr>
          <w:rFonts w:ascii="Arial" w:cs="Arial" w:eastAsia="Arial" w:hAnsi="Arial"/>
          <w:sz w:val="19"/>
          <w:szCs w:val="19"/>
          <w:color w:val="auto"/>
        </w:rPr>
        <w:t>base and amortized through 2059.</w:t>
      </w:r>
    </w:p>
    <w:p>
      <w:pPr>
        <w:spacing w:after="0" w:line="48"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b w:val="1"/>
          <w:bCs w:val="1"/>
          <w:color w:val="auto"/>
        </w:rPr>
        <w:t xml:space="preserve">Kansas property tax surcharge: </w:t>
      </w:r>
      <w:r>
        <w:rPr>
          <w:rFonts w:ascii="Arial" w:cs="Arial" w:eastAsia="Arial" w:hAnsi="Arial"/>
          <w:sz w:val="19"/>
          <w:szCs w:val="19"/>
          <w:color w:val="auto"/>
        </w:rPr>
        <w:t>Represents actual costs incurred for property taxes in excess of amounts collected in revenues. These costs are</w:t>
      </w:r>
      <w:r>
        <w:rPr>
          <w:rFonts w:ascii="Arial" w:cs="Arial" w:eastAsia="Arial" w:hAnsi="Arial"/>
          <w:sz w:val="19"/>
          <w:szCs w:val="19"/>
          <w:b w:val="1"/>
          <w:bCs w:val="1"/>
          <w:color w:val="auto"/>
        </w:rPr>
        <w:t xml:space="preserve"> </w:t>
      </w:r>
      <w:r>
        <w:rPr>
          <w:rFonts w:ascii="Arial" w:cs="Arial" w:eastAsia="Arial" w:hAnsi="Arial"/>
          <w:sz w:val="19"/>
          <w:szCs w:val="19"/>
          <w:color w:val="auto"/>
        </w:rPr>
        <w:t>expected to be recovered over a one-year period and are not included in rate base.</w:t>
      </w:r>
    </w:p>
    <w:p>
      <w:pPr>
        <w:spacing w:after="0" w:line="48"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b w:val="1"/>
          <w:bCs w:val="1"/>
          <w:color w:val="auto"/>
        </w:rPr>
        <w:t xml:space="preserve">Disallowed plant costs: </w:t>
      </w:r>
      <w:r>
        <w:rPr>
          <w:rFonts w:ascii="Arial" w:cs="Arial" w:eastAsia="Arial" w:hAnsi="Arial"/>
          <w:sz w:val="19"/>
          <w:szCs w:val="19"/>
          <w:color w:val="auto"/>
        </w:rPr>
        <w:t>The KCC originally disallowed certain costs related to the Wolf Creek plant. In 1987, the KCC revised its original</w:t>
      </w:r>
      <w:r>
        <w:rPr>
          <w:rFonts w:ascii="Arial" w:cs="Arial" w:eastAsia="Arial" w:hAnsi="Arial"/>
          <w:sz w:val="19"/>
          <w:szCs w:val="19"/>
          <w:b w:val="1"/>
          <w:bCs w:val="1"/>
          <w:color w:val="auto"/>
        </w:rPr>
        <w:t xml:space="preserve"> </w:t>
      </w:r>
      <w:r>
        <w:rPr>
          <w:rFonts w:ascii="Arial" w:cs="Arial" w:eastAsia="Arial" w:hAnsi="Arial"/>
          <w:sz w:val="19"/>
          <w:szCs w:val="19"/>
          <w:color w:val="auto"/>
        </w:rPr>
        <w:t>conclusion and provided for recovery of an indirect disallowance with no return on investment. This regulatory asset represents the present value of the future expected revenues to be provided to recover these costs, net of the amounts amortized.</w:t>
      </w:r>
    </w:p>
    <w:p>
      <w:pPr>
        <w:spacing w:after="0" w:line="61" w:lineRule="exact"/>
        <w:rPr>
          <w:sz w:val="20"/>
          <w:szCs w:val="20"/>
          <w:color w:val="auto"/>
        </w:rPr>
      </w:pPr>
    </w:p>
    <w:p>
      <w:pPr>
        <w:spacing w:after="0" w:line="331" w:lineRule="auto"/>
        <w:rPr>
          <w:sz w:val="20"/>
          <w:szCs w:val="20"/>
          <w:color w:val="auto"/>
        </w:rPr>
      </w:pPr>
      <w:r>
        <w:rPr>
          <w:rFonts w:ascii="Arial" w:cs="Arial" w:eastAsia="Arial" w:hAnsi="Arial"/>
          <w:sz w:val="17"/>
          <w:szCs w:val="17"/>
          <w:b w:val="1"/>
          <w:bCs w:val="1"/>
          <w:color w:val="auto"/>
        </w:rPr>
        <w:t xml:space="preserve">La Cygne environmental costs: </w:t>
      </w:r>
      <w:r>
        <w:rPr>
          <w:rFonts w:ascii="Arial" w:cs="Arial" w:eastAsia="Arial" w:hAnsi="Arial"/>
          <w:sz w:val="17"/>
          <w:szCs w:val="17"/>
          <w:color w:val="auto"/>
        </w:rPr>
        <w:t>Represents the deferral of depreciation and amortization expense and associated carrying charges related to the La</w:t>
      </w:r>
      <w:r>
        <w:rPr>
          <w:rFonts w:ascii="Arial" w:cs="Arial" w:eastAsia="Arial" w:hAnsi="Arial"/>
          <w:sz w:val="17"/>
          <w:szCs w:val="17"/>
          <w:b w:val="1"/>
          <w:bCs w:val="1"/>
          <w:color w:val="auto"/>
        </w:rPr>
        <w:t xml:space="preserve"> </w:t>
      </w:r>
      <w:r>
        <w:rPr>
          <w:rFonts w:ascii="Arial" w:cs="Arial" w:eastAsia="Arial" w:hAnsi="Arial"/>
          <w:sz w:val="17"/>
          <w:szCs w:val="17"/>
          <w:color w:val="auto"/>
        </w:rPr>
        <w:t>Cygne Station environmental project. This amount will be amortized over the life of the related asset and is included in rate base.</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b w:val="1"/>
          <w:bCs w:val="1"/>
          <w:color w:val="auto"/>
        </w:rPr>
        <w:t xml:space="preserve">Deferred customer programs: </w:t>
      </w:r>
      <w:r>
        <w:rPr>
          <w:rFonts w:ascii="Arial" w:cs="Arial" w:eastAsia="Arial" w:hAnsi="Arial"/>
          <w:sz w:val="19"/>
          <w:szCs w:val="19"/>
          <w:color w:val="auto"/>
        </w:rPr>
        <w:t>Represents costs related to various energy efficiency programs that have been accumulated and deferred for future</w:t>
      </w:r>
      <w:r>
        <w:rPr>
          <w:rFonts w:ascii="Arial" w:cs="Arial" w:eastAsia="Arial" w:hAnsi="Arial"/>
          <w:sz w:val="19"/>
          <w:szCs w:val="19"/>
          <w:b w:val="1"/>
          <w:bCs w:val="1"/>
          <w:color w:val="auto"/>
        </w:rPr>
        <w:t xml:space="preserve"> </w:t>
      </w:r>
      <w:r>
        <w:rPr>
          <w:rFonts w:ascii="Arial" w:cs="Arial" w:eastAsia="Arial" w:hAnsi="Arial"/>
          <w:sz w:val="19"/>
          <w:szCs w:val="19"/>
          <w:color w:val="auto"/>
        </w:rPr>
        <w:t>recovery. Of these amounts, $12.3 million for Evergy and $7.8 million for Evergy Metro are not included in rate base and are amortized over various periods.</w:t>
      </w:r>
    </w:p>
    <w:p>
      <w:pPr>
        <w:spacing w:after="0" w:line="61" w:lineRule="exact"/>
        <w:rPr>
          <w:sz w:val="20"/>
          <w:szCs w:val="20"/>
          <w:color w:val="auto"/>
        </w:rPr>
      </w:pPr>
    </w:p>
    <w:p>
      <w:pPr>
        <w:ind w:right="100"/>
        <w:spacing w:after="0" w:line="331" w:lineRule="auto"/>
        <w:rPr>
          <w:sz w:val="20"/>
          <w:szCs w:val="20"/>
          <w:color w:val="auto"/>
        </w:rPr>
      </w:pPr>
      <w:r>
        <w:rPr>
          <w:rFonts w:ascii="Arial" w:cs="Arial" w:eastAsia="Arial" w:hAnsi="Arial"/>
          <w:sz w:val="17"/>
          <w:szCs w:val="17"/>
          <w:b w:val="1"/>
          <w:bCs w:val="1"/>
          <w:color w:val="auto"/>
        </w:rPr>
        <w:t xml:space="preserve">Fuel recovery mechanisms: </w:t>
      </w:r>
      <w:r>
        <w:rPr>
          <w:rFonts w:ascii="Arial" w:cs="Arial" w:eastAsia="Arial" w:hAnsi="Arial"/>
          <w:sz w:val="17"/>
          <w:szCs w:val="17"/>
          <w:color w:val="auto"/>
        </w:rPr>
        <w:t>Represents the actual cost of fuel consumed in producing electricity and the cost of purchased power in excess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collected from customers. This difference is expected to be recovered over a one-year period and is not included in rate base.</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b w:val="1"/>
          <w:bCs w:val="1"/>
          <w:color w:val="auto"/>
        </w:rPr>
        <w:t xml:space="preserve">February 2021 winter weather event: </w:t>
      </w:r>
      <w:r>
        <w:rPr>
          <w:rFonts w:ascii="Arial" w:cs="Arial" w:eastAsia="Arial" w:hAnsi="Arial"/>
          <w:sz w:val="19"/>
          <w:szCs w:val="19"/>
          <w:color w:val="auto"/>
        </w:rPr>
        <w:t>Represents deferred extraordinary fuel and purchased power costs incurred to provide electric service as a</w:t>
      </w:r>
      <w:r>
        <w:rPr>
          <w:rFonts w:ascii="Arial" w:cs="Arial" w:eastAsia="Arial" w:hAnsi="Arial"/>
          <w:sz w:val="19"/>
          <w:szCs w:val="19"/>
          <w:b w:val="1"/>
          <w:bCs w:val="1"/>
          <w:color w:val="auto"/>
        </w:rPr>
        <w:t xml:space="preserve"> </w:t>
      </w:r>
      <w:r>
        <w:rPr>
          <w:rFonts w:ascii="Arial" w:cs="Arial" w:eastAsia="Arial" w:hAnsi="Arial"/>
          <w:sz w:val="19"/>
          <w:szCs w:val="19"/>
          <w:color w:val="auto"/>
        </w:rPr>
        <w:t>result of the February 2021 winter weather event. These amounts are not included in rate base.</w:t>
      </w:r>
    </w:p>
    <w:p>
      <w:pPr>
        <w:spacing w:after="0" w:line="48"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b w:val="1"/>
          <w:bCs w:val="1"/>
          <w:color w:val="auto"/>
        </w:rPr>
        <w:t xml:space="preserve">Solar rebates: </w:t>
      </w:r>
      <w:r>
        <w:rPr>
          <w:rFonts w:ascii="Arial" w:cs="Arial" w:eastAsia="Arial" w:hAnsi="Arial"/>
          <w:sz w:val="19"/>
          <w:szCs w:val="19"/>
          <w:color w:val="auto"/>
        </w:rPr>
        <w:t>Represents costs associated with solar rebates provided to retail electric customers. These amounts are not included in rate base and</w:t>
      </w:r>
      <w:r>
        <w:rPr>
          <w:rFonts w:ascii="Arial" w:cs="Arial" w:eastAsia="Arial" w:hAnsi="Arial"/>
          <w:sz w:val="19"/>
          <w:szCs w:val="19"/>
          <w:b w:val="1"/>
          <w:bCs w:val="1"/>
          <w:color w:val="auto"/>
        </w:rPr>
        <w:t xml:space="preserve"> </w:t>
      </w:r>
      <w:r>
        <w:rPr>
          <w:rFonts w:ascii="Arial" w:cs="Arial" w:eastAsia="Arial" w:hAnsi="Arial"/>
          <w:sz w:val="19"/>
          <w:szCs w:val="19"/>
          <w:color w:val="auto"/>
        </w:rPr>
        <w:t>are amortized over various periods.</w:t>
      </w:r>
    </w:p>
    <w:p>
      <w:pPr>
        <w:spacing w:after="0" w:line="48"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b w:val="1"/>
          <w:bCs w:val="1"/>
          <w:color w:val="auto"/>
        </w:rPr>
        <w:t xml:space="preserve">Wolf Creek outage: </w:t>
      </w:r>
      <w:r>
        <w:rPr>
          <w:rFonts w:ascii="Arial" w:cs="Arial" w:eastAsia="Arial" w:hAnsi="Arial"/>
          <w:sz w:val="19"/>
          <w:szCs w:val="19"/>
          <w:color w:val="auto"/>
        </w:rPr>
        <w:t>Represents deferred expenses associated with Wolf Creek's scheduled refueling and maintenance outages. These expenses are</w:t>
      </w:r>
      <w:r>
        <w:rPr>
          <w:rFonts w:ascii="Arial" w:cs="Arial" w:eastAsia="Arial" w:hAnsi="Arial"/>
          <w:sz w:val="19"/>
          <w:szCs w:val="19"/>
          <w:b w:val="1"/>
          <w:bCs w:val="1"/>
          <w:color w:val="auto"/>
        </w:rPr>
        <w:t xml:space="preserve"> </w:t>
      </w:r>
      <w:r>
        <w:rPr>
          <w:rFonts w:ascii="Arial" w:cs="Arial" w:eastAsia="Arial" w:hAnsi="Arial"/>
          <w:sz w:val="19"/>
          <w:szCs w:val="19"/>
          <w:color w:val="auto"/>
        </w:rPr>
        <w:t>amortized during the period between planned outages and are not included in rate base.</w:t>
      </w:r>
    </w:p>
    <w:p>
      <w:pPr>
        <w:spacing w:after="0" w:line="48" w:lineRule="exact"/>
        <w:rPr>
          <w:sz w:val="20"/>
          <w:szCs w:val="20"/>
          <w:color w:val="auto"/>
        </w:rPr>
      </w:pPr>
    </w:p>
    <w:p>
      <w:pPr>
        <w:ind w:right="160"/>
        <w:spacing w:after="0" w:line="353" w:lineRule="auto"/>
        <w:rPr>
          <w:sz w:val="20"/>
          <w:szCs w:val="20"/>
          <w:color w:val="auto"/>
        </w:rPr>
      </w:pPr>
      <w:r>
        <w:rPr>
          <w:rFonts w:ascii="Arial" w:cs="Arial" w:eastAsia="Arial" w:hAnsi="Arial"/>
          <w:sz w:val="16"/>
          <w:szCs w:val="16"/>
          <w:b w:val="1"/>
          <w:bCs w:val="1"/>
          <w:color w:val="auto"/>
        </w:rPr>
        <w:t xml:space="preserve">Pension and other post-retirement benefit non-service costs: </w:t>
      </w:r>
      <w:r>
        <w:rPr>
          <w:rFonts w:ascii="Arial" w:cs="Arial" w:eastAsia="Arial" w:hAnsi="Arial"/>
          <w:sz w:val="16"/>
          <w:szCs w:val="16"/>
          <w:color w:val="auto"/>
        </w:rPr>
        <w:t>Represents the non-service component of pension and post-retirement net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costs that are capitalized as authorized by regulators. The amounts are included in rate base and are recovered over the life of the related asset.</w:t>
      </w:r>
    </w:p>
    <w:p>
      <w:pPr>
        <w:spacing w:after="0"/>
        <w:rPr>
          <w:sz w:val="20"/>
          <w:szCs w:val="20"/>
          <w:color w:val="auto"/>
        </w:rPr>
      </w:pPr>
      <w:r>
        <w:rPr>
          <w:rFonts w:ascii="Arial" w:cs="Arial" w:eastAsia="Arial" w:hAnsi="Arial"/>
          <w:sz w:val="19"/>
          <w:szCs w:val="19"/>
          <w:b w:val="1"/>
          <w:bCs w:val="1"/>
          <w:color w:val="auto"/>
        </w:rPr>
        <w:t xml:space="preserve">Retired generation facilities: </w:t>
      </w:r>
      <w:r>
        <w:rPr>
          <w:rFonts w:ascii="Arial" w:cs="Arial" w:eastAsia="Arial" w:hAnsi="Arial"/>
          <w:sz w:val="19"/>
          <w:szCs w:val="19"/>
          <w:color w:val="auto"/>
        </w:rPr>
        <w:t>Represents amounts to be recovered for facilities that have been retired and are probable of recovery.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09" w:name="page110"/>
    <w:bookmarkEnd w:id="10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b w:val="1"/>
          <w:bCs w:val="1"/>
          <w:color w:val="auto"/>
        </w:rPr>
        <w:t xml:space="preserve">Merger transition costs: </w:t>
      </w:r>
      <w:r>
        <w:rPr>
          <w:rFonts w:ascii="Arial" w:cs="Arial" w:eastAsia="Arial" w:hAnsi="Arial"/>
          <w:sz w:val="19"/>
          <w:szCs w:val="19"/>
          <w:color w:val="auto"/>
        </w:rPr>
        <w:t>Represents recoverable transition costs related to the merger. The amounts are not included in rate base and are recovered</w:t>
      </w:r>
      <w:r>
        <w:rPr>
          <w:rFonts w:ascii="Arial" w:cs="Arial" w:eastAsia="Arial" w:hAnsi="Arial"/>
          <w:sz w:val="19"/>
          <w:szCs w:val="19"/>
          <w:b w:val="1"/>
          <w:bCs w:val="1"/>
          <w:color w:val="auto"/>
        </w:rPr>
        <w:t xml:space="preserve"> </w:t>
      </w:r>
      <w:r>
        <w:rPr>
          <w:rFonts w:ascii="Arial" w:cs="Arial" w:eastAsia="Arial" w:hAnsi="Arial"/>
          <w:sz w:val="19"/>
          <w:szCs w:val="19"/>
          <w:color w:val="auto"/>
        </w:rPr>
        <w:t>from retail customers through 2028.</w:t>
      </w:r>
    </w:p>
    <w:p>
      <w:pPr>
        <w:spacing w:after="0" w:line="48" w:lineRule="exact"/>
        <w:rPr>
          <w:sz w:val="20"/>
          <w:szCs w:val="20"/>
          <w:color w:val="auto"/>
        </w:rPr>
      </w:pPr>
    </w:p>
    <w:p>
      <w:pPr>
        <w:ind w:right="560"/>
        <w:spacing w:after="0" w:line="271" w:lineRule="auto"/>
        <w:rPr>
          <w:sz w:val="20"/>
          <w:szCs w:val="20"/>
          <w:color w:val="auto"/>
        </w:rPr>
      </w:pPr>
      <w:r>
        <w:rPr>
          <w:rFonts w:ascii="Arial" w:cs="Arial" w:eastAsia="Arial" w:hAnsi="Arial"/>
          <w:sz w:val="19"/>
          <w:szCs w:val="19"/>
          <w:b w:val="1"/>
          <w:bCs w:val="1"/>
          <w:color w:val="auto"/>
        </w:rPr>
        <w:t xml:space="preserve">Other regulatory assets: </w:t>
      </w:r>
      <w:r>
        <w:rPr>
          <w:rFonts w:ascii="Arial" w:cs="Arial" w:eastAsia="Arial" w:hAnsi="Arial"/>
          <w:sz w:val="19"/>
          <w:szCs w:val="19"/>
          <w:color w:val="auto"/>
        </w:rPr>
        <w:t>Includes various regulatory assets that individually are small in relation to the total regulatory asset balance. These</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have various recovery periods and are not included in rate base.</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summarizes the nature and period of amortization for each of the regulatory liabilities listed in the table above.</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b w:val="1"/>
          <w:bCs w:val="1"/>
          <w:color w:val="auto"/>
        </w:rPr>
        <w:t xml:space="preserve">Taxes refundable through future rates: </w:t>
      </w:r>
      <w:r>
        <w:rPr>
          <w:rFonts w:ascii="Arial" w:cs="Arial" w:eastAsia="Arial" w:hAnsi="Arial"/>
          <w:sz w:val="19"/>
          <w:szCs w:val="19"/>
          <w:color w:val="auto"/>
        </w:rPr>
        <w:t>Represents the obligation to return to customers income taxes recovered in earlier periods when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income tax rates were higher than current income tax rates. A large portion of this amount is related to depreciation and will be returned to customers over the life of the applicable property.</w:t>
      </w:r>
    </w:p>
    <w:p>
      <w:pPr>
        <w:spacing w:after="0" w:line="61" w:lineRule="exact"/>
        <w:rPr>
          <w:sz w:val="20"/>
          <w:szCs w:val="20"/>
          <w:color w:val="auto"/>
        </w:rPr>
      </w:pPr>
    </w:p>
    <w:p>
      <w:pPr>
        <w:ind w:right="420"/>
        <w:spacing w:after="0" w:line="271" w:lineRule="auto"/>
        <w:rPr>
          <w:sz w:val="20"/>
          <w:szCs w:val="20"/>
          <w:color w:val="auto"/>
        </w:rPr>
      </w:pPr>
      <w:r>
        <w:rPr>
          <w:rFonts w:ascii="Arial" w:cs="Arial" w:eastAsia="Arial" w:hAnsi="Arial"/>
          <w:sz w:val="19"/>
          <w:szCs w:val="19"/>
          <w:b w:val="1"/>
          <w:bCs w:val="1"/>
          <w:color w:val="auto"/>
        </w:rPr>
        <w:t xml:space="preserve">Deferred regulatory gain from sale leaseback: </w:t>
      </w:r>
      <w:r>
        <w:rPr>
          <w:rFonts w:ascii="Arial" w:cs="Arial" w:eastAsia="Arial" w:hAnsi="Arial"/>
          <w:sz w:val="19"/>
          <w:szCs w:val="19"/>
          <w:color w:val="auto"/>
        </w:rPr>
        <w:t>Represents the gain Evergy Kansas South recorded on the 1987 sale and leaseback of its 50%</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in La Cygne Unit 2. The gain is amortized over the term of the lease.</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Emission allowances: </w:t>
      </w:r>
      <w:r>
        <w:rPr>
          <w:rFonts w:ascii="Arial" w:cs="Arial" w:eastAsia="Arial" w:hAnsi="Arial"/>
          <w:sz w:val="19"/>
          <w:szCs w:val="19"/>
          <w:color w:val="auto"/>
        </w:rPr>
        <w:t>Represents deferred gains related to the sale of emission allowances to be returned to customers.</w:t>
      </w:r>
    </w:p>
    <w:p>
      <w:pPr>
        <w:spacing w:after="0" w:line="104" w:lineRule="exact"/>
        <w:rPr>
          <w:sz w:val="20"/>
          <w:szCs w:val="20"/>
          <w:color w:val="auto"/>
        </w:rPr>
      </w:pPr>
    </w:p>
    <w:p>
      <w:pPr>
        <w:spacing w:after="0" w:line="331" w:lineRule="auto"/>
        <w:rPr>
          <w:sz w:val="20"/>
          <w:szCs w:val="20"/>
          <w:color w:val="auto"/>
        </w:rPr>
      </w:pPr>
      <w:r>
        <w:rPr>
          <w:rFonts w:ascii="Arial" w:cs="Arial" w:eastAsia="Arial" w:hAnsi="Arial"/>
          <w:sz w:val="17"/>
          <w:szCs w:val="17"/>
          <w:b w:val="1"/>
          <w:bCs w:val="1"/>
          <w:color w:val="auto"/>
        </w:rPr>
        <w:t xml:space="preserve">Nuclear decommissioning: </w:t>
      </w:r>
      <w:r>
        <w:rPr>
          <w:rFonts w:ascii="Arial" w:cs="Arial" w:eastAsia="Arial" w:hAnsi="Arial"/>
          <w:sz w:val="17"/>
          <w:szCs w:val="17"/>
          <w:color w:val="auto"/>
        </w:rPr>
        <w:t>Represents the difference between the fair value of the assets held in the nuclear decommissioning trust and the amount</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for the accumulated accretion and depreciation expense associated with the asset retirement obligation related to Wolf Creek.</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b w:val="1"/>
          <w:bCs w:val="1"/>
          <w:color w:val="auto"/>
        </w:rPr>
        <w:t xml:space="preserve">Pension and post-retirement costs: </w:t>
      </w:r>
      <w:r>
        <w:rPr>
          <w:rFonts w:ascii="Arial" w:cs="Arial" w:eastAsia="Arial" w:hAnsi="Arial"/>
          <w:sz w:val="19"/>
          <w:szCs w:val="19"/>
          <w:color w:val="auto"/>
        </w:rPr>
        <w:t>Includes pension and post-retirement benefit obligations and expense recognized in setting prices in excess of</w:t>
      </w:r>
      <w:r>
        <w:rPr>
          <w:rFonts w:ascii="Arial" w:cs="Arial" w:eastAsia="Arial" w:hAnsi="Arial"/>
          <w:sz w:val="19"/>
          <w:szCs w:val="19"/>
          <w:b w:val="1"/>
          <w:bCs w:val="1"/>
          <w:color w:val="auto"/>
        </w:rPr>
        <w:t xml:space="preserve"> </w:t>
      </w:r>
      <w:r>
        <w:rPr>
          <w:rFonts w:ascii="Arial" w:cs="Arial" w:eastAsia="Arial" w:hAnsi="Arial"/>
          <w:sz w:val="19"/>
          <w:szCs w:val="19"/>
          <w:color w:val="auto"/>
        </w:rPr>
        <w:t>actual pension and post-retirement expense.</w:t>
      </w:r>
    </w:p>
    <w:p>
      <w:pPr>
        <w:spacing w:after="0" w:line="48" w:lineRule="exact"/>
        <w:rPr>
          <w:sz w:val="20"/>
          <w:szCs w:val="20"/>
          <w:color w:val="auto"/>
        </w:rPr>
      </w:pPr>
    </w:p>
    <w:p>
      <w:pPr>
        <w:ind w:right="260"/>
        <w:spacing w:after="0" w:line="256" w:lineRule="auto"/>
        <w:rPr>
          <w:sz w:val="20"/>
          <w:szCs w:val="20"/>
          <w:color w:val="auto"/>
        </w:rPr>
      </w:pPr>
      <w:r>
        <w:rPr>
          <w:rFonts w:ascii="Arial" w:cs="Arial" w:eastAsia="Arial" w:hAnsi="Arial"/>
          <w:sz w:val="19"/>
          <w:szCs w:val="19"/>
          <w:b w:val="1"/>
          <w:bCs w:val="1"/>
          <w:color w:val="auto"/>
        </w:rPr>
        <w:t xml:space="preserve">Jurisdictional allowance for funds used during construction: </w:t>
      </w:r>
      <w:r>
        <w:rPr>
          <w:rFonts w:ascii="Arial" w:cs="Arial" w:eastAsia="Arial" w:hAnsi="Arial"/>
          <w:sz w:val="19"/>
          <w:szCs w:val="19"/>
          <w:color w:val="auto"/>
        </w:rPr>
        <w:t>Represents AFUDC that is accrued subsequent to the time the associated</w:t>
      </w:r>
      <w:r>
        <w:rPr>
          <w:rFonts w:ascii="Arial" w:cs="Arial" w:eastAsia="Arial" w:hAnsi="Arial"/>
          <w:sz w:val="19"/>
          <w:szCs w:val="19"/>
          <w:b w:val="1"/>
          <w:bCs w:val="1"/>
          <w:color w:val="auto"/>
        </w:rPr>
        <w:t xml:space="preserve"> </w:t>
      </w:r>
      <w:r>
        <w:rPr>
          <w:rFonts w:ascii="Arial" w:cs="Arial" w:eastAsia="Arial" w:hAnsi="Arial"/>
          <w:sz w:val="19"/>
          <w:szCs w:val="19"/>
          <w:color w:val="auto"/>
        </w:rPr>
        <w:t>construction charges are included in prices and prior to the time the related assets are placed in service. The AFUDC is amortized to depreciation expense over the useful life of the asset that is placed in service.</w:t>
      </w:r>
    </w:p>
    <w:p>
      <w:pPr>
        <w:spacing w:after="0" w:line="61" w:lineRule="exact"/>
        <w:rPr>
          <w:sz w:val="20"/>
          <w:szCs w:val="20"/>
          <w:color w:val="auto"/>
        </w:rPr>
      </w:pPr>
    </w:p>
    <w:p>
      <w:pPr>
        <w:ind w:right="180"/>
        <w:spacing w:after="0" w:line="271" w:lineRule="auto"/>
        <w:rPr>
          <w:sz w:val="20"/>
          <w:szCs w:val="20"/>
          <w:color w:val="auto"/>
        </w:rPr>
      </w:pPr>
      <w:r>
        <w:rPr>
          <w:rFonts w:ascii="Arial" w:cs="Arial" w:eastAsia="Arial" w:hAnsi="Arial"/>
          <w:sz w:val="19"/>
          <w:szCs w:val="19"/>
          <w:b w:val="1"/>
          <w:bCs w:val="1"/>
          <w:color w:val="auto"/>
        </w:rPr>
        <w:t xml:space="preserve">La Cygne leasehold dismantling costs: </w:t>
      </w:r>
      <w:r>
        <w:rPr>
          <w:rFonts w:ascii="Arial" w:cs="Arial" w:eastAsia="Arial" w:hAnsi="Arial"/>
          <w:sz w:val="19"/>
          <w:szCs w:val="19"/>
          <w:color w:val="auto"/>
        </w:rPr>
        <w:t>Represents amounts collected but not yet spent on the contractual obligation to dismantle a portion of La</w:t>
      </w:r>
      <w:r>
        <w:rPr>
          <w:rFonts w:ascii="Arial" w:cs="Arial" w:eastAsia="Arial" w:hAnsi="Arial"/>
          <w:sz w:val="19"/>
          <w:szCs w:val="19"/>
          <w:b w:val="1"/>
          <w:bCs w:val="1"/>
          <w:color w:val="auto"/>
        </w:rPr>
        <w:t xml:space="preserve"> </w:t>
      </w:r>
      <w:r>
        <w:rPr>
          <w:rFonts w:ascii="Arial" w:cs="Arial" w:eastAsia="Arial" w:hAnsi="Arial"/>
          <w:sz w:val="19"/>
          <w:szCs w:val="19"/>
          <w:color w:val="auto"/>
        </w:rPr>
        <w:t>Cygne Unit 2. The obligation will be discharged as the unit is dismantled.</w:t>
      </w:r>
    </w:p>
    <w:p>
      <w:pPr>
        <w:spacing w:after="0" w:line="48" w:lineRule="exact"/>
        <w:rPr>
          <w:sz w:val="20"/>
          <w:szCs w:val="20"/>
          <w:color w:val="auto"/>
        </w:rPr>
      </w:pPr>
    </w:p>
    <w:p>
      <w:pPr>
        <w:ind w:right="260"/>
        <w:spacing w:after="0" w:line="271" w:lineRule="auto"/>
        <w:rPr>
          <w:sz w:val="20"/>
          <w:szCs w:val="20"/>
          <w:color w:val="auto"/>
        </w:rPr>
      </w:pPr>
      <w:r>
        <w:rPr>
          <w:rFonts w:ascii="Arial" w:cs="Arial" w:eastAsia="Arial" w:hAnsi="Arial"/>
          <w:sz w:val="19"/>
          <w:szCs w:val="19"/>
          <w:b w:val="1"/>
          <w:bCs w:val="1"/>
          <w:color w:val="auto"/>
        </w:rPr>
        <w:t xml:space="preserve">Cost of removal: </w:t>
      </w:r>
      <w:r>
        <w:rPr>
          <w:rFonts w:ascii="Arial" w:cs="Arial" w:eastAsia="Arial" w:hAnsi="Arial"/>
          <w:sz w:val="19"/>
          <w:szCs w:val="19"/>
          <w:color w:val="auto"/>
        </w:rPr>
        <w:t>Represents amount collected, but not yet spent, to dispose of plant assets. This liability will be discharged as removal costs are</w:t>
      </w:r>
      <w:r>
        <w:rPr>
          <w:rFonts w:ascii="Arial" w:cs="Arial" w:eastAsia="Arial" w:hAnsi="Arial"/>
          <w:sz w:val="19"/>
          <w:szCs w:val="19"/>
          <w:b w:val="1"/>
          <w:bCs w:val="1"/>
          <w:color w:val="auto"/>
        </w:rPr>
        <w:t xml:space="preserve"> </w:t>
      </w:r>
      <w:r>
        <w:rPr>
          <w:rFonts w:ascii="Arial" w:cs="Arial" w:eastAsia="Arial" w:hAnsi="Arial"/>
          <w:sz w:val="19"/>
          <w:szCs w:val="19"/>
          <w:color w:val="auto"/>
        </w:rPr>
        <w:t>incurred.</w:t>
      </w:r>
    </w:p>
    <w:p>
      <w:pPr>
        <w:spacing w:after="0" w:line="48" w:lineRule="exact"/>
        <w:rPr>
          <w:sz w:val="20"/>
          <w:szCs w:val="20"/>
          <w:color w:val="auto"/>
        </w:rPr>
      </w:pPr>
    </w:p>
    <w:p>
      <w:pPr>
        <w:ind w:right="780"/>
        <w:spacing w:after="0" w:line="271" w:lineRule="auto"/>
        <w:rPr>
          <w:sz w:val="20"/>
          <w:szCs w:val="20"/>
          <w:color w:val="auto"/>
        </w:rPr>
      </w:pPr>
      <w:r>
        <w:rPr>
          <w:rFonts w:ascii="Arial" w:cs="Arial" w:eastAsia="Arial" w:hAnsi="Arial"/>
          <w:sz w:val="19"/>
          <w:szCs w:val="19"/>
          <w:b w:val="1"/>
          <w:bCs w:val="1"/>
          <w:color w:val="auto"/>
        </w:rPr>
        <w:t xml:space="preserve">Kansas tax credits: </w:t>
      </w:r>
      <w:r>
        <w:rPr>
          <w:rFonts w:ascii="Arial" w:cs="Arial" w:eastAsia="Arial" w:hAnsi="Arial"/>
          <w:sz w:val="19"/>
          <w:szCs w:val="19"/>
          <w:color w:val="auto"/>
        </w:rPr>
        <w:t>Represents Kansas tax credits on investment in utility plant. Amounts will be credited to customers subsequent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realization of the credits over the remaining lives of the utility plant giving rise to the tax credits.</w:t>
      </w:r>
    </w:p>
    <w:p>
      <w:pPr>
        <w:spacing w:after="0" w:line="48" w:lineRule="exact"/>
        <w:rPr>
          <w:sz w:val="20"/>
          <w:szCs w:val="20"/>
          <w:color w:val="auto"/>
        </w:rPr>
      </w:pPr>
    </w:p>
    <w:p>
      <w:pPr>
        <w:ind w:right="400"/>
        <w:spacing w:after="0" w:line="271" w:lineRule="auto"/>
        <w:rPr>
          <w:sz w:val="20"/>
          <w:szCs w:val="20"/>
          <w:color w:val="auto"/>
        </w:rPr>
      </w:pPr>
      <w:r>
        <w:rPr>
          <w:rFonts w:ascii="Arial" w:cs="Arial" w:eastAsia="Arial" w:hAnsi="Arial"/>
          <w:sz w:val="19"/>
          <w:szCs w:val="19"/>
          <w:b w:val="1"/>
          <w:bCs w:val="1"/>
          <w:color w:val="auto"/>
        </w:rPr>
        <w:t xml:space="preserve">Purchase power agreement: </w:t>
      </w:r>
      <w:r>
        <w:rPr>
          <w:rFonts w:ascii="Arial" w:cs="Arial" w:eastAsia="Arial" w:hAnsi="Arial"/>
          <w:sz w:val="19"/>
          <w:szCs w:val="19"/>
          <w:color w:val="auto"/>
        </w:rPr>
        <w:t>Represents the amount included in retail electric rates from customers in excess of costs incurred under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power agreements. Amounts are amortized over a five-year period.</w:t>
      </w:r>
    </w:p>
    <w:p>
      <w:pPr>
        <w:spacing w:after="0" w:line="48" w:lineRule="exact"/>
        <w:rPr>
          <w:sz w:val="20"/>
          <w:szCs w:val="20"/>
          <w:color w:val="auto"/>
        </w:rPr>
      </w:pPr>
    </w:p>
    <w:p>
      <w:pPr>
        <w:ind w:right="60"/>
        <w:spacing w:after="0" w:line="331" w:lineRule="auto"/>
        <w:rPr>
          <w:sz w:val="20"/>
          <w:szCs w:val="20"/>
          <w:color w:val="auto"/>
        </w:rPr>
      </w:pPr>
      <w:r>
        <w:rPr>
          <w:rFonts w:ascii="Arial" w:cs="Arial" w:eastAsia="Arial" w:hAnsi="Arial"/>
          <w:sz w:val="17"/>
          <w:szCs w:val="17"/>
          <w:b w:val="1"/>
          <w:bCs w:val="1"/>
          <w:color w:val="auto"/>
        </w:rPr>
        <w:t xml:space="preserve">Fuel recovery mechanisms: </w:t>
      </w:r>
      <w:r>
        <w:rPr>
          <w:rFonts w:ascii="Arial" w:cs="Arial" w:eastAsia="Arial" w:hAnsi="Arial"/>
          <w:sz w:val="17"/>
          <w:szCs w:val="17"/>
          <w:color w:val="auto"/>
        </w:rPr>
        <w:t>Represents the amount collected from customers in excess of the actual cost of fuel consumed in producing electricity</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cost of purchased power. This difference is expected to be refunded over a one-year period and is not included in rate base.</w:t>
      </w:r>
    </w:p>
    <w:p>
      <w:pPr>
        <w:spacing w:after="0" w:line="2"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b w:val="1"/>
          <w:bCs w:val="1"/>
          <w:color w:val="auto"/>
        </w:rPr>
        <w:t xml:space="preserve">February 2021 winter weather event: </w:t>
      </w:r>
      <w:r>
        <w:rPr>
          <w:rFonts w:ascii="Arial" w:cs="Arial" w:eastAsia="Arial" w:hAnsi="Arial"/>
          <w:sz w:val="19"/>
          <w:szCs w:val="19"/>
          <w:color w:val="auto"/>
        </w:rPr>
        <w:t>Represents the deferral of increased wholesale revenues earned during the February 2021 winter weather</w:t>
      </w:r>
      <w:r>
        <w:rPr>
          <w:rFonts w:ascii="Arial" w:cs="Arial" w:eastAsia="Arial" w:hAnsi="Arial"/>
          <w:sz w:val="19"/>
          <w:szCs w:val="19"/>
          <w:b w:val="1"/>
          <w:bCs w:val="1"/>
          <w:color w:val="auto"/>
        </w:rPr>
        <w:t xml:space="preserve"> </w:t>
      </w:r>
      <w:r>
        <w:rPr>
          <w:rFonts w:ascii="Arial" w:cs="Arial" w:eastAsia="Arial" w:hAnsi="Arial"/>
          <w:sz w:val="19"/>
          <w:szCs w:val="19"/>
          <w:color w:val="auto"/>
        </w:rPr>
        <w:t>event.</w:t>
      </w:r>
    </w:p>
    <w:p>
      <w:pPr>
        <w:spacing w:after="0" w:line="48" w:lineRule="exact"/>
        <w:rPr>
          <w:sz w:val="20"/>
          <w:szCs w:val="20"/>
          <w:color w:val="auto"/>
        </w:rPr>
      </w:pPr>
    </w:p>
    <w:p>
      <w:pPr>
        <w:spacing w:after="0" w:line="256" w:lineRule="auto"/>
        <w:rPr>
          <w:sz w:val="20"/>
          <w:szCs w:val="20"/>
          <w:color w:val="auto"/>
        </w:rPr>
      </w:pPr>
      <w:r>
        <w:rPr>
          <w:rFonts w:ascii="Arial" w:cs="Arial" w:eastAsia="Arial" w:hAnsi="Arial"/>
          <w:sz w:val="19"/>
          <w:szCs w:val="19"/>
          <w:b w:val="1"/>
          <w:bCs w:val="1"/>
          <w:color w:val="auto"/>
        </w:rPr>
        <w:t xml:space="preserve">Sibley AAO: </w:t>
      </w:r>
      <w:r>
        <w:rPr>
          <w:rFonts w:ascii="Arial" w:cs="Arial" w:eastAsia="Arial" w:hAnsi="Arial"/>
          <w:sz w:val="19"/>
          <w:szCs w:val="19"/>
          <w:color w:val="auto"/>
        </w:rPr>
        <w:t>Represents the estimated amount of revenues that Evergy Missouri West has collected from customers for Sibley Station that Evergy</w:t>
      </w:r>
      <w:r>
        <w:rPr>
          <w:rFonts w:ascii="Arial" w:cs="Arial" w:eastAsia="Arial" w:hAnsi="Arial"/>
          <w:sz w:val="19"/>
          <w:szCs w:val="19"/>
          <w:b w:val="1"/>
          <w:bCs w:val="1"/>
          <w:color w:val="auto"/>
        </w:rPr>
        <w:t xml:space="preserve"> </w:t>
      </w:r>
      <w:r>
        <w:rPr>
          <w:rFonts w:ascii="Arial" w:cs="Arial" w:eastAsia="Arial" w:hAnsi="Arial"/>
          <w:sz w:val="19"/>
          <w:szCs w:val="19"/>
          <w:color w:val="auto"/>
        </w:rPr>
        <w:t>has determined is probable of refund. These amounts were recorded in connection with an AAO granted by the MPSC in October 2019 and deferred amounts will be considered by the MPSC in Evergy Missouri West's 2022 rate case.</w:t>
      </w:r>
    </w:p>
    <w:p>
      <w:pPr>
        <w:spacing w:after="0" w:line="61"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b w:val="1"/>
          <w:bCs w:val="1"/>
          <w:color w:val="auto"/>
        </w:rPr>
        <w:t xml:space="preserve">Other regulatory liabilities: </w:t>
      </w:r>
      <w:r>
        <w:rPr>
          <w:rFonts w:ascii="Arial" w:cs="Arial" w:eastAsia="Arial" w:hAnsi="Arial"/>
          <w:sz w:val="19"/>
          <w:szCs w:val="19"/>
          <w:color w:val="auto"/>
        </w:rPr>
        <w:t>Includes various regulatory liabilities that individually are relatively small in relation to the total regulatory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balance. These amounts will be credited over various periods.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10" w:name="page111"/>
    <w:bookmarkEnd w:id="11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 GOODWILL</w:t>
      </w:r>
    </w:p>
    <w:p>
      <w:pPr>
        <w:spacing w:after="0" w:line="1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GAAP requires goodwill to be tested for impairment annually and when an event occurs indicating the possibility that an impairment exists. Evergy's impairment test for the $2,336.6 million of goodwill that was recorded as a result of the Great Plains Energy and Evergy Kansas Central merger was conducted as of May 1, 2021.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6. ASSET RETIREMENT OBLIGATIONS</w:t>
      </w:r>
    </w:p>
    <w:p>
      <w:pPr>
        <w:spacing w:after="0" w:line="110"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AROs associated with tangible long-lived assets are legal obligations that exist under enacted laws, statutes and written or oral contracts, including obligations arising under the doctrine of promissory estoppel. These liabilities are recognized at estimated fair value as incurred with a corresponding amount capitalized as part of the cost of the related long-lived assets and depreciated over their useful lives. Accretion of the liabilities due to the passage of time is recorded to a regulatory asset and/or liability. Changes in the estimated fair values of the liabilities are recognized when known.</w:t>
      </w:r>
    </w:p>
    <w:p>
      <w:pPr>
        <w:spacing w:after="0" w:line="182"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Evergy Kansas Central, Evergy Metro and Evergy Missouri West have AROs related to asbestos abatement and the closure and post-closure care of ponds and landfills containing coal combustion residuals (CCRs). In addition, Evergy Kansas Central and Evergy Metro have AROs related to decommissioning Wolf Creek and the retirement of wind generation facilities.</w:t>
      </w:r>
    </w:p>
    <w:p>
      <w:pPr>
        <w:spacing w:after="0" w:line="176"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color w:val="auto"/>
        </w:rPr>
        <w:t>The MPSC and KCC require the owners of Wolf Creek, including Evergy Kansas South and Evergy Metro with their respective 47% ownership shares, to submit an updated decommissioning cost study every three years. The most recent study was submitted to the MPSC and KCC in September 2020. As a result of changes in estimates related to the study, Evergy, Evergy Kansas Central and Evergy Metro recorded increases to their AROs to decommission Wolf Creek of $259.1 million, $140.7 million and $118.4 million, respectively, in 2020.</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change in the Evergy Companies' AROs for the periods ending December 31, 2021 and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54"/>
              <w:spacing w:after="0"/>
              <w:rPr>
                <w:sz w:val="20"/>
                <w:szCs w:val="20"/>
                <w:color w:val="auto"/>
              </w:rPr>
            </w:pPr>
            <w:r>
              <w:rPr>
                <w:rFonts w:ascii="Arial" w:cs="Arial" w:eastAsia="Arial" w:hAnsi="Arial"/>
                <w:sz w:val="17"/>
                <w:szCs w:val="17"/>
                <w:b w:val="1"/>
                <w:bCs w:val="1"/>
                <w:color w:val="auto"/>
              </w:rPr>
              <w:t>Evergy</w:t>
            </w: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ind w:right="374"/>
              <w:spacing w:after="0"/>
              <w:rPr>
                <w:sz w:val="20"/>
                <w:szCs w:val="20"/>
                <w:color w:val="auto"/>
              </w:rPr>
            </w:pPr>
            <w:r>
              <w:rPr>
                <w:rFonts w:ascii="Arial" w:cs="Arial" w:eastAsia="Arial" w:hAnsi="Arial"/>
                <w:sz w:val="17"/>
                <w:szCs w:val="17"/>
                <w:b w:val="1"/>
                <w:bCs w:val="1"/>
                <w:color w:val="auto"/>
                <w:w w:val="95"/>
              </w:rPr>
              <w:t>Evergy Kansas Central</w:t>
            </w:r>
          </w:p>
        </w:tc>
        <w:tc>
          <w:tcPr>
            <w:tcW w:w="3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ind w:right="714"/>
              <w:spacing w:after="0"/>
              <w:rPr>
                <w:sz w:val="20"/>
                <w:szCs w:val="20"/>
                <w:color w:val="auto"/>
              </w:rPr>
            </w:pPr>
            <w:r>
              <w:rPr>
                <w:rFonts w:ascii="Arial" w:cs="Arial" w:eastAsia="Arial" w:hAnsi="Arial"/>
                <w:sz w:val="17"/>
                <w:szCs w:val="17"/>
                <w:b w:val="1"/>
                <w:bCs w:val="1"/>
                <w:color w:val="auto"/>
              </w:rPr>
              <w:t>Evergy Metro</w:t>
            </w:r>
          </w:p>
        </w:tc>
        <w:tc>
          <w:tcPr>
            <w:tcW w:w="0" w:type="dxa"/>
            <w:vAlign w:val="bottom"/>
          </w:tcPr>
          <w:p>
            <w:pPr>
              <w:spacing w:after="0"/>
              <w:rPr>
                <w:sz w:val="1"/>
                <w:szCs w:val="1"/>
                <w:color w:val="auto"/>
              </w:rPr>
            </w:pPr>
          </w:p>
        </w:tc>
      </w:tr>
      <w:tr>
        <w:trPr>
          <w:trHeight w:val="224"/>
        </w:trPr>
        <w:tc>
          <w:tcPr>
            <w:tcW w:w="3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7"/>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(millions)</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January 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941.9</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674.1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427.2</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272.9</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378.9</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253.6</w:t>
            </w:r>
          </w:p>
        </w:tc>
        <w:tc>
          <w:tcPr>
            <w:tcW w:w="0" w:type="dxa"/>
            <w:vAlign w:val="bottom"/>
          </w:tcPr>
          <w:p>
            <w:pPr>
              <w:spacing w:after="0"/>
              <w:rPr>
                <w:sz w:val="1"/>
                <w:szCs w:val="1"/>
                <w:color w:val="auto"/>
              </w:rPr>
            </w:pPr>
          </w:p>
        </w:tc>
      </w:tr>
      <w:tr>
        <w:trPr>
          <w:trHeight w:val="218"/>
        </w:trPr>
        <w:tc>
          <w:tcPr>
            <w:tcW w:w="3600" w:type="dxa"/>
            <w:vAlign w:val="bottom"/>
          </w:tcPr>
          <w:p>
            <w:pPr>
              <w:ind w:left="20"/>
              <w:spacing w:after="0"/>
              <w:rPr>
                <w:sz w:val="20"/>
                <w:szCs w:val="20"/>
                <w:color w:val="auto"/>
              </w:rPr>
            </w:pPr>
            <w:r>
              <w:rPr>
                <w:rFonts w:ascii="Arial" w:cs="Arial" w:eastAsia="Arial" w:hAnsi="Arial"/>
                <w:sz w:val="17"/>
                <w:szCs w:val="17"/>
                <w:color w:val="auto"/>
              </w:rPr>
              <w:t>Revision in timing and/or estimates</w:t>
            </w:r>
          </w:p>
        </w:tc>
        <w:tc>
          <w:tcPr>
            <w:tcW w:w="200" w:type="dxa"/>
            <w:vAlign w:val="bottom"/>
          </w:tcPr>
          <w:p>
            <w:pPr>
              <w:spacing w:after="0"/>
              <w:rPr>
                <w:sz w:val="18"/>
                <w:szCs w:val="18"/>
                <w:color w:val="auto"/>
              </w:rPr>
            </w:pPr>
          </w:p>
        </w:tc>
        <w:tc>
          <w:tcPr>
            <w:tcW w:w="940" w:type="dxa"/>
            <w:vAlign w:val="bottom"/>
          </w:tcPr>
          <w:p>
            <w:pPr>
              <w:jc w:val="right"/>
              <w:ind w:right="154"/>
              <w:spacing w:after="0"/>
              <w:rPr>
                <w:sz w:val="20"/>
                <w:szCs w:val="20"/>
                <w:color w:val="auto"/>
              </w:rPr>
            </w:pPr>
            <w:r>
              <w:rPr>
                <w:rFonts w:ascii="Arial" w:cs="Arial" w:eastAsia="Arial" w:hAnsi="Arial"/>
                <w:sz w:val="17"/>
                <w:szCs w:val="17"/>
                <w:color w:val="auto"/>
              </w:rPr>
              <w:t>13.5</w:t>
            </w:r>
          </w:p>
        </w:tc>
        <w:tc>
          <w:tcPr>
            <w:tcW w:w="380" w:type="dxa"/>
            <w:vAlign w:val="bottom"/>
          </w:tcPr>
          <w:p>
            <w:pPr>
              <w:spacing w:after="0"/>
              <w:rPr>
                <w:sz w:val="18"/>
                <w:szCs w:val="18"/>
                <w:color w:val="auto"/>
              </w:rPr>
            </w:pPr>
          </w:p>
        </w:tc>
        <w:tc>
          <w:tcPr>
            <w:tcW w:w="880" w:type="dxa"/>
            <w:vAlign w:val="bottom"/>
          </w:tcPr>
          <w:p>
            <w:pPr>
              <w:jc w:val="right"/>
              <w:ind w:right="154"/>
              <w:spacing w:after="0"/>
              <w:rPr>
                <w:sz w:val="20"/>
                <w:szCs w:val="20"/>
                <w:color w:val="auto"/>
              </w:rPr>
            </w:pPr>
            <w:r>
              <w:rPr>
                <w:rFonts w:ascii="Arial" w:cs="Arial" w:eastAsia="Arial" w:hAnsi="Arial"/>
                <w:sz w:val="17"/>
                <w:szCs w:val="17"/>
                <w:color w:val="auto"/>
              </w:rPr>
              <w:t>249.3</w:t>
            </w:r>
          </w:p>
        </w:tc>
        <w:tc>
          <w:tcPr>
            <w:tcW w:w="380" w:type="dxa"/>
            <w:vAlign w:val="bottom"/>
          </w:tcPr>
          <w:p>
            <w:pPr>
              <w:spacing w:after="0"/>
              <w:rPr>
                <w:sz w:val="18"/>
                <w:szCs w:val="18"/>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color w:val="auto"/>
              </w:rPr>
              <w:t>3.8</w:t>
            </w:r>
          </w:p>
        </w:tc>
        <w:tc>
          <w:tcPr>
            <w:tcW w:w="380" w:type="dxa"/>
            <w:vAlign w:val="bottom"/>
          </w:tcPr>
          <w:p>
            <w:pPr>
              <w:spacing w:after="0"/>
              <w:rPr>
                <w:sz w:val="18"/>
                <w:szCs w:val="18"/>
                <w:color w:val="auto"/>
              </w:rPr>
            </w:pPr>
          </w:p>
        </w:tc>
        <w:tc>
          <w:tcPr>
            <w:tcW w:w="900" w:type="dxa"/>
            <w:vAlign w:val="bottom"/>
          </w:tcPr>
          <w:p>
            <w:pPr>
              <w:jc w:val="right"/>
              <w:ind w:right="174"/>
              <w:spacing w:after="0"/>
              <w:rPr>
                <w:sz w:val="20"/>
                <w:szCs w:val="20"/>
                <w:color w:val="auto"/>
              </w:rPr>
            </w:pPr>
            <w:r>
              <w:rPr>
                <w:rFonts w:ascii="Arial" w:cs="Arial" w:eastAsia="Arial" w:hAnsi="Arial"/>
                <w:sz w:val="17"/>
                <w:szCs w:val="17"/>
                <w:color w:val="auto"/>
              </w:rPr>
              <w:t>136.8</w:t>
            </w:r>
          </w:p>
        </w:tc>
        <w:tc>
          <w:tcPr>
            <w:tcW w:w="38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Arial" w:cs="Arial" w:eastAsia="Arial" w:hAnsi="Arial"/>
                <w:sz w:val="17"/>
                <w:szCs w:val="17"/>
                <w:color w:val="auto"/>
              </w:rPr>
              <w:t>9.5</w:t>
            </w:r>
          </w:p>
        </w:tc>
        <w:tc>
          <w:tcPr>
            <w:tcW w:w="380" w:type="dxa"/>
            <w:vAlign w:val="bottom"/>
          </w:tcPr>
          <w:p>
            <w:pPr>
              <w:spacing w:after="0"/>
              <w:rPr>
                <w:sz w:val="18"/>
                <w:szCs w:val="18"/>
                <w:color w:val="auto"/>
              </w:rPr>
            </w:pPr>
          </w:p>
        </w:tc>
        <w:tc>
          <w:tcPr>
            <w:tcW w:w="900" w:type="dxa"/>
            <w:vAlign w:val="bottom"/>
          </w:tcPr>
          <w:p>
            <w:pPr>
              <w:jc w:val="right"/>
              <w:ind w:right="174"/>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rPr>
                <w:sz w:val="1"/>
                <w:szCs w:val="1"/>
                <w:color w:val="auto"/>
              </w:rPr>
            </w:pPr>
          </w:p>
        </w:tc>
      </w:tr>
      <w:tr>
        <w:trPr>
          <w:trHeight w:val="220"/>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(38.7)</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(18.4)</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(10.6)</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(24.4)</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8"/>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Accretion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43.4</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36.9</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23.5</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19.7</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17.0</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960.1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941.9</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443.9</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427.2</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381.0</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218"/>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current portion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(19.5)</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(40.2)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(7.3)</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(11.0)</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120"/>
              <w:spacing w:after="0" w:line="162" w:lineRule="exact"/>
              <w:rPr>
                <w:sz w:val="20"/>
                <w:szCs w:val="20"/>
                <w:color w:val="auto"/>
              </w:rPr>
            </w:pPr>
            <w:r>
              <w:rPr>
                <w:rFonts w:ascii="Arial" w:cs="Arial" w:eastAsia="Arial" w:hAnsi="Arial"/>
                <w:sz w:val="17"/>
                <w:szCs w:val="17"/>
                <w:color w:val="auto"/>
              </w:rPr>
              <w:t>Total noncurrent asset</w:t>
            </w: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940.6</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901.7</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436.6</w:t>
            </w:r>
          </w:p>
        </w:tc>
        <w:tc>
          <w:tcPr>
            <w:tcW w:w="38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color w:val="auto"/>
              </w:rPr>
              <w:t>416.0</w:t>
            </w:r>
          </w:p>
        </w:tc>
        <w:tc>
          <w:tcPr>
            <w:tcW w:w="38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color w:val="auto"/>
              </w:rPr>
              <w:t>370.0</w:t>
            </w:r>
          </w:p>
        </w:tc>
        <w:tc>
          <w:tcPr>
            <w:tcW w:w="38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color w:val="auto"/>
              </w:rPr>
              <w:t>357.7</w:t>
            </w:r>
          </w:p>
        </w:tc>
        <w:tc>
          <w:tcPr>
            <w:tcW w:w="0" w:type="dxa"/>
            <w:vAlign w:val="bottom"/>
          </w:tcPr>
          <w:p>
            <w:pPr>
              <w:spacing w:after="0"/>
              <w:rPr>
                <w:sz w:val="1"/>
                <w:szCs w:val="1"/>
                <w:color w:val="auto"/>
              </w:rPr>
            </w:pPr>
          </w:p>
        </w:tc>
      </w:tr>
      <w:tr>
        <w:trPr>
          <w:trHeight w:val="224"/>
        </w:trPr>
        <w:tc>
          <w:tcPr>
            <w:tcW w:w="36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retirement obligation</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24"/>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54"/>
              <w:spacing w:after="0"/>
              <w:rPr>
                <w:sz w:val="20"/>
                <w:szCs w:val="20"/>
                <w:color w:val="auto"/>
              </w:rPr>
            </w:pPr>
            <w:r>
              <w:rPr>
                <w:rFonts w:ascii="Arial" w:cs="Arial" w:eastAsia="Arial" w:hAnsi="Arial"/>
                <w:sz w:val="17"/>
                <w:szCs w:val="17"/>
                <w:color w:val="auto"/>
              </w:rPr>
              <w:t>109</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1" w:name="page112"/>
    <w:bookmarkEnd w:id="111"/>
    <w:p>
      <w:pPr>
        <w:ind w:left="100"/>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7. PROPERTY, PLANT AND EQUIPMENT</w:t>
      </w:r>
    </w:p>
    <w:p>
      <w:pPr>
        <w:spacing w:after="0" w:line="11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The following tables summarize the property, plant and equipment of Evergy, Evergy Kansas Central and Evergy Metro.</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00" w:type="dxa"/>
            <w:vAlign w:val="bottom"/>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r>
      <w:tr>
        <w:trPr>
          <w:trHeight w:val="219"/>
        </w:trPr>
        <w:tc>
          <w:tcPr>
            <w:tcW w:w="3840" w:type="dxa"/>
            <w:vAlign w:val="bottom"/>
            <w:gridSpan w:val="2"/>
          </w:tcPr>
          <w:p>
            <w:pPr>
              <w:spacing w:after="0"/>
              <w:rPr>
                <w:sz w:val="20"/>
                <w:szCs w:val="20"/>
                <w:color w:val="auto"/>
              </w:rPr>
            </w:pPr>
            <w:r>
              <w:rPr>
                <w:rFonts w:ascii="Arial" w:cs="Arial" w:eastAsia="Arial" w:hAnsi="Arial"/>
                <w:sz w:val="17"/>
                <w:szCs w:val="17"/>
                <w:b w:val="1"/>
                <w:bCs w:val="1"/>
                <w:color w:val="auto"/>
              </w:rPr>
              <w:t>December 31, 2021</w:t>
            </w:r>
          </w:p>
        </w:tc>
        <w:tc>
          <w:tcPr>
            <w:tcW w:w="660" w:type="dxa"/>
            <w:vAlign w:val="bottom"/>
          </w:tcPr>
          <w:p>
            <w:pPr>
              <w:spacing w:after="0"/>
              <w:rPr>
                <w:sz w:val="19"/>
                <w:szCs w:val="19"/>
                <w:color w:val="auto"/>
              </w:rPr>
            </w:pPr>
          </w:p>
        </w:tc>
        <w:tc>
          <w:tcPr>
            <w:tcW w:w="1620" w:type="dxa"/>
            <w:vAlign w:val="bottom"/>
          </w:tcPr>
          <w:p>
            <w:pPr>
              <w:jc w:val="right"/>
              <w:ind w:right="834"/>
              <w:spacing w:after="0"/>
              <w:rPr>
                <w:sz w:val="20"/>
                <w:szCs w:val="20"/>
                <w:color w:val="auto"/>
              </w:rPr>
            </w:pPr>
            <w:r>
              <w:rPr>
                <w:rFonts w:ascii="Arial" w:cs="Arial" w:eastAsia="Arial" w:hAnsi="Arial"/>
                <w:sz w:val="17"/>
                <w:szCs w:val="17"/>
                <w:b w:val="1"/>
                <w:bCs w:val="1"/>
                <w:color w:val="auto"/>
              </w:rPr>
              <w:t>Evergy</w:t>
            </w:r>
          </w:p>
        </w:tc>
        <w:tc>
          <w:tcPr>
            <w:tcW w:w="2640" w:type="dxa"/>
            <w:vAlign w:val="bottom"/>
            <w:gridSpan w:val="2"/>
          </w:tcPr>
          <w:p>
            <w:pPr>
              <w:jc w:val="right"/>
              <w:ind w:right="375"/>
              <w:spacing w:after="0"/>
              <w:rPr>
                <w:sz w:val="20"/>
                <w:szCs w:val="20"/>
                <w:color w:val="auto"/>
              </w:rPr>
            </w:pPr>
            <w:r>
              <w:rPr>
                <w:rFonts w:ascii="Arial" w:cs="Arial" w:eastAsia="Arial" w:hAnsi="Arial"/>
                <w:sz w:val="17"/>
                <w:szCs w:val="17"/>
                <w:b w:val="1"/>
                <w:bCs w:val="1"/>
                <w:color w:val="auto"/>
              </w:rPr>
              <w:t>Evergy Kansas Central</w:t>
            </w:r>
          </w:p>
        </w:tc>
        <w:tc>
          <w:tcPr>
            <w:tcW w:w="600" w:type="dxa"/>
            <w:vAlign w:val="bottom"/>
          </w:tcPr>
          <w:p>
            <w:pPr>
              <w:spacing w:after="0"/>
              <w:rPr>
                <w:sz w:val="19"/>
                <w:szCs w:val="19"/>
                <w:color w:val="auto"/>
              </w:rPr>
            </w:pPr>
          </w:p>
        </w:tc>
        <w:tc>
          <w:tcPr>
            <w:tcW w:w="1840" w:type="dxa"/>
            <w:vAlign w:val="bottom"/>
          </w:tcPr>
          <w:p>
            <w:pPr>
              <w:jc w:val="right"/>
              <w:ind w:right="654"/>
              <w:spacing w:after="0"/>
              <w:rPr>
                <w:sz w:val="20"/>
                <w:szCs w:val="20"/>
                <w:color w:val="auto"/>
              </w:rPr>
            </w:pPr>
            <w:r>
              <w:rPr>
                <w:rFonts w:ascii="Arial" w:cs="Arial" w:eastAsia="Arial" w:hAnsi="Arial"/>
                <w:sz w:val="17"/>
                <w:szCs w:val="17"/>
                <w:b w:val="1"/>
                <w:bCs w:val="1"/>
                <w:color w:val="auto"/>
              </w:rPr>
              <w:t>Evergy Metro</w:t>
            </w:r>
          </w:p>
        </w:tc>
      </w:tr>
      <w:tr>
        <w:trPr>
          <w:trHeight w:val="196"/>
        </w:trPr>
        <w:tc>
          <w:tcPr>
            <w:tcW w:w="100" w:type="dxa"/>
            <w:vAlign w:val="bottom"/>
          </w:tcPr>
          <w:p>
            <w:pPr>
              <w:spacing w:after="0"/>
              <w:rPr>
                <w:sz w:val="17"/>
                <w:szCs w:val="17"/>
                <w:color w:val="auto"/>
              </w:rPr>
            </w:pPr>
          </w:p>
        </w:tc>
        <w:tc>
          <w:tcPr>
            <w:tcW w:w="37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935"/>
              <w:spacing w:after="0"/>
              <w:rPr>
                <w:sz w:val="20"/>
                <w:szCs w:val="20"/>
                <w:color w:val="auto"/>
              </w:rPr>
            </w:pPr>
            <w:r>
              <w:rPr>
                <w:rFonts w:ascii="Arial" w:cs="Arial" w:eastAsia="Arial" w:hAnsi="Arial"/>
                <w:sz w:val="15"/>
                <w:szCs w:val="15"/>
                <w:color w:val="auto"/>
              </w:rPr>
              <w:t>(millions)</w:t>
            </w:r>
          </w:p>
        </w:tc>
        <w:tc>
          <w:tcPr>
            <w:tcW w:w="6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r>
      <w:tr>
        <w:trPr>
          <w:trHeight w:val="222"/>
        </w:trPr>
        <w:tc>
          <w:tcPr>
            <w:tcW w:w="1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Electric plant in service</w:t>
            </w: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30,289.9</w:t>
            </w: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ind w:right="575"/>
              <w:spacing w:after="0"/>
              <w:rPr>
                <w:sz w:val="20"/>
                <w:szCs w:val="20"/>
                <w:color w:val="auto"/>
              </w:rPr>
            </w:pPr>
            <w:r>
              <w:rPr>
                <w:rFonts w:ascii="Arial" w:cs="Arial" w:eastAsia="Arial" w:hAnsi="Arial"/>
                <w:sz w:val="17"/>
                <w:szCs w:val="17"/>
                <w:color w:val="auto"/>
              </w:rPr>
              <w:t>14,686.3</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rPr>
              <w:t>11,656.9</w:t>
            </w:r>
          </w:p>
        </w:tc>
      </w:tr>
      <w:tr>
        <w:trPr>
          <w:trHeight w:val="218"/>
        </w:trPr>
        <w:tc>
          <w:tcPr>
            <w:tcW w:w="3840" w:type="dxa"/>
            <w:vAlign w:val="bottom"/>
            <w:gridSpan w:val="2"/>
          </w:tcPr>
          <w:p>
            <w:pPr>
              <w:ind w:left="80"/>
              <w:spacing w:after="0"/>
              <w:rPr>
                <w:sz w:val="20"/>
                <w:szCs w:val="20"/>
                <w:color w:val="auto"/>
              </w:rPr>
            </w:pPr>
            <w:r>
              <w:rPr>
                <w:rFonts w:ascii="Arial" w:cs="Arial" w:eastAsia="Arial" w:hAnsi="Arial"/>
                <w:sz w:val="17"/>
                <w:szCs w:val="17"/>
                <w:color w:val="auto"/>
              </w:rPr>
              <w:t>Electric plant acquisition adjustment</w:t>
            </w:r>
          </w:p>
        </w:tc>
        <w:tc>
          <w:tcPr>
            <w:tcW w:w="660" w:type="dxa"/>
            <w:vAlign w:val="bottom"/>
          </w:tcPr>
          <w:p>
            <w:pPr>
              <w:spacing w:after="0"/>
              <w:rPr>
                <w:sz w:val="18"/>
                <w:szCs w:val="18"/>
                <w:color w:val="auto"/>
              </w:rPr>
            </w:pPr>
          </w:p>
        </w:tc>
        <w:tc>
          <w:tcPr>
            <w:tcW w:w="1620" w:type="dxa"/>
            <w:vAlign w:val="bottom"/>
          </w:tcPr>
          <w:p>
            <w:pPr>
              <w:jc w:val="right"/>
              <w:ind w:right="434"/>
              <w:spacing w:after="0"/>
              <w:rPr>
                <w:sz w:val="20"/>
                <w:szCs w:val="20"/>
                <w:color w:val="auto"/>
              </w:rPr>
            </w:pPr>
            <w:r>
              <w:rPr>
                <w:rFonts w:ascii="Arial" w:cs="Arial" w:eastAsia="Arial" w:hAnsi="Arial"/>
                <w:sz w:val="17"/>
                <w:szCs w:val="17"/>
                <w:color w:val="auto"/>
              </w:rPr>
              <w:t>724.3</w:t>
            </w:r>
          </w:p>
        </w:tc>
        <w:tc>
          <w:tcPr>
            <w:tcW w:w="860" w:type="dxa"/>
            <w:vAlign w:val="bottom"/>
          </w:tcPr>
          <w:p>
            <w:pPr>
              <w:spacing w:after="0"/>
              <w:rPr>
                <w:sz w:val="18"/>
                <w:szCs w:val="18"/>
                <w:color w:val="auto"/>
              </w:rPr>
            </w:pPr>
          </w:p>
        </w:tc>
        <w:tc>
          <w:tcPr>
            <w:tcW w:w="1780" w:type="dxa"/>
            <w:vAlign w:val="bottom"/>
          </w:tcPr>
          <w:p>
            <w:pPr>
              <w:jc w:val="right"/>
              <w:ind w:right="575"/>
              <w:spacing w:after="0"/>
              <w:rPr>
                <w:sz w:val="20"/>
                <w:szCs w:val="20"/>
                <w:color w:val="auto"/>
              </w:rPr>
            </w:pPr>
            <w:r>
              <w:rPr>
                <w:rFonts w:ascii="Arial" w:cs="Arial" w:eastAsia="Arial" w:hAnsi="Arial"/>
                <w:sz w:val="17"/>
                <w:szCs w:val="17"/>
                <w:color w:val="auto"/>
              </w:rPr>
              <w:t>724.3</w:t>
            </w:r>
          </w:p>
        </w:tc>
        <w:tc>
          <w:tcPr>
            <w:tcW w:w="600" w:type="dxa"/>
            <w:vAlign w:val="bottom"/>
          </w:tcPr>
          <w:p>
            <w:pPr>
              <w:spacing w:after="0"/>
              <w:rPr>
                <w:sz w:val="18"/>
                <w:szCs w:val="18"/>
                <w:color w:val="auto"/>
              </w:rPr>
            </w:pPr>
          </w:p>
        </w:tc>
        <w:tc>
          <w:tcPr>
            <w:tcW w:w="1840" w:type="dxa"/>
            <w:vAlign w:val="bottom"/>
          </w:tcPr>
          <w:p>
            <w:pPr>
              <w:jc w:val="right"/>
              <w:ind w:right="514"/>
              <w:spacing w:after="0"/>
              <w:rPr>
                <w:sz w:val="20"/>
                <w:szCs w:val="20"/>
                <w:color w:val="auto"/>
              </w:rPr>
            </w:pPr>
            <w:r>
              <w:rPr>
                <w:rFonts w:ascii="Arial" w:cs="Arial" w:eastAsia="Arial" w:hAnsi="Arial"/>
                <w:sz w:val="17"/>
                <w:szCs w:val="17"/>
                <w:color w:val="auto"/>
              </w:rPr>
              <w:t>—</w:t>
            </w:r>
          </w:p>
        </w:tc>
      </w:tr>
      <w:tr>
        <w:trPr>
          <w:trHeight w:val="220"/>
        </w:trPr>
        <w:tc>
          <w:tcPr>
            <w:tcW w:w="1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6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(11,515.5)</w:t>
            </w:r>
          </w:p>
        </w:tc>
        <w:tc>
          <w:tcPr>
            <w:tcW w:w="8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color w:val="auto"/>
              </w:rPr>
              <w:t>(5,590.8)</w:t>
            </w:r>
          </w:p>
        </w:tc>
        <w:tc>
          <w:tcPr>
            <w:tcW w:w="6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rPr>
              <w:t>(4,733.7)</w:t>
            </w:r>
          </w:p>
        </w:tc>
      </w:tr>
      <w:tr>
        <w:trPr>
          <w:trHeight w:val="211"/>
        </w:trPr>
        <w:tc>
          <w:tcPr>
            <w:tcW w:w="1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7"/>
                <w:szCs w:val="17"/>
                <w:color w:val="auto"/>
              </w:rPr>
              <w:t>Plant in service</w:t>
            </w:r>
          </w:p>
        </w:tc>
        <w:tc>
          <w:tcPr>
            <w:tcW w:w="660" w:type="dxa"/>
            <w:vAlign w:val="bottom"/>
          </w:tcPr>
          <w:p>
            <w:pPr>
              <w:spacing w:after="0"/>
              <w:rPr>
                <w:sz w:val="18"/>
                <w:szCs w:val="18"/>
                <w:color w:val="auto"/>
              </w:rPr>
            </w:pPr>
          </w:p>
        </w:tc>
        <w:tc>
          <w:tcPr>
            <w:tcW w:w="1620" w:type="dxa"/>
            <w:vAlign w:val="bottom"/>
          </w:tcPr>
          <w:p>
            <w:pPr>
              <w:jc w:val="right"/>
              <w:ind w:right="434"/>
              <w:spacing w:after="0"/>
              <w:rPr>
                <w:sz w:val="20"/>
                <w:szCs w:val="20"/>
                <w:color w:val="auto"/>
              </w:rPr>
            </w:pPr>
            <w:r>
              <w:rPr>
                <w:rFonts w:ascii="Arial" w:cs="Arial" w:eastAsia="Arial" w:hAnsi="Arial"/>
                <w:sz w:val="17"/>
                <w:szCs w:val="17"/>
                <w:color w:val="auto"/>
              </w:rPr>
              <w:t>19,498.7</w:t>
            </w:r>
          </w:p>
        </w:tc>
        <w:tc>
          <w:tcPr>
            <w:tcW w:w="860" w:type="dxa"/>
            <w:vAlign w:val="bottom"/>
          </w:tcPr>
          <w:p>
            <w:pPr>
              <w:spacing w:after="0"/>
              <w:rPr>
                <w:sz w:val="18"/>
                <w:szCs w:val="18"/>
                <w:color w:val="auto"/>
              </w:rPr>
            </w:pPr>
          </w:p>
        </w:tc>
        <w:tc>
          <w:tcPr>
            <w:tcW w:w="1780" w:type="dxa"/>
            <w:vAlign w:val="bottom"/>
          </w:tcPr>
          <w:p>
            <w:pPr>
              <w:jc w:val="right"/>
              <w:ind w:right="575"/>
              <w:spacing w:after="0"/>
              <w:rPr>
                <w:sz w:val="20"/>
                <w:szCs w:val="20"/>
                <w:color w:val="auto"/>
              </w:rPr>
            </w:pPr>
            <w:r>
              <w:rPr>
                <w:rFonts w:ascii="Arial" w:cs="Arial" w:eastAsia="Arial" w:hAnsi="Arial"/>
                <w:sz w:val="17"/>
                <w:szCs w:val="17"/>
                <w:color w:val="auto"/>
              </w:rPr>
              <w:t>9,819.8</w:t>
            </w:r>
          </w:p>
        </w:tc>
        <w:tc>
          <w:tcPr>
            <w:tcW w:w="600" w:type="dxa"/>
            <w:vAlign w:val="bottom"/>
          </w:tcPr>
          <w:p>
            <w:pPr>
              <w:spacing w:after="0"/>
              <w:rPr>
                <w:sz w:val="18"/>
                <w:szCs w:val="18"/>
                <w:color w:val="auto"/>
              </w:rPr>
            </w:pPr>
          </w:p>
        </w:tc>
        <w:tc>
          <w:tcPr>
            <w:tcW w:w="1840" w:type="dxa"/>
            <w:vAlign w:val="bottom"/>
          </w:tcPr>
          <w:p>
            <w:pPr>
              <w:jc w:val="right"/>
              <w:ind w:right="514"/>
              <w:spacing w:after="0"/>
              <w:rPr>
                <w:sz w:val="20"/>
                <w:szCs w:val="20"/>
                <w:color w:val="auto"/>
              </w:rPr>
            </w:pPr>
            <w:r>
              <w:rPr>
                <w:rFonts w:ascii="Arial" w:cs="Arial" w:eastAsia="Arial" w:hAnsi="Arial"/>
                <w:sz w:val="17"/>
                <w:szCs w:val="17"/>
                <w:color w:val="auto"/>
              </w:rPr>
              <w:t>6,923.2</w:t>
            </w:r>
          </w:p>
        </w:tc>
      </w:tr>
      <w:tr>
        <w:trPr>
          <w:trHeight w:val="220"/>
        </w:trPr>
        <w:tc>
          <w:tcPr>
            <w:tcW w:w="1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Construction work in progress</w:t>
            </w: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1,350.6</w:t>
            </w:r>
          </w:p>
        </w:tc>
        <w:tc>
          <w:tcPr>
            <w:tcW w:w="8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575"/>
              <w:spacing w:after="0"/>
              <w:rPr>
                <w:sz w:val="20"/>
                <w:szCs w:val="20"/>
                <w:color w:val="auto"/>
              </w:rPr>
            </w:pPr>
            <w:r>
              <w:rPr>
                <w:rFonts w:ascii="Arial" w:cs="Arial" w:eastAsia="Arial" w:hAnsi="Arial"/>
                <w:sz w:val="17"/>
                <w:szCs w:val="17"/>
                <w:color w:val="auto"/>
              </w:rPr>
              <w:t>652.2</w:t>
            </w:r>
          </w:p>
        </w:tc>
        <w:tc>
          <w:tcPr>
            <w:tcW w:w="6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rPr>
              <w:t>475.3</w:t>
            </w:r>
          </w:p>
        </w:tc>
      </w:tr>
      <w:tr>
        <w:trPr>
          <w:trHeight w:val="218"/>
        </w:trPr>
        <w:tc>
          <w:tcPr>
            <w:tcW w:w="3840" w:type="dxa"/>
            <w:vAlign w:val="bottom"/>
            <w:gridSpan w:val="2"/>
          </w:tcPr>
          <w:p>
            <w:pPr>
              <w:ind w:left="80"/>
              <w:spacing w:after="0"/>
              <w:rPr>
                <w:sz w:val="20"/>
                <w:szCs w:val="20"/>
                <w:color w:val="auto"/>
              </w:rPr>
            </w:pPr>
            <w:r>
              <w:rPr>
                <w:rFonts w:ascii="Arial" w:cs="Arial" w:eastAsia="Arial" w:hAnsi="Arial"/>
                <w:sz w:val="17"/>
                <w:szCs w:val="17"/>
                <w:color w:val="auto"/>
              </w:rPr>
              <w:t>Nuclear fuel, net</w:t>
            </w:r>
          </w:p>
        </w:tc>
        <w:tc>
          <w:tcPr>
            <w:tcW w:w="660" w:type="dxa"/>
            <w:vAlign w:val="bottom"/>
          </w:tcPr>
          <w:p>
            <w:pPr>
              <w:spacing w:after="0"/>
              <w:rPr>
                <w:sz w:val="18"/>
                <w:szCs w:val="18"/>
                <w:color w:val="auto"/>
              </w:rPr>
            </w:pPr>
          </w:p>
        </w:tc>
        <w:tc>
          <w:tcPr>
            <w:tcW w:w="1620" w:type="dxa"/>
            <w:vAlign w:val="bottom"/>
          </w:tcPr>
          <w:p>
            <w:pPr>
              <w:jc w:val="right"/>
              <w:ind w:right="434"/>
              <w:spacing w:after="0"/>
              <w:rPr>
                <w:sz w:val="20"/>
                <w:szCs w:val="20"/>
                <w:color w:val="auto"/>
              </w:rPr>
            </w:pPr>
            <w:r>
              <w:rPr>
                <w:rFonts w:ascii="Arial" w:cs="Arial" w:eastAsia="Arial" w:hAnsi="Arial"/>
                <w:sz w:val="17"/>
                <w:szCs w:val="17"/>
                <w:color w:val="auto"/>
              </w:rPr>
              <w:t>152.5</w:t>
            </w:r>
          </w:p>
        </w:tc>
        <w:tc>
          <w:tcPr>
            <w:tcW w:w="860" w:type="dxa"/>
            <w:vAlign w:val="bottom"/>
          </w:tcPr>
          <w:p>
            <w:pPr>
              <w:spacing w:after="0"/>
              <w:rPr>
                <w:sz w:val="18"/>
                <w:szCs w:val="18"/>
                <w:color w:val="auto"/>
              </w:rPr>
            </w:pPr>
          </w:p>
        </w:tc>
        <w:tc>
          <w:tcPr>
            <w:tcW w:w="1780" w:type="dxa"/>
            <w:vAlign w:val="bottom"/>
          </w:tcPr>
          <w:p>
            <w:pPr>
              <w:jc w:val="right"/>
              <w:ind w:right="575"/>
              <w:spacing w:after="0"/>
              <w:rPr>
                <w:sz w:val="20"/>
                <w:szCs w:val="20"/>
                <w:color w:val="auto"/>
              </w:rPr>
            </w:pPr>
            <w:r>
              <w:rPr>
                <w:rFonts w:ascii="Arial" w:cs="Arial" w:eastAsia="Arial" w:hAnsi="Arial"/>
                <w:sz w:val="17"/>
                <w:szCs w:val="17"/>
                <w:color w:val="auto"/>
              </w:rPr>
              <w:t>76.1</w:t>
            </w:r>
          </w:p>
        </w:tc>
        <w:tc>
          <w:tcPr>
            <w:tcW w:w="600" w:type="dxa"/>
            <w:vAlign w:val="bottom"/>
          </w:tcPr>
          <w:p>
            <w:pPr>
              <w:spacing w:after="0"/>
              <w:rPr>
                <w:sz w:val="18"/>
                <w:szCs w:val="18"/>
                <w:color w:val="auto"/>
              </w:rPr>
            </w:pPr>
          </w:p>
        </w:tc>
        <w:tc>
          <w:tcPr>
            <w:tcW w:w="1840" w:type="dxa"/>
            <w:vAlign w:val="bottom"/>
          </w:tcPr>
          <w:p>
            <w:pPr>
              <w:jc w:val="right"/>
              <w:ind w:right="514"/>
              <w:spacing w:after="0"/>
              <w:rPr>
                <w:sz w:val="20"/>
                <w:szCs w:val="20"/>
                <w:color w:val="auto"/>
              </w:rPr>
            </w:pPr>
            <w:r>
              <w:rPr>
                <w:rFonts w:ascii="Arial" w:cs="Arial" w:eastAsia="Arial" w:hAnsi="Arial"/>
                <w:sz w:val="17"/>
                <w:szCs w:val="17"/>
                <w:color w:val="auto"/>
              </w:rPr>
              <w:t>76.4</w:t>
            </w:r>
          </w:p>
        </w:tc>
      </w:tr>
      <w:tr>
        <w:trPr>
          <w:trHeight w:val="221"/>
        </w:trPr>
        <w:tc>
          <w:tcPr>
            <w:tcW w:w="100" w:type="dxa"/>
            <w:vAlign w:val="bottom"/>
          </w:tcPr>
          <w:p>
            <w:pPr>
              <w:spacing w:after="0"/>
              <w:rPr>
                <w:sz w:val="19"/>
                <w:szCs w:val="19"/>
                <w:color w:val="auto"/>
              </w:rPr>
            </w:pPr>
          </w:p>
        </w:tc>
        <w:tc>
          <w:tcPr>
            <w:tcW w:w="3740" w:type="dxa"/>
            <w:vAlign w:val="bottom"/>
            <w:shd w:val="clear" w:color="auto" w:fill="CCEEFF"/>
          </w:tcPr>
          <w:p>
            <w:pPr>
              <w:spacing w:after="0" w:line="221" w:lineRule="exact"/>
              <w:rPr>
                <w:sz w:val="20"/>
                <w:szCs w:val="20"/>
                <w:color w:val="auto"/>
              </w:rPr>
            </w:pPr>
            <w:r>
              <w:rPr>
                <w:rFonts w:ascii="Arial" w:cs="Arial" w:eastAsia="Arial" w:hAnsi="Arial"/>
                <w:sz w:val="17"/>
                <w:szCs w:val="17"/>
                <w:color w:val="auto"/>
              </w:rPr>
              <w:t xml:space="preserve">Plant to be retired, net </w:t>
            </w:r>
            <w:r>
              <w:rPr>
                <w:rFonts w:ascii="Arial" w:cs="Arial" w:eastAsia="Arial" w:hAnsi="Arial"/>
                <w:sz w:val="22"/>
                <w:szCs w:val="22"/>
                <w:color w:val="auto"/>
                <w:vertAlign w:val="superscript"/>
              </w:rPr>
              <w:t>(a)</w:t>
            </w:r>
          </w:p>
        </w:tc>
        <w:tc>
          <w:tcPr>
            <w:tcW w:w="6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0.8</w:t>
            </w:r>
          </w:p>
        </w:tc>
        <w:tc>
          <w:tcPr>
            <w:tcW w:w="8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7"/>
                <w:szCs w:val="17"/>
                <w:color w:val="auto"/>
              </w:rPr>
              <w:t>0.8</w:t>
            </w:r>
          </w:p>
        </w:tc>
        <w:tc>
          <w:tcPr>
            <w:tcW w:w="6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r>
      <w:tr>
        <w:trPr>
          <w:trHeight w:val="218"/>
        </w:trPr>
        <w:tc>
          <w:tcPr>
            <w:tcW w:w="100" w:type="dxa"/>
            <w:vAlign w:val="bottom"/>
          </w:tcPr>
          <w:p>
            <w:pPr>
              <w:spacing w:after="0"/>
              <w:rPr>
                <w:sz w:val="18"/>
                <w:szCs w:val="18"/>
                <w:color w:val="auto"/>
              </w:rPr>
            </w:pPr>
          </w:p>
        </w:tc>
        <w:tc>
          <w:tcPr>
            <w:tcW w:w="37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Net property, plant and equipment</w:t>
            </w: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21,002.6</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10,548.9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7,474.9</w:t>
            </w: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00" w:type="dxa"/>
            <w:vAlign w:val="bottom"/>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r>
      <w:tr>
        <w:trPr>
          <w:trHeight w:val="219"/>
        </w:trPr>
        <w:tc>
          <w:tcPr>
            <w:tcW w:w="3840" w:type="dxa"/>
            <w:vAlign w:val="bottom"/>
            <w:gridSpan w:val="2"/>
          </w:tcPr>
          <w:p>
            <w:pPr>
              <w:spacing w:after="0"/>
              <w:rPr>
                <w:sz w:val="20"/>
                <w:szCs w:val="20"/>
                <w:color w:val="auto"/>
              </w:rPr>
            </w:pPr>
            <w:r>
              <w:rPr>
                <w:rFonts w:ascii="Arial" w:cs="Arial" w:eastAsia="Arial" w:hAnsi="Arial"/>
                <w:sz w:val="17"/>
                <w:szCs w:val="17"/>
                <w:b w:val="1"/>
                <w:bCs w:val="1"/>
                <w:color w:val="auto"/>
              </w:rPr>
              <w:t>December 31, 2020</w:t>
            </w:r>
          </w:p>
        </w:tc>
        <w:tc>
          <w:tcPr>
            <w:tcW w:w="660" w:type="dxa"/>
            <w:vAlign w:val="bottom"/>
          </w:tcPr>
          <w:p>
            <w:pPr>
              <w:spacing w:after="0"/>
              <w:rPr>
                <w:sz w:val="19"/>
                <w:szCs w:val="19"/>
                <w:color w:val="auto"/>
              </w:rPr>
            </w:pPr>
          </w:p>
        </w:tc>
        <w:tc>
          <w:tcPr>
            <w:tcW w:w="1620" w:type="dxa"/>
            <w:vAlign w:val="bottom"/>
          </w:tcPr>
          <w:p>
            <w:pPr>
              <w:jc w:val="right"/>
              <w:ind w:right="834"/>
              <w:spacing w:after="0"/>
              <w:rPr>
                <w:sz w:val="20"/>
                <w:szCs w:val="20"/>
                <w:color w:val="auto"/>
              </w:rPr>
            </w:pPr>
            <w:r>
              <w:rPr>
                <w:rFonts w:ascii="Arial" w:cs="Arial" w:eastAsia="Arial" w:hAnsi="Arial"/>
                <w:sz w:val="17"/>
                <w:szCs w:val="17"/>
                <w:b w:val="1"/>
                <w:bCs w:val="1"/>
                <w:color w:val="auto"/>
              </w:rPr>
              <w:t>Evergy</w:t>
            </w:r>
          </w:p>
        </w:tc>
        <w:tc>
          <w:tcPr>
            <w:tcW w:w="2640" w:type="dxa"/>
            <w:vAlign w:val="bottom"/>
            <w:gridSpan w:val="2"/>
          </w:tcPr>
          <w:p>
            <w:pPr>
              <w:jc w:val="right"/>
              <w:ind w:right="375"/>
              <w:spacing w:after="0"/>
              <w:rPr>
                <w:sz w:val="20"/>
                <w:szCs w:val="20"/>
                <w:color w:val="auto"/>
              </w:rPr>
            </w:pPr>
            <w:r>
              <w:rPr>
                <w:rFonts w:ascii="Arial" w:cs="Arial" w:eastAsia="Arial" w:hAnsi="Arial"/>
                <w:sz w:val="17"/>
                <w:szCs w:val="17"/>
                <w:b w:val="1"/>
                <w:bCs w:val="1"/>
                <w:color w:val="auto"/>
              </w:rPr>
              <w:t>Evergy Kansas Central</w:t>
            </w:r>
          </w:p>
        </w:tc>
        <w:tc>
          <w:tcPr>
            <w:tcW w:w="600" w:type="dxa"/>
            <w:vAlign w:val="bottom"/>
          </w:tcPr>
          <w:p>
            <w:pPr>
              <w:spacing w:after="0"/>
              <w:rPr>
                <w:sz w:val="19"/>
                <w:szCs w:val="19"/>
                <w:color w:val="auto"/>
              </w:rPr>
            </w:pPr>
          </w:p>
        </w:tc>
        <w:tc>
          <w:tcPr>
            <w:tcW w:w="1840" w:type="dxa"/>
            <w:vAlign w:val="bottom"/>
          </w:tcPr>
          <w:p>
            <w:pPr>
              <w:jc w:val="right"/>
              <w:ind w:right="654"/>
              <w:spacing w:after="0"/>
              <w:rPr>
                <w:sz w:val="20"/>
                <w:szCs w:val="20"/>
                <w:color w:val="auto"/>
              </w:rPr>
            </w:pPr>
            <w:r>
              <w:rPr>
                <w:rFonts w:ascii="Arial" w:cs="Arial" w:eastAsia="Arial" w:hAnsi="Arial"/>
                <w:sz w:val="17"/>
                <w:szCs w:val="17"/>
                <w:b w:val="1"/>
                <w:bCs w:val="1"/>
                <w:color w:val="auto"/>
              </w:rPr>
              <w:t>Evergy Metro</w:t>
            </w:r>
          </w:p>
        </w:tc>
      </w:tr>
      <w:tr>
        <w:trPr>
          <w:trHeight w:val="196"/>
        </w:trPr>
        <w:tc>
          <w:tcPr>
            <w:tcW w:w="100" w:type="dxa"/>
            <w:vAlign w:val="bottom"/>
          </w:tcPr>
          <w:p>
            <w:pPr>
              <w:spacing w:after="0"/>
              <w:rPr>
                <w:sz w:val="17"/>
                <w:szCs w:val="17"/>
                <w:color w:val="auto"/>
              </w:rPr>
            </w:pPr>
          </w:p>
        </w:tc>
        <w:tc>
          <w:tcPr>
            <w:tcW w:w="37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935"/>
              <w:spacing w:after="0"/>
              <w:rPr>
                <w:sz w:val="20"/>
                <w:szCs w:val="20"/>
                <w:color w:val="auto"/>
              </w:rPr>
            </w:pPr>
            <w:r>
              <w:rPr>
                <w:rFonts w:ascii="Arial" w:cs="Arial" w:eastAsia="Arial" w:hAnsi="Arial"/>
                <w:sz w:val="15"/>
                <w:szCs w:val="15"/>
                <w:color w:val="auto"/>
              </w:rPr>
              <w:t>(millions)</w:t>
            </w:r>
          </w:p>
        </w:tc>
        <w:tc>
          <w:tcPr>
            <w:tcW w:w="6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r>
      <w:tr>
        <w:trPr>
          <w:trHeight w:val="222"/>
        </w:trPr>
        <w:tc>
          <w:tcPr>
            <w:tcW w:w="1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Electric plant in service</w:t>
            </w: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28,914.8</w:t>
            </w: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ind w:right="575"/>
              <w:spacing w:after="0"/>
              <w:rPr>
                <w:sz w:val="20"/>
                <w:szCs w:val="20"/>
                <w:color w:val="auto"/>
              </w:rPr>
            </w:pPr>
            <w:r>
              <w:rPr>
                <w:rFonts w:ascii="Arial" w:cs="Arial" w:eastAsia="Arial" w:hAnsi="Arial"/>
                <w:sz w:val="17"/>
                <w:szCs w:val="17"/>
                <w:color w:val="auto"/>
              </w:rPr>
              <w:t>14,095.1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rPr>
              <w:t>11,161.8</w:t>
            </w:r>
          </w:p>
        </w:tc>
      </w:tr>
      <w:tr>
        <w:trPr>
          <w:trHeight w:val="218"/>
        </w:trPr>
        <w:tc>
          <w:tcPr>
            <w:tcW w:w="3840" w:type="dxa"/>
            <w:vAlign w:val="bottom"/>
            <w:gridSpan w:val="2"/>
          </w:tcPr>
          <w:p>
            <w:pPr>
              <w:ind w:left="80"/>
              <w:spacing w:after="0"/>
              <w:rPr>
                <w:sz w:val="20"/>
                <w:szCs w:val="20"/>
                <w:color w:val="auto"/>
              </w:rPr>
            </w:pPr>
            <w:r>
              <w:rPr>
                <w:rFonts w:ascii="Arial" w:cs="Arial" w:eastAsia="Arial" w:hAnsi="Arial"/>
                <w:sz w:val="17"/>
                <w:szCs w:val="17"/>
                <w:color w:val="auto"/>
              </w:rPr>
              <w:t>Electric plant acquisition adjustment</w:t>
            </w:r>
          </w:p>
        </w:tc>
        <w:tc>
          <w:tcPr>
            <w:tcW w:w="660" w:type="dxa"/>
            <w:vAlign w:val="bottom"/>
          </w:tcPr>
          <w:p>
            <w:pPr>
              <w:spacing w:after="0"/>
              <w:rPr>
                <w:sz w:val="18"/>
                <w:szCs w:val="18"/>
                <w:color w:val="auto"/>
              </w:rPr>
            </w:pPr>
          </w:p>
        </w:tc>
        <w:tc>
          <w:tcPr>
            <w:tcW w:w="1620" w:type="dxa"/>
            <w:vAlign w:val="bottom"/>
          </w:tcPr>
          <w:p>
            <w:pPr>
              <w:jc w:val="right"/>
              <w:ind w:right="434"/>
              <w:spacing w:after="0"/>
              <w:rPr>
                <w:sz w:val="20"/>
                <w:szCs w:val="20"/>
                <w:color w:val="auto"/>
              </w:rPr>
            </w:pPr>
            <w:r>
              <w:rPr>
                <w:rFonts w:ascii="Arial" w:cs="Arial" w:eastAsia="Arial" w:hAnsi="Arial"/>
                <w:sz w:val="17"/>
                <w:szCs w:val="17"/>
                <w:color w:val="auto"/>
              </w:rPr>
              <w:t>724.3</w:t>
            </w:r>
          </w:p>
        </w:tc>
        <w:tc>
          <w:tcPr>
            <w:tcW w:w="860" w:type="dxa"/>
            <w:vAlign w:val="bottom"/>
          </w:tcPr>
          <w:p>
            <w:pPr>
              <w:spacing w:after="0"/>
              <w:rPr>
                <w:sz w:val="18"/>
                <w:szCs w:val="18"/>
                <w:color w:val="auto"/>
              </w:rPr>
            </w:pPr>
          </w:p>
        </w:tc>
        <w:tc>
          <w:tcPr>
            <w:tcW w:w="1780" w:type="dxa"/>
            <w:vAlign w:val="bottom"/>
          </w:tcPr>
          <w:p>
            <w:pPr>
              <w:jc w:val="right"/>
              <w:ind w:right="575"/>
              <w:spacing w:after="0"/>
              <w:rPr>
                <w:sz w:val="20"/>
                <w:szCs w:val="20"/>
                <w:color w:val="auto"/>
              </w:rPr>
            </w:pPr>
            <w:r>
              <w:rPr>
                <w:rFonts w:ascii="Arial" w:cs="Arial" w:eastAsia="Arial" w:hAnsi="Arial"/>
                <w:sz w:val="17"/>
                <w:szCs w:val="17"/>
                <w:color w:val="auto"/>
              </w:rPr>
              <w:t>724.3</w:t>
            </w:r>
          </w:p>
        </w:tc>
        <w:tc>
          <w:tcPr>
            <w:tcW w:w="600" w:type="dxa"/>
            <w:vAlign w:val="bottom"/>
          </w:tcPr>
          <w:p>
            <w:pPr>
              <w:spacing w:after="0"/>
              <w:rPr>
                <w:sz w:val="18"/>
                <w:szCs w:val="18"/>
                <w:color w:val="auto"/>
              </w:rPr>
            </w:pPr>
          </w:p>
        </w:tc>
        <w:tc>
          <w:tcPr>
            <w:tcW w:w="1840" w:type="dxa"/>
            <w:vAlign w:val="bottom"/>
          </w:tcPr>
          <w:p>
            <w:pPr>
              <w:jc w:val="right"/>
              <w:ind w:right="514"/>
              <w:spacing w:after="0"/>
              <w:rPr>
                <w:sz w:val="20"/>
                <w:szCs w:val="20"/>
                <w:color w:val="auto"/>
              </w:rPr>
            </w:pPr>
            <w:r>
              <w:rPr>
                <w:rFonts w:ascii="Arial" w:cs="Arial" w:eastAsia="Arial" w:hAnsi="Arial"/>
                <w:sz w:val="17"/>
                <w:szCs w:val="17"/>
                <w:color w:val="auto"/>
              </w:rPr>
              <w:t>—</w:t>
            </w:r>
          </w:p>
        </w:tc>
      </w:tr>
      <w:tr>
        <w:trPr>
          <w:trHeight w:val="220"/>
        </w:trPr>
        <w:tc>
          <w:tcPr>
            <w:tcW w:w="1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6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(10,998.4)</w:t>
            </w:r>
          </w:p>
        </w:tc>
        <w:tc>
          <w:tcPr>
            <w:tcW w:w="8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color w:val="auto"/>
              </w:rPr>
              <w:t>(5,293.5)</w:t>
            </w:r>
          </w:p>
        </w:tc>
        <w:tc>
          <w:tcPr>
            <w:tcW w:w="6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rPr>
              <w:t>(4,532.7)</w:t>
            </w:r>
          </w:p>
        </w:tc>
      </w:tr>
      <w:tr>
        <w:trPr>
          <w:trHeight w:val="211"/>
        </w:trPr>
        <w:tc>
          <w:tcPr>
            <w:tcW w:w="1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7"/>
                <w:szCs w:val="17"/>
                <w:color w:val="auto"/>
              </w:rPr>
              <w:t>Plant in service</w:t>
            </w:r>
          </w:p>
        </w:tc>
        <w:tc>
          <w:tcPr>
            <w:tcW w:w="660" w:type="dxa"/>
            <w:vAlign w:val="bottom"/>
          </w:tcPr>
          <w:p>
            <w:pPr>
              <w:spacing w:after="0"/>
              <w:rPr>
                <w:sz w:val="18"/>
                <w:szCs w:val="18"/>
                <w:color w:val="auto"/>
              </w:rPr>
            </w:pPr>
          </w:p>
        </w:tc>
        <w:tc>
          <w:tcPr>
            <w:tcW w:w="1620" w:type="dxa"/>
            <w:vAlign w:val="bottom"/>
          </w:tcPr>
          <w:p>
            <w:pPr>
              <w:jc w:val="right"/>
              <w:ind w:right="434"/>
              <w:spacing w:after="0"/>
              <w:rPr>
                <w:sz w:val="20"/>
                <w:szCs w:val="20"/>
                <w:color w:val="auto"/>
              </w:rPr>
            </w:pPr>
            <w:r>
              <w:rPr>
                <w:rFonts w:ascii="Arial" w:cs="Arial" w:eastAsia="Arial" w:hAnsi="Arial"/>
                <w:sz w:val="17"/>
                <w:szCs w:val="17"/>
                <w:color w:val="auto"/>
              </w:rPr>
              <w:t>18,640.7</w:t>
            </w:r>
          </w:p>
        </w:tc>
        <w:tc>
          <w:tcPr>
            <w:tcW w:w="860" w:type="dxa"/>
            <w:vAlign w:val="bottom"/>
          </w:tcPr>
          <w:p>
            <w:pPr>
              <w:spacing w:after="0"/>
              <w:rPr>
                <w:sz w:val="18"/>
                <w:szCs w:val="18"/>
                <w:color w:val="auto"/>
              </w:rPr>
            </w:pPr>
          </w:p>
        </w:tc>
        <w:tc>
          <w:tcPr>
            <w:tcW w:w="1780" w:type="dxa"/>
            <w:vAlign w:val="bottom"/>
          </w:tcPr>
          <w:p>
            <w:pPr>
              <w:jc w:val="right"/>
              <w:ind w:right="575"/>
              <w:spacing w:after="0"/>
              <w:rPr>
                <w:sz w:val="20"/>
                <w:szCs w:val="20"/>
                <w:color w:val="auto"/>
              </w:rPr>
            </w:pPr>
            <w:r>
              <w:rPr>
                <w:rFonts w:ascii="Arial" w:cs="Arial" w:eastAsia="Arial" w:hAnsi="Arial"/>
                <w:sz w:val="17"/>
                <w:szCs w:val="17"/>
                <w:color w:val="auto"/>
              </w:rPr>
              <w:t>9,525.9</w:t>
            </w:r>
          </w:p>
        </w:tc>
        <w:tc>
          <w:tcPr>
            <w:tcW w:w="600" w:type="dxa"/>
            <w:vAlign w:val="bottom"/>
          </w:tcPr>
          <w:p>
            <w:pPr>
              <w:spacing w:after="0"/>
              <w:rPr>
                <w:sz w:val="18"/>
                <w:szCs w:val="18"/>
                <w:color w:val="auto"/>
              </w:rPr>
            </w:pPr>
          </w:p>
        </w:tc>
        <w:tc>
          <w:tcPr>
            <w:tcW w:w="1840" w:type="dxa"/>
            <w:vAlign w:val="bottom"/>
          </w:tcPr>
          <w:p>
            <w:pPr>
              <w:jc w:val="right"/>
              <w:ind w:right="514"/>
              <w:spacing w:after="0"/>
              <w:rPr>
                <w:sz w:val="20"/>
                <w:szCs w:val="20"/>
                <w:color w:val="auto"/>
              </w:rPr>
            </w:pPr>
            <w:r>
              <w:rPr>
                <w:rFonts w:ascii="Arial" w:cs="Arial" w:eastAsia="Arial" w:hAnsi="Arial"/>
                <w:sz w:val="17"/>
                <w:szCs w:val="17"/>
                <w:color w:val="auto"/>
              </w:rPr>
              <w:t>6,629.1</w:t>
            </w:r>
          </w:p>
        </w:tc>
      </w:tr>
      <w:tr>
        <w:trPr>
          <w:trHeight w:val="220"/>
        </w:trPr>
        <w:tc>
          <w:tcPr>
            <w:tcW w:w="1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Construction work in progress</w:t>
            </w: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1,153.5</w:t>
            </w:r>
          </w:p>
        </w:tc>
        <w:tc>
          <w:tcPr>
            <w:tcW w:w="8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575"/>
              <w:spacing w:after="0"/>
              <w:rPr>
                <w:sz w:val="20"/>
                <w:szCs w:val="20"/>
                <w:color w:val="auto"/>
              </w:rPr>
            </w:pPr>
            <w:r>
              <w:rPr>
                <w:rFonts w:ascii="Arial" w:cs="Arial" w:eastAsia="Arial" w:hAnsi="Arial"/>
                <w:sz w:val="17"/>
                <w:szCs w:val="17"/>
                <w:color w:val="auto"/>
              </w:rPr>
              <w:t>589.1</w:t>
            </w:r>
          </w:p>
        </w:tc>
        <w:tc>
          <w:tcPr>
            <w:tcW w:w="6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rPr>
              <w:t>433.9</w:t>
            </w:r>
          </w:p>
        </w:tc>
      </w:tr>
      <w:tr>
        <w:trPr>
          <w:trHeight w:val="218"/>
        </w:trPr>
        <w:tc>
          <w:tcPr>
            <w:tcW w:w="3840" w:type="dxa"/>
            <w:vAlign w:val="bottom"/>
            <w:gridSpan w:val="2"/>
          </w:tcPr>
          <w:p>
            <w:pPr>
              <w:ind w:left="80"/>
              <w:spacing w:after="0"/>
              <w:rPr>
                <w:sz w:val="20"/>
                <w:szCs w:val="20"/>
                <w:color w:val="auto"/>
              </w:rPr>
            </w:pPr>
            <w:r>
              <w:rPr>
                <w:rFonts w:ascii="Arial" w:cs="Arial" w:eastAsia="Arial" w:hAnsi="Arial"/>
                <w:sz w:val="17"/>
                <w:szCs w:val="17"/>
                <w:color w:val="auto"/>
              </w:rPr>
              <w:t>Nuclear fuel, net</w:t>
            </w:r>
          </w:p>
        </w:tc>
        <w:tc>
          <w:tcPr>
            <w:tcW w:w="660" w:type="dxa"/>
            <w:vAlign w:val="bottom"/>
          </w:tcPr>
          <w:p>
            <w:pPr>
              <w:spacing w:after="0"/>
              <w:rPr>
                <w:sz w:val="18"/>
                <w:szCs w:val="18"/>
                <w:color w:val="auto"/>
              </w:rPr>
            </w:pPr>
          </w:p>
        </w:tc>
        <w:tc>
          <w:tcPr>
            <w:tcW w:w="1620" w:type="dxa"/>
            <w:vAlign w:val="bottom"/>
          </w:tcPr>
          <w:p>
            <w:pPr>
              <w:jc w:val="right"/>
              <w:ind w:right="434"/>
              <w:spacing w:after="0"/>
              <w:rPr>
                <w:sz w:val="20"/>
                <w:szCs w:val="20"/>
                <w:color w:val="auto"/>
              </w:rPr>
            </w:pPr>
            <w:r>
              <w:rPr>
                <w:rFonts w:ascii="Arial" w:cs="Arial" w:eastAsia="Arial" w:hAnsi="Arial"/>
                <w:sz w:val="17"/>
                <w:szCs w:val="17"/>
                <w:color w:val="auto"/>
              </w:rPr>
              <w:t>155.9</w:t>
            </w:r>
          </w:p>
        </w:tc>
        <w:tc>
          <w:tcPr>
            <w:tcW w:w="860" w:type="dxa"/>
            <w:vAlign w:val="bottom"/>
          </w:tcPr>
          <w:p>
            <w:pPr>
              <w:spacing w:after="0"/>
              <w:rPr>
                <w:sz w:val="18"/>
                <w:szCs w:val="18"/>
                <w:color w:val="auto"/>
              </w:rPr>
            </w:pPr>
          </w:p>
        </w:tc>
        <w:tc>
          <w:tcPr>
            <w:tcW w:w="1780" w:type="dxa"/>
            <w:vAlign w:val="bottom"/>
          </w:tcPr>
          <w:p>
            <w:pPr>
              <w:jc w:val="right"/>
              <w:ind w:right="575"/>
              <w:spacing w:after="0"/>
              <w:rPr>
                <w:sz w:val="20"/>
                <w:szCs w:val="20"/>
                <w:color w:val="auto"/>
              </w:rPr>
            </w:pPr>
            <w:r>
              <w:rPr>
                <w:rFonts w:ascii="Arial" w:cs="Arial" w:eastAsia="Arial" w:hAnsi="Arial"/>
                <w:sz w:val="17"/>
                <w:szCs w:val="17"/>
                <w:color w:val="auto"/>
              </w:rPr>
              <w:t>77.7</w:t>
            </w:r>
          </w:p>
        </w:tc>
        <w:tc>
          <w:tcPr>
            <w:tcW w:w="600" w:type="dxa"/>
            <w:vAlign w:val="bottom"/>
          </w:tcPr>
          <w:p>
            <w:pPr>
              <w:spacing w:after="0"/>
              <w:rPr>
                <w:sz w:val="18"/>
                <w:szCs w:val="18"/>
                <w:color w:val="auto"/>
              </w:rPr>
            </w:pPr>
          </w:p>
        </w:tc>
        <w:tc>
          <w:tcPr>
            <w:tcW w:w="1840" w:type="dxa"/>
            <w:vAlign w:val="bottom"/>
          </w:tcPr>
          <w:p>
            <w:pPr>
              <w:jc w:val="right"/>
              <w:ind w:right="514"/>
              <w:spacing w:after="0"/>
              <w:rPr>
                <w:sz w:val="20"/>
                <w:szCs w:val="20"/>
                <w:color w:val="auto"/>
              </w:rPr>
            </w:pPr>
            <w:r>
              <w:rPr>
                <w:rFonts w:ascii="Arial" w:cs="Arial" w:eastAsia="Arial" w:hAnsi="Arial"/>
                <w:sz w:val="17"/>
                <w:szCs w:val="17"/>
                <w:color w:val="auto"/>
              </w:rPr>
              <w:t>78.2</w:t>
            </w:r>
          </w:p>
        </w:tc>
      </w:tr>
      <w:tr>
        <w:trPr>
          <w:trHeight w:val="221"/>
        </w:trPr>
        <w:tc>
          <w:tcPr>
            <w:tcW w:w="100" w:type="dxa"/>
            <w:vAlign w:val="bottom"/>
          </w:tcPr>
          <w:p>
            <w:pPr>
              <w:spacing w:after="0"/>
              <w:rPr>
                <w:sz w:val="19"/>
                <w:szCs w:val="19"/>
                <w:color w:val="auto"/>
              </w:rPr>
            </w:pPr>
          </w:p>
        </w:tc>
        <w:tc>
          <w:tcPr>
            <w:tcW w:w="3740" w:type="dxa"/>
            <w:vAlign w:val="bottom"/>
            <w:shd w:val="clear" w:color="auto" w:fill="CCEEFF"/>
          </w:tcPr>
          <w:p>
            <w:pPr>
              <w:spacing w:after="0" w:line="221" w:lineRule="exact"/>
              <w:rPr>
                <w:sz w:val="20"/>
                <w:szCs w:val="20"/>
                <w:color w:val="auto"/>
              </w:rPr>
            </w:pPr>
            <w:r>
              <w:rPr>
                <w:rFonts w:ascii="Arial" w:cs="Arial" w:eastAsia="Arial" w:hAnsi="Arial"/>
                <w:sz w:val="17"/>
                <w:szCs w:val="17"/>
                <w:color w:val="auto"/>
              </w:rPr>
              <w:t xml:space="preserve">Plant to be retired, net </w:t>
            </w:r>
            <w:r>
              <w:rPr>
                <w:rFonts w:ascii="Arial" w:cs="Arial" w:eastAsia="Arial" w:hAnsi="Arial"/>
                <w:sz w:val="22"/>
                <w:szCs w:val="22"/>
                <w:color w:val="auto"/>
                <w:vertAlign w:val="superscript"/>
              </w:rPr>
              <w:t>(a)</w:t>
            </w:r>
          </w:p>
        </w:tc>
        <w:tc>
          <w:tcPr>
            <w:tcW w:w="6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0.9</w:t>
            </w:r>
          </w:p>
        </w:tc>
        <w:tc>
          <w:tcPr>
            <w:tcW w:w="8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7"/>
                <w:szCs w:val="17"/>
                <w:color w:val="auto"/>
              </w:rPr>
              <w:t>0.9</w:t>
            </w:r>
          </w:p>
        </w:tc>
        <w:tc>
          <w:tcPr>
            <w:tcW w:w="6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r>
      <w:tr>
        <w:trPr>
          <w:trHeight w:val="218"/>
        </w:trPr>
        <w:tc>
          <w:tcPr>
            <w:tcW w:w="100" w:type="dxa"/>
            <w:vAlign w:val="bottom"/>
          </w:tcPr>
          <w:p>
            <w:pPr>
              <w:spacing w:after="0"/>
              <w:rPr>
                <w:sz w:val="18"/>
                <w:szCs w:val="18"/>
                <w:color w:val="auto"/>
              </w:rPr>
            </w:pPr>
          </w:p>
        </w:tc>
        <w:tc>
          <w:tcPr>
            <w:tcW w:w="37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Net property, plant and equipment</w:t>
            </w: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19,951.0</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10,193.6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7,141.2</w:t>
            </w:r>
          </w:p>
        </w:tc>
      </w:tr>
    </w:tbl>
    <w:p>
      <w:pPr>
        <w:spacing w:after="0" w:line="60" w:lineRule="exact"/>
        <w:rPr>
          <w:sz w:val="20"/>
          <w:szCs w:val="20"/>
          <w:color w:val="auto"/>
        </w:rPr>
      </w:pPr>
    </w:p>
    <w:p>
      <w:pPr>
        <w:ind w:left="260" w:hanging="157"/>
        <w:spacing w:after="0"/>
        <w:tabs>
          <w:tab w:leader="none" w:pos="260" w:val="left"/>
        </w:tabs>
        <w:numPr>
          <w:ilvl w:val="0"/>
          <w:numId w:val="57"/>
        </w:numPr>
        <w:rPr>
          <w:rFonts w:ascii="Arial" w:cs="Arial" w:eastAsia="Arial" w:hAnsi="Arial"/>
          <w:sz w:val="19"/>
          <w:szCs w:val="19"/>
          <w:color w:val="auto"/>
          <w:vertAlign w:val="superscript"/>
        </w:rPr>
      </w:pPr>
      <w:r>
        <w:rPr>
          <w:rFonts w:ascii="Arial" w:cs="Arial" w:eastAsia="Arial" w:hAnsi="Arial"/>
          <w:sz w:val="15"/>
          <w:szCs w:val="15"/>
          <w:color w:val="auto"/>
        </w:rPr>
        <w:t>As of December 31, 2021 and 2020, represents the planned retirement of Evergy Kansas Central analog meters prior to the end of their remaining useful lives.</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The following table summarizes the property, plant and equipment of VIEs for Evergy and Evergy Kansas Central.</w:t>
      </w:r>
    </w:p>
    <w:p>
      <w:pPr>
        <w:spacing w:after="0" w:line="126"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8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7"/>
                <w:szCs w:val="17"/>
                <w:b w:val="1"/>
                <w:bCs w:val="1"/>
                <w:color w:val="auto"/>
              </w:rPr>
              <w:t>December 31</w:t>
            </w:r>
          </w:p>
        </w:tc>
        <w:tc>
          <w:tcPr>
            <w:tcW w:w="1100" w:type="dxa"/>
            <w:vAlign w:val="bottom"/>
            <w:tcBorders>
              <w:top w:val="single" w:sz="8" w:color="auto"/>
            </w:tcBorders>
          </w:tcPr>
          <w:p>
            <w:pPr>
              <w:spacing w:after="0"/>
              <w:rPr>
                <w:sz w:val="20"/>
                <w:szCs w:val="20"/>
                <w:color w:val="auto"/>
              </w:rPr>
            </w:pPr>
          </w:p>
        </w:tc>
      </w:tr>
      <w:tr>
        <w:trPr>
          <w:trHeight w:val="224"/>
        </w:trPr>
        <w:tc>
          <w:tcPr>
            <w:tcW w:w="8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2021</w:t>
            </w:r>
          </w:p>
        </w:tc>
        <w:tc>
          <w:tcPr>
            <w:tcW w:w="10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2020</w:t>
            </w:r>
          </w:p>
        </w:tc>
      </w:tr>
      <w:tr>
        <w:trPr>
          <w:trHeight w:val="197"/>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jc w:val="right"/>
              <w:ind w:right="237"/>
              <w:spacing w:after="0"/>
              <w:rPr>
                <w:sz w:val="20"/>
                <w:szCs w:val="20"/>
                <w:color w:val="auto"/>
              </w:rPr>
            </w:pPr>
            <w:r>
              <w:rPr>
                <w:rFonts w:ascii="Arial" w:cs="Arial" w:eastAsia="Arial" w:hAnsi="Arial"/>
                <w:sz w:val="15"/>
                <w:szCs w:val="15"/>
                <w:color w:val="auto"/>
              </w:rPr>
              <w:t>(millions)</w:t>
            </w:r>
          </w:p>
        </w:tc>
        <w:tc>
          <w:tcPr>
            <w:tcW w:w="1100" w:type="dxa"/>
            <w:vAlign w:val="bottom"/>
          </w:tcPr>
          <w:p>
            <w:pPr>
              <w:spacing w:after="0"/>
              <w:rPr>
                <w:sz w:val="17"/>
                <w:szCs w:val="17"/>
                <w:color w:val="auto"/>
              </w:rPr>
            </w:pPr>
          </w:p>
        </w:tc>
      </w:tr>
      <w:tr>
        <w:trPr>
          <w:trHeight w:val="222"/>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Electric plant of VIEs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3"/>
              </w:rPr>
              <w:t>392.1</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9"/>
              </w:rPr>
              <w:t>392.1</w:t>
            </w:r>
          </w:p>
        </w:tc>
      </w:tr>
      <w:tr>
        <w:trPr>
          <w:trHeight w:val="218"/>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 of VIEs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94"/>
              <w:spacing w:after="0"/>
              <w:rPr>
                <w:sz w:val="20"/>
                <w:szCs w:val="20"/>
                <w:color w:val="auto"/>
              </w:rPr>
            </w:pPr>
            <w:r>
              <w:rPr>
                <w:rFonts w:ascii="Arial" w:cs="Arial" w:eastAsia="Arial" w:hAnsi="Arial"/>
                <w:sz w:val="17"/>
                <w:szCs w:val="17"/>
                <w:color w:val="auto"/>
                <w:w w:val="92"/>
              </w:rPr>
              <w:t>(244.3)</w:t>
            </w:r>
          </w:p>
        </w:tc>
        <w:tc>
          <w:tcPr>
            <w:tcW w:w="10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92"/>
              </w:rPr>
              <w:t>(237.2)</w:t>
            </w:r>
          </w:p>
        </w:tc>
      </w:tr>
      <w:tr>
        <w:trPr>
          <w:trHeight w:val="219"/>
        </w:trPr>
        <w:tc>
          <w:tcPr>
            <w:tcW w:w="81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Net property, plant and equipment of VIEs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7"/>
                <w:szCs w:val="17"/>
                <w:color w:val="auto"/>
                <w:w w:val="93"/>
              </w:rPr>
              <w:t>147.8</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center"/>
              <w:ind w:right="34"/>
              <w:spacing w:after="0"/>
              <w:rPr>
                <w:sz w:val="20"/>
                <w:szCs w:val="20"/>
                <w:color w:val="auto"/>
              </w:rPr>
            </w:pPr>
            <w:r>
              <w:rPr>
                <w:rFonts w:ascii="Arial" w:cs="Arial" w:eastAsia="Arial" w:hAnsi="Arial"/>
                <w:sz w:val="17"/>
                <w:szCs w:val="17"/>
                <w:color w:val="auto"/>
                <w:w w:val="89"/>
              </w:rPr>
              <w:t>154.9</w:t>
            </w:r>
          </w:p>
        </w:tc>
      </w:tr>
    </w:tbl>
    <w:p>
      <w:pPr>
        <w:spacing w:after="0" w:line="261"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Depreciation Expense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The Evergy Companies' depreciation expense is detailed in the following table.</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245"/>
        </w:trPr>
        <w:tc>
          <w:tcPr>
            <w:tcW w:w="4280" w:type="dxa"/>
            <w:vAlign w:val="bottom"/>
            <w:tcBorders>
              <w:top w:val="single" w:sz="8" w:color="auto"/>
              <w:bottom w:val="single" w:sz="8" w:color="auto"/>
            </w:tcBorders>
          </w:tcPr>
          <w:p>
            <w:pPr>
              <w:spacing w:after="0"/>
              <w:rPr>
                <w:sz w:val="21"/>
                <w:szCs w:val="21"/>
                <w:color w:val="auto"/>
              </w:rPr>
            </w:pPr>
          </w:p>
        </w:tc>
        <w:tc>
          <w:tcPr>
            <w:tcW w:w="3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2019</w:t>
            </w:r>
          </w:p>
        </w:tc>
      </w:tr>
      <w:tr>
        <w:trPr>
          <w:trHeight w:val="196"/>
        </w:trPr>
        <w:tc>
          <w:tcPr>
            <w:tcW w:w="42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356"/>
              <w:spacing w:after="0"/>
              <w:rPr>
                <w:sz w:val="20"/>
                <w:szCs w:val="20"/>
                <w:color w:val="auto"/>
              </w:rPr>
            </w:pPr>
            <w:r>
              <w:rPr>
                <w:rFonts w:ascii="Arial" w:cs="Arial" w:eastAsia="Arial" w:hAnsi="Arial"/>
                <w:sz w:val="15"/>
                <w:szCs w:val="15"/>
                <w:color w:val="auto"/>
              </w:rPr>
              <w:t>(millions)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2"/>
        </w:trPr>
        <w:tc>
          <w:tcPr>
            <w:tcW w:w="42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Evergy </w:t>
            </w:r>
            <w:r>
              <w:rPr>
                <w:rFonts w:ascii="Arial" w:cs="Arial" w:eastAsia="Arial" w:hAnsi="Arial"/>
                <w:sz w:val="22"/>
                <w:szCs w:val="22"/>
                <w:color w:val="auto"/>
                <w:vertAlign w:val="superscript"/>
              </w:rPr>
              <w:t>(a)</w:t>
            </w:r>
          </w:p>
        </w:tc>
        <w:tc>
          <w:tcPr>
            <w:tcW w:w="3380" w:type="dxa"/>
            <w:vAlign w:val="bottom"/>
            <w:shd w:val="clear" w:color="auto" w:fill="CCEEFF"/>
          </w:tcPr>
          <w:p>
            <w:pPr>
              <w:jc w:val="right"/>
              <w:ind w:right="69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9"/>
              </w:rPr>
              <w:t>813.6</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804.7</w:t>
            </w:r>
          </w:p>
        </w:tc>
        <w:tc>
          <w:tcPr>
            <w:tcW w:w="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786.3</w:t>
            </w:r>
          </w:p>
        </w:tc>
      </w:tr>
      <w:tr>
        <w:trPr>
          <w:trHeight w:val="219"/>
        </w:trPr>
        <w:tc>
          <w:tcPr>
            <w:tcW w:w="428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Evergy Kansas Central </w:t>
            </w:r>
            <w:r>
              <w:rPr>
                <w:rFonts w:ascii="Arial" w:cs="Arial" w:eastAsia="Arial" w:hAnsi="Arial"/>
                <w:sz w:val="22"/>
                <w:szCs w:val="22"/>
                <w:color w:val="auto"/>
                <w:vertAlign w:val="superscript"/>
              </w:rPr>
              <w:t>(a)</w:t>
            </w:r>
          </w:p>
        </w:tc>
        <w:tc>
          <w:tcPr>
            <w:tcW w:w="3380" w:type="dxa"/>
            <w:vAlign w:val="bottom"/>
          </w:tcPr>
          <w:p>
            <w:pPr>
              <w:spacing w:after="0"/>
              <w:rPr>
                <w:sz w:val="19"/>
                <w:szCs w:val="19"/>
                <w:color w:val="auto"/>
              </w:rPr>
            </w:pPr>
          </w:p>
        </w:tc>
        <w:tc>
          <w:tcPr>
            <w:tcW w:w="560" w:type="dxa"/>
            <w:vAlign w:val="bottom"/>
          </w:tcPr>
          <w:p>
            <w:pPr>
              <w:jc w:val="right"/>
              <w:ind w:right="74"/>
              <w:spacing w:after="0"/>
              <w:rPr>
                <w:sz w:val="20"/>
                <w:szCs w:val="20"/>
                <w:color w:val="auto"/>
              </w:rPr>
            </w:pPr>
            <w:r>
              <w:rPr>
                <w:rFonts w:ascii="Arial" w:cs="Arial" w:eastAsia="Arial" w:hAnsi="Arial"/>
                <w:sz w:val="17"/>
                <w:szCs w:val="17"/>
                <w:color w:val="auto"/>
                <w:w w:val="89"/>
              </w:rPr>
              <w:t>450.3</w:t>
            </w:r>
          </w:p>
        </w:tc>
        <w:tc>
          <w:tcPr>
            <w:tcW w:w="360" w:type="dxa"/>
            <w:vAlign w:val="bottom"/>
          </w:tcPr>
          <w:p>
            <w:pPr>
              <w:spacing w:after="0"/>
              <w:rPr>
                <w:sz w:val="19"/>
                <w:szCs w:val="19"/>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435.1</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425.8</w:t>
            </w:r>
          </w:p>
        </w:tc>
      </w:tr>
      <w:tr>
        <w:trPr>
          <w:trHeight w:val="225"/>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Evergy Metro</w:t>
            </w:r>
          </w:p>
        </w:tc>
        <w:tc>
          <w:tcPr>
            <w:tcW w:w="3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9"/>
              </w:rPr>
              <w:t>255.9</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269.5</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262.7</w:t>
            </w:r>
          </w:p>
        </w:tc>
      </w:tr>
    </w:tbl>
    <w:p>
      <w:pPr>
        <w:spacing w:after="0" w:line="82" w:lineRule="exact"/>
        <w:rPr>
          <w:sz w:val="20"/>
          <w:szCs w:val="20"/>
          <w:color w:val="auto"/>
        </w:rPr>
      </w:pPr>
    </w:p>
    <w:p>
      <w:pPr>
        <w:ind w:left="240" w:hanging="137"/>
        <w:spacing w:after="0"/>
        <w:tabs>
          <w:tab w:leader="none" w:pos="240" w:val="left"/>
        </w:tabs>
        <w:numPr>
          <w:ilvl w:val="0"/>
          <w:numId w:val="58"/>
        </w:numPr>
        <w:rPr>
          <w:rFonts w:ascii="Arial" w:cs="Arial" w:eastAsia="Arial" w:hAnsi="Arial"/>
          <w:sz w:val="16"/>
          <w:szCs w:val="16"/>
          <w:color w:val="auto"/>
          <w:vertAlign w:val="superscript"/>
        </w:rPr>
      </w:pPr>
      <w:r>
        <w:rPr>
          <w:rFonts w:ascii="Arial" w:cs="Arial" w:eastAsia="Arial" w:hAnsi="Arial"/>
          <w:sz w:val="13"/>
          <w:szCs w:val="13"/>
          <w:color w:val="auto"/>
        </w:rPr>
        <w:t>Approximately $7.1 million of depreciation expense in each of 2021, 2020 and 2019 was attributable to property, plant and equipment of VIEs.</w:t>
      </w:r>
    </w:p>
    <w:p>
      <w:pPr>
        <w:spacing w:after="0" w:line="200" w:lineRule="exact"/>
        <w:rPr>
          <w:rFonts w:ascii="Arial" w:cs="Arial" w:eastAsia="Arial" w:hAnsi="Arial"/>
          <w:sz w:val="16"/>
          <w:szCs w:val="16"/>
          <w:color w:val="auto"/>
          <w:vertAlign w:val="superscript"/>
        </w:rPr>
      </w:pPr>
    </w:p>
    <w:p>
      <w:pPr>
        <w:spacing w:after="0" w:line="320" w:lineRule="exact"/>
        <w:rPr>
          <w:rFonts w:ascii="Arial" w:cs="Arial" w:eastAsia="Arial" w:hAnsi="Arial"/>
          <w:sz w:val="16"/>
          <w:szCs w:val="16"/>
          <w:color w:val="auto"/>
          <w:vertAlign w:val="superscript"/>
        </w:rPr>
      </w:pPr>
    </w:p>
    <w:p>
      <w:pPr>
        <w:ind w:left="5600"/>
        <w:spacing w:after="0"/>
        <w:rPr>
          <w:rFonts w:ascii="Arial" w:cs="Arial" w:eastAsia="Arial" w:hAnsi="Arial"/>
          <w:sz w:val="16"/>
          <w:szCs w:val="16"/>
          <w:color w:val="auto"/>
          <w:vertAlign w:val="superscript"/>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220" w:top="124" w:right="339" w:bottom="1440" w:gutter="0" w:footer="0" w:header="0"/>
        </w:sectPr>
      </w:pPr>
    </w:p>
    <w:bookmarkStart w:id="112" w:name="page113"/>
    <w:bookmarkEnd w:id="11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JOINTLY-OWNED ELECTRIC UTILITY PLANTS</w:t>
      </w:r>
    </w:p>
    <w:p>
      <w:pPr>
        <w:spacing w:after="0" w:line="110" w:lineRule="exact"/>
        <w:rPr>
          <w:sz w:val="20"/>
          <w:szCs w:val="20"/>
          <w:color w:val="auto"/>
        </w:rPr>
      </w:pPr>
    </w:p>
    <w:p>
      <w:pPr>
        <w:ind w:right="560"/>
        <w:spacing w:after="0" w:line="264" w:lineRule="auto"/>
        <w:rPr>
          <w:sz w:val="20"/>
          <w:szCs w:val="20"/>
          <w:color w:val="auto"/>
        </w:rPr>
      </w:pPr>
      <w:r>
        <w:rPr>
          <w:rFonts w:ascii="Arial" w:cs="Arial" w:eastAsia="Arial" w:hAnsi="Arial"/>
          <w:sz w:val="19"/>
          <w:szCs w:val="19"/>
          <w:color w:val="auto"/>
        </w:rPr>
        <w:t>Evergy's, Evergy Kansas Central's and Evergy Metro's share of jointly-owned electric utility plants at December 31, 2021, are detailed in the following tables.</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Evergy</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0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Wolf Creek</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La Cygne Units</w:t>
            </w:r>
          </w:p>
        </w:tc>
        <w:tc>
          <w:tcPr>
            <w:tcW w:w="116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Iatan No. 1</w:t>
            </w:r>
          </w:p>
        </w:tc>
        <w:tc>
          <w:tcPr>
            <w:tcW w:w="166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7"/>
                <w:szCs w:val="17"/>
                <w:b w:val="1"/>
                <w:bCs w:val="1"/>
                <w:color w:val="auto"/>
              </w:rPr>
              <w:t>Iatan No. 2 Unit</w:t>
            </w:r>
          </w:p>
        </w:tc>
        <w:tc>
          <w:tcPr>
            <w:tcW w:w="940" w:type="dxa"/>
            <w:vAlign w:val="bottom"/>
            <w:tcBorders>
              <w:top w:val="single" w:sz="8" w:color="auto"/>
            </w:tcBorders>
          </w:tcPr>
          <w:p>
            <w:pPr>
              <w:jc w:val="center"/>
              <w:ind w:right="94"/>
              <w:spacing w:after="0"/>
              <w:rPr>
                <w:sz w:val="20"/>
                <w:szCs w:val="20"/>
                <w:color w:val="auto"/>
              </w:rPr>
            </w:pPr>
            <w:r>
              <w:rPr>
                <w:rFonts w:ascii="Arial" w:cs="Arial" w:eastAsia="Arial" w:hAnsi="Arial"/>
                <w:sz w:val="17"/>
                <w:szCs w:val="17"/>
                <w:b w:val="1"/>
                <w:bCs w:val="1"/>
                <w:color w:val="auto"/>
              </w:rPr>
              <w:t>Iatan</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Jeffrey Energy</w:t>
            </w:r>
          </w:p>
        </w:tc>
        <w:tc>
          <w:tcPr>
            <w:tcW w:w="112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7"/>
                <w:szCs w:val="17"/>
                <w:b w:val="1"/>
                <w:bCs w:val="1"/>
                <w:color w:val="auto"/>
              </w:rPr>
              <w:t>State Line</w:t>
            </w:r>
          </w:p>
        </w:tc>
        <w:tc>
          <w:tcPr>
            <w:tcW w:w="0" w:type="dxa"/>
            <w:vAlign w:val="bottom"/>
          </w:tcPr>
          <w:p>
            <w:pPr>
              <w:spacing w:after="0"/>
              <w:rPr>
                <w:sz w:val="1"/>
                <w:szCs w:val="1"/>
                <w:color w:val="auto"/>
              </w:rPr>
            </w:pPr>
          </w:p>
        </w:tc>
      </w:tr>
      <w:tr>
        <w:trPr>
          <w:trHeight w:val="155"/>
        </w:trPr>
        <w:tc>
          <w:tcPr>
            <w:tcW w:w="2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7"/>
                <w:szCs w:val="17"/>
                <w:b w:val="1"/>
                <w:bCs w:val="1"/>
                <w:color w:val="auto"/>
              </w:rPr>
              <w:t>Unit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4" w:lineRule="exact"/>
              <w:rPr>
                <w:sz w:val="20"/>
                <w:szCs w:val="20"/>
                <w:color w:val="auto"/>
              </w:rPr>
            </w:pPr>
            <w:r>
              <w:rPr>
                <w:rFonts w:ascii="Arial" w:cs="Arial" w:eastAsia="Arial" w:hAnsi="Arial"/>
                <w:sz w:val="17"/>
                <w:szCs w:val="17"/>
                <w:b w:val="1"/>
                <w:bCs w:val="1"/>
                <w:color w:val="auto"/>
              </w:rPr>
              <w:t>Unit</w:t>
            </w:r>
          </w:p>
        </w:tc>
        <w:tc>
          <w:tcPr>
            <w:tcW w:w="16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tcPr>
          <w:p>
            <w:pPr>
              <w:jc w:val="center"/>
              <w:ind w:right="94"/>
              <w:spacing w:after="0" w:line="154" w:lineRule="exact"/>
              <w:rPr>
                <w:sz w:val="20"/>
                <w:szCs w:val="20"/>
                <w:color w:val="auto"/>
              </w:rPr>
            </w:pPr>
            <w:r>
              <w:rPr>
                <w:rFonts w:ascii="Arial" w:cs="Arial" w:eastAsia="Arial" w:hAnsi="Arial"/>
                <w:sz w:val="17"/>
                <w:szCs w:val="17"/>
                <w:b w:val="1"/>
                <w:bCs w:val="1"/>
                <w:color w:val="auto"/>
                <w:w w:val="92"/>
              </w:rPr>
              <w:t>Common</w:t>
            </w:r>
          </w:p>
        </w:tc>
        <w:tc>
          <w:tcPr>
            <w:tcW w:w="14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7"/>
                <w:szCs w:val="17"/>
                <w:b w:val="1"/>
                <w:bCs w:val="1"/>
                <w:color w:val="auto"/>
                <w:w w:val="92"/>
              </w:rPr>
              <w:t>Center</w:t>
            </w: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right"/>
              <w:spacing w:after="0"/>
              <w:rPr>
                <w:sz w:val="20"/>
                <w:szCs w:val="20"/>
                <w:color w:val="auto"/>
              </w:rPr>
            </w:pPr>
            <w:r>
              <w:rPr>
                <w:rFonts w:ascii="Arial" w:cs="Arial" w:eastAsia="Arial" w:hAnsi="Arial"/>
                <w:sz w:val="15"/>
                <w:szCs w:val="15"/>
                <w:color w:val="auto"/>
              </w:rPr>
              <w:t>(millions, except MW amounts)</w:t>
            </w: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Evergy's share</w:t>
            </w:r>
          </w:p>
        </w:tc>
        <w:tc>
          <w:tcPr>
            <w:tcW w:w="12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94%</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88%</w:t>
            </w:r>
          </w:p>
        </w:tc>
        <w:tc>
          <w:tcPr>
            <w:tcW w:w="166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73%</w:t>
            </w:r>
          </w:p>
        </w:tc>
        <w:tc>
          <w:tcPr>
            <w:tcW w:w="940" w:type="dxa"/>
            <w:vAlign w:val="bottom"/>
            <w:shd w:val="clear" w:color="auto" w:fill="CCEEFF"/>
          </w:tcPr>
          <w:p>
            <w:pPr>
              <w:jc w:val="center"/>
              <w:ind w:right="94"/>
              <w:spacing w:after="0"/>
              <w:rPr>
                <w:sz w:val="20"/>
                <w:szCs w:val="20"/>
                <w:color w:val="auto"/>
              </w:rPr>
            </w:pPr>
            <w:r>
              <w:rPr>
                <w:rFonts w:ascii="Arial" w:cs="Arial" w:eastAsia="Arial" w:hAnsi="Arial"/>
                <w:sz w:val="17"/>
                <w:szCs w:val="17"/>
                <w:color w:val="auto"/>
                <w:w w:val="93"/>
              </w:rPr>
              <w:t>79%</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1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Electric plant in</w:t>
            </w:r>
          </w:p>
        </w:tc>
        <w:tc>
          <w:tcPr>
            <w:tcW w:w="12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   4,078.7</w:t>
            </w:r>
          </w:p>
        </w:tc>
        <w:tc>
          <w:tcPr>
            <w:tcW w:w="1480" w:type="dxa"/>
            <w:vAlign w:val="bottom"/>
            <w:vMerge w:val="restart"/>
            <w:shd w:val="clear" w:color="auto" w:fill="CCEEFF"/>
          </w:tcPr>
          <w:p>
            <w:pPr>
              <w:jc w:val="right"/>
              <w:ind w:right="258"/>
              <w:spacing w:after="0"/>
              <w:rPr>
                <w:sz w:val="20"/>
                <w:szCs w:val="20"/>
                <w:color w:val="auto"/>
              </w:rPr>
            </w:pPr>
            <w:r>
              <w:rPr>
                <w:rFonts w:ascii="Arial" w:cs="Arial" w:eastAsia="Arial" w:hAnsi="Arial"/>
                <w:sz w:val="17"/>
                <w:szCs w:val="17"/>
                <w:color w:val="auto"/>
              </w:rPr>
              <w:t>$   2,219.1</w:t>
            </w:r>
          </w:p>
        </w:tc>
        <w:tc>
          <w:tcPr>
            <w:tcW w:w="340" w:type="dxa"/>
            <w:vAlign w:val="bottom"/>
            <w:vMerge w:val="restart"/>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765.7</w:t>
            </w:r>
          </w:p>
        </w:tc>
        <w:tc>
          <w:tcPr>
            <w:tcW w:w="1660" w:type="dxa"/>
            <w:vAlign w:val="bottom"/>
            <w:vMerge w:val="restart"/>
            <w:shd w:val="clear" w:color="auto" w:fill="CCEEFF"/>
          </w:tcPr>
          <w:p>
            <w:pPr>
              <w:jc w:val="right"/>
              <w:ind w:right="434"/>
              <w:spacing w:after="0"/>
              <w:rPr>
                <w:sz w:val="20"/>
                <w:szCs w:val="20"/>
                <w:color w:val="auto"/>
              </w:rPr>
            </w:pPr>
            <w:r>
              <w:rPr>
                <w:rFonts w:ascii="Arial" w:cs="Arial" w:eastAsia="Arial" w:hAnsi="Arial"/>
                <w:sz w:val="17"/>
                <w:szCs w:val="17"/>
                <w:color w:val="auto"/>
              </w:rPr>
              <w:t>$   1,405.9</w:t>
            </w:r>
          </w:p>
        </w:tc>
        <w:tc>
          <w:tcPr>
            <w:tcW w:w="9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   503.6</w:t>
            </w:r>
          </w:p>
        </w:tc>
        <w:tc>
          <w:tcPr>
            <w:tcW w:w="148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color w:val="auto"/>
              </w:rPr>
              <w:t>$   2,521.1</w:t>
            </w:r>
          </w:p>
        </w:tc>
        <w:tc>
          <w:tcPr>
            <w:tcW w:w="112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   115.0</w:t>
            </w: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w:t>
            </w:r>
          </w:p>
        </w:tc>
        <w:tc>
          <w:tcPr>
            <w:tcW w:w="124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6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2,040.2</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816.0</w:t>
            </w:r>
          </w:p>
        </w:tc>
        <w:tc>
          <w:tcPr>
            <w:tcW w:w="340" w:type="dxa"/>
            <w:vAlign w:val="bottom"/>
          </w:tcPr>
          <w:p>
            <w:pPr>
              <w:spacing w:after="0"/>
              <w:rPr>
                <w:sz w:val="18"/>
                <w:szCs w:val="18"/>
                <w:color w:val="auto"/>
              </w:rPr>
            </w:pPr>
          </w:p>
        </w:tc>
        <w:tc>
          <w:tcPr>
            <w:tcW w:w="820" w:type="dxa"/>
            <w:vAlign w:val="bottom"/>
          </w:tcPr>
          <w:p>
            <w:pPr>
              <w:jc w:val="right"/>
              <w:ind w:right="115"/>
              <w:spacing w:after="0"/>
              <w:rPr>
                <w:sz w:val="20"/>
                <w:szCs w:val="20"/>
                <w:color w:val="auto"/>
              </w:rPr>
            </w:pPr>
            <w:r>
              <w:rPr>
                <w:rFonts w:ascii="Arial" w:cs="Arial" w:eastAsia="Arial" w:hAnsi="Arial"/>
                <w:sz w:val="17"/>
                <w:szCs w:val="17"/>
                <w:color w:val="auto"/>
              </w:rPr>
              <w:t>251.9</w:t>
            </w:r>
          </w:p>
        </w:tc>
        <w:tc>
          <w:tcPr>
            <w:tcW w:w="1660" w:type="dxa"/>
            <w:vAlign w:val="bottom"/>
          </w:tcPr>
          <w:p>
            <w:pPr>
              <w:jc w:val="right"/>
              <w:ind w:right="434"/>
              <w:spacing w:after="0"/>
              <w:rPr>
                <w:sz w:val="20"/>
                <w:szCs w:val="20"/>
                <w:color w:val="auto"/>
              </w:rPr>
            </w:pPr>
            <w:r>
              <w:rPr>
                <w:rFonts w:ascii="Arial" w:cs="Arial" w:eastAsia="Arial" w:hAnsi="Arial"/>
                <w:sz w:val="17"/>
                <w:szCs w:val="17"/>
                <w:color w:val="auto"/>
              </w:rPr>
              <w:t>480.3</w:t>
            </w:r>
          </w:p>
        </w:tc>
        <w:tc>
          <w:tcPr>
            <w:tcW w:w="940" w:type="dxa"/>
            <w:vAlign w:val="bottom"/>
          </w:tcPr>
          <w:p>
            <w:pPr>
              <w:jc w:val="right"/>
              <w:ind w:right="154"/>
              <w:spacing w:after="0"/>
              <w:rPr>
                <w:sz w:val="20"/>
                <w:szCs w:val="20"/>
                <w:color w:val="auto"/>
              </w:rPr>
            </w:pPr>
            <w:r>
              <w:rPr>
                <w:rFonts w:ascii="Arial" w:cs="Arial" w:eastAsia="Arial" w:hAnsi="Arial"/>
                <w:sz w:val="17"/>
                <w:szCs w:val="17"/>
                <w:color w:val="auto"/>
              </w:rPr>
              <w:t>122.2</w:t>
            </w:r>
          </w:p>
        </w:tc>
        <w:tc>
          <w:tcPr>
            <w:tcW w:w="1480" w:type="dxa"/>
            <w:vAlign w:val="bottom"/>
          </w:tcPr>
          <w:p>
            <w:pPr>
              <w:jc w:val="right"/>
              <w:ind w:right="234"/>
              <w:spacing w:after="0"/>
              <w:rPr>
                <w:sz w:val="20"/>
                <w:szCs w:val="20"/>
                <w:color w:val="auto"/>
              </w:rPr>
            </w:pPr>
            <w:r>
              <w:rPr>
                <w:rFonts w:ascii="Arial" w:cs="Arial" w:eastAsia="Arial" w:hAnsi="Arial"/>
                <w:sz w:val="17"/>
                <w:szCs w:val="17"/>
                <w:color w:val="auto"/>
              </w:rPr>
              <w:t>1,036.7</w:t>
            </w: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220"/>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Nuclear fuel, net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152.5</w:t>
            </w:r>
          </w:p>
        </w:tc>
        <w:tc>
          <w:tcPr>
            <w:tcW w:w="148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2060" w:type="dxa"/>
            <w:vAlign w:val="bottom"/>
          </w:tcPr>
          <w:p>
            <w:pPr>
              <w:ind w:left="20"/>
              <w:spacing w:after="0" w:line="168" w:lineRule="exact"/>
              <w:rPr>
                <w:sz w:val="20"/>
                <w:szCs w:val="20"/>
                <w:color w:val="auto"/>
              </w:rPr>
            </w:pPr>
            <w:r>
              <w:rPr>
                <w:rFonts w:ascii="Arial" w:cs="Arial" w:eastAsia="Arial" w:hAnsi="Arial"/>
                <w:sz w:val="17"/>
                <w:szCs w:val="17"/>
                <w:color w:val="auto"/>
              </w:rPr>
              <w:t>Construction work in</w:t>
            </w:r>
          </w:p>
        </w:tc>
        <w:tc>
          <w:tcPr>
            <w:tcW w:w="1240" w:type="dxa"/>
            <w:vAlign w:val="bottom"/>
            <w:vMerge w:val="restart"/>
          </w:tcPr>
          <w:p>
            <w:pPr>
              <w:jc w:val="right"/>
              <w:ind w:right="114"/>
              <w:spacing w:after="0"/>
              <w:rPr>
                <w:sz w:val="20"/>
                <w:szCs w:val="20"/>
                <w:color w:val="auto"/>
              </w:rPr>
            </w:pPr>
            <w:r>
              <w:rPr>
                <w:rFonts w:ascii="Arial" w:cs="Arial" w:eastAsia="Arial" w:hAnsi="Arial"/>
                <w:sz w:val="17"/>
                <w:szCs w:val="17"/>
                <w:color w:val="auto"/>
              </w:rPr>
              <w:t>187.4</w:t>
            </w:r>
          </w:p>
        </w:tc>
        <w:tc>
          <w:tcPr>
            <w:tcW w:w="1480" w:type="dxa"/>
            <w:vAlign w:val="bottom"/>
            <w:vMerge w:val="restart"/>
          </w:tcPr>
          <w:p>
            <w:pPr>
              <w:jc w:val="right"/>
              <w:ind w:right="258"/>
              <w:spacing w:after="0"/>
              <w:rPr>
                <w:sz w:val="20"/>
                <w:szCs w:val="20"/>
                <w:color w:val="auto"/>
              </w:rPr>
            </w:pPr>
            <w:r>
              <w:rPr>
                <w:rFonts w:ascii="Arial" w:cs="Arial" w:eastAsia="Arial" w:hAnsi="Arial"/>
                <w:sz w:val="17"/>
                <w:szCs w:val="17"/>
                <w:color w:val="auto"/>
              </w:rPr>
              <w:t>52.6</w:t>
            </w:r>
          </w:p>
        </w:tc>
        <w:tc>
          <w:tcPr>
            <w:tcW w:w="340" w:type="dxa"/>
            <w:vAlign w:val="bottom"/>
          </w:tcPr>
          <w:p>
            <w:pPr>
              <w:spacing w:after="0"/>
              <w:rPr>
                <w:sz w:val="14"/>
                <w:szCs w:val="14"/>
                <w:color w:val="auto"/>
              </w:rPr>
            </w:pPr>
          </w:p>
        </w:tc>
        <w:tc>
          <w:tcPr>
            <w:tcW w:w="820" w:type="dxa"/>
            <w:vAlign w:val="bottom"/>
            <w:vMerge w:val="restart"/>
          </w:tcPr>
          <w:p>
            <w:pPr>
              <w:jc w:val="right"/>
              <w:ind w:right="115"/>
              <w:spacing w:after="0"/>
              <w:rPr>
                <w:sz w:val="20"/>
                <w:szCs w:val="20"/>
                <w:color w:val="auto"/>
              </w:rPr>
            </w:pPr>
            <w:r>
              <w:rPr>
                <w:rFonts w:ascii="Arial" w:cs="Arial" w:eastAsia="Arial" w:hAnsi="Arial"/>
                <w:sz w:val="17"/>
                <w:szCs w:val="17"/>
                <w:color w:val="auto"/>
              </w:rPr>
              <w:t>4.4</w:t>
            </w:r>
          </w:p>
        </w:tc>
        <w:tc>
          <w:tcPr>
            <w:tcW w:w="1660" w:type="dxa"/>
            <w:vAlign w:val="bottom"/>
            <w:vMerge w:val="restart"/>
          </w:tcPr>
          <w:p>
            <w:pPr>
              <w:jc w:val="right"/>
              <w:ind w:right="434"/>
              <w:spacing w:after="0"/>
              <w:rPr>
                <w:sz w:val="20"/>
                <w:szCs w:val="20"/>
                <w:color w:val="auto"/>
              </w:rPr>
            </w:pPr>
            <w:r>
              <w:rPr>
                <w:rFonts w:ascii="Arial" w:cs="Arial" w:eastAsia="Arial" w:hAnsi="Arial"/>
                <w:sz w:val="17"/>
                <w:szCs w:val="17"/>
                <w:color w:val="auto"/>
              </w:rPr>
              <w:t>8.1</w:t>
            </w:r>
          </w:p>
        </w:tc>
        <w:tc>
          <w:tcPr>
            <w:tcW w:w="940" w:type="dxa"/>
            <w:vAlign w:val="bottom"/>
            <w:vMerge w:val="restart"/>
          </w:tcPr>
          <w:p>
            <w:pPr>
              <w:jc w:val="right"/>
              <w:ind w:right="154"/>
              <w:spacing w:after="0"/>
              <w:rPr>
                <w:sz w:val="20"/>
                <w:szCs w:val="20"/>
                <w:color w:val="auto"/>
              </w:rPr>
            </w:pPr>
            <w:r>
              <w:rPr>
                <w:rFonts w:ascii="Arial" w:cs="Arial" w:eastAsia="Arial" w:hAnsi="Arial"/>
                <w:sz w:val="17"/>
                <w:szCs w:val="17"/>
                <w:color w:val="auto"/>
              </w:rPr>
              <w:t>7.4</w:t>
            </w:r>
          </w:p>
        </w:tc>
        <w:tc>
          <w:tcPr>
            <w:tcW w:w="1480" w:type="dxa"/>
            <w:vAlign w:val="bottom"/>
            <w:vMerge w:val="restart"/>
          </w:tcPr>
          <w:p>
            <w:pPr>
              <w:jc w:val="right"/>
              <w:ind w:right="234"/>
              <w:spacing w:after="0"/>
              <w:rPr>
                <w:sz w:val="20"/>
                <w:szCs w:val="20"/>
                <w:color w:val="auto"/>
              </w:rPr>
            </w:pPr>
            <w:r>
              <w:rPr>
                <w:rFonts w:ascii="Arial" w:cs="Arial" w:eastAsia="Arial" w:hAnsi="Arial"/>
                <w:sz w:val="17"/>
                <w:szCs w:val="17"/>
                <w:color w:val="auto"/>
              </w:rPr>
              <w:t>48.7</w:t>
            </w:r>
          </w:p>
        </w:tc>
        <w:tc>
          <w:tcPr>
            <w:tcW w:w="1120" w:type="dxa"/>
            <w:vAlign w:val="bottom"/>
            <w:vMerge w:val="restart"/>
          </w:tcPr>
          <w:p>
            <w:pPr>
              <w:jc w:val="right"/>
              <w:ind w:right="154"/>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18"/>
        </w:trPr>
        <w:tc>
          <w:tcPr>
            <w:tcW w:w="2060" w:type="dxa"/>
            <w:vAlign w:val="bottom"/>
          </w:tcPr>
          <w:p>
            <w:pPr>
              <w:ind w:left="180"/>
              <w:spacing w:after="0"/>
              <w:rPr>
                <w:sz w:val="20"/>
                <w:szCs w:val="20"/>
                <w:color w:val="auto"/>
              </w:rPr>
            </w:pPr>
            <w:r>
              <w:rPr>
                <w:rFonts w:ascii="Arial" w:cs="Arial" w:eastAsia="Arial" w:hAnsi="Arial"/>
                <w:sz w:val="17"/>
                <w:szCs w:val="17"/>
                <w:color w:val="auto"/>
              </w:rPr>
              <w:t>progress</w:t>
            </w:r>
          </w:p>
        </w:tc>
        <w:tc>
          <w:tcPr>
            <w:tcW w:w="124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2022 accredited</w:t>
            </w:r>
          </w:p>
        </w:tc>
        <w:tc>
          <w:tcPr>
            <w:tcW w:w="12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1,108</w:t>
            </w:r>
          </w:p>
        </w:tc>
        <w:tc>
          <w:tcPr>
            <w:tcW w:w="1480" w:type="dxa"/>
            <w:vAlign w:val="bottom"/>
            <w:vMerge w:val="restart"/>
            <w:shd w:val="clear" w:color="auto" w:fill="CCEEFF"/>
          </w:tcPr>
          <w:p>
            <w:pPr>
              <w:jc w:val="right"/>
              <w:ind w:right="258"/>
              <w:spacing w:after="0"/>
              <w:rPr>
                <w:sz w:val="20"/>
                <w:szCs w:val="20"/>
                <w:color w:val="auto"/>
              </w:rPr>
            </w:pPr>
            <w:r>
              <w:rPr>
                <w:rFonts w:ascii="Arial" w:cs="Arial" w:eastAsia="Arial" w:hAnsi="Arial"/>
                <w:sz w:val="17"/>
                <w:szCs w:val="17"/>
                <w:color w:val="auto"/>
              </w:rPr>
              <w:t>1,426</w:t>
            </w:r>
          </w:p>
        </w:tc>
        <w:tc>
          <w:tcPr>
            <w:tcW w:w="3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618</w:t>
            </w:r>
          </w:p>
        </w:tc>
        <w:tc>
          <w:tcPr>
            <w:tcW w:w="1660" w:type="dxa"/>
            <w:vAlign w:val="bottom"/>
            <w:vMerge w:val="restart"/>
            <w:shd w:val="clear" w:color="auto" w:fill="CCEEFF"/>
          </w:tcPr>
          <w:p>
            <w:pPr>
              <w:jc w:val="right"/>
              <w:ind w:right="434"/>
              <w:spacing w:after="0"/>
              <w:rPr>
                <w:sz w:val="20"/>
                <w:szCs w:val="20"/>
                <w:color w:val="auto"/>
              </w:rPr>
            </w:pPr>
            <w:r>
              <w:rPr>
                <w:rFonts w:ascii="Arial" w:cs="Arial" w:eastAsia="Arial" w:hAnsi="Arial"/>
                <w:sz w:val="17"/>
                <w:szCs w:val="17"/>
                <w:color w:val="auto"/>
              </w:rPr>
              <w:t>640</w:t>
            </w:r>
          </w:p>
        </w:tc>
        <w:tc>
          <w:tcPr>
            <w:tcW w:w="94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rPr>
              <w:t>n/a</w:t>
            </w:r>
          </w:p>
        </w:tc>
        <w:tc>
          <w:tcPr>
            <w:tcW w:w="148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color w:val="auto"/>
              </w:rPr>
              <w:t>2,191</w:t>
            </w:r>
          </w:p>
        </w:tc>
        <w:tc>
          <w:tcPr>
            <w:tcW w:w="112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4"/>
        </w:trPr>
        <w:tc>
          <w:tcPr>
            <w:tcW w:w="2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capacity-MWs</w:t>
            </w: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right="100" w:hanging="157"/>
        <w:spacing w:after="0" w:line="224" w:lineRule="auto"/>
        <w:tabs>
          <w:tab w:leader="none" w:pos="217" w:val="left"/>
        </w:tabs>
        <w:numPr>
          <w:ilvl w:val="0"/>
          <w:numId w:val="59"/>
        </w:numPr>
        <w:rPr>
          <w:rFonts w:ascii="Arial" w:cs="Arial" w:eastAsia="Arial" w:hAnsi="Arial"/>
          <w:sz w:val="20"/>
          <w:szCs w:val="20"/>
          <w:color w:val="auto"/>
          <w:vertAlign w:val="superscript"/>
        </w:rPr>
      </w:pPr>
      <w:r>
        <w:rPr>
          <w:rFonts w:ascii="Arial" w:cs="Arial" w:eastAsia="Arial" w:hAnsi="Arial"/>
          <w:sz w:val="15"/>
          <w:szCs w:val="15"/>
          <w:color w:val="auto"/>
        </w:rPr>
        <w:t>The VIE consolidated by Evergy and Evergy Kansas Central holds its 50% leasehold interest in La Cygne Unit 2. This 50% leasehold interest in La Cygne Unit 2 is reflected in the information provided above. See Note 18 for additional information.</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Evergy Kansas Central</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920" w:type="dxa"/>
            <w:vAlign w:val="bottom"/>
            <w:tcBorders>
              <w:top w:val="single" w:sz="8" w:color="auto"/>
            </w:tcBorders>
          </w:tcPr>
          <w:p>
            <w:pPr>
              <w:spacing w:after="0"/>
              <w:rPr>
                <w:sz w:val="20"/>
                <w:szCs w:val="20"/>
                <w:color w:val="auto"/>
              </w:rPr>
            </w:pPr>
          </w:p>
        </w:tc>
        <w:tc>
          <w:tcPr>
            <w:tcW w:w="3080" w:type="dxa"/>
            <w:vAlign w:val="bottom"/>
            <w:tcBorders>
              <w:top w:val="single" w:sz="8" w:color="auto"/>
            </w:tcBorders>
            <w:gridSpan w:val="2"/>
            <w:vMerge w:val="restart"/>
          </w:tcPr>
          <w:p>
            <w:pPr>
              <w:jc w:val="right"/>
              <w:ind w:right="34"/>
              <w:spacing w:after="0"/>
              <w:rPr>
                <w:sz w:val="20"/>
                <w:szCs w:val="20"/>
                <w:color w:val="auto"/>
              </w:rPr>
            </w:pPr>
            <w:r>
              <w:rPr>
                <w:rFonts w:ascii="Arial" w:cs="Arial" w:eastAsia="Arial" w:hAnsi="Arial"/>
                <w:sz w:val="17"/>
                <w:szCs w:val="17"/>
                <w:b w:val="1"/>
                <w:bCs w:val="1"/>
                <w:color w:val="auto"/>
              </w:rPr>
              <w:t>Wolf Creek Unit</w:t>
            </w:r>
          </w:p>
        </w:tc>
        <w:tc>
          <w:tcPr>
            <w:tcW w:w="144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2"/>
              </w:rPr>
              <w:t>La Cygne Units</w:t>
            </w:r>
          </w:p>
        </w:tc>
        <w:tc>
          <w:tcPr>
            <w:tcW w:w="1480" w:type="dxa"/>
            <w:vAlign w:val="bottom"/>
            <w:tcBorders>
              <w:top w:val="single" w:sz="8" w:color="auto"/>
            </w:tcBorders>
            <w:gridSpan w:val="2"/>
          </w:tcPr>
          <w:p>
            <w:pPr>
              <w:jc w:val="right"/>
              <w:ind w:right="54"/>
              <w:spacing w:after="0"/>
              <w:rPr>
                <w:sz w:val="20"/>
                <w:szCs w:val="20"/>
                <w:color w:val="auto"/>
              </w:rPr>
            </w:pPr>
            <w:r>
              <w:rPr>
                <w:rFonts w:ascii="Arial" w:cs="Arial" w:eastAsia="Arial" w:hAnsi="Arial"/>
                <w:sz w:val="17"/>
                <w:szCs w:val="17"/>
                <w:b w:val="1"/>
                <w:bCs w:val="1"/>
                <w:color w:val="auto"/>
              </w:rPr>
              <w:t>Jeffrey Energy</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center"/>
              <w:ind w:right="294"/>
              <w:spacing w:after="0"/>
              <w:rPr>
                <w:sz w:val="20"/>
                <w:szCs w:val="20"/>
                <w:color w:val="auto"/>
              </w:rPr>
            </w:pPr>
            <w:r>
              <w:rPr>
                <w:rFonts w:ascii="Arial" w:cs="Arial" w:eastAsia="Arial" w:hAnsi="Arial"/>
                <w:sz w:val="17"/>
                <w:szCs w:val="17"/>
                <w:b w:val="1"/>
                <w:bCs w:val="1"/>
                <w:color w:val="auto"/>
                <w:w w:val="91"/>
              </w:rPr>
              <w:t>State</w:t>
            </w:r>
          </w:p>
        </w:tc>
        <w:tc>
          <w:tcPr>
            <w:tcW w:w="0" w:type="dxa"/>
            <w:vAlign w:val="bottom"/>
          </w:tcPr>
          <w:p>
            <w:pPr>
              <w:spacing w:after="0"/>
              <w:rPr>
                <w:sz w:val="1"/>
                <w:szCs w:val="1"/>
                <w:color w:val="auto"/>
              </w:rPr>
            </w:pPr>
          </w:p>
        </w:tc>
      </w:tr>
      <w:tr>
        <w:trPr>
          <w:trHeight w:val="155"/>
        </w:trPr>
        <w:tc>
          <w:tcPr>
            <w:tcW w:w="392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2"/>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339"/>
              <w:spacing w:after="0"/>
              <w:rPr>
                <w:sz w:val="20"/>
                <w:szCs w:val="20"/>
                <w:color w:val="auto"/>
              </w:rPr>
            </w:pPr>
            <w:r>
              <w:rPr>
                <w:rFonts w:ascii="Arial" w:cs="Arial" w:eastAsia="Arial" w:hAnsi="Arial"/>
                <w:sz w:val="11"/>
                <w:szCs w:val="11"/>
                <w:b w:val="1"/>
                <w:bCs w:val="1"/>
                <w:color w:val="auto"/>
              </w:rPr>
              <w:t>(a)</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7"/>
                <w:szCs w:val="17"/>
                <w:b w:val="1"/>
                <w:bCs w:val="1"/>
                <w:color w:val="auto"/>
              </w:rPr>
              <w:t>Center</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94"/>
              <w:spacing w:after="0" w:line="154" w:lineRule="exact"/>
              <w:rPr>
                <w:sz w:val="20"/>
                <w:szCs w:val="20"/>
                <w:color w:val="auto"/>
              </w:rPr>
            </w:pPr>
            <w:r>
              <w:rPr>
                <w:rFonts w:ascii="Arial" w:cs="Arial" w:eastAsia="Arial" w:hAnsi="Arial"/>
                <w:sz w:val="17"/>
                <w:szCs w:val="17"/>
                <w:b w:val="1"/>
                <w:bCs w:val="1"/>
                <w:color w:val="auto"/>
                <w:w w:val="97"/>
              </w:rPr>
              <w:t>Line</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gridSpan w:val="3"/>
          </w:tcPr>
          <w:p>
            <w:pPr>
              <w:jc w:val="right"/>
              <w:ind w:right="454"/>
              <w:spacing w:after="0"/>
              <w:rPr>
                <w:sz w:val="20"/>
                <w:szCs w:val="20"/>
                <w:color w:val="auto"/>
              </w:rPr>
            </w:pPr>
            <w:r>
              <w:rPr>
                <w:rFonts w:ascii="Arial" w:cs="Arial" w:eastAsia="Arial" w:hAnsi="Arial"/>
                <w:sz w:val="15"/>
                <w:szCs w:val="15"/>
                <w:color w:val="auto"/>
                <w:w w:val="97"/>
              </w:rPr>
              <w:t>(millions, except MW amounts)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 Kansas Central's share</w:t>
            </w:r>
          </w:p>
        </w:tc>
        <w:tc>
          <w:tcPr>
            <w:tcW w:w="20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47%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339"/>
              <w:spacing w:after="0"/>
              <w:rPr>
                <w:sz w:val="20"/>
                <w:szCs w:val="20"/>
                <w:color w:val="auto"/>
              </w:rPr>
            </w:pPr>
            <w:r>
              <w:rPr>
                <w:rFonts w:ascii="Arial" w:cs="Arial" w:eastAsia="Arial" w:hAnsi="Arial"/>
                <w:sz w:val="17"/>
                <w:szCs w:val="17"/>
                <w:color w:val="auto"/>
                <w:w w:val="88"/>
              </w:rPr>
              <w:t>50%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92%</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274"/>
              <w:spacing w:after="0"/>
              <w:rPr>
                <w:sz w:val="20"/>
                <w:szCs w:val="20"/>
                <w:color w:val="auto"/>
              </w:rPr>
            </w:pPr>
            <w:r>
              <w:rPr>
                <w:rFonts w:ascii="Arial" w:cs="Arial" w:eastAsia="Arial" w:hAnsi="Arial"/>
                <w:sz w:val="17"/>
                <w:szCs w:val="17"/>
                <w:color w:val="auto"/>
                <w:w w:val="93"/>
              </w:rPr>
              <w:t>40%</w:t>
            </w: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Electric plant in service</w:t>
            </w: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2,019.8</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59"/>
              <w:spacing w:after="0"/>
              <w:rPr>
                <w:sz w:val="20"/>
                <w:szCs w:val="20"/>
                <w:color w:val="auto"/>
              </w:rPr>
            </w:pPr>
            <w:r>
              <w:rPr>
                <w:rFonts w:ascii="Arial" w:cs="Arial" w:eastAsia="Arial" w:hAnsi="Arial"/>
                <w:sz w:val="17"/>
                <w:szCs w:val="17"/>
                <w:color w:val="auto"/>
              </w:rPr>
              <w:t>1,047.4</w:t>
            </w: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2,307.6</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208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7"/>
                <w:szCs w:val="17"/>
                <w:color w:val="auto"/>
              </w:rPr>
              <w:t>992.2</w:t>
            </w:r>
          </w:p>
        </w:tc>
        <w:tc>
          <w:tcPr>
            <w:tcW w:w="3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7"/>
                <w:szCs w:val="17"/>
                <w:color w:val="auto"/>
              </w:rPr>
              <w:t>475.2</w:t>
            </w:r>
          </w:p>
        </w:tc>
        <w:tc>
          <w:tcPr>
            <w:tcW w:w="400" w:type="dxa"/>
            <w:vAlign w:val="bottom"/>
          </w:tcPr>
          <w:p>
            <w:pPr>
              <w:spacing w:after="0"/>
              <w:rPr>
                <w:sz w:val="18"/>
                <w:szCs w:val="18"/>
                <w:color w:val="auto"/>
              </w:rPr>
            </w:pPr>
          </w:p>
        </w:tc>
        <w:tc>
          <w:tcPr>
            <w:tcW w:w="1080" w:type="dxa"/>
            <w:vAlign w:val="bottom"/>
          </w:tcPr>
          <w:p>
            <w:pPr>
              <w:jc w:val="right"/>
              <w:ind w:right="314"/>
              <w:spacing w:after="0"/>
              <w:rPr>
                <w:sz w:val="20"/>
                <w:szCs w:val="20"/>
                <w:color w:val="auto"/>
              </w:rPr>
            </w:pPr>
            <w:r>
              <w:rPr>
                <w:rFonts w:ascii="Arial" w:cs="Arial" w:eastAsia="Arial" w:hAnsi="Arial"/>
                <w:sz w:val="17"/>
                <w:szCs w:val="17"/>
                <w:color w:val="auto"/>
              </w:rPr>
              <w:t>944.5</w:t>
            </w:r>
          </w:p>
        </w:tc>
        <w:tc>
          <w:tcPr>
            <w:tcW w:w="32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Nuclear fuel, net</w:t>
            </w:r>
          </w:p>
        </w:tc>
        <w:tc>
          <w:tcPr>
            <w:tcW w:w="20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76.1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9"/>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Construction work in progress</w:t>
            </w:r>
          </w:p>
        </w:tc>
        <w:tc>
          <w:tcPr>
            <w:tcW w:w="208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7"/>
                <w:szCs w:val="17"/>
                <w:color w:val="auto"/>
              </w:rPr>
              <w:t>83.6</w:t>
            </w:r>
          </w:p>
        </w:tc>
        <w:tc>
          <w:tcPr>
            <w:tcW w:w="3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7"/>
                <w:szCs w:val="17"/>
                <w:color w:val="auto"/>
              </w:rPr>
              <w:t>29.0</w:t>
            </w:r>
          </w:p>
        </w:tc>
        <w:tc>
          <w:tcPr>
            <w:tcW w:w="400" w:type="dxa"/>
            <w:vAlign w:val="bottom"/>
          </w:tcPr>
          <w:p>
            <w:pPr>
              <w:spacing w:after="0"/>
              <w:rPr>
                <w:sz w:val="18"/>
                <w:szCs w:val="18"/>
                <w:color w:val="auto"/>
              </w:rPr>
            </w:pPr>
          </w:p>
        </w:tc>
        <w:tc>
          <w:tcPr>
            <w:tcW w:w="1080" w:type="dxa"/>
            <w:vAlign w:val="bottom"/>
          </w:tcPr>
          <w:p>
            <w:pPr>
              <w:jc w:val="right"/>
              <w:ind w:right="314"/>
              <w:spacing w:after="0"/>
              <w:rPr>
                <w:sz w:val="20"/>
                <w:szCs w:val="20"/>
                <w:color w:val="auto"/>
              </w:rPr>
            </w:pPr>
            <w:r>
              <w:rPr>
                <w:rFonts w:ascii="Arial" w:cs="Arial" w:eastAsia="Arial" w:hAnsi="Arial"/>
                <w:sz w:val="17"/>
                <w:szCs w:val="17"/>
                <w:color w:val="auto"/>
              </w:rPr>
              <w:t>44.9</w:t>
            </w:r>
          </w:p>
        </w:tc>
        <w:tc>
          <w:tcPr>
            <w:tcW w:w="32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26"/>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2022 accredited capacity-MWs</w:t>
            </w:r>
          </w:p>
        </w:tc>
        <w:tc>
          <w:tcPr>
            <w:tcW w:w="20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554</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rPr>
              <w:t>713</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2,016</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right="100" w:hanging="157"/>
        <w:spacing w:after="0" w:line="224" w:lineRule="auto"/>
        <w:tabs>
          <w:tab w:leader="none" w:pos="217" w:val="left"/>
        </w:tabs>
        <w:numPr>
          <w:ilvl w:val="0"/>
          <w:numId w:val="60"/>
        </w:numPr>
        <w:rPr>
          <w:rFonts w:ascii="Arial" w:cs="Arial" w:eastAsia="Arial" w:hAnsi="Arial"/>
          <w:sz w:val="20"/>
          <w:szCs w:val="20"/>
          <w:color w:val="auto"/>
          <w:vertAlign w:val="superscript"/>
        </w:rPr>
      </w:pPr>
      <w:r>
        <w:rPr>
          <w:rFonts w:ascii="Arial" w:cs="Arial" w:eastAsia="Arial" w:hAnsi="Arial"/>
          <w:sz w:val="15"/>
          <w:szCs w:val="15"/>
          <w:color w:val="auto"/>
        </w:rPr>
        <w:t>The VIE consolidated by Evergy and Evergy Kansas Central holds its 50% leasehold interest in La Cygne Unit 2. This 50% leasehold interest in La Cygne Unit 2 is reflected in the information provided above. See Note 18 for additional information.</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Evergy Metro</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320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Wolf Creek Unit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La Cygne Units</w:t>
            </w:r>
          </w:p>
        </w:tc>
        <w:tc>
          <w:tcPr>
            <w:tcW w:w="14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5"/>
              </w:rPr>
              <w:t>Iatan No. 1 Unit</w:t>
            </w:r>
          </w:p>
        </w:tc>
        <w:tc>
          <w:tcPr>
            <w:tcW w:w="14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Iatan No. 2 Unit</w:t>
            </w:r>
          </w:p>
        </w:tc>
        <w:tc>
          <w:tcPr>
            <w:tcW w:w="134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7"/>
                <w:szCs w:val="17"/>
                <w:b w:val="1"/>
                <w:bCs w:val="1"/>
                <w:color w:val="auto"/>
              </w:rPr>
              <w:t>Iatan Common</w:t>
            </w:r>
          </w:p>
        </w:tc>
      </w:tr>
      <w:tr>
        <w:trPr>
          <w:trHeight w:val="196"/>
        </w:trPr>
        <w:tc>
          <w:tcPr>
            <w:tcW w:w="3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20" w:type="dxa"/>
            <w:vAlign w:val="bottom"/>
            <w:gridSpan w:val="4"/>
          </w:tcPr>
          <w:p>
            <w:pPr>
              <w:jc w:val="center"/>
              <w:spacing w:after="0"/>
              <w:rPr>
                <w:sz w:val="20"/>
                <w:szCs w:val="20"/>
                <w:color w:val="auto"/>
              </w:rPr>
            </w:pPr>
            <w:r>
              <w:rPr>
                <w:rFonts w:ascii="Arial" w:cs="Arial" w:eastAsia="Arial" w:hAnsi="Arial"/>
                <w:sz w:val="15"/>
                <w:szCs w:val="15"/>
                <w:color w:val="auto"/>
                <w:w w:val="96"/>
              </w:rPr>
              <w:t>(millions, except MW amounts)</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 Metro's share</w:t>
            </w:r>
          </w:p>
        </w:tc>
        <w:tc>
          <w:tcPr>
            <w:tcW w:w="23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47%</w:t>
            </w:r>
          </w:p>
        </w:tc>
        <w:tc>
          <w:tcPr>
            <w:tcW w:w="138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50%</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354"/>
              <w:spacing w:after="0"/>
              <w:rPr>
                <w:sz w:val="20"/>
                <w:szCs w:val="20"/>
                <w:color w:val="auto"/>
              </w:rPr>
            </w:pPr>
            <w:r>
              <w:rPr>
                <w:rFonts w:ascii="Arial" w:cs="Arial" w:eastAsia="Arial" w:hAnsi="Arial"/>
                <w:sz w:val="17"/>
                <w:szCs w:val="17"/>
                <w:color w:val="auto"/>
                <w:w w:val="88"/>
              </w:rPr>
              <w:t>70%</w:t>
            </w:r>
          </w:p>
        </w:tc>
        <w:tc>
          <w:tcPr>
            <w:tcW w:w="142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55%</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61%</w:t>
            </w:r>
          </w:p>
        </w:tc>
      </w:tr>
      <w:tr>
        <w:trPr>
          <w:trHeight w:val="245"/>
        </w:trPr>
        <w:tc>
          <w:tcPr>
            <w:tcW w:w="32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Electric plant in service</w:t>
            </w:r>
          </w:p>
        </w:tc>
        <w:tc>
          <w:tcPr>
            <w:tcW w:w="23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   2,058.9</w:t>
            </w:r>
          </w:p>
        </w:tc>
        <w:tc>
          <w:tcPr>
            <w:tcW w:w="1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   1,171.7</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594.8</w:t>
            </w:r>
          </w:p>
        </w:tc>
        <w:tc>
          <w:tcPr>
            <w:tcW w:w="1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   1,066.4</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399.6</w:t>
            </w:r>
          </w:p>
        </w:tc>
      </w:tr>
      <w:tr>
        <w:trPr>
          <w:trHeight w:val="218"/>
        </w:trPr>
        <w:tc>
          <w:tcPr>
            <w:tcW w:w="320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2380" w:type="dxa"/>
            <w:vAlign w:val="bottom"/>
          </w:tcPr>
          <w:p>
            <w:pPr>
              <w:jc w:val="right"/>
              <w:ind w:right="214"/>
              <w:spacing w:after="0"/>
              <w:rPr>
                <w:sz w:val="20"/>
                <w:szCs w:val="20"/>
                <w:color w:val="auto"/>
              </w:rPr>
            </w:pPr>
            <w:r>
              <w:rPr>
                <w:rFonts w:ascii="Arial" w:cs="Arial" w:eastAsia="Arial" w:hAnsi="Arial"/>
                <w:sz w:val="17"/>
                <w:szCs w:val="17"/>
                <w:color w:val="auto"/>
              </w:rPr>
              <w:t>1,048.0</w:t>
            </w:r>
          </w:p>
        </w:tc>
        <w:tc>
          <w:tcPr>
            <w:tcW w:w="1380" w:type="dxa"/>
            <w:vAlign w:val="bottom"/>
          </w:tcPr>
          <w:p>
            <w:pPr>
              <w:jc w:val="right"/>
              <w:ind w:right="195"/>
              <w:spacing w:after="0"/>
              <w:rPr>
                <w:sz w:val="20"/>
                <w:szCs w:val="20"/>
                <w:color w:val="auto"/>
              </w:rPr>
            </w:pPr>
            <w:r>
              <w:rPr>
                <w:rFonts w:ascii="Arial" w:cs="Arial" w:eastAsia="Arial" w:hAnsi="Arial"/>
                <w:sz w:val="17"/>
                <w:szCs w:val="17"/>
                <w:color w:val="auto"/>
              </w:rPr>
              <w:t>340.8</w:t>
            </w:r>
          </w:p>
        </w:tc>
        <w:tc>
          <w:tcPr>
            <w:tcW w:w="44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7"/>
                <w:szCs w:val="17"/>
                <w:color w:val="auto"/>
              </w:rPr>
              <w:t>205.3</w:t>
            </w:r>
          </w:p>
        </w:tc>
        <w:tc>
          <w:tcPr>
            <w:tcW w:w="1420" w:type="dxa"/>
            <w:vAlign w:val="bottom"/>
          </w:tcPr>
          <w:p>
            <w:pPr>
              <w:jc w:val="right"/>
              <w:ind w:right="214"/>
              <w:spacing w:after="0"/>
              <w:rPr>
                <w:sz w:val="20"/>
                <w:szCs w:val="20"/>
                <w:color w:val="auto"/>
              </w:rPr>
            </w:pPr>
            <w:r>
              <w:rPr>
                <w:rFonts w:ascii="Arial" w:cs="Arial" w:eastAsia="Arial" w:hAnsi="Arial"/>
                <w:sz w:val="17"/>
                <w:szCs w:val="17"/>
                <w:color w:val="auto"/>
              </w:rPr>
              <w:t>412.5</w:t>
            </w:r>
          </w:p>
        </w:tc>
        <w:tc>
          <w:tcPr>
            <w:tcW w:w="42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103.3</w:t>
            </w: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Nuclear fuel, net</w:t>
            </w:r>
          </w:p>
        </w:tc>
        <w:tc>
          <w:tcPr>
            <w:tcW w:w="23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76.4</w:t>
            </w:r>
          </w:p>
        </w:tc>
        <w:tc>
          <w:tcPr>
            <w:tcW w:w="1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r>
      <w:tr>
        <w:trPr>
          <w:trHeight w:val="218"/>
        </w:trPr>
        <w:tc>
          <w:tcPr>
            <w:tcW w:w="3200" w:type="dxa"/>
            <w:vAlign w:val="bottom"/>
          </w:tcPr>
          <w:p>
            <w:pPr>
              <w:ind w:left="20"/>
              <w:spacing w:after="0"/>
              <w:rPr>
                <w:sz w:val="20"/>
                <w:szCs w:val="20"/>
                <w:color w:val="auto"/>
              </w:rPr>
            </w:pPr>
            <w:r>
              <w:rPr>
                <w:rFonts w:ascii="Arial" w:cs="Arial" w:eastAsia="Arial" w:hAnsi="Arial"/>
                <w:sz w:val="17"/>
                <w:szCs w:val="17"/>
                <w:color w:val="auto"/>
              </w:rPr>
              <w:t>Construction work in progress</w:t>
            </w:r>
          </w:p>
        </w:tc>
        <w:tc>
          <w:tcPr>
            <w:tcW w:w="2380" w:type="dxa"/>
            <w:vAlign w:val="bottom"/>
          </w:tcPr>
          <w:p>
            <w:pPr>
              <w:jc w:val="right"/>
              <w:ind w:right="214"/>
              <w:spacing w:after="0"/>
              <w:rPr>
                <w:sz w:val="20"/>
                <w:szCs w:val="20"/>
                <w:color w:val="auto"/>
              </w:rPr>
            </w:pPr>
            <w:r>
              <w:rPr>
                <w:rFonts w:ascii="Arial" w:cs="Arial" w:eastAsia="Arial" w:hAnsi="Arial"/>
                <w:sz w:val="17"/>
                <w:szCs w:val="17"/>
                <w:color w:val="auto"/>
              </w:rPr>
              <w:t>103.8</w:t>
            </w:r>
          </w:p>
        </w:tc>
        <w:tc>
          <w:tcPr>
            <w:tcW w:w="1380" w:type="dxa"/>
            <w:vAlign w:val="bottom"/>
          </w:tcPr>
          <w:p>
            <w:pPr>
              <w:jc w:val="right"/>
              <w:ind w:right="195"/>
              <w:spacing w:after="0"/>
              <w:rPr>
                <w:sz w:val="20"/>
                <w:szCs w:val="20"/>
                <w:color w:val="auto"/>
              </w:rPr>
            </w:pPr>
            <w:r>
              <w:rPr>
                <w:rFonts w:ascii="Arial" w:cs="Arial" w:eastAsia="Arial" w:hAnsi="Arial"/>
                <w:sz w:val="17"/>
                <w:szCs w:val="17"/>
                <w:color w:val="auto"/>
              </w:rPr>
              <w:t>23.6</w:t>
            </w:r>
          </w:p>
        </w:tc>
        <w:tc>
          <w:tcPr>
            <w:tcW w:w="44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7"/>
                <w:szCs w:val="17"/>
                <w:color w:val="auto"/>
              </w:rPr>
              <w:t>3.6</w:t>
            </w:r>
          </w:p>
        </w:tc>
        <w:tc>
          <w:tcPr>
            <w:tcW w:w="1420" w:type="dxa"/>
            <w:vAlign w:val="bottom"/>
          </w:tcPr>
          <w:p>
            <w:pPr>
              <w:jc w:val="right"/>
              <w:ind w:right="214"/>
              <w:spacing w:after="0"/>
              <w:rPr>
                <w:sz w:val="20"/>
                <w:szCs w:val="20"/>
                <w:color w:val="auto"/>
              </w:rPr>
            </w:pPr>
            <w:r>
              <w:rPr>
                <w:rFonts w:ascii="Arial" w:cs="Arial" w:eastAsia="Arial" w:hAnsi="Arial"/>
                <w:sz w:val="17"/>
                <w:szCs w:val="17"/>
                <w:color w:val="auto"/>
              </w:rPr>
              <w:t>6.1</w:t>
            </w:r>
          </w:p>
        </w:tc>
        <w:tc>
          <w:tcPr>
            <w:tcW w:w="42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5.5</w:t>
            </w:r>
          </w:p>
        </w:tc>
      </w:tr>
      <w:tr>
        <w:trPr>
          <w:trHeight w:val="226"/>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2022 accredited capacity-MWs</w:t>
            </w:r>
          </w:p>
        </w:tc>
        <w:tc>
          <w:tcPr>
            <w:tcW w:w="23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554</w:t>
            </w:r>
          </w:p>
        </w:tc>
        <w:tc>
          <w:tcPr>
            <w:tcW w:w="1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713</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492</w:t>
            </w:r>
          </w:p>
        </w:tc>
        <w:tc>
          <w:tcPr>
            <w:tcW w:w="1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482</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NA</w:t>
            </w:r>
          </w:p>
        </w:tc>
      </w:tr>
    </w:tbl>
    <w:p>
      <w:pPr>
        <w:spacing w:after="0" w:line="267"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color w:val="auto"/>
        </w:rPr>
        <w:t>Each owner must fund its own portion of the plant's operating expenses and capital expenditures. The Evergy Companies' share of direct expenses are included in the appropriate operating expense classifications in Evergy's, Evergy Kansas Central's and Evergy Metro's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13" w:name="page114"/>
    <w:bookmarkEnd w:id="11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9. PENSION PLANS AND POST-RETIREMENT BENEFITS</w:t>
      </w:r>
    </w:p>
    <w:p>
      <w:pPr>
        <w:spacing w:after="0" w:line="110"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Creek's defined benefit plans, consisting of Evergy Kansas South's and Evergy Metro's respective 47% ownership shares.</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54"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41"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41"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For 2021, Evergy, Evergy Kansas Central and Evergy Metro recorded pension settlement charges of $34.3 million, $25.6 million and $13.7 million, respectively. For 2020, Evergy and Evergy Metro recorded pension settlement charges of $11.2 million and $14.3 million, respectively. For 2019, Evergy and Evergy Metro recorded pension settlement charges of $15.6 million and $23.0 million, respectively. These settlement charges were the result of accelerated pension distributions as a result of employee retirements and annuity purchases for certain plan participants in 2021. Evergy, Evergy Kansas Central and Evergy Metro deferred substantially all of the charges to a regulatory asset and expect to recover these amounts over future periods pursuant to regulatory agreements.</w:t>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14" w:name="page115"/>
    <w:bookmarkEnd w:id="11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100"/>
        <w:spacing w:after="0" w:line="296" w:lineRule="auto"/>
        <w:rPr>
          <w:sz w:val="20"/>
          <w:szCs w:val="20"/>
          <w:color w:val="auto"/>
        </w:rPr>
      </w:pPr>
      <w:r>
        <w:rPr>
          <w:rFonts w:ascii="Arial" w:cs="Arial" w:eastAsia="Arial" w:hAnsi="Arial"/>
          <w:sz w:val="17"/>
          <w:szCs w:val="17"/>
          <w:color w:val="auto"/>
        </w:rPr>
        <w:t>The following pension benefits tables provide information relating to the funded status of all defined benefit pension plans on an aggregate basis as well as the components of net periodic benefit costs. For financial reporting purposes, the market value of plan assets is the fair value. Net periodic benefit costs reflect total plan benefit costs prior to the effects of capitalization and sharing with joint owners of power plants.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Pension Benefits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5"/>
          </w:tcPr>
          <w:p>
            <w:pPr>
              <w:jc w:val="center"/>
              <w:ind w:right="114"/>
              <w:spacing w:after="0"/>
              <w:rPr>
                <w:sz w:val="20"/>
                <w:szCs w:val="20"/>
                <w:color w:val="auto"/>
              </w:rPr>
            </w:pPr>
            <w:r>
              <w:rPr>
                <w:rFonts w:ascii="Arial" w:cs="Arial" w:eastAsia="Arial" w:hAnsi="Arial"/>
                <w:sz w:val="17"/>
                <w:szCs w:val="17"/>
                <w:b w:val="1"/>
                <w:bCs w:val="1"/>
                <w:color w:val="auto"/>
                <w:w w:val="89"/>
              </w:rPr>
              <w:t>Post-Retirement Benefits</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40"/>
              <w:spacing w:after="0" w:line="173" w:lineRule="exact"/>
              <w:rPr>
                <w:sz w:val="20"/>
                <w:szCs w:val="20"/>
                <w:color w:val="auto"/>
              </w:rPr>
            </w:pPr>
            <w:r>
              <w:rPr>
                <w:rFonts w:ascii="Arial" w:cs="Arial" w:eastAsia="Arial" w:hAnsi="Arial"/>
                <w:sz w:val="17"/>
                <w:szCs w:val="17"/>
                <w:b w:val="1"/>
                <w:bCs w:val="1"/>
                <w:color w:val="auto"/>
              </w:rPr>
              <w:t>Evergy</w:t>
            </w:r>
          </w:p>
        </w:tc>
        <w:tc>
          <w:tcPr>
            <w:tcW w:w="180" w:type="dxa"/>
            <w:vAlign w:val="bottom"/>
          </w:tcPr>
          <w:p>
            <w:pPr>
              <w:spacing w:after="0"/>
              <w:rPr>
                <w:sz w:val="15"/>
                <w:szCs w:val="15"/>
                <w:color w:val="auto"/>
              </w:rPr>
            </w:pPr>
          </w:p>
        </w:tc>
        <w:tc>
          <w:tcPr>
            <w:tcW w:w="840" w:type="dxa"/>
            <w:vAlign w:val="bottom"/>
            <w:vMerge w:val="restart"/>
          </w:tcPr>
          <w:p>
            <w:pPr>
              <w:jc w:val="center"/>
              <w:ind w:right="155"/>
              <w:spacing w:after="0"/>
              <w:rPr>
                <w:sz w:val="20"/>
                <w:szCs w:val="20"/>
                <w:color w:val="auto"/>
              </w:rPr>
            </w:pPr>
            <w:r>
              <w:rPr>
                <w:rFonts w:ascii="Arial" w:cs="Arial" w:eastAsia="Arial" w:hAnsi="Arial"/>
                <w:sz w:val="17"/>
                <w:szCs w:val="17"/>
                <w:b w:val="1"/>
                <w:bCs w:val="1"/>
                <w:color w:val="auto"/>
                <w:w w:val="91"/>
              </w:rPr>
              <w:t>Evergy</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14"/>
              <w:spacing w:after="0" w:line="173" w:lineRule="exact"/>
              <w:rPr>
                <w:sz w:val="20"/>
                <w:szCs w:val="20"/>
                <w:color w:val="auto"/>
              </w:rPr>
            </w:pPr>
            <w:r>
              <w:rPr>
                <w:rFonts w:ascii="Arial" w:cs="Arial" w:eastAsia="Arial" w:hAnsi="Arial"/>
                <w:sz w:val="17"/>
                <w:szCs w:val="17"/>
                <w:b w:val="1"/>
                <w:bCs w:val="1"/>
                <w:color w:val="auto"/>
                <w:w w:val="95"/>
              </w:rPr>
              <w:t>Evergy</w:t>
            </w:r>
          </w:p>
        </w:tc>
        <w:tc>
          <w:tcPr>
            <w:tcW w:w="240" w:type="dxa"/>
            <w:vAlign w:val="bottom"/>
          </w:tcPr>
          <w:p>
            <w:pPr>
              <w:spacing w:after="0"/>
              <w:rPr>
                <w:sz w:val="15"/>
                <w:szCs w:val="15"/>
                <w:color w:val="auto"/>
              </w:rPr>
            </w:pPr>
          </w:p>
        </w:tc>
        <w:tc>
          <w:tcPr>
            <w:tcW w:w="780" w:type="dxa"/>
            <w:vAlign w:val="bottom"/>
            <w:vMerge w:val="restart"/>
          </w:tcPr>
          <w:p>
            <w:pPr>
              <w:jc w:val="center"/>
              <w:ind w:right="54"/>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w w:val="98"/>
              </w:rPr>
              <w:t>Evergy</w:t>
            </w:r>
          </w:p>
        </w:tc>
        <w:tc>
          <w:tcPr>
            <w:tcW w:w="240" w:type="dxa"/>
            <w:vAlign w:val="bottom"/>
          </w:tcPr>
          <w:p>
            <w:pPr>
              <w:spacing w:after="0"/>
              <w:rPr>
                <w:sz w:val="14"/>
                <w:szCs w:val="14"/>
                <w:color w:val="auto"/>
              </w:rPr>
            </w:pPr>
          </w:p>
        </w:tc>
        <w:tc>
          <w:tcPr>
            <w:tcW w:w="900" w:type="dxa"/>
            <w:vAlign w:val="bottom"/>
          </w:tcPr>
          <w:p>
            <w:pPr>
              <w:ind w:left="40"/>
              <w:spacing w:after="0" w:line="167" w:lineRule="exact"/>
              <w:rPr>
                <w:sz w:val="20"/>
                <w:szCs w:val="20"/>
                <w:color w:val="auto"/>
              </w:rPr>
            </w:pPr>
            <w:r>
              <w:rPr>
                <w:rFonts w:ascii="Arial" w:cs="Arial" w:eastAsia="Arial" w:hAnsi="Arial"/>
                <w:sz w:val="17"/>
                <w:szCs w:val="17"/>
                <w:b w:val="1"/>
                <w:bCs w:val="1"/>
                <w:color w:val="auto"/>
              </w:rPr>
              <w:t>Kansas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1"/>
              </w:rPr>
              <w:t>Evergy</w:t>
            </w:r>
          </w:p>
        </w:tc>
        <w:tc>
          <w:tcPr>
            <w:tcW w:w="220" w:type="dxa"/>
            <w:vAlign w:val="bottom"/>
          </w:tcPr>
          <w:p>
            <w:pPr>
              <w:spacing w:after="0"/>
              <w:rPr>
                <w:sz w:val="14"/>
                <w:szCs w:val="14"/>
                <w:color w:val="auto"/>
              </w:rPr>
            </w:pPr>
          </w:p>
        </w:tc>
        <w:tc>
          <w:tcPr>
            <w:tcW w:w="860" w:type="dxa"/>
            <w:vAlign w:val="bottom"/>
          </w:tcPr>
          <w:p>
            <w:pPr>
              <w:jc w:val="center"/>
              <w:ind w:right="114"/>
              <w:spacing w:after="0" w:line="167" w:lineRule="exact"/>
              <w:rPr>
                <w:sz w:val="20"/>
                <w:szCs w:val="20"/>
                <w:color w:val="auto"/>
              </w:rPr>
            </w:pPr>
            <w:r>
              <w:rPr>
                <w:rFonts w:ascii="Arial" w:cs="Arial" w:eastAsia="Arial" w:hAnsi="Arial"/>
                <w:sz w:val="17"/>
                <w:szCs w:val="17"/>
                <w:b w:val="1"/>
                <w:bCs w:val="1"/>
                <w:color w:val="auto"/>
                <w:w w:val="89"/>
              </w:rPr>
              <w:t>Kansas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Central</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9"/>
              </w:rPr>
              <w:t>Metro</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8"/>
              </w:rPr>
              <w:t>Central</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9"/>
              </w:rPr>
              <w:t>Metro</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Change in projected benefit obligation (PBO)</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(millions)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PBO at January 1, 2021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2,901.1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1,429.6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1,446.5</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280.4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146.8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w:t>
            </w:r>
          </w:p>
        </w:tc>
        <w:tc>
          <w:tcPr>
            <w:tcW w:w="0" w:type="dxa"/>
            <w:vAlign w:val="bottom"/>
          </w:tcPr>
          <w:p>
            <w:pPr>
              <w:spacing w:after="0"/>
              <w:rPr>
                <w:sz w:val="1"/>
                <w:szCs w:val="1"/>
                <w:color w:val="auto"/>
              </w:rPr>
            </w:pPr>
          </w:p>
        </w:tc>
      </w:tr>
      <w:tr>
        <w:trPr>
          <w:trHeight w:val="218"/>
        </w:trPr>
        <w:tc>
          <w:tcPr>
            <w:tcW w:w="4660" w:type="dxa"/>
            <w:vAlign w:val="bottom"/>
          </w:tcPr>
          <w:p>
            <w:pPr>
              <w:ind w:left="140"/>
              <w:spacing w:after="0"/>
              <w:rPr>
                <w:sz w:val="20"/>
                <w:szCs w:val="20"/>
                <w:color w:val="auto"/>
              </w:rPr>
            </w:pPr>
            <w:r>
              <w:rPr>
                <w:rFonts w:ascii="Arial" w:cs="Arial" w:eastAsia="Arial" w:hAnsi="Arial"/>
                <w:sz w:val="17"/>
                <w:szCs w:val="17"/>
                <w:color w:val="auto"/>
              </w:rPr>
              <w:t>Service cost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82.6</w:t>
            </w: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29.1</w:t>
            </w:r>
          </w:p>
        </w:tc>
        <w:tc>
          <w:tcPr>
            <w:tcW w:w="18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53.5</w:t>
            </w:r>
          </w:p>
        </w:tc>
        <w:tc>
          <w:tcPr>
            <w:tcW w:w="28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84.2</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41.0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42.5</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8"/>
        </w:trPr>
        <w:tc>
          <w:tcPr>
            <w:tcW w:w="4660" w:type="dxa"/>
            <w:vAlign w:val="bottom"/>
          </w:tcPr>
          <w:p>
            <w:pPr>
              <w:ind w:left="140"/>
              <w:spacing w:after="0"/>
              <w:rPr>
                <w:sz w:val="20"/>
                <w:szCs w:val="20"/>
                <w:color w:val="auto"/>
              </w:rPr>
            </w:pPr>
            <w:r>
              <w:rPr>
                <w:rFonts w:ascii="Arial" w:cs="Arial" w:eastAsia="Arial" w:hAnsi="Arial"/>
                <w:sz w:val="17"/>
                <w:szCs w:val="17"/>
                <w:color w:val="auto"/>
              </w:rPr>
              <w:t>Contribution by participants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9.0</w:t>
            </w:r>
          </w:p>
        </w:tc>
        <w:tc>
          <w:tcPr>
            <w:tcW w:w="22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Actuarial gain</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(119.0)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(50.0)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8"/>
        </w:trPr>
        <w:tc>
          <w:tcPr>
            <w:tcW w:w="4660" w:type="dxa"/>
            <w:vAlign w:val="bottom"/>
          </w:tcPr>
          <w:p>
            <w:pPr>
              <w:ind w:left="140"/>
              <w:spacing w:after="0"/>
              <w:rPr>
                <w:sz w:val="20"/>
                <w:szCs w:val="20"/>
                <w:color w:val="auto"/>
              </w:rPr>
            </w:pPr>
            <w:r>
              <w:rPr>
                <w:rFonts w:ascii="Arial" w:cs="Arial" w:eastAsia="Arial" w:hAnsi="Arial"/>
                <w:sz w:val="17"/>
                <w:szCs w:val="17"/>
                <w:color w:val="auto"/>
              </w:rPr>
              <w:t>Benefits paid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(93.5)</w:t>
            </w:r>
          </w:p>
        </w:tc>
        <w:tc>
          <w:tcPr>
            <w:tcW w:w="24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Arial" w:cs="Arial" w:eastAsia="Arial" w:hAnsi="Arial"/>
                <w:sz w:val="17"/>
                <w:szCs w:val="17"/>
                <w:color w:val="auto"/>
              </w:rPr>
              <w:t>(54.8)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(37.5)</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(284.0)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(126.2)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(9.7)</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(4.3)</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PBO at December 31, 2021</w:t>
            </w:r>
          </w:p>
        </w:tc>
        <w:tc>
          <w:tcPr>
            <w:tcW w:w="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2,561.7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1,264.4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1,273.5</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258.4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133.9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Fair value of plan assets at January 1, 2021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1,799.1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887.0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912.1</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248.3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125.8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0" w:type="dxa"/>
            <w:vAlign w:val="bottom"/>
          </w:tcPr>
          <w:p>
            <w:pPr>
              <w:spacing w:after="0"/>
              <w:rPr>
                <w:sz w:val="1"/>
                <w:szCs w:val="1"/>
                <w:color w:val="auto"/>
              </w:rPr>
            </w:pPr>
          </w:p>
        </w:tc>
      </w:tr>
      <w:tr>
        <w:trPr>
          <w:trHeight w:val="218"/>
        </w:trPr>
        <w:tc>
          <w:tcPr>
            <w:tcW w:w="4660" w:type="dxa"/>
            <w:vAlign w:val="bottom"/>
          </w:tcPr>
          <w:p>
            <w:pPr>
              <w:ind w:left="140"/>
              <w:spacing w:after="0"/>
              <w:rPr>
                <w:sz w:val="20"/>
                <w:szCs w:val="20"/>
                <w:color w:val="auto"/>
              </w:rPr>
            </w:pPr>
            <w:r>
              <w:rPr>
                <w:rFonts w:ascii="Arial" w:cs="Arial" w:eastAsia="Arial" w:hAnsi="Arial"/>
                <w:sz w:val="17"/>
                <w:szCs w:val="17"/>
                <w:color w:val="auto"/>
              </w:rPr>
              <w:t>Actual return on plan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145.5</w:t>
            </w: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83.4</w:t>
            </w:r>
          </w:p>
        </w:tc>
        <w:tc>
          <w:tcPr>
            <w:tcW w:w="18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62.1</w:t>
            </w:r>
          </w:p>
        </w:tc>
        <w:tc>
          <w:tcPr>
            <w:tcW w:w="28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5.2</w:t>
            </w:r>
          </w:p>
        </w:tc>
        <w:tc>
          <w:tcPr>
            <w:tcW w:w="22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6.5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Contributions by employer and participants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148.7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46.5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102.2</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8"/>
        </w:trPr>
        <w:tc>
          <w:tcPr>
            <w:tcW w:w="4660" w:type="dxa"/>
            <w:vAlign w:val="bottom"/>
          </w:tcPr>
          <w:p>
            <w:pPr>
              <w:ind w:left="140"/>
              <w:spacing w:after="0"/>
              <w:rPr>
                <w:sz w:val="20"/>
                <w:szCs w:val="20"/>
                <w:color w:val="auto"/>
              </w:rPr>
            </w:pPr>
            <w:r>
              <w:rPr>
                <w:rFonts w:ascii="Arial" w:cs="Arial" w:eastAsia="Arial" w:hAnsi="Arial"/>
                <w:sz w:val="17"/>
                <w:szCs w:val="17"/>
                <w:color w:val="auto"/>
              </w:rPr>
              <w:t>Benefits paid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(89.4)</w:t>
            </w:r>
          </w:p>
        </w:tc>
        <w:tc>
          <w:tcPr>
            <w:tcW w:w="24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Arial" w:cs="Arial" w:eastAsia="Arial" w:hAnsi="Arial"/>
                <w:sz w:val="17"/>
                <w:szCs w:val="17"/>
                <w:color w:val="auto"/>
              </w:rPr>
              <w:t>(52.3)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(37.1)</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(279.5)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(124.6)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(9.7)</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(4.3)</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Fair value of plan assets at December 31, 2021</w:t>
            </w:r>
          </w:p>
        </w:tc>
        <w:tc>
          <w:tcPr>
            <w:tcW w:w="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1,714.7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835.7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879.0</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242.3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Funded status at December 31, 2021</w:t>
            </w: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(847.0)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(428.7)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(394.5)</w:t>
            </w:r>
          </w:p>
        </w:tc>
        <w:tc>
          <w:tcPr>
            <w:tcW w:w="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38"/>
        </w:trPr>
        <w:tc>
          <w:tcPr>
            <w:tcW w:w="4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7"/>
                <w:szCs w:val="17"/>
                <w:b w:val="1"/>
                <w:bCs w:val="1"/>
                <w:color w:val="auto"/>
              </w:rPr>
              <w:t>Pension Benefits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jc w:val="center"/>
              <w:ind w:right="114"/>
              <w:spacing w:after="0"/>
              <w:rPr>
                <w:sz w:val="20"/>
                <w:szCs w:val="20"/>
                <w:color w:val="auto"/>
              </w:rPr>
            </w:pPr>
            <w:r>
              <w:rPr>
                <w:rFonts w:ascii="Arial" w:cs="Arial" w:eastAsia="Arial" w:hAnsi="Arial"/>
                <w:sz w:val="17"/>
                <w:szCs w:val="17"/>
                <w:b w:val="1"/>
                <w:bCs w:val="1"/>
                <w:color w:val="auto"/>
                <w:w w:val="89"/>
              </w:rPr>
              <w:t>Post-Retirement Benefits</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14"/>
              <w:spacing w:after="0" w:line="173" w:lineRule="exact"/>
              <w:rPr>
                <w:sz w:val="20"/>
                <w:szCs w:val="20"/>
                <w:color w:val="auto"/>
              </w:rPr>
            </w:pPr>
            <w:r>
              <w:rPr>
                <w:rFonts w:ascii="Arial" w:cs="Arial" w:eastAsia="Arial" w:hAnsi="Arial"/>
                <w:sz w:val="17"/>
                <w:szCs w:val="17"/>
                <w:b w:val="1"/>
                <w:bCs w:val="1"/>
                <w:color w:val="auto"/>
              </w:rPr>
              <w:t>Evergy</w:t>
            </w:r>
          </w:p>
        </w:tc>
        <w:tc>
          <w:tcPr>
            <w:tcW w:w="18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91"/>
              </w:rPr>
              <w:t>Evergy</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14"/>
              <w:spacing w:after="0" w:line="173" w:lineRule="exact"/>
              <w:rPr>
                <w:sz w:val="20"/>
                <w:szCs w:val="20"/>
                <w:color w:val="auto"/>
              </w:rPr>
            </w:pPr>
            <w:r>
              <w:rPr>
                <w:rFonts w:ascii="Arial" w:cs="Arial" w:eastAsia="Arial" w:hAnsi="Arial"/>
                <w:sz w:val="17"/>
                <w:szCs w:val="17"/>
                <w:b w:val="1"/>
                <w:bCs w:val="1"/>
                <w:color w:val="auto"/>
                <w:w w:val="95"/>
              </w:rPr>
              <w:t>Evergy</w:t>
            </w:r>
          </w:p>
        </w:tc>
        <w:tc>
          <w:tcPr>
            <w:tcW w:w="240" w:type="dxa"/>
            <w:vAlign w:val="bottom"/>
          </w:tcPr>
          <w:p>
            <w:pPr>
              <w:spacing w:after="0"/>
              <w:rPr>
                <w:sz w:val="15"/>
                <w:szCs w:val="15"/>
                <w:color w:val="auto"/>
              </w:rPr>
            </w:pPr>
          </w:p>
        </w:tc>
        <w:tc>
          <w:tcPr>
            <w:tcW w:w="780" w:type="dxa"/>
            <w:vAlign w:val="bottom"/>
            <w:vMerge w:val="restart"/>
          </w:tcPr>
          <w:p>
            <w:pPr>
              <w:jc w:val="center"/>
              <w:ind w:right="54"/>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Evergy</w:t>
            </w:r>
          </w:p>
        </w:tc>
        <w:tc>
          <w:tcPr>
            <w:tcW w:w="240" w:type="dxa"/>
            <w:vAlign w:val="bottom"/>
          </w:tcPr>
          <w:p>
            <w:pPr>
              <w:spacing w:after="0"/>
              <w:rPr>
                <w:sz w:val="14"/>
                <w:szCs w:val="14"/>
                <w:color w:val="auto"/>
              </w:rPr>
            </w:pPr>
          </w:p>
        </w:tc>
        <w:tc>
          <w:tcPr>
            <w:tcW w:w="900" w:type="dxa"/>
            <w:vAlign w:val="bottom"/>
          </w:tcPr>
          <w:p>
            <w:pPr>
              <w:ind w:left="60"/>
              <w:spacing w:after="0" w:line="167" w:lineRule="exact"/>
              <w:rPr>
                <w:sz w:val="20"/>
                <w:szCs w:val="20"/>
                <w:color w:val="auto"/>
              </w:rPr>
            </w:pPr>
            <w:r>
              <w:rPr>
                <w:rFonts w:ascii="Arial" w:cs="Arial" w:eastAsia="Arial" w:hAnsi="Arial"/>
                <w:sz w:val="17"/>
                <w:szCs w:val="17"/>
                <w:b w:val="1"/>
                <w:bCs w:val="1"/>
                <w:color w:val="auto"/>
              </w:rPr>
              <w:t>Kansas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1"/>
              </w:rPr>
              <w:t>Evergy</w:t>
            </w:r>
          </w:p>
        </w:tc>
        <w:tc>
          <w:tcPr>
            <w:tcW w:w="220" w:type="dxa"/>
            <w:vAlign w:val="bottom"/>
          </w:tcPr>
          <w:p>
            <w:pPr>
              <w:spacing w:after="0"/>
              <w:rPr>
                <w:sz w:val="14"/>
                <w:szCs w:val="14"/>
                <w:color w:val="auto"/>
              </w:rPr>
            </w:pPr>
          </w:p>
        </w:tc>
        <w:tc>
          <w:tcPr>
            <w:tcW w:w="860" w:type="dxa"/>
            <w:vAlign w:val="bottom"/>
          </w:tcPr>
          <w:p>
            <w:pPr>
              <w:jc w:val="center"/>
              <w:ind w:right="114"/>
              <w:spacing w:after="0" w:line="167" w:lineRule="exact"/>
              <w:rPr>
                <w:sz w:val="20"/>
                <w:szCs w:val="20"/>
                <w:color w:val="auto"/>
              </w:rPr>
            </w:pPr>
            <w:r>
              <w:rPr>
                <w:rFonts w:ascii="Arial" w:cs="Arial" w:eastAsia="Arial" w:hAnsi="Arial"/>
                <w:sz w:val="17"/>
                <w:szCs w:val="17"/>
                <w:b w:val="1"/>
                <w:bCs w:val="1"/>
                <w:color w:val="auto"/>
                <w:w w:val="89"/>
              </w:rPr>
              <w:t>Kansas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Central</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94"/>
              </w:rPr>
              <w:t>Metro</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8"/>
              </w:rPr>
              <w:t>Central</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9"/>
              </w:rPr>
              <w:t>Metro</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Amounts recognized in the consolidated balance sheets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right"/>
              <w:ind w:right="674"/>
              <w:spacing w:after="0"/>
              <w:rPr>
                <w:sz w:val="20"/>
                <w:szCs w:val="20"/>
                <w:color w:val="auto"/>
              </w:rPr>
            </w:pPr>
            <w:r>
              <w:rPr>
                <w:rFonts w:ascii="Arial" w:cs="Arial" w:eastAsia="Arial" w:hAnsi="Arial"/>
                <w:sz w:val="15"/>
                <w:szCs w:val="15"/>
                <w:color w:val="auto"/>
              </w:rPr>
              <w:t>(millions)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Non-current asset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18"/>
        </w:trPr>
        <w:tc>
          <w:tcPr>
            <w:tcW w:w="4660" w:type="dxa"/>
            <w:vAlign w:val="bottom"/>
          </w:tcPr>
          <w:p>
            <w:pPr>
              <w:ind w:left="140"/>
              <w:spacing w:after="0"/>
              <w:rPr>
                <w:sz w:val="20"/>
                <w:szCs w:val="20"/>
                <w:color w:val="auto"/>
              </w:rPr>
            </w:pPr>
            <w:r>
              <w:rPr>
                <w:rFonts w:ascii="Arial" w:cs="Arial" w:eastAsia="Arial" w:hAnsi="Arial"/>
                <w:sz w:val="17"/>
                <w:szCs w:val="17"/>
                <w:color w:val="auto"/>
              </w:rPr>
              <w:t>Current pension and other post-retirement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(0.7)</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Noncurrent pension liability and other post-retirement liability</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(842.6)</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(426.3)</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(393.8)</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11"/>
        </w:trPr>
        <w:tc>
          <w:tcPr>
            <w:tcW w:w="4660" w:type="dxa"/>
            <w:vAlign w:val="bottom"/>
          </w:tcPr>
          <w:p>
            <w:pPr>
              <w:ind w:left="220"/>
              <w:spacing w:after="0"/>
              <w:rPr>
                <w:sz w:val="20"/>
                <w:szCs w:val="20"/>
                <w:color w:val="auto"/>
              </w:rPr>
            </w:pPr>
            <w:r>
              <w:rPr>
                <w:rFonts w:ascii="Arial" w:cs="Arial" w:eastAsia="Arial" w:hAnsi="Arial"/>
                <w:sz w:val="17"/>
                <w:szCs w:val="17"/>
                <w:color w:val="auto"/>
              </w:rPr>
              <w:t>Net amount recognized before regulatory treatment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(847.0)</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(428.7)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(394.5)</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Accumulated OCI or regulatory asset/liability</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317.2</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263.6</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84.6</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amount recognized at December 31, 2021</w:t>
            </w:r>
          </w:p>
        </w:tc>
        <w:tc>
          <w:tcPr>
            <w:tcW w:w="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(309.9)</w:t>
            </w:r>
          </w:p>
        </w:tc>
        <w:tc>
          <w:tcPr>
            <w:tcW w:w="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161"/>
        </w:trPr>
        <w:tc>
          <w:tcPr>
            <w:tcW w:w="46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b w:val="1"/>
                <w:bCs w:val="1"/>
                <w:color w:val="auto"/>
                <w:w w:val="94"/>
              </w:rPr>
              <w:t>Amounts in accumulated OCI or regulatory asset/liability not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w w:val="94"/>
              </w:rPr>
              <w:t>yet recognized as a component of net periodic benefit cost: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60" w:type="dxa"/>
            <w:vAlign w:val="bottom"/>
          </w:tcPr>
          <w:p>
            <w:pPr>
              <w:ind w:left="140"/>
              <w:spacing w:after="0"/>
              <w:rPr>
                <w:sz w:val="20"/>
                <w:szCs w:val="20"/>
                <w:color w:val="auto"/>
              </w:rPr>
            </w:pPr>
            <w:r>
              <w:rPr>
                <w:rFonts w:ascii="Arial" w:cs="Arial" w:eastAsia="Arial" w:hAnsi="Arial"/>
                <w:sz w:val="17"/>
                <w:szCs w:val="17"/>
                <w:color w:val="auto"/>
              </w:rPr>
              <w:t>Actuarial (gain) loss</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302.4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4"/>
              <w:spacing w:after="0"/>
              <w:rPr>
                <w:sz w:val="20"/>
                <w:szCs w:val="20"/>
                <w:color w:val="auto"/>
              </w:rPr>
            </w:pPr>
            <w:r>
              <w:rPr>
                <w:rFonts w:ascii="Arial" w:cs="Arial" w:eastAsia="Arial" w:hAnsi="Arial"/>
                <w:sz w:val="17"/>
                <w:szCs w:val="17"/>
                <w:color w:val="auto"/>
              </w:rPr>
              <w:t>246.6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86.4</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Prior service cost</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14.8</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17.0</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0.9</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amount recognized at December 31, 2021</w:t>
            </w:r>
          </w:p>
        </w:tc>
        <w:tc>
          <w:tcPr>
            <w:tcW w:w="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317.2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263.6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84.6</w:t>
            </w:r>
          </w:p>
        </w:tc>
        <w:tc>
          <w:tcPr>
            <w:tcW w:w="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5" w:name="page116"/>
    <w:bookmarkEnd w:id="11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5"/>
              </w:rPr>
              <w:t>Pension Benefits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5"/>
          </w:tcPr>
          <w:p>
            <w:pPr>
              <w:jc w:val="center"/>
              <w:ind w:right="54"/>
              <w:spacing w:after="0"/>
              <w:rPr>
                <w:sz w:val="20"/>
                <w:szCs w:val="20"/>
                <w:color w:val="auto"/>
              </w:rPr>
            </w:pPr>
            <w:r>
              <w:rPr>
                <w:rFonts w:ascii="Arial" w:cs="Arial" w:eastAsia="Arial" w:hAnsi="Arial"/>
                <w:sz w:val="17"/>
                <w:szCs w:val="17"/>
                <w:b w:val="1"/>
                <w:bCs w:val="1"/>
                <w:color w:val="auto"/>
                <w:w w:val="90"/>
              </w:rPr>
              <w:t>Post-Retirement Benefits</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center"/>
              <w:ind w:right="214"/>
              <w:spacing w:after="0" w:line="173" w:lineRule="exact"/>
              <w:rPr>
                <w:sz w:val="20"/>
                <w:szCs w:val="20"/>
                <w:color w:val="auto"/>
              </w:rPr>
            </w:pPr>
            <w:r>
              <w:rPr>
                <w:rFonts w:ascii="Arial" w:cs="Arial" w:eastAsia="Arial" w:hAnsi="Arial"/>
                <w:sz w:val="17"/>
                <w:szCs w:val="17"/>
                <w:b w:val="1"/>
                <w:bCs w:val="1"/>
                <w:color w:val="auto"/>
                <w:w w:val="91"/>
              </w:rPr>
              <w:t>Evergy</w:t>
            </w:r>
          </w:p>
        </w:tc>
        <w:tc>
          <w:tcPr>
            <w:tcW w:w="14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91"/>
              </w:rPr>
              <w:t>Evergy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14"/>
              <w:spacing w:after="0" w:line="173" w:lineRule="exact"/>
              <w:rPr>
                <w:sz w:val="20"/>
                <w:szCs w:val="20"/>
                <w:color w:val="auto"/>
              </w:rPr>
            </w:pPr>
            <w:r>
              <w:rPr>
                <w:rFonts w:ascii="Arial" w:cs="Arial" w:eastAsia="Arial" w:hAnsi="Arial"/>
                <w:sz w:val="17"/>
                <w:szCs w:val="17"/>
                <w:b w:val="1"/>
                <w:bCs w:val="1"/>
                <w:color w:val="auto"/>
                <w:w w:val="95"/>
              </w:rPr>
              <w:t>Evergy</w:t>
            </w:r>
          </w:p>
        </w:tc>
        <w:tc>
          <w:tcPr>
            <w:tcW w:w="240" w:type="dxa"/>
            <w:vAlign w:val="bottom"/>
          </w:tcPr>
          <w:p>
            <w:pPr>
              <w:spacing w:after="0"/>
              <w:rPr>
                <w:sz w:val="15"/>
                <w:szCs w:val="15"/>
                <w:color w:val="auto"/>
              </w:rPr>
            </w:pPr>
          </w:p>
        </w:tc>
        <w:tc>
          <w:tcPr>
            <w:tcW w:w="780" w:type="dxa"/>
            <w:vAlign w:val="bottom"/>
            <w:vMerge w:val="restart"/>
          </w:tcPr>
          <w:p>
            <w:pPr>
              <w:jc w:val="center"/>
              <w:ind w:right="54"/>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5"/>
              </w:rPr>
              <w:t>Evergy</w:t>
            </w:r>
          </w:p>
        </w:tc>
        <w:tc>
          <w:tcPr>
            <w:tcW w:w="300" w:type="dxa"/>
            <w:vAlign w:val="bottom"/>
          </w:tcPr>
          <w:p>
            <w:pPr>
              <w:spacing w:after="0"/>
              <w:rPr>
                <w:sz w:val="14"/>
                <w:szCs w:val="14"/>
                <w:color w:val="auto"/>
              </w:rPr>
            </w:pPr>
          </w:p>
        </w:tc>
        <w:tc>
          <w:tcPr>
            <w:tcW w:w="940" w:type="dxa"/>
            <w:vAlign w:val="bottom"/>
          </w:tcPr>
          <w:p>
            <w:pPr>
              <w:jc w:val="center"/>
              <w:ind w:right="234"/>
              <w:spacing w:after="0" w:line="167" w:lineRule="exact"/>
              <w:rPr>
                <w:sz w:val="20"/>
                <w:szCs w:val="20"/>
                <w:color w:val="auto"/>
              </w:rPr>
            </w:pPr>
            <w:r>
              <w:rPr>
                <w:rFonts w:ascii="Arial" w:cs="Arial" w:eastAsia="Arial" w:hAnsi="Arial"/>
                <w:sz w:val="17"/>
                <w:szCs w:val="17"/>
                <w:b w:val="1"/>
                <w:bCs w:val="1"/>
                <w:color w:val="auto"/>
                <w:w w:val="89"/>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8"/>
              </w:rPr>
              <w:t>Evergy</w:t>
            </w:r>
          </w:p>
        </w:tc>
        <w:tc>
          <w:tcPr>
            <w:tcW w:w="220" w:type="dxa"/>
            <w:vAlign w:val="bottom"/>
          </w:tcPr>
          <w:p>
            <w:pPr>
              <w:spacing w:after="0"/>
              <w:rPr>
                <w:sz w:val="14"/>
                <w:szCs w:val="14"/>
                <w:color w:val="auto"/>
              </w:rPr>
            </w:pPr>
          </w:p>
        </w:tc>
        <w:tc>
          <w:tcPr>
            <w:tcW w:w="860" w:type="dxa"/>
            <w:vAlign w:val="bottom"/>
          </w:tcPr>
          <w:p>
            <w:pPr>
              <w:jc w:val="center"/>
              <w:ind w:right="114"/>
              <w:spacing w:after="0" w:line="167" w:lineRule="exact"/>
              <w:rPr>
                <w:sz w:val="20"/>
                <w:szCs w:val="20"/>
                <w:color w:val="auto"/>
              </w:rPr>
            </w:pPr>
            <w:r>
              <w:rPr>
                <w:rFonts w:ascii="Arial" w:cs="Arial" w:eastAsia="Arial" w:hAnsi="Arial"/>
                <w:sz w:val="17"/>
                <w:szCs w:val="17"/>
                <w:b w:val="1"/>
                <w:bCs w:val="1"/>
                <w:color w:val="auto"/>
                <w:w w:val="89"/>
              </w:rPr>
              <w:t>Kansas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95"/>
              </w:rPr>
              <w:t>Central</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94"/>
              </w:rPr>
              <w:t>Metro</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8"/>
              </w:rPr>
              <w:t>Central</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9"/>
              </w:rPr>
              <w:t>Metro</w:t>
            </w:r>
          </w:p>
        </w:tc>
        <w:tc>
          <w:tcPr>
            <w:tcW w:w="0" w:type="dxa"/>
            <w:vAlign w:val="bottom"/>
          </w:tcPr>
          <w:p>
            <w:pPr>
              <w:spacing w:after="0"/>
              <w:rPr>
                <w:sz w:val="1"/>
                <w:szCs w:val="1"/>
                <w:color w:val="auto"/>
              </w:rPr>
            </w:pPr>
          </w:p>
        </w:tc>
      </w:tr>
      <w:tr>
        <w:trPr>
          <w:trHeight w:val="212"/>
        </w:trPr>
        <w:tc>
          <w:tcPr>
            <w:tcW w:w="4720" w:type="dxa"/>
            <w:vAlign w:val="bottom"/>
          </w:tcPr>
          <w:p>
            <w:pPr>
              <w:ind w:left="20"/>
              <w:spacing w:after="0"/>
              <w:rPr>
                <w:sz w:val="20"/>
                <w:szCs w:val="20"/>
                <w:color w:val="auto"/>
              </w:rPr>
            </w:pPr>
            <w:r>
              <w:rPr>
                <w:rFonts w:ascii="Arial" w:cs="Arial" w:eastAsia="Arial" w:hAnsi="Arial"/>
                <w:sz w:val="17"/>
                <w:szCs w:val="17"/>
                <w:b w:val="1"/>
                <w:bCs w:val="1"/>
                <w:color w:val="auto"/>
              </w:rPr>
              <w:t>Change in projected benefit obligation (PBO)</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jc w:val="right"/>
              <w:ind w:right="694"/>
              <w:spacing w:after="0"/>
              <w:rPr>
                <w:sz w:val="20"/>
                <w:szCs w:val="20"/>
                <w:color w:val="auto"/>
              </w:rPr>
            </w:pPr>
            <w:r>
              <w:rPr>
                <w:rFonts w:ascii="Arial" w:cs="Arial" w:eastAsia="Arial" w:hAnsi="Arial"/>
                <w:sz w:val="15"/>
                <w:szCs w:val="15"/>
                <w:color w:val="auto"/>
              </w:rPr>
              <w:t>(millions)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PBO at January 1, 2020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2,718.2</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1,323.4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1,371.4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264.3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138.7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0" w:type="dxa"/>
            <w:vAlign w:val="bottom"/>
          </w:tcPr>
          <w:p>
            <w:pPr>
              <w:spacing w:after="0"/>
              <w:rPr>
                <w:sz w:val="1"/>
                <w:szCs w:val="1"/>
                <w:color w:val="auto"/>
              </w:rPr>
            </w:pPr>
          </w:p>
        </w:tc>
      </w:tr>
      <w:tr>
        <w:trPr>
          <w:trHeight w:val="218"/>
        </w:trPr>
        <w:tc>
          <w:tcPr>
            <w:tcW w:w="4720" w:type="dxa"/>
            <w:vAlign w:val="bottom"/>
          </w:tcPr>
          <w:p>
            <w:pPr>
              <w:ind w:left="140"/>
              <w:spacing w:after="0"/>
              <w:rPr>
                <w:sz w:val="20"/>
                <w:szCs w:val="20"/>
                <w:color w:val="auto"/>
              </w:rPr>
            </w:pPr>
            <w:r>
              <w:rPr>
                <w:rFonts w:ascii="Arial" w:cs="Arial" w:eastAsia="Arial" w:hAnsi="Arial"/>
                <w:sz w:val="17"/>
                <w:szCs w:val="17"/>
                <w:color w:val="auto"/>
              </w:rPr>
              <w:t>Service cost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78.9</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27.1</w:t>
            </w:r>
          </w:p>
        </w:tc>
        <w:tc>
          <w:tcPr>
            <w:tcW w:w="14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51.8</w:t>
            </w:r>
          </w:p>
        </w:tc>
        <w:tc>
          <w:tcPr>
            <w:tcW w:w="2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47.0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9.2</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4.8</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8"/>
        </w:trPr>
        <w:tc>
          <w:tcPr>
            <w:tcW w:w="4720" w:type="dxa"/>
            <w:vAlign w:val="bottom"/>
          </w:tcPr>
          <w:p>
            <w:pPr>
              <w:ind w:left="140"/>
              <w:spacing w:after="0"/>
              <w:rPr>
                <w:sz w:val="20"/>
                <w:szCs w:val="20"/>
                <w:color w:val="auto"/>
              </w:rPr>
            </w:pPr>
            <w:r>
              <w:rPr>
                <w:rFonts w:ascii="Arial" w:cs="Arial" w:eastAsia="Arial" w:hAnsi="Arial"/>
                <w:sz w:val="17"/>
                <w:szCs w:val="17"/>
                <w:color w:val="auto"/>
              </w:rPr>
              <w:t>Contribution by participants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9.3</w:t>
            </w:r>
          </w:p>
        </w:tc>
        <w:tc>
          <w:tcPr>
            <w:tcW w:w="22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Plan amendments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0.5</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8"/>
        </w:trPr>
        <w:tc>
          <w:tcPr>
            <w:tcW w:w="4720" w:type="dxa"/>
            <w:vAlign w:val="bottom"/>
          </w:tcPr>
          <w:p>
            <w:pPr>
              <w:ind w:left="140"/>
              <w:spacing w:after="0"/>
              <w:rPr>
                <w:sz w:val="20"/>
                <w:szCs w:val="20"/>
                <w:color w:val="auto"/>
              </w:rPr>
            </w:pPr>
            <w:r>
              <w:rPr>
                <w:rFonts w:ascii="Arial" w:cs="Arial" w:eastAsia="Arial" w:hAnsi="Arial"/>
                <w:sz w:val="17"/>
                <w:szCs w:val="17"/>
                <w:color w:val="auto"/>
              </w:rPr>
              <w:t>Actuarial loss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273.9</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127.0</w:t>
            </w:r>
          </w:p>
        </w:tc>
        <w:tc>
          <w:tcPr>
            <w:tcW w:w="14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144.8</w:t>
            </w:r>
          </w:p>
        </w:tc>
        <w:tc>
          <w:tcPr>
            <w:tcW w:w="2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19.6</w:t>
            </w:r>
          </w:p>
        </w:tc>
        <w:tc>
          <w:tcPr>
            <w:tcW w:w="22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11.0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Benefits paid</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(102.3)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18"/>
        </w:trPr>
        <w:tc>
          <w:tcPr>
            <w:tcW w:w="4720" w:type="dxa"/>
            <w:vAlign w:val="bottom"/>
          </w:tcPr>
          <w:p>
            <w:pPr>
              <w:ind w:left="140"/>
              <w:spacing w:after="0"/>
              <w:rPr>
                <w:sz w:val="20"/>
                <w:szCs w:val="20"/>
                <w:color w:val="auto"/>
              </w:rPr>
            </w:pPr>
            <w:r>
              <w:rPr>
                <w:rFonts w:ascii="Arial" w:cs="Arial" w:eastAsia="Arial" w:hAnsi="Arial"/>
                <w:sz w:val="17"/>
                <w:szCs w:val="17"/>
                <w:color w:val="auto"/>
              </w:rPr>
              <w:t>Settlements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(62.9)</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(62.9)</w:t>
            </w:r>
          </w:p>
        </w:tc>
        <w:tc>
          <w:tcPr>
            <w:tcW w:w="2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(0.7)</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PBO at December 31, 2020</w:t>
            </w: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2,901.1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1,429.6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1,446.5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280.4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133.6</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20" w:type="dxa"/>
            <w:vAlign w:val="bottom"/>
          </w:tcPr>
          <w:p>
            <w:pPr>
              <w:ind w:left="140"/>
              <w:spacing w:after="0"/>
              <w:rPr>
                <w:sz w:val="20"/>
                <w:szCs w:val="20"/>
                <w:color w:val="auto"/>
              </w:rPr>
            </w:pPr>
            <w:r>
              <w:rPr>
                <w:rFonts w:ascii="Arial" w:cs="Arial" w:eastAsia="Arial" w:hAnsi="Arial"/>
                <w:sz w:val="17"/>
                <w:szCs w:val="17"/>
                <w:color w:val="auto"/>
              </w:rPr>
              <w:t>Fair value of plan assets at January 1, 2020</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1,732.8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842.1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890.7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239.9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120.5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119.4</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Actual return on plan assets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99.7</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110.2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20.7</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13.7</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8"/>
        </w:trPr>
        <w:tc>
          <w:tcPr>
            <w:tcW w:w="4720" w:type="dxa"/>
            <w:vAlign w:val="bottom"/>
          </w:tcPr>
          <w:p>
            <w:pPr>
              <w:ind w:left="140"/>
              <w:spacing w:after="0"/>
              <w:rPr>
                <w:sz w:val="20"/>
                <w:szCs w:val="20"/>
                <w:color w:val="auto"/>
              </w:rPr>
            </w:pPr>
            <w:r>
              <w:rPr>
                <w:rFonts w:ascii="Arial" w:cs="Arial" w:eastAsia="Arial" w:hAnsi="Arial"/>
                <w:sz w:val="17"/>
                <w:szCs w:val="17"/>
                <w:color w:val="auto"/>
              </w:rPr>
              <w:t>Contributions by employer and participants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123.4</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45.8</w:t>
            </w:r>
          </w:p>
        </w:tc>
        <w:tc>
          <w:tcPr>
            <w:tcW w:w="14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77.6</w:t>
            </w:r>
          </w:p>
        </w:tc>
        <w:tc>
          <w:tcPr>
            <w:tcW w:w="2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11.7</w:t>
            </w:r>
          </w:p>
        </w:tc>
        <w:tc>
          <w:tcPr>
            <w:tcW w:w="22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Benefits paid</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(99.9)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18"/>
        </w:trPr>
        <w:tc>
          <w:tcPr>
            <w:tcW w:w="4720" w:type="dxa"/>
            <w:vAlign w:val="bottom"/>
          </w:tcPr>
          <w:p>
            <w:pPr>
              <w:ind w:left="140"/>
              <w:spacing w:after="0"/>
              <w:rPr>
                <w:sz w:val="20"/>
                <w:szCs w:val="20"/>
                <w:color w:val="auto"/>
              </w:rPr>
            </w:pPr>
            <w:r>
              <w:rPr>
                <w:rFonts w:ascii="Arial" w:cs="Arial" w:eastAsia="Arial" w:hAnsi="Arial"/>
                <w:sz w:val="17"/>
                <w:szCs w:val="17"/>
                <w:color w:val="auto"/>
              </w:rPr>
              <w:t>Settlements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(62.9)</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(62.9)</w:t>
            </w:r>
          </w:p>
        </w:tc>
        <w:tc>
          <w:tcPr>
            <w:tcW w:w="2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(0.7)</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Fair value of plan assets at December 31, 2020</w:t>
            </w: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1,799.1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887.0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912.1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248.3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125.8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Funded status at December 31, 2020</w:t>
            </w:r>
          </w:p>
        </w:tc>
        <w:tc>
          <w:tcPr>
            <w:tcW w:w="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(1,102.0)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(542.6)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38"/>
        </w:trPr>
        <w:tc>
          <w:tcPr>
            <w:tcW w:w="4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6"/>
              </w:rPr>
              <w:t>Pension Benefits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5"/>
          </w:tcPr>
          <w:p>
            <w:pPr>
              <w:jc w:val="center"/>
              <w:ind w:right="74"/>
              <w:spacing w:after="0"/>
              <w:rPr>
                <w:sz w:val="20"/>
                <w:szCs w:val="20"/>
                <w:color w:val="auto"/>
              </w:rPr>
            </w:pPr>
            <w:r>
              <w:rPr>
                <w:rFonts w:ascii="Arial" w:cs="Arial" w:eastAsia="Arial" w:hAnsi="Arial"/>
                <w:sz w:val="17"/>
                <w:szCs w:val="17"/>
                <w:b w:val="1"/>
                <w:bCs w:val="1"/>
                <w:color w:val="auto"/>
                <w:w w:val="89"/>
              </w:rPr>
              <w:t>Post-Retirement Benefits</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center"/>
              <w:ind w:right="194"/>
              <w:spacing w:after="0" w:line="173" w:lineRule="exact"/>
              <w:rPr>
                <w:sz w:val="20"/>
                <w:szCs w:val="20"/>
                <w:color w:val="auto"/>
              </w:rPr>
            </w:pPr>
            <w:r>
              <w:rPr>
                <w:rFonts w:ascii="Arial" w:cs="Arial" w:eastAsia="Arial" w:hAnsi="Arial"/>
                <w:sz w:val="17"/>
                <w:szCs w:val="17"/>
                <w:b w:val="1"/>
                <w:bCs w:val="1"/>
                <w:color w:val="auto"/>
                <w:w w:val="95"/>
              </w:rPr>
              <w:t>Evergy</w:t>
            </w:r>
          </w:p>
        </w:tc>
        <w:tc>
          <w:tcPr>
            <w:tcW w:w="14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91"/>
              </w:rPr>
              <w:t>Evergy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14"/>
              <w:spacing w:after="0" w:line="173" w:lineRule="exact"/>
              <w:rPr>
                <w:sz w:val="20"/>
                <w:szCs w:val="20"/>
                <w:color w:val="auto"/>
              </w:rPr>
            </w:pPr>
            <w:r>
              <w:rPr>
                <w:rFonts w:ascii="Arial" w:cs="Arial" w:eastAsia="Arial" w:hAnsi="Arial"/>
                <w:sz w:val="17"/>
                <w:szCs w:val="17"/>
                <w:b w:val="1"/>
                <w:bCs w:val="1"/>
                <w:color w:val="auto"/>
                <w:w w:val="95"/>
              </w:rPr>
              <w:t>Evergy</w:t>
            </w:r>
          </w:p>
        </w:tc>
        <w:tc>
          <w:tcPr>
            <w:tcW w:w="240" w:type="dxa"/>
            <w:vAlign w:val="bottom"/>
          </w:tcPr>
          <w:p>
            <w:pPr>
              <w:spacing w:after="0"/>
              <w:rPr>
                <w:sz w:val="15"/>
                <w:szCs w:val="15"/>
                <w:color w:val="auto"/>
              </w:rPr>
            </w:pPr>
          </w:p>
        </w:tc>
        <w:tc>
          <w:tcPr>
            <w:tcW w:w="780" w:type="dxa"/>
            <w:vAlign w:val="bottom"/>
            <w:vMerge w:val="restart"/>
          </w:tcPr>
          <w:p>
            <w:pPr>
              <w:jc w:val="center"/>
              <w:ind w:right="54"/>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w w:val="98"/>
              </w:rPr>
              <w:t>Evergy</w:t>
            </w:r>
          </w:p>
        </w:tc>
        <w:tc>
          <w:tcPr>
            <w:tcW w:w="300" w:type="dxa"/>
            <w:vAlign w:val="bottom"/>
          </w:tcPr>
          <w:p>
            <w:pPr>
              <w:spacing w:after="0"/>
              <w:rPr>
                <w:sz w:val="14"/>
                <w:szCs w:val="14"/>
                <w:color w:val="auto"/>
              </w:rPr>
            </w:pPr>
          </w:p>
        </w:tc>
        <w:tc>
          <w:tcPr>
            <w:tcW w:w="940" w:type="dxa"/>
            <w:vAlign w:val="bottom"/>
          </w:tcPr>
          <w:p>
            <w:pPr>
              <w:jc w:val="center"/>
              <w:ind w:right="194"/>
              <w:spacing w:after="0" w:line="167" w:lineRule="exact"/>
              <w:rPr>
                <w:sz w:val="20"/>
                <w:szCs w:val="20"/>
                <w:color w:val="auto"/>
              </w:rPr>
            </w:pPr>
            <w:r>
              <w:rPr>
                <w:rFonts w:ascii="Arial" w:cs="Arial" w:eastAsia="Arial" w:hAnsi="Arial"/>
                <w:sz w:val="17"/>
                <w:szCs w:val="17"/>
                <w:b w:val="1"/>
                <w:bCs w:val="1"/>
                <w:color w:val="auto"/>
                <w:w w:val="89"/>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8"/>
              </w:rPr>
              <w:t>Evergy</w:t>
            </w:r>
          </w:p>
        </w:tc>
        <w:tc>
          <w:tcPr>
            <w:tcW w:w="220" w:type="dxa"/>
            <w:vAlign w:val="bottom"/>
          </w:tcPr>
          <w:p>
            <w:pPr>
              <w:spacing w:after="0"/>
              <w:rPr>
                <w:sz w:val="14"/>
                <w:szCs w:val="14"/>
                <w:color w:val="auto"/>
              </w:rPr>
            </w:pPr>
          </w:p>
        </w:tc>
        <w:tc>
          <w:tcPr>
            <w:tcW w:w="860" w:type="dxa"/>
            <w:vAlign w:val="bottom"/>
          </w:tcPr>
          <w:p>
            <w:pPr>
              <w:jc w:val="center"/>
              <w:ind w:right="114"/>
              <w:spacing w:after="0" w:line="167" w:lineRule="exact"/>
              <w:rPr>
                <w:sz w:val="20"/>
                <w:szCs w:val="20"/>
                <w:color w:val="auto"/>
              </w:rPr>
            </w:pPr>
            <w:r>
              <w:rPr>
                <w:rFonts w:ascii="Arial" w:cs="Arial" w:eastAsia="Arial" w:hAnsi="Arial"/>
                <w:sz w:val="17"/>
                <w:szCs w:val="17"/>
                <w:b w:val="1"/>
                <w:bCs w:val="1"/>
                <w:color w:val="auto"/>
                <w:w w:val="89"/>
              </w:rPr>
              <w:t>Kansas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95"/>
              </w:rPr>
              <w:t>Central</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94"/>
              </w:rPr>
              <w:t>Metro</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8"/>
              </w:rPr>
              <w:t>Central</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9"/>
              </w:rPr>
              <w:t>Metro</w:t>
            </w:r>
          </w:p>
        </w:tc>
        <w:tc>
          <w:tcPr>
            <w:tcW w:w="0" w:type="dxa"/>
            <w:vAlign w:val="bottom"/>
          </w:tcPr>
          <w:p>
            <w:pPr>
              <w:spacing w:after="0"/>
              <w:rPr>
                <w:sz w:val="1"/>
                <w:szCs w:val="1"/>
                <w:color w:val="auto"/>
              </w:rPr>
            </w:pPr>
          </w:p>
        </w:tc>
      </w:tr>
      <w:tr>
        <w:trPr>
          <w:trHeight w:val="212"/>
        </w:trPr>
        <w:tc>
          <w:tcPr>
            <w:tcW w:w="4720" w:type="dxa"/>
            <w:vAlign w:val="bottom"/>
          </w:tcPr>
          <w:p>
            <w:pPr>
              <w:ind w:left="20"/>
              <w:spacing w:after="0"/>
              <w:rPr>
                <w:sz w:val="20"/>
                <w:szCs w:val="20"/>
                <w:color w:val="auto"/>
              </w:rPr>
            </w:pPr>
            <w:r>
              <w:rPr>
                <w:rFonts w:ascii="Arial" w:cs="Arial" w:eastAsia="Arial" w:hAnsi="Arial"/>
                <w:sz w:val="17"/>
                <w:szCs w:val="17"/>
                <w:b w:val="1"/>
                <w:bCs w:val="1"/>
                <w:color w:val="auto"/>
              </w:rPr>
              <w:t>Amounts recognized in the consolidated balance sheets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jc w:val="right"/>
              <w:ind w:right="674"/>
              <w:spacing w:after="0"/>
              <w:rPr>
                <w:sz w:val="20"/>
                <w:szCs w:val="20"/>
                <w:color w:val="auto"/>
              </w:rPr>
            </w:pPr>
            <w:r>
              <w:rPr>
                <w:rFonts w:ascii="Arial" w:cs="Arial" w:eastAsia="Arial" w:hAnsi="Arial"/>
                <w:sz w:val="15"/>
                <w:szCs w:val="15"/>
                <w:color w:val="auto"/>
              </w:rPr>
              <w:t>(millions)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Non-current asset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18"/>
        </w:trPr>
        <w:tc>
          <w:tcPr>
            <w:tcW w:w="4720" w:type="dxa"/>
            <w:vAlign w:val="bottom"/>
          </w:tcPr>
          <w:p>
            <w:pPr>
              <w:ind w:left="140"/>
              <w:spacing w:after="0"/>
              <w:rPr>
                <w:sz w:val="20"/>
                <w:szCs w:val="20"/>
                <w:color w:val="auto"/>
              </w:rPr>
            </w:pPr>
            <w:r>
              <w:rPr>
                <w:rFonts w:ascii="Arial" w:cs="Arial" w:eastAsia="Arial" w:hAnsi="Arial"/>
                <w:sz w:val="17"/>
                <w:szCs w:val="17"/>
                <w:color w:val="auto"/>
              </w:rPr>
              <w:t>Current pension and other post-retirement liability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w:t>
            </w:r>
          </w:p>
        </w:tc>
        <w:tc>
          <w:tcPr>
            <w:tcW w:w="30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169"/>
        </w:trPr>
        <w:tc>
          <w:tcPr>
            <w:tcW w:w="47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Noncurrent pension liability and other post-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(1,097.6)</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(540.1)</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(533.6)</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retirement liability</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20" w:type="dxa"/>
            <w:vAlign w:val="bottom"/>
          </w:tcPr>
          <w:p>
            <w:pPr>
              <w:ind w:left="220"/>
              <w:spacing w:after="0"/>
              <w:rPr>
                <w:sz w:val="20"/>
                <w:szCs w:val="20"/>
                <w:color w:val="auto"/>
              </w:rPr>
            </w:pPr>
            <w:r>
              <w:rPr>
                <w:rFonts w:ascii="Arial" w:cs="Arial" w:eastAsia="Arial" w:hAnsi="Arial"/>
                <w:sz w:val="17"/>
                <w:szCs w:val="17"/>
                <w:color w:val="auto"/>
              </w:rPr>
              <w:t>Net amount recognized before regulatory treatment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(1,102.0)</w:t>
            </w:r>
          </w:p>
        </w:tc>
        <w:tc>
          <w:tcPr>
            <w:tcW w:w="30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color w:val="auto"/>
              </w:rPr>
              <w:t>(542.6)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(534.4)</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Accumulated OCI or regulatory asset/liability</w:t>
            </w: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566.9</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408.0</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216.9</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4.0</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2"/>
        </w:trPr>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amount recognized at December 31, 2020</w:t>
            </w: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(134.6)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161"/>
        </w:trPr>
        <w:tc>
          <w:tcPr>
            <w:tcW w:w="4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b w:val="1"/>
                <w:bCs w:val="1"/>
                <w:color w:val="auto"/>
                <w:w w:val="95"/>
              </w:rPr>
              <w:t>Amounts in accumulated OCI or regulatory asset/liability not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w w:val="95"/>
              </w:rPr>
              <w:t>yet recognized as a component of net periodic benefit cost: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20" w:type="dxa"/>
            <w:vAlign w:val="bottom"/>
          </w:tcPr>
          <w:p>
            <w:pPr>
              <w:ind w:left="140"/>
              <w:spacing w:after="0"/>
              <w:rPr>
                <w:sz w:val="20"/>
                <w:szCs w:val="20"/>
                <w:color w:val="auto"/>
              </w:rPr>
            </w:pPr>
            <w:r>
              <w:rPr>
                <w:rFonts w:ascii="Arial" w:cs="Arial" w:eastAsia="Arial" w:hAnsi="Arial"/>
                <w:sz w:val="17"/>
                <w:szCs w:val="17"/>
                <w:color w:val="auto"/>
              </w:rPr>
              <w:t>Actuarial (gain) loss</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551.8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4"/>
              <w:spacing w:after="0"/>
              <w:rPr>
                <w:sz w:val="20"/>
                <w:szCs w:val="20"/>
                <w:color w:val="auto"/>
              </w:rPr>
            </w:pPr>
            <w:r>
              <w:rPr>
                <w:rFonts w:ascii="Arial" w:cs="Arial" w:eastAsia="Arial" w:hAnsi="Arial"/>
                <w:sz w:val="17"/>
                <w:szCs w:val="17"/>
                <w:color w:val="auto"/>
              </w:rPr>
              <w:t>388.9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218.6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2.2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Prior service cost</w:t>
            </w: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19.1</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1.8</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1.3</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amount recognized at December 31, 2020</w:t>
            </w: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408.0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216.9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100"/>
        <w:spacing w:after="0" w:line="287" w:lineRule="auto"/>
        <w:rPr>
          <w:sz w:val="20"/>
          <w:szCs w:val="20"/>
          <w:color w:val="auto"/>
        </w:rPr>
      </w:pPr>
      <w:r>
        <w:rPr>
          <w:rFonts w:ascii="Arial" w:cs="Arial" w:eastAsia="Arial" w:hAnsi="Arial"/>
          <w:sz w:val="17"/>
          <w:szCs w:val="17"/>
          <w:color w:val="auto"/>
        </w:rPr>
        <w:t>Actuarial gains for the Evergy Companies' pension benefit plans for 2021 were primarily driven by an increase in the discount rate used to measure the benefit obligation as a result of higher market interest rates. See the weighted average assumptions used to determine the benefit obligations in this Note 9 for further information. Actuarial losses for the Evergy Companies' pension benefit plans for 2020 were primarily driven by a decrease in the discount rate used to measure the benefit obligation of approximately 70 basis points as a result of lower market interest rates.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6" w:name="page117"/>
    <w:bookmarkEnd w:id="11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260"/>
        <w:spacing w:after="0" w:line="246" w:lineRule="auto"/>
        <w:rPr>
          <w:sz w:val="20"/>
          <w:szCs w:val="20"/>
          <w:color w:val="auto"/>
        </w:rPr>
      </w:pPr>
      <w:r>
        <w:rPr>
          <w:rFonts w:ascii="Arial" w:cs="Arial" w:eastAsia="Arial" w:hAnsi="Arial"/>
          <w:sz w:val="19"/>
          <w:szCs w:val="19"/>
          <w:color w:val="auto"/>
        </w:rPr>
        <w:t>As of December 31, 2021 and 2020, Evergy's pension benefits include non-qualified benefit obligations of $49.2 million and $52.1 million, respectively, which are funded by trusts containing assets of $44.2 million and $46.3 million, respectively. As of December 31, 2021 and 2020, Evergy Kansas Central's pension benefits include non-qualified benefit obligations of $25.4 million and $27.0 million, respectively, which are funded by trusts containing assets of $31.7 million and $32.7 million, respectively. The assets in the aforementioned trusts are not included in the table above. See Note 13 for more information on these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Pension Benefits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5"/>
          </w:tcPr>
          <w:p>
            <w:pPr>
              <w:jc w:val="center"/>
              <w:ind w:right="54"/>
              <w:spacing w:after="0"/>
              <w:rPr>
                <w:sz w:val="20"/>
                <w:szCs w:val="20"/>
                <w:color w:val="auto"/>
              </w:rPr>
            </w:pPr>
            <w:r>
              <w:rPr>
                <w:rFonts w:ascii="Arial" w:cs="Arial" w:eastAsia="Arial" w:hAnsi="Arial"/>
                <w:sz w:val="17"/>
                <w:szCs w:val="17"/>
                <w:b w:val="1"/>
                <w:bCs w:val="1"/>
                <w:color w:val="auto"/>
                <w:w w:val="89"/>
              </w:rPr>
              <w:t>Post-Retirement Benefits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94"/>
              <w:spacing w:after="0" w:line="173" w:lineRule="exact"/>
              <w:rPr>
                <w:sz w:val="20"/>
                <w:szCs w:val="20"/>
                <w:color w:val="auto"/>
              </w:rPr>
            </w:pPr>
            <w:r>
              <w:rPr>
                <w:rFonts w:ascii="Arial" w:cs="Arial" w:eastAsia="Arial" w:hAnsi="Arial"/>
                <w:sz w:val="17"/>
                <w:szCs w:val="17"/>
                <w:b w:val="1"/>
                <w:bCs w:val="1"/>
                <w:color w:val="auto"/>
                <w:w w:val="91"/>
              </w:rPr>
              <w:t>Evergy</w:t>
            </w:r>
          </w:p>
        </w:tc>
        <w:tc>
          <w:tcPr>
            <w:tcW w:w="140" w:type="dxa"/>
            <w:vAlign w:val="bottom"/>
          </w:tcPr>
          <w:p>
            <w:pPr>
              <w:spacing w:after="0"/>
              <w:rPr>
                <w:sz w:val="15"/>
                <w:szCs w:val="15"/>
                <w:color w:val="auto"/>
              </w:rPr>
            </w:pPr>
          </w:p>
        </w:tc>
        <w:tc>
          <w:tcPr>
            <w:tcW w:w="840" w:type="dxa"/>
            <w:vAlign w:val="bottom"/>
            <w:vMerge w:val="restart"/>
          </w:tcPr>
          <w:p>
            <w:pPr>
              <w:jc w:val="right"/>
              <w:ind w:right="175"/>
              <w:spacing w:after="0"/>
              <w:rPr>
                <w:sz w:val="20"/>
                <w:szCs w:val="20"/>
                <w:color w:val="auto"/>
              </w:rPr>
            </w:pPr>
            <w:r>
              <w:rPr>
                <w:rFonts w:ascii="Arial" w:cs="Arial" w:eastAsia="Arial" w:hAnsi="Arial"/>
                <w:sz w:val="17"/>
                <w:szCs w:val="17"/>
                <w:b w:val="1"/>
                <w:bCs w:val="1"/>
                <w:color w:val="auto"/>
                <w:w w:val="98"/>
              </w:rPr>
              <w:t>Evergy</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34"/>
              <w:spacing w:after="0" w:line="173" w:lineRule="exact"/>
              <w:rPr>
                <w:sz w:val="20"/>
                <w:szCs w:val="20"/>
                <w:color w:val="auto"/>
              </w:rPr>
            </w:pPr>
            <w:r>
              <w:rPr>
                <w:rFonts w:ascii="Arial" w:cs="Arial" w:eastAsia="Arial" w:hAnsi="Arial"/>
                <w:sz w:val="17"/>
                <w:szCs w:val="17"/>
                <w:b w:val="1"/>
                <w:bCs w:val="1"/>
                <w:color w:val="auto"/>
                <w:w w:val="95"/>
              </w:rPr>
              <w:t>Evergy</w:t>
            </w:r>
          </w:p>
        </w:tc>
        <w:tc>
          <w:tcPr>
            <w:tcW w:w="220" w:type="dxa"/>
            <w:vAlign w:val="bottom"/>
          </w:tcPr>
          <w:p>
            <w:pPr>
              <w:spacing w:after="0"/>
              <w:rPr>
                <w:sz w:val="15"/>
                <w:szCs w:val="15"/>
                <w:color w:val="auto"/>
              </w:rPr>
            </w:pPr>
          </w:p>
        </w:tc>
        <w:tc>
          <w:tcPr>
            <w:tcW w:w="76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w w:val="95"/>
              </w:rPr>
              <w:t>Evergy</w:t>
            </w: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Year Ended December 31, 2021</w:t>
            </w:r>
          </w:p>
        </w:tc>
        <w:tc>
          <w:tcPr>
            <w:tcW w:w="160" w:type="dxa"/>
            <w:vAlign w:val="bottom"/>
          </w:tcPr>
          <w:p>
            <w:pPr>
              <w:spacing w:after="0"/>
              <w:rPr>
                <w:sz w:val="14"/>
                <w:szCs w:val="14"/>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95"/>
              </w:rPr>
              <w:t>Evergy</w:t>
            </w:r>
          </w:p>
        </w:tc>
        <w:tc>
          <w:tcPr>
            <w:tcW w:w="300" w:type="dxa"/>
            <w:vAlign w:val="bottom"/>
          </w:tcPr>
          <w:p>
            <w:pPr>
              <w:spacing w:after="0"/>
              <w:rPr>
                <w:sz w:val="14"/>
                <w:szCs w:val="14"/>
                <w:color w:val="auto"/>
              </w:rPr>
            </w:pPr>
          </w:p>
        </w:tc>
        <w:tc>
          <w:tcPr>
            <w:tcW w:w="920" w:type="dxa"/>
            <w:vAlign w:val="bottom"/>
          </w:tcPr>
          <w:p>
            <w:pPr>
              <w:jc w:val="center"/>
              <w:ind w:right="194"/>
              <w:spacing w:after="0" w:line="167" w:lineRule="exact"/>
              <w:rPr>
                <w:sz w:val="20"/>
                <w:szCs w:val="20"/>
                <w:color w:val="auto"/>
              </w:rPr>
            </w:pPr>
            <w:r>
              <w:rPr>
                <w:rFonts w:ascii="Arial" w:cs="Arial" w:eastAsia="Arial" w:hAnsi="Arial"/>
                <w:sz w:val="17"/>
                <w:szCs w:val="17"/>
                <w:b w:val="1"/>
                <w:bCs w:val="1"/>
                <w:color w:val="auto"/>
                <w:w w:val="85"/>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8"/>
              </w:rPr>
              <w:t>Evergy</w:t>
            </w:r>
          </w:p>
        </w:tc>
        <w:tc>
          <w:tcPr>
            <w:tcW w:w="220" w:type="dxa"/>
            <w:vAlign w:val="bottom"/>
          </w:tcPr>
          <w:p>
            <w:pPr>
              <w:spacing w:after="0"/>
              <w:rPr>
                <w:sz w:val="14"/>
                <w:szCs w:val="14"/>
                <w:color w:val="auto"/>
              </w:rPr>
            </w:pPr>
          </w:p>
        </w:tc>
        <w:tc>
          <w:tcPr>
            <w:tcW w:w="840" w:type="dxa"/>
            <w:vAlign w:val="bottom"/>
          </w:tcPr>
          <w:p>
            <w:pPr>
              <w:jc w:val="center"/>
              <w:ind w:right="134"/>
              <w:spacing w:after="0" w:line="167" w:lineRule="exact"/>
              <w:rPr>
                <w:sz w:val="20"/>
                <w:szCs w:val="20"/>
                <w:color w:val="auto"/>
              </w:rPr>
            </w:pPr>
            <w:r>
              <w:rPr>
                <w:rFonts w:ascii="Arial" w:cs="Arial" w:eastAsia="Arial" w:hAnsi="Arial"/>
                <w:sz w:val="17"/>
                <w:szCs w:val="17"/>
                <w:b w:val="1"/>
                <w:bCs w:val="1"/>
                <w:color w:val="auto"/>
                <w:w w:val="89"/>
              </w:rPr>
              <w:t>Kansas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b w:val="1"/>
                <w:bCs w:val="1"/>
                <w:color w:val="auto"/>
                <w:w w:val="95"/>
              </w:rPr>
              <w:t>Central</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Metro</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8"/>
              </w:rPr>
              <w:t>Central</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Metro</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Components of net periodic benefit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674"/>
              <w:spacing w:after="0"/>
              <w:rPr>
                <w:sz w:val="20"/>
                <w:szCs w:val="20"/>
                <w:color w:val="auto"/>
              </w:rPr>
            </w:pPr>
            <w:r>
              <w:rPr>
                <w:rFonts w:ascii="Arial" w:cs="Arial" w:eastAsia="Arial" w:hAnsi="Arial"/>
                <w:sz w:val="15"/>
                <w:szCs w:val="15"/>
                <w:color w:val="auto"/>
              </w:rPr>
              <w:t>(millions)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29.1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53.5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Interest cost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84.2</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41.0</w:t>
            </w:r>
          </w:p>
        </w:tc>
        <w:tc>
          <w:tcPr>
            <w:tcW w:w="1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42.5</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7.8</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Expected return on plan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(52.8)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Prior service cost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Recognized net actuarial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36.0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43.8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Settlement and special termination benefits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25.6</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Net periodic benefit costs before regulatory adjustment and</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3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81.0</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97.8</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4.1</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0.5</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intercompany allocations</w:t>
            </w: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Regulatory adjustment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17.3</w:t>
            </w:r>
          </w:p>
        </w:tc>
        <w:tc>
          <w:tcPr>
            <w:tcW w:w="300" w:type="dxa"/>
            <w:vAlign w:val="bottom"/>
          </w:tcPr>
          <w:p>
            <w:pPr>
              <w:spacing w:after="0"/>
              <w:rPr>
                <w:sz w:val="18"/>
                <w:szCs w:val="18"/>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Intercompany allocations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3.2</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(25.9)</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1"/>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periodic benefit costs (income)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71.1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76.1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(2.8)</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w w:val="92"/>
              </w:rPr>
              <w:t>Other changes in plan assets and benefit obligations recognized in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OCI or regulatory assets/liabilities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Current year net gain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(195.3)</w:t>
            </w:r>
          </w:p>
        </w:tc>
        <w:tc>
          <w:tcPr>
            <w:tcW w:w="300" w:type="dxa"/>
            <w:vAlign w:val="bottom"/>
          </w:tcPr>
          <w:p>
            <w:pPr>
              <w:spacing w:after="0"/>
              <w:rPr>
                <w:sz w:val="18"/>
                <w:szCs w:val="18"/>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(106.3)</w:t>
            </w: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(88.4)</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(13.6)</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(9.6)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(36.0)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(43.9)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(0.5)</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Amortization of prior service cost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(0.5)</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(0.5)</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recognized in OCI or regulatory asset/liability</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(249.7)</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(144.4)</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(132.3)</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(15.4)</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(10.6)</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48"/>
        </w:trPr>
        <w:tc>
          <w:tcPr>
            <w:tcW w:w="5040" w:type="dxa"/>
            <w:vAlign w:val="bottom"/>
          </w:tcPr>
          <w:p>
            <w:pPr>
              <w:ind w:left="220"/>
              <w:spacing w:after="0" w:line="148" w:lineRule="exact"/>
              <w:rPr>
                <w:sz w:val="20"/>
                <w:szCs w:val="20"/>
                <w:color w:val="auto"/>
              </w:rPr>
            </w:pPr>
            <w:r>
              <w:rPr>
                <w:rFonts w:ascii="Arial" w:cs="Arial" w:eastAsia="Arial" w:hAnsi="Arial"/>
                <w:sz w:val="17"/>
                <w:szCs w:val="17"/>
                <w:color w:val="auto"/>
                <w:w w:val="95"/>
              </w:rPr>
              <w:t>Total recognized in net periodic benefit costs and OCI or regulatory</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(78.7)</w:t>
            </w: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ind w:right="74"/>
              <w:spacing w:after="0"/>
              <w:rPr>
                <w:sz w:val="20"/>
                <w:szCs w:val="20"/>
                <w:color w:val="auto"/>
              </w:rPr>
            </w:pPr>
            <w:r>
              <w:rPr>
                <w:rFonts w:ascii="Arial" w:cs="Arial" w:eastAsia="Arial" w:hAnsi="Arial"/>
                <w:sz w:val="17"/>
                <w:szCs w:val="17"/>
                <w:color w:val="auto"/>
              </w:rPr>
              <w:t>(73.3)</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ind w:right="15"/>
              <w:spacing w:after="0"/>
              <w:rPr>
                <w:sz w:val="20"/>
                <w:szCs w:val="20"/>
                <w:color w:val="auto"/>
              </w:rPr>
            </w:pPr>
            <w:r>
              <w:rPr>
                <w:rFonts w:ascii="Arial" w:cs="Arial" w:eastAsia="Arial" w:hAnsi="Arial"/>
                <w:sz w:val="17"/>
                <w:szCs w:val="17"/>
                <w:color w:val="auto"/>
              </w:rPr>
              <w:t>(56.2)</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ind w:right="14"/>
              <w:spacing w:after="0"/>
              <w:rPr>
                <w:sz w:val="20"/>
                <w:szCs w:val="20"/>
                <w:color w:val="auto"/>
              </w:rPr>
            </w:pPr>
            <w:r>
              <w:rPr>
                <w:rFonts w:ascii="Arial" w:cs="Arial" w:eastAsia="Arial" w:hAnsi="Arial"/>
                <w:sz w:val="17"/>
                <w:szCs w:val="17"/>
                <w:color w:val="auto"/>
              </w:rPr>
              <w:t>(16.1)</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ind w:right="14"/>
              <w:spacing w:after="0"/>
              <w:rPr>
                <w:sz w:val="20"/>
                <w:szCs w:val="20"/>
                <w:color w:val="auto"/>
              </w:rPr>
            </w:pPr>
            <w:r>
              <w:rPr>
                <w:rFonts w:ascii="Arial" w:cs="Arial" w:eastAsia="Arial" w:hAnsi="Arial"/>
                <w:sz w:val="17"/>
                <w:szCs w:val="17"/>
                <w:color w:val="auto"/>
              </w:rPr>
              <w:t>(13.4)</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asset/liability</w:t>
            </w:r>
          </w:p>
        </w:tc>
        <w:tc>
          <w:tcPr>
            <w:tcW w:w="1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7" w:name="page118"/>
    <w:bookmarkEnd w:id="11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Pension Benefits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5"/>
          </w:tcPr>
          <w:p>
            <w:pPr>
              <w:jc w:val="center"/>
              <w:ind w:right="54"/>
              <w:spacing w:after="0"/>
              <w:rPr>
                <w:sz w:val="20"/>
                <w:szCs w:val="20"/>
                <w:color w:val="auto"/>
              </w:rPr>
            </w:pPr>
            <w:r>
              <w:rPr>
                <w:rFonts w:ascii="Arial" w:cs="Arial" w:eastAsia="Arial" w:hAnsi="Arial"/>
                <w:sz w:val="17"/>
                <w:szCs w:val="17"/>
                <w:b w:val="1"/>
                <w:bCs w:val="1"/>
                <w:color w:val="auto"/>
                <w:w w:val="89"/>
              </w:rPr>
              <w:t>Post-Retirement Benefits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94"/>
              <w:spacing w:after="0" w:line="173" w:lineRule="exact"/>
              <w:rPr>
                <w:sz w:val="20"/>
                <w:szCs w:val="20"/>
                <w:color w:val="auto"/>
              </w:rPr>
            </w:pPr>
            <w:r>
              <w:rPr>
                <w:rFonts w:ascii="Arial" w:cs="Arial" w:eastAsia="Arial" w:hAnsi="Arial"/>
                <w:sz w:val="17"/>
                <w:szCs w:val="17"/>
                <w:b w:val="1"/>
                <w:bCs w:val="1"/>
                <w:color w:val="auto"/>
                <w:w w:val="91"/>
              </w:rPr>
              <w:t>Evergy</w:t>
            </w:r>
          </w:p>
        </w:tc>
        <w:tc>
          <w:tcPr>
            <w:tcW w:w="14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91"/>
              </w:rPr>
              <w:t>Evergy</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34"/>
              <w:spacing w:after="0" w:line="173" w:lineRule="exact"/>
              <w:rPr>
                <w:sz w:val="20"/>
                <w:szCs w:val="20"/>
                <w:color w:val="auto"/>
              </w:rPr>
            </w:pPr>
            <w:r>
              <w:rPr>
                <w:rFonts w:ascii="Arial" w:cs="Arial" w:eastAsia="Arial" w:hAnsi="Arial"/>
                <w:sz w:val="17"/>
                <w:szCs w:val="17"/>
                <w:b w:val="1"/>
                <w:bCs w:val="1"/>
                <w:color w:val="auto"/>
                <w:w w:val="95"/>
              </w:rPr>
              <w:t>Evergy</w:t>
            </w:r>
          </w:p>
        </w:tc>
        <w:tc>
          <w:tcPr>
            <w:tcW w:w="220" w:type="dxa"/>
            <w:vAlign w:val="bottom"/>
          </w:tcPr>
          <w:p>
            <w:pPr>
              <w:spacing w:after="0"/>
              <w:rPr>
                <w:sz w:val="15"/>
                <w:szCs w:val="15"/>
                <w:color w:val="auto"/>
              </w:rPr>
            </w:pPr>
          </w:p>
        </w:tc>
        <w:tc>
          <w:tcPr>
            <w:tcW w:w="760" w:type="dxa"/>
            <w:vAlign w:val="bottom"/>
            <w:vMerge w:val="restart"/>
          </w:tcPr>
          <w:p>
            <w:pPr>
              <w:jc w:val="center"/>
              <w:ind w:right="74"/>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Year Ended December 31, 2020</w:t>
            </w:r>
          </w:p>
        </w:tc>
        <w:tc>
          <w:tcPr>
            <w:tcW w:w="160" w:type="dxa"/>
            <w:vAlign w:val="bottom"/>
          </w:tcPr>
          <w:p>
            <w:pPr>
              <w:spacing w:after="0"/>
              <w:rPr>
                <w:sz w:val="14"/>
                <w:szCs w:val="14"/>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95"/>
              </w:rPr>
              <w:t>Evergy</w:t>
            </w:r>
          </w:p>
        </w:tc>
        <w:tc>
          <w:tcPr>
            <w:tcW w:w="300" w:type="dxa"/>
            <w:vAlign w:val="bottom"/>
          </w:tcPr>
          <w:p>
            <w:pPr>
              <w:spacing w:after="0"/>
              <w:rPr>
                <w:sz w:val="14"/>
                <w:szCs w:val="14"/>
                <w:color w:val="auto"/>
              </w:rPr>
            </w:pPr>
          </w:p>
        </w:tc>
        <w:tc>
          <w:tcPr>
            <w:tcW w:w="920" w:type="dxa"/>
            <w:vAlign w:val="bottom"/>
          </w:tcPr>
          <w:p>
            <w:pPr>
              <w:jc w:val="center"/>
              <w:ind w:right="194"/>
              <w:spacing w:after="0" w:line="167" w:lineRule="exact"/>
              <w:rPr>
                <w:sz w:val="20"/>
                <w:szCs w:val="20"/>
                <w:color w:val="auto"/>
              </w:rPr>
            </w:pPr>
            <w:r>
              <w:rPr>
                <w:rFonts w:ascii="Arial" w:cs="Arial" w:eastAsia="Arial" w:hAnsi="Arial"/>
                <w:sz w:val="17"/>
                <w:szCs w:val="17"/>
                <w:b w:val="1"/>
                <w:bCs w:val="1"/>
                <w:color w:val="auto"/>
                <w:w w:val="85"/>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8"/>
              </w:rPr>
              <w:t>Evergy</w:t>
            </w:r>
          </w:p>
        </w:tc>
        <w:tc>
          <w:tcPr>
            <w:tcW w:w="220" w:type="dxa"/>
            <w:vAlign w:val="bottom"/>
          </w:tcPr>
          <w:p>
            <w:pPr>
              <w:spacing w:after="0"/>
              <w:rPr>
                <w:sz w:val="14"/>
                <w:szCs w:val="14"/>
                <w:color w:val="auto"/>
              </w:rPr>
            </w:pPr>
          </w:p>
        </w:tc>
        <w:tc>
          <w:tcPr>
            <w:tcW w:w="840" w:type="dxa"/>
            <w:vAlign w:val="bottom"/>
          </w:tcPr>
          <w:p>
            <w:pPr>
              <w:jc w:val="center"/>
              <w:ind w:right="134"/>
              <w:spacing w:after="0" w:line="167" w:lineRule="exact"/>
              <w:rPr>
                <w:sz w:val="20"/>
                <w:szCs w:val="20"/>
                <w:color w:val="auto"/>
              </w:rPr>
            </w:pPr>
            <w:r>
              <w:rPr>
                <w:rFonts w:ascii="Arial" w:cs="Arial" w:eastAsia="Arial" w:hAnsi="Arial"/>
                <w:sz w:val="17"/>
                <w:szCs w:val="17"/>
                <w:b w:val="1"/>
                <w:bCs w:val="1"/>
                <w:color w:val="auto"/>
                <w:w w:val="89"/>
              </w:rPr>
              <w:t>Kansas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b w:val="1"/>
                <w:bCs w:val="1"/>
                <w:color w:val="auto"/>
                <w:w w:val="95"/>
              </w:rPr>
              <w:t>Central</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9"/>
              </w:rPr>
              <w:t>Metro</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8"/>
              </w:rPr>
              <w:t>Central</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9"/>
              </w:rPr>
              <w:t>Metro</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Components of net periodic benefit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674"/>
              <w:spacing w:after="0"/>
              <w:rPr>
                <w:sz w:val="20"/>
                <w:szCs w:val="20"/>
                <w:color w:val="auto"/>
              </w:rPr>
            </w:pPr>
            <w:r>
              <w:rPr>
                <w:rFonts w:ascii="Arial" w:cs="Arial" w:eastAsia="Arial" w:hAnsi="Arial"/>
                <w:sz w:val="15"/>
                <w:szCs w:val="15"/>
                <w:color w:val="auto"/>
              </w:rPr>
              <w:t>(millions)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51.8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Interest cost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96.8</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47.0</w:t>
            </w:r>
          </w:p>
        </w:tc>
        <w:tc>
          <w:tcPr>
            <w:tcW w:w="1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49.1</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9.2</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Expected return on plan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(53.1)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(54.7)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Prior service cost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0.8</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Recognized net actuarial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33.9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Settlement and special termination benefits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14.3</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Net periodic benefit costs before regulatory adjustment and</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129.5</w:t>
            </w:r>
          </w:p>
        </w:tc>
        <w:tc>
          <w:tcPr>
            <w:tcW w:w="3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56.5</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107.0</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intercompany allocations</w:t>
            </w: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Regulatory adjustment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29.6</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(11.6)</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Intercompany allocations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(0.2)</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(22.6)</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1"/>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periodic benefit costs (income)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62.2</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72.8</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w w:val="92"/>
              </w:rPr>
              <w:t>Other changes in plan assets and benefit obligations recognized in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OCI or regulatory assets/liabilities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Current year net loss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169.7</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80.4</w:t>
            </w:r>
          </w:p>
        </w:tc>
        <w:tc>
          <w:tcPr>
            <w:tcW w:w="1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89.3</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8.2</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(33.8)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(60.0)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Prior service cost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8.1</w:t>
            </w: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0.9</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prior service cost</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(0.8)</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(0.5)</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(0.5)</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recognized in OCI or regulatory asset/liability</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53.1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24.6</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8.4</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3.9</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w w:val="95"/>
              </w:rPr>
              <w:t>Total recognized in net periodic benefit costs and OCI or regulatory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271.9</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115.3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97.4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7.7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0.8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asset/liability</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6"/>
              </w:rPr>
              <w:t>Pension Benefits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5"/>
          </w:tcPr>
          <w:p>
            <w:pPr>
              <w:jc w:val="center"/>
              <w:ind w:right="54"/>
              <w:spacing w:after="0"/>
              <w:rPr>
                <w:sz w:val="20"/>
                <w:szCs w:val="20"/>
                <w:color w:val="auto"/>
              </w:rPr>
            </w:pPr>
            <w:r>
              <w:rPr>
                <w:rFonts w:ascii="Arial" w:cs="Arial" w:eastAsia="Arial" w:hAnsi="Arial"/>
                <w:sz w:val="17"/>
                <w:szCs w:val="17"/>
                <w:b w:val="1"/>
                <w:bCs w:val="1"/>
                <w:color w:val="auto"/>
                <w:w w:val="89"/>
              </w:rPr>
              <w:t>Post-Retirement Benefits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94"/>
              <w:spacing w:after="0" w:line="173" w:lineRule="exact"/>
              <w:rPr>
                <w:sz w:val="20"/>
                <w:szCs w:val="20"/>
                <w:color w:val="auto"/>
              </w:rPr>
            </w:pPr>
            <w:r>
              <w:rPr>
                <w:rFonts w:ascii="Arial" w:cs="Arial" w:eastAsia="Arial" w:hAnsi="Arial"/>
                <w:sz w:val="17"/>
                <w:szCs w:val="17"/>
                <w:b w:val="1"/>
                <w:bCs w:val="1"/>
                <w:color w:val="auto"/>
                <w:w w:val="91"/>
              </w:rPr>
              <w:t>Evergy</w:t>
            </w:r>
          </w:p>
        </w:tc>
        <w:tc>
          <w:tcPr>
            <w:tcW w:w="14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91"/>
              </w:rPr>
              <w:t>Evergy</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34"/>
              <w:spacing w:after="0" w:line="173" w:lineRule="exact"/>
              <w:rPr>
                <w:sz w:val="20"/>
                <w:szCs w:val="20"/>
                <w:color w:val="auto"/>
              </w:rPr>
            </w:pPr>
            <w:r>
              <w:rPr>
                <w:rFonts w:ascii="Arial" w:cs="Arial" w:eastAsia="Arial" w:hAnsi="Arial"/>
                <w:sz w:val="17"/>
                <w:szCs w:val="17"/>
                <w:b w:val="1"/>
                <w:bCs w:val="1"/>
                <w:color w:val="auto"/>
                <w:w w:val="95"/>
              </w:rPr>
              <w:t>Evergy</w:t>
            </w:r>
          </w:p>
        </w:tc>
        <w:tc>
          <w:tcPr>
            <w:tcW w:w="220" w:type="dxa"/>
            <w:vAlign w:val="bottom"/>
          </w:tcPr>
          <w:p>
            <w:pPr>
              <w:spacing w:after="0"/>
              <w:rPr>
                <w:sz w:val="15"/>
                <w:szCs w:val="15"/>
                <w:color w:val="auto"/>
              </w:rPr>
            </w:pPr>
          </w:p>
        </w:tc>
        <w:tc>
          <w:tcPr>
            <w:tcW w:w="760" w:type="dxa"/>
            <w:vAlign w:val="bottom"/>
            <w:vMerge w:val="restart"/>
          </w:tcPr>
          <w:p>
            <w:pPr>
              <w:jc w:val="center"/>
              <w:ind w:right="74"/>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Year Ended December 31, 2019</w:t>
            </w:r>
          </w:p>
        </w:tc>
        <w:tc>
          <w:tcPr>
            <w:tcW w:w="160" w:type="dxa"/>
            <w:vAlign w:val="bottom"/>
          </w:tcPr>
          <w:p>
            <w:pPr>
              <w:spacing w:after="0"/>
              <w:rPr>
                <w:sz w:val="14"/>
                <w:szCs w:val="14"/>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95"/>
              </w:rPr>
              <w:t>Evergy</w:t>
            </w:r>
          </w:p>
        </w:tc>
        <w:tc>
          <w:tcPr>
            <w:tcW w:w="300" w:type="dxa"/>
            <w:vAlign w:val="bottom"/>
          </w:tcPr>
          <w:p>
            <w:pPr>
              <w:spacing w:after="0"/>
              <w:rPr>
                <w:sz w:val="14"/>
                <w:szCs w:val="14"/>
                <w:color w:val="auto"/>
              </w:rPr>
            </w:pPr>
          </w:p>
        </w:tc>
        <w:tc>
          <w:tcPr>
            <w:tcW w:w="920" w:type="dxa"/>
            <w:vAlign w:val="bottom"/>
          </w:tcPr>
          <w:p>
            <w:pPr>
              <w:jc w:val="center"/>
              <w:ind w:right="194"/>
              <w:spacing w:after="0" w:line="167" w:lineRule="exact"/>
              <w:rPr>
                <w:sz w:val="20"/>
                <w:szCs w:val="20"/>
                <w:color w:val="auto"/>
              </w:rPr>
            </w:pPr>
            <w:r>
              <w:rPr>
                <w:rFonts w:ascii="Arial" w:cs="Arial" w:eastAsia="Arial" w:hAnsi="Arial"/>
                <w:sz w:val="17"/>
                <w:szCs w:val="17"/>
                <w:b w:val="1"/>
                <w:bCs w:val="1"/>
                <w:color w:val="auto"/>
                <w:w w:val="85"/>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8"/>
              </w:rPr>
              <w:t>Evergy</w:t>
            </w:r>
          </w:p>
        </w:tc>
        <w:tc>
          <w:tcPr>
            <w:tcW w:w="220" w:type="dxa"/>
            <w:vAlign w:val="bottom"/>
          </w:tcPr>
          <w:p>
            <w:pPr>
              <w:spacing w:after="0"/>
              <w:rPr>
                <w:sz w:val="14"/>
                <w:szCs w:val="14"/>
                <w:color w:val="auto"/>
              </w:rPr>
            </w:pPr>
          </w:p>
        </w:tc>
        <w:tc>
          <w:tcPr>
            <w:tcW w:w="840" w:type="dxa"/>
            <w:vAlign w:val="bottom"/>
          </w:tcPr>
          <w:p>
            <w:pPr>
              <w:jc w:val="center"/>
              <w:ind w:right="134"/>
              <w:spacing w:after="0" w:line="167" w:lineRule="exact"/>
              <w:rPr>
                <w:sz w:val="20"/>
                <w:szCs w:val="20"/>
                <w:color w:val="auto"/>
              </w:rPr>
            </w:pPr>
            <w:r>
              <w:rPr>
                <w:rFonts w:ascii="Arial" w:cs="Arial" w:eastAsia="Arial" w:hAnsi="Arial"/>
                <w:sz w:val="17"/>
                <w:szCs w:val="17"/>
                <w:b w:val="1"/>
                <w:bCs w:val="1"/>
                <w:color w:val="auto"/>
                <w:w w:val="89"/>
              </w:rPr>
              <w:t>Kansas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b w:val="1"/>
                <w:bCs w:val="1"/>
                <w:color w:val="auto"/>
                <w:w w:val="95"/>
              </w:rPr>
              <w:t>Central</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9"/>
              </w:rPr>
              <w:t>Metro</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8"/>
              </w:rPr>
              <w:t>Central</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9"/>
              </w:rPr>
              <w:t>Metro</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Components of net periodic benefit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674"/>
              <w:spacing w:after="0"/>
              <w:rPr>
                <w:sz w:val="20"/>
                <w:szCs w:val="20"/>
                <w:color w:val="auto"/>
              </w:rPr>
            </w:pPr>
            <w:r>
              <w:rPr>
                <w:rFonts w:ascii="Arial" w:cs="Arial" w:eastAsia="Arial" w:hAnsi="Arial"/>
                <w:sz w:val="15"/>
                <w:szCs w:val="15"/>
                <w:color w:val="auto"/>
              </w:rPr>
              <w:t>(millions)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29.0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50.1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Interest cost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108.0</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53.7</w:t>
            </w:r>
          </w:p>
        </w:tc>
        <w:tc>
          <w:tcPr>
            <w:tcW w:w="1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53.3</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10.5</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5.6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Expected return on plan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(54.8)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(48.9)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Prior service cost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0.9</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Recognized net actuarial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49.8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Settlement and special termination benefits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23.0</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Net periodic benefit costs before regulatory adjustment and</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3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55.1</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128.2</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(0.1)</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intercompany allocations</w:t>
            </w: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Regulatory adjustment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37.4</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(19.2)</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(3.4)</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Intercompany allocations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(34.4)</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1"/>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periodic benefit costs (income)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168.7</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58.1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74.6</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w w:val="92"/>
              </w:rPr>
              <w:t>Other changes in plan assets and benefit obligations recognized in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OCI or regulatory assets/liabilities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140"/>
              <w:spacing w:after="0"/>
              <w:rPr>
                <w:sz w:val="20"/>
                <w:szCs w:val="20"/>
                <w:color w:val="auto"/>
              </w:rPr>
            </w:pPr>
            <w:r>
              <w:rPr>
                <w:rFonts w:ascii="Arial" w:cs="Arial" w:eastAsia="Arial" w:hAnsi="Arial"/>
                <w:sz w:val="17"/>
                <w:szCs w:val="17"/>
                <w:color w:val="auto"/>
              </w:rPr>
              <w:t>Current year net (gain) loss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84.7</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44.6</w:t>
            </w:r>
          </w:p>
        </w:tc>
        <w:tc>
          <w:tcPr>
            <w:tcW w:w="1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35.9</w:t>
            </w:r>
          </w:p>
        </w:tc>
        <w:tc>
          <w:tcPr>
            <w:tcW w:w="22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0.9</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(25.5)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(72.8)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Amortization of prior service cost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(1.7)</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(0.9)</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(0.5)</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(0.5)</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recognized in OCI or regulatory asset/liability</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17.4</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(37.8)</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1.6</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(3.7)</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48"/>
        </w:trPr>
        <w:tc>
          <w:tcPr>
            <w:tcW w:w="5040" w:type="dxa"/>
            <w:vAlign w:val="bottom"/>
          </w:tcPr>
          <w:p>
            <w:pPr>
              <w:ind w:left="220"/>
              <w:spacing w:after="0" w:line="148" w:lineRule="exact"/>
              <w:rPr>
                <w:sz w:val="20"/>
                <w:szCs w:val="20"/>
                <w:color w:val="auto"/>
              </w:rPr>
            </w:pPr>
            <w:r>
              <w:rPr>
                <w:rFonts w:ascii="Arial" w:cs="Arial" w:eastAsia="Arial" w:hAnsi="Arial"/>
                <w:sz w:val="17"/>
                <w:szCs w:val="17"/>
                <w:color w:val="auto"/>
                <w:w w:val="95"/>
              </w:rPr>
              <w:t>Total recognized in net periodic benefit costs and OCI or regulatory</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202.9</w:t>
            </w: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7"/>
                <w:szCs w:val="17"/>
                <w:color w:val="auto"/>
              </w:rPr>
              <w:t>75.5</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ind w:right="55"/>
              <w:spacing w:after="0"/>
              <w:rPr>
                <w:sz w:val="20"/>
                <w:szCs w:val="20"/>
                <w:color w:val="auto"/>
              </w:rPr>
            </w:pPr>
            <w:r>
              <w:rPr>
                <w:rFonts w:ascii="Arial" w:cs="Arial" w:eastAsia="Arial" w:hAnsi="Arial"/>
                <w:sz w:val="17"/>
                <w:szCs w:val="17"/>
                <w:color w:val="auto"/>
              </w:rPr>
              <w:t>36.8</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ind w:right="54"/>
              <w:spacing w:after="0"/>
              <w:rPr>
                <w:sz w:val="20"/>
                <w:szCs w:val="20"/>
                <w:color w:val="auto"/>
              </w:rPr>
            </w:pPr>
            <w:r>
              <w:rPr>
                <w:rFonts w:ascii="Arial" w:cs="Arial" w:eastAsia="Arial" w:hAnsi="Arial"/>
                <w:sz w:val="17"/>
                <w:szCs w:val="17"/>
                <w:color w:val="auto"/>
              </w:rPr>
              <w:t>0.5</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ind w:right="14"/>
              <w:spacing w:after="0"/>
              <w:rPr>
                <w:sz w:val="20"/>
                <w:szCs w:val="20"/>
                <w:color w:val="auto"/>
              </w:rPr>
            </w:pPr>
            <w:r>
              <w:rPr>
                <w:rFonts w:ascii="Arial" w:cs="Arial" w:eastAsia="Arial" w:hAnsi="Arial"/>
                <w:sz w:val="17"/>
                <w:szCs w:val="17"/>
                <w:color w:val="auto"/>
              </w:rPr>
              <w:t>(6.8)</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asset/liability</w:t>
            </w:r>
          </w:p>
        </w:tc>
        <w:tc>
          <w:tcPr>
            <w:tcW w:w="1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30"/>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114"/>
              <w:spacing w:after="0"/>
              <w:rPr>
                <w:sz w:val="20"/>
                <w:szCs w:val="20"/>
                <w:color w:val="auto"/>
              </w:rPr>
            </w:pPr>
            <w:r>
              <w:rPr>
                <w:rFonts w:ascii="Arial" w:cs="Arial" w:eastAsia="Arial" w:hAnsi="Arial"/>
                <w:sz w:val="17"/>
                <w:szCs w:val="17"/>
                <w:color w:val="auto"/>
              </w:rPr>
              <w:t>116</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8" w:name="page119"/>
    <w:bookmarkEnd w:id="11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For financial reporting purposes, the estimated prior service cost and net actuarial (gain) loss for the defined benefit plans are amortized from accumulated other comprehensive income (OCI) or a regulatory asset into net periodic benefit cost. The Evergy Companies amortize prior service cost on a straight-line basis over the average future service of the active employees (plan participants) benefiting under the plan. Evergy and Evergy Kansas Central amortize the net actuarial (gain) loss on a straight-line basis over the average future service of active plan participants benefiting under the plan without application of an amortization corridor. Evergy Metro amortizes the net actuarial (gain) loss on a rolling five-year average basis.</w:t>
      </w:r>
    </w:p>
    <w:p>
      <w:pPr>
        <w:spacing w:after="0" w:line="183"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Pension and other post-retirement benefit plans with the PBO, accumulated benefit obligation (ABO) or accumulated other post-retirement benefit obligation (APBO) in excess of the fair value of plan assets at year-end are detailed in the following tables.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5"/>
              <w:spacing w:after="0" w:line="194" w:lineRule="exact"/>
              <w:rPr>
                <w:sz w:val="20"/>
                <w:szCs w:val="20"/>
                <w:color w:val="auto"/>
              </w:rPr>
            </w:pPr>
            <w:r>
              <w:rPr>
                <w:rFonts w:ascii="Arial" w:cs="Arial" w:eastAsia="Arial" w:hAnsi="Arial"/>
                <w:sz w:val="17"/>
                <w:szCs w:val="17"/>
                <w:b w:val="1"/>
                <w:bCs w:val="1"/>
                <w:color w:val="auto"/>
                <w:w w:val="91"/>
              </w:rPr>
              <w:t>Evergy</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7"/>
                <w:szCs w:val="17"/>
                <w:b w:val="1"/>
                <w:bCs w:val="1"/>
                <w:color w:val="auto"/>
                <w:w w:val="98"/>
              </w:rPr>
              <w:t>Evergy</w:t>
            </w:r>
          </w:p>
        </w:tc>
        <w:tc>
          <w:tcPr>
            <w:tcW w:w="0" w:type="dxa"/>
            <w:vAlign w:val="bottom"/>
          </w:tcPr>
          <w:p>
            <w:pPr>
              <w:spacing w:after="0"/>
              <w:rPr>
                <w:sz w:val="1"/>
                <w:szCs w:val="1"/>
                <w:color w:val="auto"/>
              </w:rPr>
            </w:pPr>
          </w:p>
        </w:tc>
      </w:tr>
      <w:tr>
        <w:trPr>
          <w:trHeight w:val="168"/>
        </w:trPr>
        <w:tc>
          <w:tcPr>
            <w:tcW w:w="66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December 31, 2021</w:t>
            </w:r>
          </w:p>
        </w:tc>
        <w:tc>
          <w:tcPr>
            <w:tcW w:w="1360" w:type="dxa"/>
            <w:vAlign w:val="bottom"/>
          </w:tcPr>
          <w:p>
            <w:pPr>
              <w:spacing w:after="0"/>
              <w:rPr>
                <w:sz w:val="14"/>
                <w:szCs w:val="14"/>
                <w:color w:val="auto"/>
              </w:rPr>
            </w:pPr>
          </w:p>
        </w:tc>
        <w:tc>
          <w:tcPr>
            <w:tcW w:w="90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w w:val="98"/>
              </w:rPr>
              <w:t>Evergy</w:t>
            </w:r>
          </w:p>
        </w:tc>
        <w:tc>
          <w:tcPr>
            <w:tcW w:w="280" w:type="dxa"/>
            <w:vAlign w:val="bottom"/>
          </w:tcPr>
          <w:p>
            <w:pPr>
              <w:spacing w:after="0"/>
              <w:rPr>
                <w:sz w:val="14"/>
                <w:szCs w:val="14"/>
                <w:color w:val="auto"/>
              </w:rPr>
            </w:pPr>
          </w:p>
        </w:tc>
        <w:tc>
          <w:tcPr>
            <w:tcW w:w="900" w:type="dxa"/>
            <w:vAlign w:val="bottom"/>
          </w:tcPr>
          <w:p>
            <w:pPr>
              <w:jc w:val="center"/>
              <w:ind w:right="155"/>
              <w:spacing w:after="0" w:line="167" w:lineRule="exact"/>
              <w:rPr>
                <w:sz w:val="20"/>
                <w:szCs w:val="20"/>
                <w:color w:val="auto"/>
              </w:rPr>
            </w:pPr>
            <w:r>
              <w:rPr>
                <w:rFonts w:ascii="Arial" w:cs="Arial" w:eastAsia="Arial" w:hAnsi="Arial"/>
                <w:sz w:val="17"/>
                <w:szCs w:val="17"/>
                <w:b w:val="1"/>
                <w:bCs w:val="1"/>
                <w:color w:val="auto"/>
                <w:w w:val="89"/>
              </w:rPr>
              <w:t>Kansas</w:t>
            </w: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5"/>
              </w:rPr>
              <w:t>Central</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Metro</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right="135"/>
              <w:spacing w:after="0"/>
              <w:rPr>
                <w:sz w:val="20"/>
                <w:szCs w:val="20"/>
                <w:color w:val="auto"/>
              </w:rPr>
            </w:pPr>
            <w:r>
              <w:rPr>
                <w:rFonts w:ascii="Arial" w:cs="Arial" w:eastAsia="Arial" w:hAnsi="Arial"/>
                <w:sz w:val="15"/>
                <w:szCs w:val="15"/>
                <w:color w:val="auto"/>
                <w:w w:val="99"/>
              </w:rPr>
              <w:t>(millions)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ABO for all defined benefit pension plans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2,229.1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1,124.2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1,081.1</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Pension plans with the 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Projected benefit obligation</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2,561.7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1,264.4</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1,273.5</w:t>
            </w:r>
          </w:p>
        </w:tc>
        <w:tc>
          <w:tcPr>
            <w:tcW w:w="0" w:type="dxa"/>
            <w:vAlign w:val="bottom"/>
          </w:tcPr>
          <w:p>
            <w:pPr>
              <w:spacing w:after="0"/>
              <w:rPr>
                <w:sz w:val="1"/>
                <w:szCs w:val="1"/>
                <w:color w:val="auto"/>
              </w:rPr>
            </w:pPr>
          </w:p>
        </w:tc>
      </w:tr>
      <w:tr>
        <w:trPr>
          <w:trHeight w:val="21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Fair value of plan assets</w:t>
            </w:r>
          </w:p>
        </w:tc>
        <w:tc>
          <w:tcPr>
            <w:tcW w:w="1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1,714.7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835.7</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879.0</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Pension plans with the ABO in excess of plan assets</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tcPr>
          <w:p>
            <w:pPr>
              <w:ind w:left="20"/>
              <w:spacing w:after="0"/>
              <w:rPr>
                <w:sz w:val="20"/>
                <w:szCs w:val="20"/>
                <w:color w:val="auto"/>
              </w:rPr>
            </w:pPr>
            <w:r>
              <w:rPr>
                <w:rFonts w:ascii="Arial" w:cs="Arial" w:eastAsia="Arial" w:hAnsi="Arial"/>
                <w:sz w:val="17"/>
                <w:szCs w:val="17"/>
                <w:color w:val="auto"/>
              </w:rPr>
              <w:t>Accumulated benefit obligation</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4"/>
              <w:spacing w:after="0"/>
              <w:rPr>
                <w:sz w:val="20"/>
                <w:szCs w:val="20"/>
                <w:color w:val="auto"/>
              </w:rPr>
            </w:pPr>
            <w:r>
              <w:rPr>
                <w:rFonts w:ascii="Arial" w:cs="Arial" w:eastAsia="Arial" w:hAnsi="Arial"/>
                <w:sz w:val="17"/>
                <w:szCs w:val="17"/>
                <w:color w:val="auto"/>
              </w:rPr>
              <w:t>2,229.1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1,124.2</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1,081.1</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Fair value of plan assets</w:t>
            </w:r>
          </w:p>
        </w:tc>
        <w:tc>
          <w:tcPr>
            <w:tcW w:w="1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1,714.7</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835.7</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879.0</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Other post-retirement benefit plans with the APBO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other post-retirement benefit obligation</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258.4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133.9</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Fair value of plan assets</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242.3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124.0</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w:t>
            </w:r>
          </w:p>
        </w:tc>
        <w:tc>
          <w:tcPr>
            <w:tcW w:w="0" w:type="dxa"/>
            <w:vAlign w:val="bottom"/>
          </w:tcPr>
          <w:p>
            <w:pPr>
              <w:spacing w:after="0"/>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5"/>
              <w:spacing w:after="0" w:line="194" w:lineRule="exact"/>
              <w:rPr>
                <w:sz w:val="20"/>
                <w:szCs w:val="20"/>
                <w:color w:val="auto"/>
              </w:rPr>
            </w:pPr>
            <w:r>
              <w:rPr>
                <w:rFonts w:ascii="Arial" w:cs="Arial" w:eastAsia="Arial" w:hAnsi="Arial"/>
                <w:sz w:val="17"/>
                <w:szCs w:val="17"/>
                <w:b w:val="1"/>
                <w:bCs w:val="1"/>
                <w:color w:val="auto"/>
                <w:w w:val="91"/>
              </w:rPr>
              <w:t>Evergy</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7"/>
                <w:szCs w:val="17"/>
                <w:b w:val="1"/>
                <w:bCs w:val="1"/>
                <w:color w:val="auto"/>
                <w:w w:val="98"/>
              </w:rPr>
              <w:t>Evergy</w:t>
            </w:r>
          </w:p>
        </w:tc>
        <w:tc>
          <w:tcPr>
            <w:tcW w:w="0" w:type="dxa"/>
            <w:vAlign w:val="bottom"/>
          </w:tcPr>
          <w:p>
            <w:pPr>
              <w:spacing w:after="0"/>
              <w:rPr>
                <w:sz w:val="1"/>
                <w:szCs w:val="1"/>
                <w:color w:val="auto"/>
              </w:rPr>
            </w:pPr>
          </w:p>
        </w:tc>
      </w:tr>
      <w:tr>
        <w:trPr>
          <w:trHeight w:val="168"/>
        </w:trPr>
        <w:tc>
          <w:tcPr>
            <w:tcW w:w="66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December 31, 2020</w:t>
            </w:r>
          </w:p>
        </w:tc>
        <w:tc>
          <w:tcPr>
            <w:tcW w:w="1360" w:type="dxa"/>
            <w:vAlign w:val="bottom"/>
          </w:tcPr>
          <w:p>
            <w:pPr>
              <w:spacing w:after="0"/>
              <w:rPr>
                <w:sz w:val="14"/>
                <w:szCs w:val="14"/>
                <w:color w:val="auto"/>
              </w:rPr>
            </w:pPr>
          </w:p>
        </w:tc>
        <w:tc>
          <w:tcPr>
            <w:tcW w:w="90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w w:val="98"/>
              </w:rPr>
              <w:t>Evergy</w:t>
            </w:r>
          </w:p>
        </w:tc>
        <w:tc>
          <w:tcPr>
            <w:tcW w:w="280" w:type="dxa"/>
            <w:vAlign w:val="bottom"/>
          </w:tcPr>
          <w:p>
            <w:pPr>
              <w:spacing w:after="0"/>
              <w:rPr>
                <w:sz w:val="14"/>
                <w:szCs w:val="14"/>
                <w:color w:val="auto"/>
              </w:rPr>
            </w:pPr>
          </w:p>
        </w:tc>
        <w:tc>
          <w:tcPr>
            <w:tcW w:w="900" w:type="dxa"/>
            <w:vAlign w:val="bottom"/>
          </w:tcPr>
          <w:p>
            <w:pPr>
              <w:jc w:val="center"/>
              <w:ind w:right="155"/>
              <w:spacing w:after="0" w:line="167" w:lineRule="exact"/>
              <w:rPr>
                <w:sz w:val="20"/>
                <w:szCs w:val="20"/>
                <w:color w:val="auto"/>
              </w:rPr>
            </w:pPr>
            <w:r>
              <w:rPr>
                <w:rFonts w:ascii="Arial" w:cs="Arial" w:eastAsia="Arial" w:hAnsi="Arial"/>
                <w:sz w:val="17"/>
                <w:szCs w:val="17"/>
                <w:b w:val="1"/>
                <w:bCs w:val="1"/>
                <w:color w:val="auto"/>
                <w:w w:val="89"/>
              </w:rPr>
              <w:t>Kansas</w:t>
            </w: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5"/>
              </w:rPr>
              <w:t>Central</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Metro</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right="135"/>
              <w:spacing w:after="0"/>
              <w:rPr>
                <w:sz w:val="20"/>
                <w:szCs w:val="20"/>
                <w:color w:val="auto"/>
              </w:rPr>
            </w:pPr>
            <w:r>
              <w:rPr>
                <w:rFonts w:ascii="Arial" w:cs="Arial" w:eastAsia="Arial" w:hAnsi="Arial"/>
                <w:sz w:val="15"/>
                <w:szCs w:val="15"/>
                <w:color w:val="auto"/>
                <w:w w:val="99"/>
              </w:rPr>
              <w:t>(millions)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ABO for all defined benefit pension plans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2,534.1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1,281.6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1,227.4</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Pension plans with the 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Projected benefit obligation</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2,901.1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1,429.6</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1,446.5</w:t>
            </w:r>
          </w:p>
        </w:tc>
        <w:tc>
          <w:tcPr>
            <w:tcW w:w="0" w:type="dxa"/>
            <w:vAlign w:val="bottom"/>
          </w:tcPr>
          <w:p>
            <w:pPr>
              <w:spacing w:after="0"/>
              <w:rPr>
                <w:sz w:val="1"/>
                <w:szCs w:val="1"/>
                <w:color w:val="auto"/>
              </w:rPr>
            </w:pPr>
          </w:p>
        </w:tc>
      </w:tr>
      <w:tr>
        <w:trPr>
          <w:trHeight w:val="21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Fair value of plan assets</w:t>
            </w:r>
          </w:p>
        </w:tc>
        <w:tc>
          <w:tcPr>
            <w:tcW w:w="1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1,799.1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887.0</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912.1</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Pension plans with the ABO in excess of plan assets</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tcPr>
          <w:p>
            <w:pPr>
              <w:ind w:left="20"/>
              <w:spacing w:after="0"/>
              <w:rPr>
                <w:sz w:val="20"/>
                <w:szCs w:val="20"/>
                <w:color w:val="auto"/>
              </w:rPr>
            </w:pPr>
            <w:r>
              <w:rPr>
                <w:rFonts w:ascii="Arial" w:cs="Arial" w:eastAsia="Arial" w:hAnsi="Arial"/>
                <w:sz w:val="17"/>
                <w:szCs w:val="17"/>
                <w:color w:val="auto"/>
              </w:rPr>
              <w:t>Accumulated benefit obligation</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4"/>
              <w:spacing w:after="0"/>
              <w:rPr>
                <w:sz w:val="20"/>
                <w:szCs w:val="20"/>
                <w:color w:val="auto"/>
              </w:rPr>
            </w:pPr>
            <w:r>
              <w:rPr>
                <w:rFonts w:ascii="Arial" w:cs="Arial" w:eastAsia="Arial" w:hAnsi="Arial"/>
                <w:sz w:val="17"/>
                <w:szCs w:val="17"/>
                <w:color w:val="auto"/>
              </w:rPr>
              <w:t>2,534.1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1,281.6</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1,227.4</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Fair value of plan assets</w:t>
            </w:r>
          </w:p>
        </w:tc>
        <w:tc>
          <w:tcPr>
            <w:tcW w:w="1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1,799.1</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887.0</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912.1</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Other post-retirement benefit plans with the APBO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other post-retirement benefit obligation</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280.4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146.8</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Fair value of plan assets</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248.3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125.8</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expected long-term rate of return on plan assets represents the Evergy Companies' estimate of the long-term return on plan assets and is based on historical and projected rates of return for current and planned asset classes in the plans' investment portfolios. Assumed projected rates of return for each asset class were selected after analyzing historical experience and future expectations of the returns of various asset classes. Based on the target asset allocation for each asset class, the overall expected rate of return for the portfolios was developed and adjusted for the effect of projected benefits paid from plan assets and future plan contributions.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9" w:name="page120"/>
    <w:bookmarkEnd w:id="11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460"/>
        <w:spacing w:after="0" w:line="264" w:lineRule="auto"/>
        <w:rPr>
          <w:sz w:val="20"/>
          <w:szCs w:val="20"/>
          <w:color w:val="auto"/>
        </w:rPr>
      </w:pPr>
      <w:r>
        <w:rPr>
          <w:rFonts w:ascii="Arial" w:cs="Arial" w:eastAsia="Arial" w:hAnsi="Arial"/>
          <w:sz w:val="19"/>
          <w:szCs w:val="19"/>
          <w:color w:val="auto"/>
        </w:rPr>
        <w:t>The following tables provide the weighted-average assumptions used to determine benefit obligations and net costs for the Evergy Companies'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65405</wp:posOffset>
            </wp:positionV>
            <wp:extent cx="711390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jc w:val="center"/>
              <w:ind w:right="34"/>
              <w:spacing w:after="0"/>
              <w:rPr>
                <w:sz w:val="20"/>
                <w:szCs w:val="20"/>
                <w:color w:val="auto"/>
              </w:rPr>
            </w:pPr>
            <w:r>
              <w:rPr>
                <w:rFonts w:ascii="Arial" w:cs="Arial" w:eastAsia="Arial" w:hAnsi="Arial"/>
                <w:sz w:val="17"/>
                <w:szCs w:val="17"/>
                <w:b w:val="1"/>
                <w:bCs w:val="1"/>
                <w:color w:val="auto"/>
                <w:w w:val="86"/>
              </w:rPr>
              <w:t>Pension Benefits</w:t>
            </w:r>
          </w:p>
        </w:tc>
        <w:tc>
          <w:tcPr>
            <w:tcW w:w="1120" w:type="dxa"/>
            <w:vAlign w:val="bottom"/>
          </w:tcPr>
          <w:p>
            <w:pPr>
              <w:spacing w:after="0"/>
              <w:rPr>
                <w:sz w:val="19"/>
                <w:szCs w:val="19"/>
                <w:color w:val="auto"/>
              </w:rPr>
            </w:pPr>
          </w:p>
        </w:tc>
        <w:tc>
          <w:tcPr>
            <w:tcW w:w="33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Post-Retirement Benefits</w:t>
            </w:r>
          </w:p>
        </w:tc>
        <w:tc>
          <w:tcPr>
            <w:tcW w:w="0" w:type="dxa"/>
            <w:vAlign w:val="bottom"/>
          </w:tcPr>
          <w:p>
            <w:pPr>
              <w:spacing w:after="0"/>
              <w:rPr>
                <w:sz w:val="1"/>
                <w:szCs w:val="1"/>
                <w:color w:val="auto"/>
              </w:rPr>
            </w:pPr>
          </w:p>
        </w:tc>
      </w:tr>
      <w:tr>
        <w:trPr>
          <w:trHeight w:val="182"/>
        </w:trPr>
        <w:tc>
          <w:tcPr>
            <w:tcW w:w="4240" w:type="dxa"/>
            <w:vAlign w:val="bottom"/>
            <w:vMerge w:val="restart"/>
          </w:tcPr>
          <w:p>
            <w:pPr>
              <w:ind w:left="20"/>
              <w:spacing w:after="0"/>
              <w:rPr>
                <w:sz w:val="20"/>
                <w:szCs w:val="20"/>
                <w:color w:val="auto"/>
              </w:rPr>
            </w:pPr>
            <w:r>
              <w:rPr>
                <w:rFonts w:ascii="Arial" w:cs="Arial" w:eastAsia="Arial" w:hAnsi="Arial"/>
                <w:sz w:val="17"/>
                <w:szCs w:val="17"/>
                <w:b w:val="1"/>
                <w:bCs w:val="1"/>
                <w:color w:val="auto"/>
                <w:w w:val="96"/>
              </w:rPr>
              <w:t>Weighted-average assumptions used to determine the</w:t>
            </w:r>
          </w:p>
        </w:tc>
        <w:tc>
          <w:tcPr>
            <w:tcW w:w="1120" w:type="dxa"/>
            <w:vAlign w:val="bottom"/>
          </w:tcPr>
          <w:p>
            <w:pPr>
              <w:spacing w:after="0"/>
              <w:rPr>
                <w:sz w:val="15"/>
                <w:szCs w:val="15"/>
                <w:color w:val="auto"/>
              </w:rPr>
            </w:pPr>
          </w:p>
        </w:tc>
        <w:tc>
          <w:tcPr>
            <w:tcW w:w="1400" w:type="dxa"/>
            <w:vAlign w:val="bottom"/>
          </w:tcPr>
          <w:p>
            <w:pPr>
              <w:jc w:val="center"/>
              <w:ind w:right="34"/>
              <w:spacing w:after="0" w:line="182" w:lineRule="exact"/>
              <w:rPr>
                <w:sz w:val="20"/>
                <w:szCs w:val="20"/>
                <w:color w:val="auto"/>
              </w:rPr>
            </w:pPr>
            <w:r>
              <w:rPr>
                <w:rFonts w:ascii="Arial" w:cs="Arial" w:eastAsia="Arial" w:hAnsi="Arial"/>
                <w:sz w:val="17"/>
                <w:szCs w:val="17"/>
                <w:b w:val="1"/>
                <w:bCs w:val="1"/>
                <w:color w:val="auto"/>
                <w:w w:val="91"/>
              </w:rPr>
              <w:t>Evergy</w:t>
            </w:r>
          </w:p>
        </w:tc>
        <w:tc>
          <w:tcPr>
            <w:tcW w:w="1120" w:type="dxa"/>
            <w:vAlign w:val="bottom"/>
            <w:vMerge w:val="restart"/>
          </w:tcPr>
          <w:p>
            <w:pPr>
              <w:jc w:val="center"/>
              <w:ind w:right="194"/>
              <w:spacing w:after="0"/>
              <w:rPr>
                <w:sz w:val="20"/>
                <w:szCs w:val="20"/>
                <w:color w:val="auto"/>
              </w:rPr>
            </w:pPr>
            <w:r>
              <w:rPr>
                <w:rFonts w:ascii="Arial" w:cs="Arial" w:eastAsia="Arial" w:hAnsi="Arial"/>
                <w:sz w:val="17"/>
                <w:szCs w:val="17"/>
                <w:b w:val="1"/>
                <w:bCs w:val="1"/>
                <w:color w:val="auto"/>
                <w:w w:val="91"/>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82" w:lineRule="exact"/>
              <w:rPr>
                <w:sz w:val="20"/>
                <w:szCs w:val="20"/>
                <w:color w:val="auto"/>
              </w:rPr>
            </w:pPr>
            <w:r>
              <w:rPr>
                <w:rFonts w:ascii="Arial" w:cs="Arial" w:eastAsia="Arial" w:hAnsi="Arial"/>
                <w:sz w:val="17"/>
                <w:szCs w:val="17"/>
                <w:b w:val="1"/>
                <w:bCs w:val="1"/>
                <w:color w:val="auto"/>
                <w:w w:val="91"/>
              </w:rPr>
              <w:t>Evergy</w:t>
            </w: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4240" w:type="dxa"/>
            <w:vAlign w:val="bottom"/>
            <w:vMerge w:val="continue"/>
          </w:tcPr>
          <w:p>
            <w:pPr>
              <w:spacing w:after="0"/>
              <w:rPr>
                <w:sz w:val="14"/>
                <w:szCs w:val="14"/>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Evergy</w:t>
            </w:r>
          </w:p>
        </w:tc>
        <w:tc>
          <w:tcPr>
            <w:tcW w:w="140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89"/>
              </w:rPr>
              <w:t>Kansas</w:t>
            </w:r>
          </w:p>
        </w:tc>
        <w:tc>
          <w:tcPr>
            <w:tcW w:w="1120" w:type="dxa"/>
            <w:vAlign w:val="bottom"/>
            <w:vMerge w:val="continue"/>
          </w:tcPr>
          <w:p>
            <w:pPr>
              <w:spacing w:after="0"/>
              <w:rPr>
                <w:sz w:val="14"/>
                <w:szCs w:val="14"/>
                <w:color w:val="auto"/>
              </w:rPr>
            </w:pPr>
          </w:p>
        </w:tc>
        <w:tc>
          <w:tcPr>
            <w:tcW w:w="1160" w:type="dxa"/>
            <w:vAlign w:val="bottom"/>
            <w:vMerge w:val="restart"/>
          </w:tcPr>
          <w:p>
            <w:pPr>
              <w:jc w:val="center"/>
              <w:ind w:right="134"/>
              <w:spacing w:after="0"/>
              <w:rPr>
                <w:sz w:val="20"/>
                <w:szCs w:val="20"/>
                <w:color w:val="auto"/>
              </w:rPr>
            </w:pPr>
            <w:r>
              <w:rPr>
                <w:rFonts w:ascii="Arial" w:cs="Arial" w:eastAsia="Arial" w:hAnsi="Arial"/>
                <w:sz w:val="17"/>
                <w:szCs w:val="17"/>
                <w:b w:val="1"/>
                <w:bCs w:val="1"/>
                <w:color w:val="auto"/>
                <w:w w:val="95"/>
              </w:rPr>
              <w:t>Evergy</w:t>
            </w:r>
          </w:p>
        </w:tc>
        <w:tc>
          <w:tcPr>
            <w:tcW w:w="1180" w:type="dxa"/>
            <w:vAlign w:val="bottom"/>
          </w:tcPr>
          <w:p>
            <w:pPr>
              <w:jc w:val="center"/>
              <w:ind w:right="114"/>
              <w:spacing w:after="0" w:line="167" w:lineRule="exact"/>
              <w:rPr>
                <w:sz w:val="20"/>
                <w:szCs w:val="20"/>
                <w:color w:val="auto"/>
              </w:rPr>
            </w:pPr>
            <w:r>
              <w:rPr>
                <w:rFonts w:ascii="Arial" w:cs="Arial" w:eastAsia="Arial" w:hAnsi="Arial"/>
                <w:sz w:val="17"/>
                <w:szCs w:val="17"/>
                <w:b w:val="1"/>
                <w:bCs w:val="1"/>
                <w:color w:val="auto"/>
                <w:w w:val="89"/>
              </w:rPr>
              <w:t>Kansas</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benefit obligation at December 31, 2021</w:t>
            </w:r>
          </w:p>
        </w:tc>
        <w:tc>
          <w:tcPr>
            <w:tcW w:w="11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5"/>
              </w:rPr>
              <w:t>Central</w:t>
            </w: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99"/>
              </w:rPr>
              <w:t>Metro</w:t>
            </w:r>
          </w:p>
        </w:tc>
        <w:tc>
          <w:tcPr>
            <w:tcW w:w="1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5"/>
              </w:rPr>
              <w:t>Central</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3.10 %</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3.10 %</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3.11 %</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3.12 %</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3.11 %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3.13 %</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Rate of compensation increase</w:t>
            </w:r>
          </w:p>
        </w:tc>
        <w:tc>
          <w:tcPr>
            <w:tcW w:w="1120" w:type="dxa"/>
            <w:vAlign w:val="bottom"/>
          </w:tcPr>
          <w:p>
            <w:pPr>
              <w:jc w:val="right"/>
              <w:spacing w:after="0"/>
              <w:rPr>
                <w:sz w:val="20"/>
                <w:szCs w:val="20"/>
                <w:color w:val="auto"/>
              </w:rPr>
            </w:pPr>
            <w:r>
              <w:rPr>
                <w:rFonts w:ascii="Arial" w:cs="Arial" w:eastAsia="Arial" w:hAnsi="Arial"/>
                <w:sz w:val="17"/>
                <w:szCs w:val="17"/>
                <w:color w:val="auto"/>
              </w:rPr>
              <w:t>3.75 %</w:t>
            </w:r>
          </w:p>
        </w:tc>
        <w:tc>
          <w:tcPr>
            <w:tcW w:w="1400" w:type="dxa"/>
            <w:vAlign w:val="bottom"/>
          </w:tcPr>
          <w:p>
            <w:pPr>
              <w:jc w:val="right"/>
              <w:ind w:right="174"/>
              <w:spacing w:after="0"/>
              <w:rPr>
                <w:sz w:val="20"/>
                <w:szCs w:val="20"/>
                <w:color w:val="auto"/>
              </w:rPr>
            </w:pPr>
            <w:r>
              <w:rPr>
                <w:rFonts w:ascii="Arial" w:cs="Arial" w:eastAsia="Arial" w:hAnsi="Arial"/>
                <w:sz w:val="17"/>
                <w:szCs w:val="17"/>
                <w:color w:val="auto"/>
              </w:rPr>
              <w:t>3.77 %</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3.71 %</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3.75 %</w:t>
            </w:r>
          </w:p>
        </w:tc>
        <w:tc>
          <w:tcPr>
            <w:tcW w:w="1180" w:type="dxa"/>
            <w:vAlign w:val="bottom"/>
          </w:tcPr>
          <w:p>
            <w:pPr>
              <w:jc w:val="center"/>
              <w:ind w:right="134"/>
              <w:spacing w:after="0"/>
              <w:rPr>
                <w:sz w:val="20"/>
                <w:szCs w:val="20"/>
                <w:color w:val="auto"/>
              </w:rPr>
            </w:pPr>
            <w:r>
              <w:rPr>
                <w:rFonts w:ascii="Arial" w:cs="Arial" w:eastAsia="Arial" w:hAnsi="Arial"/>
                <w:sz w:val="17"/>
                <w:szCs w:val="17"/>
                <w:color w:val="auto"/>
                <w:w w:val="84"/>
              </w:rPr>
              <w:t>n/a</w:t>
            </w:r>
          </w:p>
        </w:tc>
        <w:tc>
          <w:tcPr>
            <w:tcW w:w="1000" w:type="dxa"/>
            <w:vAlign w:val="bottom"/>
          </w:tcPr>
          <w:p>
            <w:pPr>
              <w:jc w:val="right"/>
              <w:spacing w:after="0"/>
              <w:rPr>
                <w:sz w:val="20"/>
                <w:szCs w:val="20"/>
                <w:color w:val="auto"/>
              </w:rPr>
            </w:pPr>
            <w:r>
              <w:rPr>
                <w:rFonts w:ascii="Arial" w:cs="Arial" w:eastAsia="Arial" w:hAnsi="Arial"/>
                <w:sz w:val="17"/>
                <w:szCs w:val="17"/>
                <w:color w:val="auto"/>
              </w:rPr>
              <w:t>3.75 %</w:t>
            </w:r>
          </w:p>
        </w:tc>
        <w:tc>
          <w:tcPr>
            <w:tcW w:w="0" w:type="dxa"/>
            <w:vAlign w:val="bottom"/>
          </w:tcPr>
          <w:p>
            <w:pPr>
              <w:spacing w:after="0"/>
              <w:rPr>
                <w:sz w:val="1"/>
                <w:szCs w:val="1"/>
                <w:color w:val="auto"/>
              </w:rPr>
            </w:pPr>
          </w:p>
        </w:tc>
      </w:tr>
      <w:tr>
        <w:trPr>
          <w:trHeight w:val="226"/>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Interest crediting rate for cash balance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4.13 %</w:t>
            </w:r>
          </w:p>
        </w:tc>
        <w:tc>
          <w:tcPr>
            <w:tcW w:w="14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4.00 %</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4.45 %</w:t>
            </w:r>
          </w:p>
        </w:tc>
        <w:tc>
          <w:tcPr>
            <w:tcW w:w="1160" w:type="dxa"/>
            <w:vAlign w:val="bottom"/>
            <w:tcBorders>
              <w:bottom w:val="single" w:sz="8" w:color="auto"/>
            </w:tcBorders>
            <w:shd w:val="clear" w:color="auto" w:fill="CCEEFF"/>
          </w:tcPr>
          <w:p>
            <w:pPr>
              <w:jc w:val="center"/>
              <w:ind w:right="134"/>
              <w:spacing w:after="0"/>
              <w:rPr>
                <w:sz w:val="20"/>
                <w:szCs w:val="20"/>
                <w:color w:val="auto"/>
              </w:rPr>
            </w:pPr>
            <w:r>
              <w:rPr>
                <w:rFonts w:ascii="Arial" w:cs="Arial" w:eastAsia="Arial" w:hAnsi="Arial"/>
                <w:sz w:val="17"/>
                <w:szCs w:val="17"/>
                <w:color w:val="auto"/>
                <w:w w:val="92"/>
              </w:rPr>
              <w:t>n/a</w:t>
            </w:r>
          </w:p>
        </w:tc>
        <w:tc>
          <w:tcPr>
            <w:tcW w:w="1180" w:type="dxa"/>
            <w:vAlign w:val="bottom"/>
            <w:tcBorders>
              <w:bottom w:val="single" w:sz="8" w:color="auto"/>
            </w:tcBorders>
            <w:shd w:val="clear" w:color="auto" w:fill="CCEEFF"/>
          </w:tcPr>
          <w:p>
            <w:pPr>
              <w:jc w:val="center"/>
              <w:ind w:right="134"/>
              <w:spacing w:after="0"/>
              <w:rPr>
                <w:sz w:val="20"/>
                <w:szCs w:val="20"/>
                <w:color w:val="auto"/>
              </w:rPr>
            </w:pPr>
            <w:r>
              <w:rPr>
                <w:rFonts w:ascii="Arial" w:cs="Arial" w:eastAsia="Arial" w:hAnsi="Arial"/>
                <w:sz w:val="17"/>
                <w:szCs w:val="17"/>
                <w:color w:val="auto"/>
                <w:w w:val="84"/>
              </w:rPr>
              <w:t>n/a</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r>
        <w:trPr>
          <w:trHeight w:val="186"/>
        </w:trPr>
        <w:tc>
          <w:tcPr>
            <w:tcW w:w="4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0" w:type="dxa"/>
            <w:vAlign w:val="bottom"/>
          </w:tcPr>
          <w:p>
            <w:pPr>
              <w:jc w:val="center"/>
              <w:ind w:right="34"/>
              <w:spacing w:after="0"/>
              <w:rPr>
                <w:sz w:val="20"/>
                <w:szCs w:val="20"/>
                <w:color w:val="auto"/>
              </w:rPr>
            </w:pPr>
            <w:r>
              <w:rPr>
                <w:rFonts w:ascii="Arial" w:cs="Arial" w:eastAsia="Arial" w:hAnsi="Arial"/>
                <w:sz w:val="17"/>
                <w:szCs w:val="17"/>
                <w:b w:val="1"/>
                <w:bCs w:val="1"/>
                <w:color w:val="auto"/>
                <w:w w:val="86"/>
              </w:rPr>
              <w:t>Pension Benefits</w:t>
            </w:r>
          </w:p>
        </w:tc>
        <w:tc>
          <w:tcPr>
            <w:tcW w:w="1120" w:type="dxa"/>
            <w:vAlign w:val="bottom"/>
          </w:tcPr>
          <w:p>
            <w:pPr>
              <w:spacing w:after="0"/>
              <w:rPr>
                <w:sz w:val="21"/>
                <w:szCs w:val="21"/>
                <w:color w:val="auto"/>
              </w:rPr>
            </w:pPr>
          </w:p>
        </w:tc>
        <w:tc>
          <w:tcPr>
            <w:tcW w:w="33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Post-Retirement Benefits</w:t>
            </w:r>
          </w:p>
        </w:tc>
        <w:tc>
          <w:tcPr>
            <w:tcW w:w="0" w:type="dxa"/>
            <w:vAlign w:val="bottom"/>
          </w:tcPr>
          <w:p>
            <w:pPr>
              <w:spacing w:after="0"/>
              <w:rPr>
                <w:sz w:val="1"/>
                <w:szCs w:val="1"/>
                <w:color w:val="auto"/>
              </w:rPr>
            </w:pPr>
          </w:p>
        </w:tc>
      </w:tr>
      <w:tr>
        <w:trPr>
          <w:trHeight w:val="182"/>
        </w:trPr>
        <w:tc>
          <w:tcPr>
            <w:tcW w:w="4240" w:type="dxa"/>
            <w:vAlign w:val="bottom"/>
            <w:vMerge w:val="restart"/>
          </w:tcPr>
          <w:p>
            <w:pPr>
              <w:ind w:left="20"/>
              <w:spacing w:after="0"/>
              <w:rPr>
                <w:sz w:val="20"/>
                <w:szCs w:val="20"/>
                <w:color w:val="auto"/>
              </w:rPr>
            </w:pPr>
            <w:r>
              <w:rPr>
                <w:rFonts w:ascii="Arial" w:cs="Arial" w:eastAsia="Arial" w:hAnsi="Arial"/>
                <w:sz w:val="17"/>
                <w:szCs w:val="17"/>
                <w:b w:val="1"/>
                <w:bCs w:val="1"/>
                <w:color w:val="auto"/>
                <w:w w:val="96"/>
              </w:rPr>
              <w:t>Weighted-average assumptions used to determine the</w:t>
            </w:r>
          </w:p>
        </w:tc>
        <w:tc>
          <w:tcPr>
            <w:tcW w:w="1120" w:type="dxa"/>
            <w:vAlign w:val="bottom"/>
          </w:tcPr>
          <w:p>
            <w:pPr>
              <w:spacing w:after="0"/>
              <w:rPr>
                <w:sz w:val="15"/>
                <w:szCs w:val="15"/>
                <w:color w:val="auto"/>
              </w:rPr>
            </w:pPr>
          </w:p>
        </w:tc>
        <w:tc>
          <w:tcPr>
            <w:tcW w:w="1400" w:type="dxa"/>
            <w:vAlign w:val="bottom"/>
          </w:tcPr>
          <w:p>
            <w:pPr>
              <w:jc w:val="center"/>
              <w:ind w:right="34"/>
              <w:spacing w:after="0" w:line="182" w:lineRule="exact"/>
              <w:rPr>
                <w:sz w:val="20"/>
                <w:szCs w:val="20"/>
                <w:color w:val="auto"/>
              </w:rPr>
            </w:pPr>
            <w:r>
              <w:rPr>
                <w:rFonts w:ascii="Arial" w:cs="Arial" w:eastAsia="Arial" w:hAnsi="Arial"/>
                <w:sz w:val="17"/>
                <w:szCs w:val="17"/>
                <w:b w:val="1"/>
                <w:bCs w:val="1"/>
                <w:color w:val="auto"/>
                <w:w w:val="91"/>
              </w:rPr>
              <w:t>Evergy</w:t>
            </w:r>
          </w:p>
        </w:tc>
        <w:tc>
          <w:tcPr>
            <w:tcW w:w="1120" w:type="dxa"/>
            <w:vAlign w:val="bottom"/>
            <w:vMerge w:val="restart"/>
          </w:tcPr>
          <w:p>
            <w:pPr>
              <w:jc w:val="center"/>
              <w:ind w:right="194"/>
              <w:spacing w:after="0"/>
              <w:rPr>
                <w:sz w:val="20"/>
                <w:szCs w:val="20"/>
                <w:color w:val="auto"/>
              </w:rPr>
            </w:pPr>
            <w:r>
              <w:rPr>
                <w:rFonts w:ascii="Arial" w:cs="Arial" w:eastAsia="Arial" w:hAnsi="Arial"/>
                <w:sz w:val="17"/>
                <w:szCs w:val="17"/>
                <w:b w:val="1"/>
                <w:bCs w:val="1"/>
                <w:color w:val="auto"/>
                <w:w w:val="91"/>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82" w:lineRule="exact"/>
              <w:rPr>
                <w:sz w:val="20"/>
                <w:szCs w:val="20"/>
                <w:color w:val="auto"/>
              </w:rPr>
            </w:pPr>
            <w:r>
              <w:rPr>
                <w:rFonts w:ascii="Arial" w:cs="Arial" w:eastAsia="Arial" w:hAnsi="Arial"/>
                <w:sz w:val="17"/>
                <w:szCs w:val="17"/>
                <w:b w:val="1"/>
                <w:bCs w:val="1"/>
                <w:color w:val="auto"/>
                <w:w w:val="91"/>
              </w:rPr>
              <w:t>Evergy</w:t>
            </w: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4240" w:type="dxa"/>
            <w:vAlign w:val="bottom"/>
            <w:vMerge w:val="continue"/>
          </w:tcPr>
          <w:p>
            <w:pPr>
              <w:spacing w:after="0"/>
              <w:rPr>
                <w:sz w:val="14"/>
                <w:szCs w:val="14"/>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Evergy</w:t>
            </w:r>
          </w:p>
        </w:tc>
        <w:tc>
          <w:tcPr>
            <w:tcW w:w="140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89"/>
              </w:rPr>
              <w:t>Kansas</w:t>
            </w:r>
          </w:p>
        </w:tc>
        <w:tc>
          <w:tcPr>
            <w:tcW w:w="1120" w:type="dxa"/>
            <w:vAlign w:val="bottom"/>
            <w:vMerge w:val="continue"/>
          </w:tcPr>
          <w:p>
            <w:pPr>
              <w:spacing w:after="0"/>
              <w:rPr>
                <w:sz w:val="14"/>
                <w:szCs w:val="14"/>
                <w:color w:val="auto"/>
              </w:rPr>
            </w:pPr>
          </w:p>
        </w:tc>
        <w:tc>
          <w:tcPr>
            <w:tcW w:w="1160" w:type="dxa"/>
            <w:vAlign w:val="bottom"/>
            <w:vMerge w:val="restart"/>
          </w:tcPr>
          <w:p>
            <w:pPr>
              <w:jc w:val="center"/>
              <w:ind w:right="134"/>
              <w:spacing w:after="0"/>
              <w:rPr>
                <w:sz w:val="20"/>
                <w:szCs w:val="20"/>
                <w:color w:val="auto"/>
              </w:rPr>
            </w:pPr>
            <w:r>
              <w:rPr>
                <w:rFonts w:ascii="Arial" w:cs="Arial" w:eastAsia="Arial" w:hAnsi="Arial"/>
                <w:sz w:val="17"/>
                <w:szCs w:val="17"/>
                <w:b w:val="1"/>
                <w:bCs w:val="1"/>
                <w:color w:val="auto"/>
                <w:w w:val="95"/>
              </w:rPr>
              <w:t>Evergy</w:t>
            </w:r>
          </w:p>
        </w:tc>
        <w:tc>
          <w:tcPr>
            <w:tcW w:w="1180" w:type="dxa"/>
            <w:vAlign w:val="bottom"/>
          </w:tcPr>
          <w:p>
            <w:pPr>
              <w:jc w:val="center"/>
              <w:ind w:right="114"/>
              <w:spacing w:after="0" w:line="167" w:lineRule="exact"/>
              <w:rPr>
                <w:sz w:val="20"/>
                <w:szCs w:val="20"/>
                <w:color w:val="auto"/>
              </w:rPr>
            </w:pPr>
            <w:r>
              <w:rPr>
                <w:rFonts w:ascii="Arial" w:cs="Arial" w:eastAsia="Arial" w:hAnsi="Arial"/>
                <w:sz w:val="17"/>
                <w:szCs w:val="17"/>
                <w:b w:val="1"/>
                <w:bCs w:val="1"/>
                <w:color w:val="auto"/>
                <w:w w:val="89"/>
              </w:rPr>
              <w:t>Kansas</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benefit obligation at December 31, 2020</w:t>
            </w:r>
          </w:p>
        </w:tc>
        <w:tc>
          <w:tcPr>
            <w:tcW w:w="11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5"/>
              </w:rPr>
              <w:t>Central</w:t>
            </w: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99"/>
              </w:rPr>
              <w:t>Metro</w:t>
            </w:r>
          </w:p>
        </w:tc>
        <w:tc>
          <w:tcPr>
            <w:tcW w:w="1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5"/>
              </w:rPr>
              <w:t>Central</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2.95 %</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2.93 %</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2.97 %</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2.84 %</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2.80 %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2.88 %</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Rate of compensation increase</w:t>
            </w:r>
          </w:p>
        </w:tc>
        <w:tc>
          <w:tcPr>
            <w:tcW w:w="1120" w:type="dxa"/>
            <w:vAlign w:val="bottom"/>
          </w:tcPr>
          <w:p>
            <w:pPr>
              <w:jc w:val="right"/>
              <w:spacing w:after="0"/>
              <w:rPr>
                <w:sz w:val="20"/>
                <w:szCs w:val="20"/>
                <w:color w:val="auto"/>
              </w:rPr>
            </w:pPr>
            <w:r>
              <w:rPr>
                <w:rFonts w:ascii="Arial" w:cs="Arial" w:eastAsia="Arial" w:hAnsi="Arial"/>
                <w:sz w:val="17"/>
                <w:szCs w:val="17"/>
                <w:color w:val="auto"/>
              </w:rPr>
              <w:t>3.71 %</w:t>
            </w:r>
          </w:p>
        </w:tc>
        <w:tc>
          <w:tcPr>
            <w:tcW w:w="1400" w:type="dxa"/>
            <w:vAlign w:val="bottom"/>
          </w:tcPr>
          <w:p>
            <w:pPr>
              <w:jc w:val="right"/>
              <w:ind w:right="174"/>
              <w:spacing w:after="0"/>
              <w:rPr>
                <w:sz w:val="20"/>
                <w:szCs w:val="20"/>
                <w:color w:val="auto"/>
              </w:rPr>
            </w:pPr>
            <w:r>
              <w:rPr>
                <w:rFonts w:ascii="Arial" w:cs="Arial" w:eastAsia="Arial" w:hAnsi="Arial"/>
                <w:sz w:val="17"/>
                <w:szCs w:val="17"/>
                <w:color w:val="auto"/>
              </w:rPr>
              <w:t>3.76 %</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3.71 %</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3.75 %</w:t>
            </w:r>
          </w:p>
        </w:tc>
        <w:tc>
          <w:tcPr>
            <w:tcW w:w="1180" w:type="dxa"/>
            <w:vAlign w:val="bottom"/>
          </w:tcPr>
          <w:p>
            <w:pPr>
              <w:jc w:val="center"/>
              <w:ind w:right="134"/>
              <w:spacing w:after="0"/>
              <w:rPr>
                <w:sz w:val="20"/>
                <w:szCs w:val="20"/>
                <w:color w:val="auto"/>
              </w:rPr>
            </w:pPr>
            <w:r>
              <w:rPr>
                <w:rFonts w:ascii="Arial" w:cs="Arial" w:eastAsia="Arial" w:hAnsi="Arial"/>
                <w:sz w:val="17"/>
                <w:szCs w:val="17"/>
                <w:color w:val="auto"/>
                <w:w w:val="84"/>
              </w:rPr>
              <w:t>n/a</w:t>
            </w:r>
          </w:p>
        </w:tc>
        <w:tc>
          <w:tcPr>
            <w:tcW w:w="1000" w:type="dxa"/>
            <w:vAlign w:val="bottom"/>
          </w:tcPr>
          <w:p>
            <w:pPr>
              <w:jc w:val="right"/>
              <w:spacing w:after="0"/>
              <w:rPr>
                <w:sz w:val="20"/>
                <w:szCs w:val="20"/>
                <w:color w:val="auto"/>
              </w:rPr>
            </w:pPr>
            <w:r>
              <w:rPr>
                <w:rFonts w:ascii="Arial" w:cs="Arial" w:eastAsia="Arial" w:hAnsi="Arial"/>
                <w:sz w:val="17"/>
                <w:szCs w:val="17"/>
                <w:color w:val="auto"/>
              </w:rPr>
              <w:t>3.75 %</w:t>
            </w:r>
          </w:p>
        </w:tc>
        <w:tc>
          <w:tcPr>
            <w:tcW w:w="0" w:type="dxa"/>
            <w:vAlign w:val="bottom"/>
          </w:tcPr>
          <w:p>
            <w:pPr>
              <w:spacing w:after="0"/>
              <w:rPr>
                <w:sz w:val="1"/>
                <w:szCs w:val="1"/>
                <w:color w:val="auto"/>
              </w:rPr>
            </w:pPr>
          </w:p>
        </w:tc>
      </w:tr>
      <w:tr>
        <w:trPr>
          <w:trHeight w:val="226"/>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Interest crediting rate for cash balance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4.12 %</w:t>
            </w:r>
          </w:p>
        </w:tc>
        <w:tc>
          <w:tcPr>
            <w:tcW w:w="14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4.00 %</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4.46 %</w:t>
            </w:r>
          </w:p>
        </w:tc>
        <w:tc>
          <w:tcPr>
            <w:tcW w:w="1160" w:type="dxa"/>
            <w:vAlign w:val="bottom"/>
            <w:tcBorders>
              <w:bottom w:val="single" w:sz="8" w:color="auto"/>
            </w:tcBorders>
            <w:shd w:val="clear" w:color="auto" w:fill="CCEEFF"/>
          </w:tcPr>
          <w:p>
            <w:pPr>
              <w:jc w:val="center"/>
              <w:ind w:right="134"/>
              <w:spacing w:after="0"/>
              <w:rPr>
                <w:sz w:val="20"/>
                <w:szCs w:val="20"/>
                <w:color w:val="auto"/>
              </w:rPr>
            </w:pPr>
            <w:r>
              <w:rPr>
                <w:rFonts w:ascii="Arial" w:cs="Arial" w:eastAsia="Arial" w:hAnsi="Arial"/>
                <w:sz w:val="17"/>
                <w:szCs w:val="17"/>
                <w:color w:val="auto"/>
                <w:w w:val="92"/>
              </w:rPr>
              <w:t>n/a</w:t>
            </w:r>
          </w:p>
        </w:tc>
        <w:tc>
          <w:tcPr>
            <w:tcW w:w="1180" w:type="dxa"/>
            <w:vAlign w:val="bottom"/>
            <w:tcBorders>
              <w:bottom w:val="single" w:sz="8" w:color="auto"/>
            </w:tcBorders>
            <w:shd w:val="clear" w:color="auto" w:fill="CCEEFF"/>
          </w:tcPr>
          <w:p>
            <w:pPr>
              <w:jc w:val="center"/>
              <w:ind w:right="134"/>
              <w:spacing w:after="0"/>
              <w:rPr>
                <w:sz w:val="20"/>
                <w:szCs w:val="20"/>
                <w:color w:val="auto"/>
              </w:rPr>
            </w:pPr>
            <w:r>
              <w:rPr>
                <w:rFonts w:ascii="Arial" w:cs="Arial" w:eastAsia="Arial" w:hAnsi="Arial"/>
                <w:sz w:val="17"/>
                <w:szCs w:val="17"/>
                <w:color w:val="auto"/>
                <w:w w:val="84"/>
              </w:rPr>
              <w:t>n/a</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r>
        <w:trPr>
          <w:trHeight w:val="238"/>
        </w:trPr>
        <w:tc>
          <w:tcPr>
            <w:tcW w:w="4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0" w:type="dxa"/>
            <w:vAlign w:val="bottom"/>
          </w:tcPr>
          <w:p>
            <w:pPr>
              <w:jc w:val="center"/>
              <w:ind w:right="34"/>
              <w:spacing w:after="0"/>
              <w:rPr>
                <w:sz w:val="20"/>
                <w:szCs w:val="20"/>
                <w:color w:val="auto"/>
              </w:rPr>
            </w:pPr>
            <w:r>
              <w:rPr>
                <w:rFonts w:ascii="Arial" w:cs="Arial" w:eastAsia="Arial" w:hAnsi="Arial"/>
                <w:sz w:val="17"/>
                <w:szCs w:val="17"/>
                <w:b w:val="1"/>
                <w:bCs w:val="1"/>
                <w:color w:val="auto"/>
                <w:w w:val="86"/>
              </w:rPr>
              <w:t>Pension Benefits</w:t>
            </w:r>
          </w:p>
        </w:tc>
        <w:tc>
          <w:tcPr>
            <w:tcW w:w="1120" w:type="dxa"/>
            <w:vAlign w:val="bottom"/>
          </w:tcPr>
          <w:p>
            <w:pPr>
              <w:spacing w:after="0"/>
              <w:rPr>
                <w:sz w:val="20"/>
                <w:szCs w:val="20"/>
                <w:color w:val="auto"/>
              </w:rPr>
            </w:pPr>
          </w:p>
        </w:tc>
        <w:tc>
          <w:tcPr>
            <w:tcW w:w="33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Post-Retirement Benefits</w:t>
            </w:r>
          </w:p>
        </w:tc>
        <w:tc>
          <w:tcPr>
            <w:tcW w:w="0" w:type="dxa"/>
            <w:vAlign w:val="bottom"/>
          </w:tcPr>
          <w:p>
            <w:pPr>
              <w:spacing w:after="0"/>
              <w:rPr>
                <w:sz w:val="1"/>
                <w:szCs w:val="1"/>
                <w:color w:val="auto"/>
              </w:rPr>
            </w:pPr>
          </w:p>
        </w:tc>
      </w:tr>
      <w:tr>
        <w:trPr>
          <w:trHeight w:val="182"/>
        </w:trPr>
        <w:tc>
          <w:tcPr>
            <w:tcW w:w="4240" w:type="dxa"/>
            <w:vAlign w:val="bottom"/>
            <w:vMerge w:val="restart"/>
          </w:tcPr>
          <w:p>
            <w:pPr>
              <w:ind w:left="20"/>
              <w:spacing w:after="0"/>
              <w:rPr>
                <w:sz w:val="20"/>
                <w:szCs w:val="20"/>
                <w:color w:val="auto"/>
              </w:rPr>
            </w:pPr>
            <w:r>
              <w:rPr>
                <w:rFonts w:ascii="Arial" w:cs="Arial" w:eastAsia="Arial" w:hAnsi="Arial"/>
                <w:sz w:val="17"/>
                <w:szCs w:val="17"/>
                <w:b w:val="1"/>
                <w:bCs w:val="1"/>
                <w:color w:val="auto"/>
                <w:w w:val="96"/>
              </w:rPr>
              <w:t>Weighted-average assumptions used to determine net</w:t>
            </w:r>
          </w:p>
        </w:tc>
        <w:tc>
          <w:tcPr>
            <w:tcW w:w="1120" w:type="dxa"/>
            <w:vAlign w:val="bottom"/>
          </w:tcPr>
          <w:p>
            <w:pPr>
              <w:spacing w:after="0"/>
              <w:rPr>
                <w:sz w:val="15"/>
                <w:szCs w:val="15"/>
                <w:color w:val="auto"/>
              </w:rPr>
            </w:pPr>
          </w:p>
        </w:tc>
        <w:tc>
          <w:tcPr>
            <w:tcW w:w="1400" w:type="dxa"/>
            <w:vAlign w:val="bottom"/>
          </w:tcPr>
          <w:p>
            <w:pPr>
              <w:jc w:val="center"/>
              <w:ind w:right="34"/>
              <w:spacing w:after="0" w:line="182" w:lineRule="exact"/>
              <w:rPr>
                <w:sz w:val="20"/>
                <w:szCs w:val="20"/>
                <w:color w:val="auto"/>
              </w:rPr>
            </w:pPr>
            <w:r>
              <w:rPr>
                <w:rFonts w:ascii="Arial" w:cs="Arial" w:eastAsia="Arial" w:hAnsi="Arial"/>
                <w:sz w:val="17"/>
                <w:szCs w:val="17"/>
                <w:b w:val="1"/>
                <w:bCs w:val="1"/>
                <w:color w:val="auto"/>
                <w:w w:val="91"/>
              </w:rPr>
              <w:t>Evergy</w:t>
            </w:r>
          </w:p>
        </w:tc>
        <w:tc>
          <w:tcPr>
            <w:tcW w:w="1120" w:type="dxa"/>
            <w:vAlign w:val="bottom"/>
            <w:vMerge w:val="restart"/>
          </w:tcPr>
          <w:p>
            <w:pPr>
              <w:jc w:val="center"/>
              <w:ind w:right="194"/>
              <w:spacing w:after="0"/>
              <w:rPr>
                <w:sz w:val="20"/>
                <w:szCs w:val="20"/>
                <w:color w:val="auto"/>
              </w:rPr>
            </w:pPr>
            <w:r>
              <w:rPr>
                <w:rFonts w:ascii="Arial" w:cs="Arial" w:eastAsia="Arial" w:hAnsi="Arial"/>
                <w:sz w:val="17"/>
                <w:szCs w:val="17"/>
                <w:b w:val="1"/>
                <w:bCs w:val="1"/>
                <w:color w:val="auto"/>
                <w:w w:val="91"/>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82" w:lineRule="exact"/>
              <w:rPr>
                <w:sz w:val="20"/>
                <w:szCs w:val="20"/>
                <w:color w:val="auto"/>
              </w:rPr>
            </w:pPr>
            <w:r>
              <w:rPr>
                <w:rFonts w:ascii="Arial" w:cs="Arial" w:eastAsia="Arial" w:hAnsi="Arial"/>
                <w:sz w:val="17"/>
                <w:szCs w:val="17"/>
                <w:b w:val="1"/>
                <w:bCs w:val="1"/>
                <w:color w:val="auto"/>
                <w:w w:val="91"/>
              </w:rPr>
              <w:t>Evergy</w:t>
            </w: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4240" w:type="dxa"/>
            <w:vAlign w:val="bottom"/>
            <w:vMerge w:val="continue"/>
          </w:tcPr>
          <w:p>
            <w:pPr>
              <w:spacing w:after="0"/>
              <w:rPr>
                <w:sz w:val="14"/>
                <w:szCs w:val="14"/>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Evergy</w:t>
            </w:r>
          </w:p>
        </w:tc>
        <w:tc>
          <w:tcPr>
            <w:tcW w:w="140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89"/>
              </w:rPr>
              <w:t>Kansas</w:t>
            </w:r>
          </w:p>
        </w:tc>
        <w:tc>
          <w:tcPr>
            <w:tcW w:w="1120" w:type="dxa"/>
            <w:vAlign w:val="bottom"/>
            <w:vMerge w:val="continue"/>
          </w:tcPr>
          <w:p>
            <w:pPr>
              <w:spacing w:after="0"/>
              <w:rPr>
                <w:sz w:val="14"/>
                <w:szCs w:val="14"/>
                <w:color w:val="auto"/>
              </w:rPr>
            </w:pPr>
          </w:p>
        </w:tc>
        <w:tc>
          <w:tcPr>
            <w:tcW w:w="1160" w:type="dxa"/>
            <w:vAlign w:val="bottom"/>
            <w:vMerge w:val="restart"/>
          </w:tcPr>
          <w:p>
            <w:pPr>
              <w:jc w:val="center"/>
              <w:ind w:right="134"/>
              <w:spacing w:after="0"/>
              <w:rPr>
                <w:sz w:val="20"/>
                <w:szCs w:val="20"/>
                <w:color w:val="auto"/>
              </w:rPr>
            </w:pPr>
            <w:r>
              <w:rPr>
                <w:rFonts w:ascii="Arial" w:cs="Arial" w:eastAsia="Arial" w:hAnsi="Arial"/>
                <w:sz w:val="17"/>
                <w:szCs w:val="17"/>
                <w:b w:val="1"/>
                <w:bCs w:val="1"/>
                <w:color w:val="auto"/>
                <w:w w:val="95"/>
              </w:rPr>
              <w:t>Evergy</w:t>
            </w:r>
          </w:p>
        </w:tc>
        <w:tc>
          <w:tcPr>
            <w:tcW w:w="1180" w:type="dxa"/>
            <w:vAlign w:val="bottom"/>
          </w:tcPr>
          <w:p>
            <w:pPr>
              <w:jc w:val="center"/>
              <w:ind w:right="114"/>
              <w:spacing w:after="0" w:line="167" w:lineRule="exact"/>
              <w:rPr>
                <w:sz w:val="20"/>
                <w:szCs w:val="20"/>
                <w:color w:val="auto"/>
              </w:rPr>
            </w:pPr>
            <w:r>
              <w:rPr>
                <w:rFonts w:ascii="Arial" w:cs="Arial" w:eastAsia="Arial" w:hAnsi="Arial"/>
                <w:sz w:val="17"/>
                <w:szCs w:val="17"/>
                <w:b w:val="1"/>
                <w:bCs w:val="1"/>
                <w:color w:val="auto"/>
                <w:w w:val="89"/>
              </w:rPr>
              <w:t>Kansas</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costs for the year ended December 31, 2021</w:t>
            </w:r>
          </w:p>
        </w:tc>
        <w:tc>
          <w:tcPr>
            <w:tcW w:w="11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5"/>
              </w:rPr>
              <w:t>Central</w:t>
            </w: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99"/>
              </w:rPr>
              <w:t>Metro</w:t>
            </w:r>
          </w:p>
        </w:tc>
        <w:tc>
          <w:tcPr>
            <w:tcW w:w="1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5"/>
              </w:rPr>
              <w:t>Central</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2.95 %</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2.93 %</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2.97 %</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2.84 %</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2.80 %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2.88 %</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Expected long-term return on plan assets</w:t>
            </w:r>
          </w:p>
        </w:tc>
        <w:tc>
          <w:tcPr>
            <w:tcW w:w="1120" w:type="dxa"/>
            <w:vAlign w:val="bottom"/>
          </w:tcPr>
          <w:p>
            <w:pPr>
              <w:jc w:val="right"/>
              <w:spacing w:after="0"/>
              <w:rPr>
                <w:sz w:val="20"/>
                <w:szCs w:val="20"/>
                <w:color w:val="auto"/>
              </w:rPr>
            </w:pPr>
            <w:r>
              <w:rPr>
                <w:rFonts w:ascii="Arial" w:cs="Arial" w:eastAsia="Arial" w:hAnsi="Arial"/>
                <w:sz w:val="17"/>
                <w:szCs w:val="17"/>
                <w:color w:val="auto"/>
              </w:rPr>
              <w:t>6.63 %</w:t>
            </w:r>
          </w:p>
        </w:tc>
        <w:tc>
          <w:tcPr>
            <w:tcW w:w="1400" w:type="dxa"/>
            <w:vAlign w:val="bottom"/>
          </w:tcPr>
          <w:p>
            <w:pPr>
              <w:jc w:val="right"/>
              <w:ind w:right="174"/>
              <w:spacing w:after="0"/>
              <w:rPr>
                <w:sz w:val="20"/>
                <w:szCs w:val="20"/>
                <w:color w:val="auto"/>
              </w:rPr>
            </w:pPr>
            <w:r>
              <w:rPr>
                <w:rFonts w:ascii="Arial" w:cs="Arial" w:eastAsia="Arial" w:hAnsi="Arial"/>
                <w:sz w:val="17"/>
                <w:szCs w:val="17"/>
                <w:color w:val="auto"/>
              </w:rPr>
              <w:t>6.70 %</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6.57 %</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3.93 %</w:t>
            </w: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5.55 %</w:t>
            </w:r>
          </w:p>
        </w:tc>
        <w:tc>
          <w:tcPr>
            <w:tcW w:w="1000" w:type="dxa"/>
            <w:vAlign w:val="bottom"/>
          </w:tcPr>
          <w:p>
            <w:pPr>
              <w:jc w:val="right"/>
              <w:spacing w:after="0"/>
              <w:rPr>
                <w:sz w:val="20"/>
                <w:szCs w:val="20"/>
                <w:color w:val="auto"/>
              </w:rPr>
            </w:pPr>
            <w:r>
              <w:rPr>
                <w:rFonts w:ascii="Arial" w:cs="Arial" w:eastAsia="Arial" w:hAnsi="Arial"/>
                <w:sz w:val="17"/>
                <w:szCs w:val="17"/>
                <w:color w:val="auto"/>
              </w:rPr>
              <w:t>2.27 %</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 of compensation increase</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3.71 %</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3.78 %</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3.71 %</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3.75 %</w:t>
            </w:r>
          </w:p>
        </w:tc>
        <w:tc>
          <w:tcPr>
            <w:tcW w:w="1180" w:type="dxa"/>
            <w:vAlign w:val="bottom"/>
            <w:shd w:val="clear" w:color="auto" w:fill="CCEEFF"/>
          </w:tcPr>
          <w:p>
            <w:pPr>
              <w:jc w:val="center"/>
              <w:ind w:right="134"/>
              <w:spacing w:after="0"/>
              <w:rPr>
                <w:sz w:val="20"/>
                <w:szCs w:val="20"/>
                <w:color w:val="auto"/>
              </w:rPr>
            </w:pPr>
            <w:r>
              <w:rPr>
                <w:rFonts w:ascii="Arial" w:cs="Arial" w:eastAsia="Arial" w:hAnsi="Arial"/>
                <w:sz w:val="17"/>
                <w:szCs w:val="17"/>
                <w:color w:val="auto"/>
                <w:w w:val="84"/>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3.75 %</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crediting rate for cash balance plans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4.12 %</w:t>
            </w: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4.00 %</w:t>
            </w: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4.46 %</w:t>
            </w: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92"/>
              </w:rPr>
              <w:t>n/a</w:t>
            </w:r>
          </w:p>
        </w:tc>
        <w:tc>
          <w:tcPr>
            <w:tcW w:w="11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84"/>
              </w:rPr>
              <w:t>n/a</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r>
        <w:trPr>
          <w:trHeight w:val="186"/>
        </w:trPr>
        <w:tc>
          <w:tcPr>
            <w:tcW w:w="4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0" w:type="dxa"/>
            <w:vAlign w:val="bottom"/>
          </w:tcPr>
          <w:p>
            <w:pPr>
              <w:jc w:val="center"/>
              <w:ind w:right="34"/>
              <w:spacing w:after="0"/>
              <w:rPr>
                <w:sz w:val="20"/>
                <w:szCs w:val="20"/>
                <w:color w:val="auto"/>
              </w:rPr>
            </w:pPr>
            <w:r>
              <w:rPr>
                <w:rFonts w:ascii="Arial" w:cs="Arial" w:eastAsia="Arial" w:hAnsi="Arial"/>
                <w:sz w:val="17"/>
                <w:szCs w:val="17"/>
                <w:b w:val="1"/>
                <w:bCs w:val="1"/>
                <w:color w:val="auto"/>
                <w:w w:val="86"/>
              </w:rPr>
              <w:t>Pension Benefits</w:t>
            </w:r>
          </w:p>
        </w:tc>
        <w:tc>
          <w:tcPr>
            <w:tcW w:w="1120" w:type="dxa"/>
            <w:vAlign w:val="bottom"/>
          </w:tcPr>
          <w:p>
            <w:pPr>
              <w:spacing w:after="0"/>
              <w:rPr>
                <w:sz w:val="20"/>
                <w:szCs w:val="20"/>
                <w:color w:val="auto"/>
              </w:rPr>
            </w:pPr>
          </w:p>
        </w:tc>
        <w:tc>
          <w:tcPr>
            <w:tcW w:w="33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Post-Retirement Benefits</w:t>
            </w:r>
          </w:p>
        </w:tc>
        <w:tc>
          <w:tcPr>
            <w:tcW w:w="0" w:type="dxa"/>
            <w:vAlign w:val="bottom"/>
          </w:tcPr>
          <w:p>
            <w:pPr>
              <w:spacing w:after="0"/>
              <w:rPr>
                <w:sz w:val="1"/>
                <w:szCs w:val="1"/>
                <w:color w:val="auto"/>
              </w:rPr>
            </w:pPr>
          </w:p>
        </w:tc>
      </w:tr>
      <w:tr>
        <w:trPr>
          <w:trHeight w:val="182"/>
        </w:trPr>
        <w:tc>
          <w:tcPr>
            <w:tcW w:w="4240" w:type="dxa"/>
            <w:vAlign w:val="bottom"/>
            <w:vMerge w:val="restart"/>
          </w:tcPr>
          <w:p>
            <w:pPr>
              <w:ind w:left="20"/>
              <w:spacing w:after="0"/>
              <w:rPr>
                <w:sz w:val="20"/>
                <w:szCs w:val="20"/>
                <w:color w:val="auto"/>
              </w:rPr>
            </w:pPr>
            <w:r>
              <w:rPr>
                <w:rFonts w:ascii="Arial" w:cs="Arial" w:eastAsia="Arial" w:hAnsi="Arial"/>
                <w:sz w:val="17"/>
                <w:szCs w:val="17"/>
                <w:b w:val="1"/>
                <w:bCs w:val="1"/>
                <w:color w:val="auto"/>
                <w:w w:val="96"/>
              </w:rPr>
              <w:t>Weighted-average assumptions used to determine net</w:t>
            </w:r>
          </w:p>
        </w:tc>
        <w:tc>
          <w:tcPr>
            <w:tcW w:w="1120" w:type="dxa"/>
            <w:vAlign w:val="bottom"/>
          </w:tcPr>
          <w:p>
            <w:pPr>
              <w:spacing w:after="0"/>
              <w:rPr>
                <w:sz w:val="15"/>
                <w:szCs w:val="15"/>
                <w:color w:val="auto"/>
              </w:rPr>
            </w:pPr>
          </w:p>
        </w:tc>
        <w:tc>
          <w:tcPr>
            <w:tcW w:w="1400" w:type="dxa"/>
            <w:vAlign w:val="bottom"/>
          </w:tcPr>
          <w:p>
            <w:pPr>
              <w:jc w:val="center"/>
              <w:ind w:right="34"/>
              <w:spacing w:after="0" w:line="182" w:lineRule="exact"/>
              <w:rPr>
                <w:sz w:val="20"/>
                <w:szCs w:val="20"/>
                <w:color w:val="auto"/>
              </w:rPr>
            </w:pPr>
            <w:r>
              <w:rPr>
                <w:rFonts w:ascii="Arial" w:cs="Arial" w:eastAsia="Arial" w:hAnsi="Arial"/>
                <w:sz w:val="17"/>
                <w:szCs w:val="17"/>
                <w:b w:val="1"/>
                <w:bCs w:val="1"/>
                <w:color w:val="auto"/>
                <w:w w:val="91"/>
              </w:rPr>
              <w:t>Evergy</w:t>
            </w:r>
          </w:p>
        </w:tc>
        <w:tc>
          <w:tcPr>
            <w:tcW w:w="1120" w:type="dxa"/>
            <w:vAlign w:val="bottom"/>
            <w:vMerge w:val="restart"/>
          </w:tcPr>
          <w:p>
            <w:pPr>
              <w:jc w:val="center"/>
              <w:ind w:right="194"/>
              <w:spacing w:after="0"/>
              <w:rPr>
                <w:sz w:val="20"/>
                <w:szCs w:val="20"/>
                <w:color w:val="auto"/>
              </w:rPr>
            </w:pPr>
            <w:r>
              <w:rPr>
                <w:rFonts w:ascii="Arial" w:cs="Arial" w:eastAsia="Arial" w:hAnsi="Arial"/>
                <w:sz w:val="17"/>
                <w:szCs w:val="17"/>
                <w:b w:val="1"/>
                <w:bCs w:val="1"/>
                <w:color w:val="auto"/>
                <w:w w:val="91"/>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82" w:lineRule="exact"/>
              <w:rPr>
                <w:sz w:val="20"/>
                <w:szCs w:val="20"/>
                <w:color w:val="auto"/>
              </w:rPr>
            </w:pPr>
            <w:r>
              <w:rPr>
                <w:rFonts w:ascii="Arial" w:cs="Arial" w:eastAsia="Arial" w:hAnsi="Arial"/>
                <w:sz w:val="17"/>
                <w:szCs w:val="17"/>
                <w:b w:val="1"/>
                <w:bCs w:val="1"/>
                <w:color w:val="auto"/>
                <w:w w:val="91"/>
              </w:rPr>
              <w:t>Evergy</w:t>
            </w: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4240" w:type="dxa"/>
            <w:vAlign w:val="bottom"/>
            <w:vMerge w:val="continue"/>
          </w:tcPr>
          <w:p>
            <w:pPr>
              <w:spacing w:after="0"/>
              <w:rPr>
                <w:sz w:val="14"/>
                <w:szCs w:val="14"/>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Evergy</w:t>
            </w:r>
          </w:p>
        </w:tc>
        <w:tc>
          <w:tcPr>
            <w:tcW w:w="140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89"/>
              </w:rPr>
              <w:t>Kansas</w:t>
            </w:r>
          </w:p>
        </w:tc>
        <w:tc>
          <w:tcPr>
            <w:tcW w:w="1120" w:type="dxa"/>
            <w:vAlign w:val="bottom"/>
            <w:vMerge w:val="continue"/>
          </w:tcPr>
          <w:p>
            <w:pPr>
              <w:spacing w:after="0"/>
              <w:rPr>
                <w:sz w:val="14"/>
                <w:szCs w:val="14"/>
                <w:color w:val="auto"/>
              </w:rPr>
            </w:pPr>
          </w:p>
        </w:tc>
        <w:tc>
          <w:tcPr>
            <w:tcW w:w="1160" w:type="dxa"/>
            <w:vAlign w:val="bottom"/>
            <w:vMerge w:val="restart"/>
          </w:tcPr>
          <w:p>
            <w:pPr>
              <w:jc w:val="center"/>
              <w:ind w:right="134"/>
              <w:spacing w:after="0"/>
              <w:rPr>
                <w:sz w:val="20"/>
                <w:szCs w:val="20"/>
                <w:color w:val="auto"/>
              </w:rPr>
            </w:pPr>
            <w:r>
              <w:rPr>
                <w:rFonts w:ascii="Arial" w:cs="Arial" w:eastAsia="Arial" w:hAnsi="Arial"/>
                <w:sz w:val="17"/>
                <w:szCs w:val="17"/>
                <w:b w:val="1"/>
                <w:bCs w:val="1"/>
                <w:color w:val="auto"/>
                <w:w w:val="95"/>
              </w:rPr>
              <w:t>Evergy</w:t>
            </w:r>
          </w:p>
        </w:tc>
        <w:tc>
          <w:tcPr>
            <w:tcW w:w="1180" w:type="dxa"/>
            <w:vAlign w:val="bottom"/>
          </w:tcPr>
          <w:p>
            <w:pPr>
              <w:jc w:val="center"/>
              <w:ind w:right="114"/>
              <w:spacing w:after="0" w:line="167" w:lineRule="exact"/>
              <w:rPr>
                <w:sz w:val="20"/>
                <w:szCs w:val="20"/>
                <w:color w:val="auto"/>
              </w:rPr>
            </w:pPr>
            <w:r>
              <w:rPr>
                <w:rFonts w:ascii="Arial" w:cs="Arial" w:eastAsia="Arial" w:hAnsi="Arial"/>
                <w:sz w:val="17"/>
                <w:szCs w:val="17"/>
                <w:b w:val="1"/>
                <w:bCs w:val="1"/>
                <w:color w:val="auto"/>
                <w:w w:val="89"/>
              </w:rPr>
              <w:t>Kansas</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costs for the year ended December 31, 2020</w:t>
            </w:r>
          </w:p>
        </w:tc>
        <w:tc>
          <w:tcPr>
            <w:tcW w:w="11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5"/>
              </w:rPr>
              <w:t>Central</w:t>
            </w: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99"/>
              </w:rPr>
              <w:t>Metro</w:t>
            </w:r>
          </w:p>
        </w:tc>
        <w:tc>
          <w:tcPr>
            <w:tcW w:w="1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5"/>
              </w:rPr>
              <w:t>Central</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3.62 %</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3.61 %</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3.64 %</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3.56 %</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3.54 %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3.58 %</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Expected long-term return on plan assets</w:t>
            </w:r>
          </w:p>
        </w:tc>
        <w:tc>
          <w:tcPr>
            <w:tcW w:w="1120" w:type="dxa"/>
            <w:vAlign w:val="bottom"/>
          </w:tcPr>
          <w:p>
            <w:pPr>
              <w:jc w:val="right"/>
              <w:spacing w:after="0"/>
              <w:rPr>
                <w:sz w:val="20"/>
                <w:szCs w:val="20"/>
                <w:color w:val="auto"/>
              </w:rPr>
            </w:pPr>
            <w:r>
              <w:rPr>
                <w:rFonts w:ascii="Arial" w:cs="Arial" w:eastAsia="Arial" w:hAnsi="Arial"/>
                <w:sz w:val="17"/>
                <w:szCs w:val="17"/>
                <w:color w:val="auto"/>
              </w:rPr>
              <w:t>6.63 %</w:t>
            </w:r>
          </w:p>
        </w:tc>
        <w:tc>
          <w:tcPr>
            <w:tcW w:w="1400" w:type="dxa"/>
            <w:vAlign w:val="bottom"/>
          </w:tcPr>
          <w:p>
            <w:pPr>
              <w:jc w:val="right"/>
              <w:ind w:right="174"/>
              <w:spacing w:after="0"/>
              <w:rPr>
                <w:sz w:val="20"/>
                <w:szCs w:val="20"/>
                <w:color w:val="auto"/>
              </w:rPr>
            </w:pPr>
            <w:r>
              <w:rPr>
                <w:rFonts w:ascii="Arial" w:cs="Arial" w:eastAsia="Arial" w:hAnsi="Arial"/>
                <w:sz w:val="17"/>
                <w:szCs w:val="17"/>
                <w:color w:val="auto"/>
              </w:rPr>
              <w:t>6.70 %</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6.56 %</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4.19 %</w:t>
            </w: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6.00 %</w:t>
            </w:r>
          </w:p>
        </w:tc>
        <w:tc>
          <w:tcPr>
            <w:tcW w:w="1000" w:type="dxa"/>
            <w:vAlign w:val="bottom"/>
          </w:tcPr>
          <w:p>
            <w:pPr>
              <w:jc w:val="right"/>
              <w:spacing w:after="0"/>
              <w:rPr>
                <w:sz w:val="20"/>
                <w:szCs w:val="20"/>
                <w:color w:val="auto"/>
              </w:rPr>
            </w:pPr>
            <w:r>
              <w:rPr>
                <w:rFonts w:ascii="Arial" w:cs="Arial" w:eastAsia="Arial" w:hAnsi="Arial"/>
                <w:sz w:val="17"/>
                <w:szCs w:val="17"/>
                <w:color w:val="auto"/>
              </w:rPr>
              <w:t>2.37 %</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 of compensation increase</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3.74 %</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3.75 %</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3.71 %</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3.75 %</w:t>
            </w:r>
          </w:p>
        </w:tc>
        <w:tc>
          <w:tcPr>
            <w:tcW w:w="1180" w:type="dxa"/>
            <w:vAlign w:val="bottom"/>
            <w:shd w:val="clear" w:color="auto" w:fill="CCEEFF"/>
          </w:tcPr>
          <w:p>
            <w:pPr>
              <w:jc w:val="center"/>
              <w:ind w:right="134"/>
              <w:spacing w:after="0"/>
              <w:rPr>
                <w:sz w:val="20"/>
                <w:szCs w:val="20"/>
                <w:color w:val="auto"/>
              </w:rPr>
            </w:pPr>
            <w:r>
              <w:rPr>
                <w:rFonts w:ascii="Arial" w:cs="Arial" w:eastAsia="Arial" w:hAnsi="Arial"/>
                <w:sz w:val="17"/>
                <w:szCs w:val="17"/>
                <w:color w:val="auto"/>
                <w:w w:val="84"/>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3.75 %</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crediting rate for cash balance plans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4.32 %</w:t>
            </w: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4.21 %</w:t>
            </w: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4.50 %</w:t>
            </w: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92"/>
              </w:rPr>
              <w:t>n/a</w:t>
            </w:r>
          </w:p>
        </w:tc>
        <w:tc>
          <w:tcPr>
            <w:tcW w:w="11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84"/>
              </w:rPr>
              <w:t>n/a</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Evergy expects to contribute $92.9 million to the pension plans in 2022 to meet Employee Retirement Income Security Act of 1974, as amended (ERISA) funding requirements and regulatory orders, of which $30.6 million is expected to be paid by Evergy Kansas Central and $62.3 million is expected to be paid by Evergy Metro. The Evergy Companies' funding policy is to contribute amounts sufficient to meet the ERISA funding requirements and MPSC and KCC rate orders plus additional amounts as considered appropriate; therefore, actual contributions may differ from expected contributions. Also in 2022, Evergy expects to contribute $2.2 million to the post-retirement benefit plans, of which $0.5 million is expected to be paid by Evergy Kansas Central and $1.7 million is expected to be paid by Evergy Metro.</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0" w:name="page121"/>
    <w:bookmarkEnd w:id="12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benefit payments, which reflect expected future service, as appropriate, are expected to be paid through 2031.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Pension Benefits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gridSpan w:val="4"/>
          </w:tcPr>
          <w:p>
            <w:pPr>
              <w:jc w:val="center"/>
              <w:ind w:left="474"/>
              <w:spacing w:after="0"/>
              <w:rPr>
                <w:sz w:val="20"/>
                <w:szCs w:val="20"/>
                <w:color w:val="auto"/>
              </w:rPr>
            </w:pPr>
            <w:r>
              <w:rPr>
                <w:rFonts w:ascii="Arial" w:cs="Arial" w:eastAsia="Arial" w:hAnsi="Arial"/>
                <w:sz w:val="17"/>
                <w:szCs w:val="17"/>
                <w:b w:val="1"/>
                <w:bCs w:val="1"/>
                <w:color w:val="auto"/>
                <w:w w:val="89"/>
              </w:rPr>
              <w:t>Post-Retirement Benefits</w:t>
            </w: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center"/>
              <w:ind w:right="254"/>
              <w:spacing w:after="0" w:line="173" w:lineRule="exact"/>
              <w:rPr>
                <w:sz w:val="20"/>
                <w:szCs w:val="20"/>
                <w:color w:val="auto"/>
              </w:rPr>
            </w:pPr>
            <w:r>
              <w:rPr>
                <w:rFonts w:ascii="Arial" w:cs="Arial" w:eastAsia="Arial" w:hAnsi="Arial"/>
                <w:sz w:val="17"/>
                <w:szCs w:val="17"/>
                <w:b w:val="1"/>
                <w:bCs w:val="1"/>
                <w:color w:val="auto"/>
                <w:w w:val="95"/>
              </w:rPr>
              <w:t>Evergy</w:t>
            </w:r>
          </w:p>
        </w:tc>
        <w:tc>
          <w:tcPr>
            <w:tcW w:w="220" w:type="dxa"/>
            <w:vAlign w:val="bottom"/>
          </w:tcPr>
          <w:p>
            <w:pPr>
              <w:spacing w:after="0"/>
              <w:rPr>
                <w:sz w:val="15"/>
                <w:szCs w:val="15"/>
                <w:color w:val="auto"/>
              </w:rPr>
            </w:pPr>
          </w:p>
        </w:tc>
        <w:tc>
          <w:tcPr>
            <w:tcW w:w="900" w:type="dxa"/>
            <w:vAlign w:val="bottom"/>
            <w:vMerge w:val="restart"/>
          </w:tcPr>
          <w:p>
            <w:pPr>
              <w:jc w:val="right"/>
              <w:ind w:right="235"/>
              <w:spacing w:after="0"/>
              <w:rPr>
                <w:sz w:val="20"/>
                <w:szCs w:val="20"/>
                <w:color w:val="auto"/>
              </w:rPr>
            </w:pPr>
            <w:r>
              <w:rPr>
                <w:rFonts w:ascii="Arial" w:cs="Arial" w:eastAsia="Arial" w:hAnsi="Arial"/>
                <w:sz w:val="17"/>
                <w:szCs w:val="17"/>
                <w:b w:val="1"/>
                <w:bCs w:val="1"/>
                <w:color w:val="auto"/>
                <w:w w:val="98"/>
              </w:rPr>
              <w:t>Evergy</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center"/>
              <w:ind w:right="154"/>
              <w:spacing w:after="0" w:line="173" w:lineRule="exact"/>
              <w:rPr>
                <w:sz w:val="20"/>
                <w:szCs w:val="20"/>
                <w:color w:val="auto"/>
              </w:rPr>
            </w:pPr>
            <w:r>
              <w:rPr>
                <w:rFonts w:ascii="Arial" w:cs="Arial" w:eastAsia="Arial" w:hAnsi="Arial"/>
                <w:sz w:val="17"/>
                <w:szCs w:val="17"/>
                <w:b w:val="1"/>
                <w:bCs w:val="1"/>
                <w:color w:val="auto"/>
                <w:w w:val="95"/>
              </w:rPr>
              <w:t>Evergy</w:t>
            </w:r>
          </w:p>
        </w:tc>
        <w:tc>
          <w:tcPr>
            <w:tcW w:w="340" w:type="dxa"/>
            <w:vAlign w:val="bottom"/>
          </w:tcPr>
          <w:p>
            <w:pPr>
              <w:spacing w:after="0"/>
              <w:rPr>
                <w:sz w:val="15"/>
                <w:szCs w:val="15"/>
                <w:color w:val="auto"/>
              </w:rPr>
            </w:pPr>
          </w:p>
        </w:tc>
        <w:tc>
          <w:tcPr>
            <w:tcW w:w="76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1"/>
              </w:rPr>
              <w:t>Evergy</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8"/>
              </w:rPr>
              <w:t>Evergy</w:t>
            </w:r>
          </w:p>
        </w:tc>
        <w:tc>
          <w:tcPr>
            <w:tcW w:w="360" w:type="dxa"/>
            <w:vAlign w:val="bottom"/>
          </w:tcPr>
          <w:p>
            <w:pPr>
              <w:spacing w:after="0"/>
              <w:rPr>
                <w:sz w:val="14"/>
                <w:szCs w:val="14"/>
                <w:color w:val="auto"/>
              </w:rPr>
            </w:pPr>
          </w:p>
        </w:tc>
        <w:tc>
          <w:tcPr>
            <w:tcW w:w="1000" w:type="dxa"/>
            <w:vAlign w:val="bottom"/>
          </w:tcPr>
          <w:p>
            <w:pPr>
              <w:jc w:val="center"/>
              <w:ind w:right="254"/>
              <w:spacing w:after="0" w:line="167" w:lineRule="exact"/>
              <w:rPr>
                <w:sz w:val="20"/>
                <w:szCs w:val="20"/>
                <w:color w:val="auto"/>
              </w:rPr>
            </w:pPr>
            <w:r>
              <w:rPr>
                <w:rFonts w:ascii="Arial" w:cs="Arial" w:eastAsia="Arial" w:hAnsi="Arial"/>
                <w:sz w:val="17"/>
                <w:szCs w:val="17"/>
                <w:b w:val="1"/>
                <w:bCs w:val="1"/>
                <w:color w:val="auto"/>
                <w:w w:val="89"/>
              </w:rPr>
              <w:t>Kansas</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w w:val="91"/>
              </w:rPr>
              <w:t>Evergy</w:t>
            </w:r>
          </w:p>
        </w:tc>
        <w:tc>
          <w:tcPr>
            <w:tcW w:w="280" w:type="dxa"/>
            <w:vAlign w:val="bottom"/>
          </w:tcPr>
          <w:p>
            <w:pPr>
              <w:spacing w:after="0"/>
              <w:rPr>
                <w:sz w:val="14"/>
                <w:szCs w:val="14"/>
                <w:color w:val="auto"/>
              </w:rPr>
            </w:pPr>
          </w:p>
        </w:tc>
        <w:tc>
          <w:tcPr>
            <w:tcW w:w="900" w:type="dxa"/>
            <w:vAlign w:val="bottom"/>
          </w:tcPr>
          <w:p>
            <w:pPr>
              <w:jc w:val="center"/>
              <w:ind w:right="154"/>
              <w:spacing w:after="0" w:line="167" w:lineRule="exact"/>
              <w:rPr>
                <w:sz w:val="20"/>
                <w:szCs w:val="20"/>
                <w:color w:val="auto"/>
              </w:rPr>
            </w:pPr>
            <w:r>
              <w:rPr>
                <w:rFonts w:ascii="Arial" w:cs="Arial" w:eastAsia="Arial" w:hAnsi="Arial"/>
                <w:sz w:val="17"/>
                <w:szCs w:val="17"/>
                <w:b w:val="1"/>
                <w:bCs w:val="1"/>
                <w:color w:val="auto"/>
                <w:w w:val="89"/>
              </w:rPr>
              <w:t>Kansas</w:t>
            </w: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95"/>
              </w:rPr>
              <w:t>Central</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Metro</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98"/>
              </w:rPr>
              <w:t>Central</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Metro</w:t>
            </w: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(millions)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80.8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77.5</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9.2</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2023</w:t>
            </w:r>
          </w:p>
        </w:tc>
        <w:tc>
          <w:tcPr>
            <w:tcW w:w="1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160.4</w:t>
            </w:r>
          </w:p>
        </w:tc>
        <w:tc>
          <w:tcPr>
            <w:tcW w:w="360" w:type="dxa"/>
            <w:vAlign w:val="bottom"/>
          </w:tcPr>
          <w:p>
            <w:pPr>
              <w:spacing w:after="0"/>
              <w:rPr>
                <w:sz w:val="18"/>
                <w:szCs w:val="18"/>
                <w:color w:val="auto"/>
              </w:rPr>
            </w:pPr>
          </w:p>
        </w:tc>
        <w:tc>
          <w:tcPr>
            <w:tcW w:w="1000" w:type="dxa"/>
            <w:vAlign w:val="bottom"/>
          </w:tcPr>
          <w:p>
            <w:pPr>
              <w:jc w:val="right"/>
              <w:ind w:right="154"/>
              <w:spacing w:after="0"/>
              <w:rPr>
                <w:sz w:val="20"/>
                <w:szCs w:val="20"/>
                <w:color w:val="auto"/>
              </w:rPr>
            </w:pPr>
            <w:r>
              <w:rPr>
                <w:rFonts w:ascii="Arial" w:cs="Arial" w:eastAsia="Arial" w:hAnsi="Arial"/>
                <w:sz w:val="17"/>
                <w:szCs w:val="17"/>
                <w:color w:val="auto"/>
              </w:rPr>
              <w:t>79.6</w:t>
            </w:r>
          </w:p>
        </w:tc>
        <w:tc>
          <w:tcPr>
            <w:tcW w:w="220" w:type="dxa"/>
            <w:vAlign w:val="bottom"/>
          </w:tcPr>
          <w:p>
            <w:pPr>
              <w:spacing w:after="0"/>
              <w:rPr>
                <w:sz w:val="18"/>
                <w:szCs w:val="18"/>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79.5</w:t>
            </w:r>
          </w:p>
        </w:tc>
        <w:tc>
          <w:tcPr>
            <w:tcW w:w="34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7"/>
                <w:szCs w:val="17"/>
                <w:color w:val="auto"/>
              </w:rPr>
              <w:t>15.6</w:t>
            </w:r>
          </w:p>
        </w:tc>
        <w:tc>
          <w:tcPr>
            <w:tcW w:w="28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9.0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80.6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81.7</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15.1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8.5</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2025</w:t>
            </w:r>
          </w:p>
        </w:tc>
        <w:tc>
          <w:tcPr>
            <w:tcW w:w="1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168.1</w:t>
            </w:r>
          </w:p>
        </w:tc>
        <w:tc>
          <w:tcPr>
            <w:tcW w:w="360" w:type="dxa"/>
            <w:vAlign w:val="bottom"/>
          </w:tcPr>
          <w:p>
            <w:pPr>
              <w:spacing w:after="0"/>
              <w:rPr>
                <w:sz w:val="18"/>
                <w:szCs w:val="18"/>
                <w:color w:val="auto"/>
              </w:rPr>
            </w:pPr>
          </w:p>
        </w:tc>
        <w:tc>
          <w:tcPr>
            <w:tcW w:w="1000" w:type="dxa"/>
            <w:vAlign w:val="bottom"/>
          </w:tcPr>
          <w:p>
            <w:pPr>
              <w:jc w:val="right"/>
              <w:ind w:right="154"/>
              <w:spacing w:after="0"/>
              <w:rPr>
                <w:sz w:val="20"/>
                <w:szCs w:val="20"/>
                <w:color w:val="auto"/>
              </w:rPr>
            </w:pPr>
            <w:r>
              <w:rPr>
                <w:rFonts w:ascii="Arial" w:cs="Arial" w:eastAsia="Arial" w:hAnsi="Arial"/>
                <w:sz w:val="17"/>
                <w:szCs w:val="17"/>
                <w:color w:val="auto"/>
              </w:rPr>
              <w:t>81.3</w:t>
            </w:r>
          </w:p>
        </w:tc>
        <w:tc>
          <w:tcPr>
            <w:tcW w:w="220" w:type="dxa"/>
            <w:vAlign w:val="bottom"/>
          </w:tcPr>
          <w:p>
            <w:pPr>
              <w:spacing w:after="0"/>
              <w:rPr>
                <w:sz w:val="18"/>
                <w:szCs w:val="18"/>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85.3</w:t>
            </w:r>
          </w:p>
        </w:tc>
        <w:tc>
          <w:tcPr>
            <w:tcW w:w="34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7"/>
                <w:szCs w:val="17"/>
                <w:color w:val="auto"/>
              </w:rPr>
              <w:t>14.7</w:t>
            </w:r>
          </w:p>
        </w:tc>
        <w:tc>
          <w:tcPr>
            <w:tcW w:w="28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8.2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83.2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88.8</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14.3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8.0</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5"/>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2027-2031</w:t>
            </w:r>
          </w:p>
        </w:tc>
        <w:tc>
          <w:tcPr>
            <w:tcW w:w="1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862.9</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399.5</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455.7</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68.5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37.2</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80"/>
        <w:spacing w:after="0" w:line="248" w:lineRule="auto"/>
        <w:rPr>
          <w:sz w:val="20"/>
          <w:szCs w:val="20"/>
          <w:color w:val="auto"/>
        </w:rPr>
      </w:pPr>
      <w:r>
        <w:rPr>
          <w:rFonts w:ascii="Arial" w:cs="Arial" w:eastAsia="Arial" w:hAnsi="Arial"/>
          <w:sz w:val="19"/>
          <w:szCs w:val="19"/>
          <w:color w:val="auto"/>
        </w:rPr>
        <w:t>As of December 31, 2021, Evergy Kansas Central and Evergy Metro maintained a master trust for their non-union and Evergy Kansas Central's union pension benefits and a separate trust for Evergy Metro's union pension benefits. Evergy Kansas Central and Evergy Metro maintained separate trusts for their post-retirement benefits as of December 31,2021. These plans are managed in accordance with prudent investor guidelines contained in the ERISA requirements.</w:t>
      </w:r>
    </w:p>
    <w:p>
      <w:pPr>
        <w:spacing w:after="0" w:line="180"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color w:val="auto"/>
        </w:rPr>
        <w:t>The primary objective of Evergy Kansas Central's and Evergy Metro's pension plans is to provide a source of retirement income for its participants and beneficiaries, and the primary financial objectives of the plans are to minimize funding deficiencies and maintain the plans' ability to pay all benefit and expense obligations when due.</w:t>
      </w:r>
    </w:p>
    <w:p>
      <w:pPr>
        <w:spacing w:after="0" w:line="176" w:lineRule="exact"/>
        <w:rPr>
          <w:sz w:val="20"/>
          <w:szCs w:val="20"/>
          <w:color w:val="auto"/>
        </w:rPr>
      </w:pPr>
    </w:p>
    <w:p>
      <w:pPr>
        <w:ind w:right="600"/>
        <w:spacing w:after="0" w:line="264" w:lineRule="auto"/>
        <w:rPr>
          <w:sz w:val="20"/>
          <w:szCs w:val="20"/>
          <w:color w:val="auto"/>
        </w:rPr>
      </w:pPr>
      <w:r>
        <w:rPr>
          <w:rFonts w:ascii="Arial" w:cs="Arial" w:eastAsia="Arial" w:hAnsi="Arial"/>
          <w:sz w:val="19"/>
          <w:szCs w:val="19"/>
          <w:color w:val="auto"/>
        </w:rPr>
        <w:t>The primary objective of Evergy Kansas Central's and Evergy Metro's post-retirement benefit plans is to preserve capital, maintain sufficient liquidity and earn a consistent rate of return.</w:t>
      </w:r>
    </w:p>
    <w:p>
      <w:pPr>
        <w:spacing w:after="0" w:line="164" w:lineRule="exact"/>
        <w:rPr>
          <w:sz w:val="20"/>
          <w:szCs w:val="20"/>
          <w:color w:val="auto"/>
        </w:rPr>
      </w:pPr>
    </w:p>
    <w:p>
      <w:pPr>
        <w:jc w:val="both"/>
        <w:ind w:right="160"/>
        <w:spacing w:after="0" w:line="296" w:lineRule="auto"/>
        <w:rPr>
          <w:sz w:val="20"/>
          <w:szCs w:val="20"/>
          <w:color w:val="auto"/>
        </w:rPr>
      </w:pPr>
      <w:r>
        <w:rPr>
          <w:rFonts w:ascii="Arial" w:cs="Arial" w:eastAsia="Arial" w:hAnsi="Arial"/>
          <w:sz w:val="17"/>
          <w:szCs w:val="17"/>
          <w:color w:val="auto"/>
        </w:rPr>
        <w:t>The investment strategies of both the Evergy Kansas Central and Evergy Metro pension and post-retirement plans support the above objectives of the plans. The portfolios are invested, and periodically rebalanced, to achieve the targeted allocations detailed below. The following table provides the target asset allocations by asset class for the Evergy Kansas Central and Evergy Metro pension and other post-retirement plan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00" w:type="dxa"/>
            <w:vAlign w:val="bottom"/>
            <w:tcBorders>
              <w:top w:val="single" w:sz="8" w:color="auto"/>
            </w:tcBorders>
          </w:tcPr>
          <w:p>
            <w:pPr>
              <w:spacing w:after="0"/>
              <w:rPr>
                <w:sz w:val="20"/>
                <w:szCs w:val="20"/>
                <w:color w:val="auto"/>
              </w:rPr>
            </w:pPr>
          </w:p>
        </w:tc>
        <w:tc>
          <w:tcPr>
            <w:tcW w:w="4280" w:type="dxa"/>
            <w:vAlign w:val="bottom"/>
            <w:tcBorders>
              <w:top w:val="single" w:sz="8" w:color="auto"/>
            </w:tcBorders>
            <w:gridSpan w:val="2"/>
          </w:tcPr>
          <w:p>
            <w:pPr>
              <w:jc w:val="right"/>
              <w:ind w:right="1034"/>
              <w:spacing w:after="0"/>
              <w:rPr>
                <w:sz w:val="20"/>
                <w:szCs w:val="20"/>
                <w:color w:val="auto"/>
              </w:rPr>
            </w:pPr>
            <w:r>
              <w:rPr>
                <w:rFonts w:ascii="Arial" w:cs="Arial" w:eastAsia="Arial" w:hAnsi="Arial"/>
                <w:sz w:val="17"/>
                <w:szCs w:val="17"/>
                <w:b w:val="1"/>
                <w:bCs w:val="1"/>
                <w:color w:val="auto"/>
              </w:rPr>
              <w:t>Pension Benefits</w:t>
            </w:r>
          </w:p>
        </w:tc>
        <w:tc>
          <w:tcPr>
            <w:tcW w:w="3360" w:type="dxa"/>
            <w:vAlign w:val="bottom"/>
            <w:tcBorders>
              <w:top w:val="single" w:sz="8" w:color="auto"/>
            </w:tcBorders>
            <w:gridSpan w:val="2"/>
          </w:tcPr>
          <w:p>
            <w:pPr>
              <w:jc w:val="right"/>
              <w:ind w:right="614"/>
              <w:spacing w:after="0"/>
              <w:rPr>
                <w:sz w:val="20"/>
                <w:szCs w:val="20"/>
                <w:color w:val="auto"/>
              </w:rPr>
            </w:pPr>
            <w:r>
              <w:rPr>
                <w:rFonts w:ascii="Arial" w:cs="Arial" w:eastAsia="Arial" w:hAnsi="Arial"/>
                <w:sz w:val="17"/>
                <w:szCs w:val="17"/>
                <w:b w:val="1"/>
                <w:bCs w:val="1"/>
                <w:color w:val="auto"/>
              </w:rPr>
              <w:t>Post-Retirement Benefits</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580" w:type="dxa"/>
            <w:vAlign w:val="bottom"/>
          </w:tcPr>
          <w:p>
            <w:pPr>
              <w:jc w:val="right"/>
              <w:ind w:right="234"/>
              <w:spacing w:after="0" w:line="173" w:lineRule="exact"/>
              <w:rPr>
                <w:sz w:val="20"/>
                <w:szCs w:val="20"/>
                <w:color w:val="auto"/>
              </w:rPr>
            </w:pPr>
            <w:r>
              <w:rPr>
                <w:rFonts w:ascii="Arial" w:cs="Arial" w:eastAsia="Arial" w:hAnsi="Arial"/>
                <w:sz w:val="17"/>
                <w:szCs w:val="17"/>
                <w:b w:val="1"/>
                <w:bCs w:val="1"/>
                <w:color w:val="auto"/>
              </w:rPr>
              <w:t>Evergy Kansas</w:t>
            </w:r>
          </w:p>
        </w:tc>
        <w:tc>
          <w:tcPr>
            <w:tcW w:w="170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Evergy Metro</w:t>
            </w:r>
          </w:p>
        </w:tc>
        <w:tc>
          <w:tcPr>
            <w:tcW w:w="1760" w:type="dxa"/>
            <w:vAlign w:val="bottom"/>
          </w:tcPr>
          <w:p>
            <w:pPr>
              <w:jc w:val="right"/>
              <w:ind w:right="254"/>
              <w:spacing w:after="0" w:line="173" w:lineRule="exact"/>
              <w:rPr>
                <w:sz w:val="20"/>
                <w:szCs w:val="20"/>
                <w:color w:val="auto"/>
              </w:rPr>
            </w:pPr>
            <w:r>
              <w:rPr>
                <w:rFonts w:ascii="Arial" w:cs="Arial" w:eastAsia="Arial" w:hAnsi="Arial"/>
                <w:sz w:val="17"/>
                <w:szCs w:val="17"/>
                <w:b w:val="1"/>
                <w:bCs w:val="1"/>
                <w:color w:val="auto"/>
              </w:rPr>
              <w:t>Evergy Kansas</w:t>
            </w:r>
          </w:p>
        </w:tc>
        <w:tc>
          <w:tcPr>
            <w:tcW w:w="160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Evergy Metro</w:t>
            </w:r>
          </w:p>
        </w:tc>
        <w:tc>
          <w:tcPr>
            <w:tcW w:w="0" w:type="dxa"/>
            <w:vAlign w:val="bottom"/>
          </w:tcPr>
          <w:p>
            <w:pPr>
              <w:spacing w:after="0"/>
              <w:rPr>
                <w:sz w:val="1"/>
                <w:szCs w:val="1"/>
                <w:color w:val="auto"/>
              </w:rPr>
            </w:pPr>
          </w:p>
        </w:tc>
      </w:tr>
      <w:tr>
        <w:trPr>
          <w:trHeight w:val="219"/>
        </w:trPr>
        <w:tc>
          <w:tcPr>
            <w:tcW w:w="36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Central</w:t>
            </w:r>
          </w:p>
        </w:tc>
        <w:tc>
          <w:tcPr>
            <w:tcW w:w="170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Central</w:t>
            </w: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 equities</w:t>
            </w:r>
          </w:p>
        </w:tc>
        <w:tc>
          <w:tcPr>
            <w:tcW w:w="25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26%</w:t>
            </w:r>
          </w:p>
        </w:tc>
        <w:tc>
          <w:tcPr>
            <w:tcW w:w="17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26%</w:t>
            </w:r>
          </w:p>
        </w:tc>
        <w:tc>
          <w:tcPr>
            <w:tcW w:w="1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26%</w:t>
            </w:r>
          </w:p>
        </w:tc>
        <w:tc>
          <w:tcPr>
            <w:tcW w:w="16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3600" w:type="dxa"/>
            <w:vAlign w:val="bottom"/>
          </w:tcPr>
          <w:p>
            <w:pPr>
              <w:ind w:left="20"/>
              <w:spacing w:after="0"/>
              <w:rPr>
                <w:sz w:val="20"/>
                <w:szCs w:val="20"/>
                <w:color w:val="auto"/>
              </w:rPr>
            </w:pPr>
            <w:r>
              <w:rPr>
                <w:rFonts w:ascii="Arial" w:cs="Arial" w:eastAsia="Arial" w:hAnsi="Arial"/>
                <w:sz w:val="17"/>
                <w:szCs w:val="17"/>
                <w:color w:val="auto"/>
              </w:rPr>
              <w:t>International equities</w:t>
            </w:r>
          </w:p>
        </w:tc>
        <w:tc>
          <w:tcPr>
            <w:tcW w:w="2580" w:type="dxa"/>
            <w:vAlign w:val="bottom"/>
          </w:tcPr>
          <w:p>
            <w:pPr>
              <w:jc w:val="right"/>
              <w:ind w:right="254"/>
              <w:spacing w:after="0"/>
              <w:rPr>
                <w:sz w:val="20"/>
                <w:szCs w:val="20"/>
                <w:color w:val="auto"/>
              </w:rPr>
            </w:pPr>
            <w:r>
              <w:rPr>
                <w:rFonts w:ascii="Arial" w:cs="Arial" w:eastAsia="Arial" w:hAnsi="Arial"/>
                <w:sz w:val="17"/>
                <w:szCs w:val="17"/>
                <w:color w:val="auto"/>
              </w:rPr>
              <w:t>20%</w:t>
            </w:r>
          </w:p>
        </w:tc>
        <w:tc>
          <w:tcPr>
            <w:tcW w:w="1700" w:type="dxa"/>
            <w:vAlign w:val="bottom"/>
          </w:tcPr>
          <w:p>
            <w:pPr>
              <w:jc w:val="right"/>
              <w:ind w:right="234"/>
              <w:spacing w:after="0"/>
              <w:rPr>
                <w:sz w:val="20"/>
                <w:szCs w:val="20"/>
                <w:color w:val="auto"/>
              </w:rPr>
            </w:pPr>
            <w:r>
              <w:rPr>
                <w:rFonts w:ascii="Arial" w:cs="Arial" w:eastAsia="Arial" w:hAnsi="Arial"/>
                <w:sz w:val="17"/>
                <w:szCs w:val="17"/>
                <w:color w:val="auto"/>
              </w:rPr>
              <w:t>19%</w:t>
            </w:r>
          </w:p>
        </w:tc>
        <w:tc>
          <w:tcPr>
            <w:tcW w:w="1760" w:type="dxa"/>
            <w:vAlign w:val="bottom"/>
          </w:tcPr>
          <w:p>
            <w:pPr>
              <w:jc w:val="right"/>
              <w:ind w:right="254"/>
              <w:spacing w:after="0"/>
              <w:rPr>
                <w:sz w:val="20"/>
                <w:szCs w:val="20"/>
                <w:color w:val="auto"/>
              </w:rPr>
            </w:pPr>
            <w:r>
              <w:rPr>
                <w:rFonts w:ascii="Arial" w:cs="Arial" w:eastAsia="Arial" w:hAnsi="Arial"/>
                <w:sz w:val="17"/>
                <w:szCs w:val="17"/>
                <w:color w:val="auto"/>
              </w:rPr>
              <w:t>18%</w:t>
            </w: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Bonds</w:t>
            </w:r>
          </w:p>
        </w:tc>
        <w:tc>
          <w:tcPr>
            <w:tcW w:w="25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39%</w:t>
            </w:r>
          </w:p>
        </w:tc>
        <w:tc>
          <w:tcPr>
            <w:tcW w:w="17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37%</w:t>
            </w:r>
          </w:p>
        </w:tc>
        <w:tc>
          <w:tcPr>
            <w:tcW w:w="1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51%</w:t>
            </w:r>
          </w:p>
        </w:tc>
        <w:tc>
          <w:tcPr>
            <w:tcW w:w="16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8"/>
        </w:trPr>
        <w:tc>
          <w:tcPr>
            <w:tcW w:w="3600" w:type="dxa"/>
            <w:vAlign w:val="bottom"/>
          </w:tcPr>
          <w:p>
            <w:pPr>
              <w:ind w:left="20"/>
              <w:spacing w:after="0"/>
              <w:rPr>
                <w:sz w:val="20"/>
                <w:szCs w:val="20"/>
                <w:color w:val="auto"/>
              </w:rPr>
            </w:pPr>
            <w:r>
              <w:rPr>
                <w:rFonts w:ascii="Arial" w:cs="Arial" w:eastAsia="Arial" w:hAnsi="Arial"/>
                <w:sz w:val="17"/>
                <w:szCs w:val="17"/>
                <w:color w:val="auto"/>
              </w:rPr>
              <w:t>Mortgage &amp; asset backed securities</w:t>
            </w:r>
          </w:p>
        </w:tc>
        <w:tc>
          <w:tcPr>
            <w:tcW w:w="258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7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0"/>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investments</w:t>
            </w:r>
          </w:p>
        </w:tc>
        <w:tc>
          <w:tcPr>
            <w:tcW w:w="25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4%</w:t>
            </w:r>
          </w:p>
        </w:tc>
        <w:tc>
          <w:tcPr>
            <w:tcW w:w="17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7%</w:t>
            </w:r>
          </w:p>
        </w:tc>
        <w:tc>
          <w:tcPr>
            <w:tcW w:w="1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investments</w:t>
            </w:r>
          </w:p>
        </w:tc>
        <w:tc>
          <w:tcPr>
            <w:tcW w:w="25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11%</w:t>
            </w:r>
          </w:p>
        </w:tc>
        <w:tc>
          <w:tcPr>
            <w:tcW w:w="17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11%</w:t>
            </w:r>
          </w:p>
        </w:tc>
        <w:tc>
          <w:tcPr>
            <w:tcW w:w="17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5%</w:t>
            </w:r>
          </w:p>
        </w:tc>
        <w:tc>
          <w:tcPr>
            <w:tcW w:w="16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Fair Value Measurements</w:t>
      </w:r>
    </w:p>
    <w:p>
      <w:pPr>
        <w:spacing w:after="0" w:line="23" w:lineRule="exact"/>
        <w:rPr>
          <w:sz w:val="20"/>
          <w:szCs w:val="20"/>
          <w:color w:val="auto"/>
        </w:rPr>
      </w:pPr>
    </w:p>
    <w:p>
      <w:pPr>
        <w:ind w:right="120"/>
        <w:spacing w:after="0" w:line="247" w:lineRule="auto"/>
        <w:rPr>
          <w:sz w:val="20"/>
          <w:szCs w:val="20"/>
          <w:color w:val="auto"/>
        </w:rPr>
      </w:pPr>
      <w:r>
        <w:rPr>
          <w:rFonts w:ascii="Arial" w:cs="Arial" w:eastAsia="Arial" w:hAnsi="Arial"/>
          <w:sz w:val="19"/>
          <w:szCs w:val="19"/>
          <w:color w:val="auto"/>
        </w:rPr>
        <w:t>Evergy classifies recurring and non-recurring fair value measurements based on the fair value hierarchy as discussed in Note 13. The following are descriptions of the valuation methods of the primary fair value measurements disclosed below.</w:t>
      </w:r>
    </w:p>
    <w:p>
      <w:pPr>
        <w:spacing w:after="0" w:line="179" w:lineRule="exact"/>
        <w:rPr>
          <w:sz w:val="20"/>
          <w:szCs w:val="20"/>
          <w:color w:val="auto"/>
        </w:rPr>
      </w:pPr>
    </w:p>
    <w:p>
      <w:pPr>
        <w:spacing w:after="0" w:line="248" w:lineRule="auto"/>
        <w:rPr>
          <w:sz w:val="20"/>
          <w:szCs w:val="20"/>
          <w:color w:val="auto"/>
        </w:rPr>
      </w:pPr>
      <w:r>
        <w:rPr>
          <w:rFonts w:ascii="Arial" w:cs="Arial" w:eastAsia="Arial" w:hAnsi="Arial"/>
          <w:sz w:val="19"/>
          <w:szCs w:val="19"/>
          <w:i w:val="1"/>
          <w:iCs w:val="1"/>
          <w:color w:val="auto"/>
        </w:rPr>
        <w:t xml:space="preserve">Domestic equities - </w:t>
      </w:r>
      <w:r>
        <w:rPr>
          <w:rFonts w:ascii="Arial" w:cs="Arial" w:eastAsia="Arial" w:hAnsi="Arial"/>
          <w:sz w:val="19"/>
          <w:szCs w:val="19"/>
          <w:color w:val="auto"/>
        </w:rPr>
        <w:t>consist of individually held domestic equity securities and domestic equity mutual funds. Securities and funds, which are</w:t>
      </w:r>
      <w:r>
        <w:rPr>
          <w:rFonts w:ascii="Arial" w:cs="Arial" w:eastAsia="Arial" w:hAnsi="Arial"/>
          <w:sz w:val="19"/>
          <w:szCs w:val="19"/>
          <w:i w:val="1"/>
          <w:iCs w:val="1"/>
          <w:color w:val="auto"/>
        </w:rPr>
        <w:t xml:space="preserve"> </w:t>
      </w:r>
      <w:r>
        <w:rPr>
          <w:rFonts w:ascii="Arial" w:cs="Arial" w:eastAsia="Arial" w:hAnsi="Arial"/>
          <w:sz w:val="19"/>
          <w:szCs w:val="19"/>
          <w:color w:val="auto"/>
        </w:rPr>
        <w:t>publicly quoted, are valued based on quoted prices in active markets and are categorized as Level 1. Funds that are valued by fund administrators using the net asset value (NAV) per fund share, derived from the quoted prices in active markets of the underlying securities are not classified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1" w:name="page122"/>
    <w:bookmarkEnd w:id="12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48" w:lineRule="auto"/>
        <w:rPr>
          <w:sz w:val="20"/>
          <w:szCs w:val="20"/>
          <w:color w:val="auto"/>
        </w:rPr>
      </w:pPr>
      <w:r>
        <w:rPr>
          <w:rFonts w:ascii="Arial" w:cs="Arial" w:eastAsia="Arial" w:hAnsi="Arial"/>
          <w:sz w:val="19"/>
          <w:szCs w:val="19"/>
          <w:i w:val="1"/>
          <w:iCs w:val="1"/>
          <w:color w:val="auto"/>
        </w:rPr>
        <w:t xml:space="preserve">International equities - </w:t>
      </w:r>
      <w:r>
        <w:rPr>
          <w:rFonts w:ascii="Arial" w:cs="Arial" w:eastAsia="Arial" w:hAnsi="Arial"/>
          <w:sz w:val="19"/>
          <w:szCs w:val="19"/>
          <w:color w:val="auto"/>
        </w:rPr>
        <w:t>consist of individually held international equity securities and international equity mutual funds. Securities and funds, which</w:t>
      </w:r>
      <w:r>
        <w:rPr>
          <w:rFonts w:ascii="Arial" w:cs="Arial" w:eastAsia="Arial" w:hAnsi="Arial"/>
          <w:sz w:val="19"/>
          <w:szCs w:val="19"/>
          <w:i w:val="1"/>
          <w:iCs w:val="1"/>
          <w:color w:val="auto"/>
        </w:rPr>
        <w:t xml:space="preserve"> </w:t>
      </w:r>
      <w:r>
        <w:rPr>
          <w:rFonts w:ascii="Arial" w:cs="Arial" w:eastAsia="Arial" w:hAnsi="Arial"/>
          <w:sz w:val="19"/>
          <w:szCs w:val="19"/>
          <w:color w:val="auto"/>
        </w:rPr>
        <w:t>are publicly quoted, are valued based on quoted prices in active markets and are categorized as Level 1. Funds that are valued by fund administrators using the NAV per fund share, derived from the quoted prices in active markets of the underlying securities are not classified within the fair value hierarchy.</w:t>
      </w:r>
    </w:p>
    <w:p>
      <w:pPr>
        <w:spacing w:after="0" w:line="18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 xml:space="preserve">Bond funds - </w:t>
      </w:r>
      <w:r>
        <w:rPr>
          <w:rFonts w:ascii="Arial" w:cs="Arial" w:eastAsia="Arial" w:hAnsi="Arial"/>
          <w:sz w:val="16"/>
          <w:szCs w:val="16"/>
          <w:color w:val="auto"/>
        </w:rPr>
        <w:t>consist of funds maintained by investment companies that invest in various types of fixed income securities consistent with the funds'</w:t>
      </w:r>
      <w:r>
        <w:rPr>
          <w:rFonts w:ascii="Arial" w:cs="Arial" w:eastAsia="Arial" w:hAnsi="Arial"/>
          <w:sz w:val="16"/>
          <w:szCs w:val="16"/>
          <w:i w:val="1"/>
          <w:iCs w:val="1"/>
          <w:color w:val="auto"/>
        </w:rPr>
        <w:t xml:space="preserve"> </w:t>
      </w:r>
      <w:r>
        <w:rPr>
          <w:rFonts w:ascii="Arial" w:cs="Arial" w:eastAsia="Arial" w:hAnsi="Arial"/>
          <w:sz w:val="16"/>
          <w:szCs w:val="16"/>
          <w:color w:val="auto"/>
        </w:rPr>
        <w:t>stated objectives. Securities and funds, which are publicly quoted, are valued based on quoted prices in active markets and are categorized as Level</w:t>
      </w:r>
    </w:p>
    <w:p>
      <w:pPr>
        <w:ind w:right="240" w:firstLine="3"/>
        <w:spacing w:after="0" w:line="247" w:lineRule="auto"/>
        <w:tabs>
          <w:tab w:leader="none" w:pos="189" w:val="left"/>
        </w:tabs>
        <w:numPr>
          <w:ilvl w:val="0"/>
          <w:numId w:val="61"/>
        </w:numPr>
        <w:rPr>
          <w:rFonts w:ascii="Arial" w:cs="Arial" w:eastAsia="Arial" w:hAnsi="Arial"/>
          <w:sz w:val="19"/>
          <w:szCs w:val="19"/>
          <w:color w:val="auto"/>
        </w:rPr>
      </w:pPr>
      <w:r>
        <w:rPr>
          <w:rFonts w:ascii="Arial" w:cs="Arial" w:eastAsia="Arial" w:hAnsi="Arial"/>
          <w:sz w:val="19"/>
          <w:szCs w:val="19"/>
          <w:color w:val="auto"/>
        </w:rPr>
        <w:t>Funds that are valued by fund administrators using the NAV per fund share, derived from the quoted prices in active markets of the underlying securities, are not classified within the fair value hierarchy.</w:t>
      </w:r>
    </w:p>
    <w:p>
      <w:pPr>
        <w:spacing w:after="0" w:line="179" w:lineRule="exact"/>
        <w:rPr>
          <w:sz w:val="20"/>
          <w:szCs w:val="20"/>
          <w:color w:val="auto"/>
        </w:rPr>
      </w:pPr>
    </w:p>
    <w:p>
      <w:pPr>
        <w:ind w:right="500"/>
        <w:spacing w:after="0" w:line="264" w:lineRule="auto"/>
        <w:rPr>
          <w:sz w:val="20"/>
          <w:szCs w:val="20"/>
          <w:color w:val="auto"/>
        </w:rPr>
      </w:pPr>
      <w:r>
        <w:rPr>
          <w:rFonts w:ascii="Arial" w:cs="Arial" w:eastAsia="Arial" w:hAnsi="Arial"/>
          <w:sz w:val="19"/>
          <w:szCs w:val="19"/>
          <w:i w:val="1"/>
          <w:iCs w:val="1"/>
          <w:color w:val="auto"/>
        </w:rPr>
        <w:t xml:space="preserve">Corporate bonds - </w:t>
      </w:r>
      <w:r>
        <w:rPr>
          <w:rFonts w:ascii="Arial" w:cs="Arial" w:eastAsia="Arial" w:hAnsi="Arial"/>
          <w:sz w:val="19"/>
          <w:szCs w:val="19"/>
          <w:color w:val="auto"/>
        </w:rPr>
        <w:t>consists of individually held, primarily domestic, corporate bonds that are traded in less than active markets or priced with</w:t>
      </w:r>
      <w:r>
        <w:rPr>
          <w:rFonts w:ascii="Arial" w:cs="Arial" w:eastAsia="Arial" w:hAnsi="Arial"/>
          <w:sz w:val="19"/>
          <w:szCs w:val="19"/>
          <w:i w:val="1"/>
          <w:iCs w:val="1"/>
          <w:color w:val="auto"/>
        </w:rPr>
        <w:t xml:space="preserve"> </w:t>
      </w:r>
      <w:r>
        <w:rPr>
          <w:rFonts w:ascii="Arial" w:cs="Arial" w:eastAsia="Arial" w:hAnsi="Arial"/>
          <w:sz w:val="19"/>
          <w:szCs w:val="19"/>
          <w:color w:val="auto"/>
        </w:rPr>
        <w:t>models using highly observable inputs that are categorized as Level 2.</w:t>
      </w:r>
    </w:p>
    <w:p>
      <w:pPr>
        <w:spacing w:after="0" w:line="164"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i w:val="1"/>
          <w:iCs w:val="1"/>
          <w:color w:val="auto"/>
        </w:rPr>
        <w:t xml:space="preserve">U.S. Treasury and agency bonds - </w:t>
      </w:r>
      <w:r>
        <w:rPr>
          <w:rFonts w:ascii="Arial" w:cs="Arial" w:eastAsia="Arial" w:hAnsi="Arial"/>
          <w:sz w:val="17"/>
          <w:szCs w:val="17"/>
          <w:color w:val="auto"/>
        </w:rPr>
        <w:t>consists of individually held U.S. Treasury securities and U.S. agency bonds. U.S. Treasury securities,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quoted, are valued based on quoted prices in active markets and are categorized as a Level 1. U.S. agency bonds, which are publicly quoted, are traded in less than active markets or priced with models using highly observable inputs and are categorized as Level 2.</w:t>
      </w:r>
    </w:p>
    <w:p>
      <w:pPr>
        <w:spacing w:after="0" w:line="141" w:lineRule="exact"/>
        <w:rPr>
          <w:sz w:val="20"/>
          <w:szCs w:val="20"/>
          <w:color w:val="auto"/>
        </w:rPr>
      </w:pPr>
    </w:p>
    <w:p>
      <w:pPr>
        <w:ind w:right="380"/>
        <w:spacing w:after="0" w:line="264" w:lineRule="auto"/>
        <w:rPr>
          <w:sz w:val="20"/>
          <w:szCs w:val="20"/>
          <w:color w:val="auto"/>
        </w:rPr>
      </w:pPr>
      <w:r>
        <w:rPr>
          <w:rFonts w:ascii="Arial" w:cs="Arial" w:eastAsia="Arial" w:hAnsi="Arial"/>
          <w:sz w:val="19"/>
          <w:szCs w:val="19"/>
          <w:i w:val="1"/>
          <w:iCs w:val="1"/>
          <w:color w:val="auto"/>
        </w:rPr>
        <w:t xml:space="preserve">Mortgage and asset backed securities - </w:t>
      </w:r>
      <w:r>
        <w:rPr>
          <w:rFonts w:ascii="Arial" w:cs="Arial" w:eastAsia="Arial" w:hAnsi="Arial"/>
          <w:sz w:val="19"/>
          <w:szCs w:val="19"/>
          <w:color w:val="auto"/>
        </w:rPr>
        <w:t>consists of individually held securities that are traded in less than active markets or valued with models</w:t>
      </w:r>
      <w:r>
        <w:rPr>
          <w:rFonts w:ascii="Arial" w:cs="Arial" w:eastAsia="Arial" w:hAnsi="Arial"/>
          <w:sz w:val="19"/>
          <w:szCs w:val="19"/>
          <w:i w:val="1"/>
          <w:iCs w:val="1"/>
          <w:color w:val="auto"/>
        </w:rPr>
        <w:t xml:space="preserve"> </w:t>
      </w:r>
      <w:r>
        <w:rPr>
          <w:rFonts w:ascii="Arial" w:cs="Arial" w:eastAsia="Arial" w:hAnsi="Arial"/>
          <w:sz w:val="19"/>
          <w:szCs w:val="19"/>
          <w:color w:val="auto"/>
        </w:rPr>
        <w:t>using highly observable inputs that are categorized as Level 2.</w:t>
      </w:r>
    </w:p>
    <w:p>
      <w:pPr>
        <w:spacing w:after="0" w:line="164"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i w:val="1"/>
          <w:iCs w:val="1"/>
          <w:color w:val="auto"/>
        </w:rPr>
        <w:t xml:space="preserve">Real estate investments - </w:t>
      </w:r>
      <w:r>
        <w:rPr>
          <w:rFonts w:ascii="Arial" w:cs="Arial" w:eastAsia="Arial" w:hAnsi="Arial"/>
          <w:sz w:val="19"/>
          <w:szCs w:val="19"/>
          <w:color w:val="auto"/>
        </w:rPr>
        <w:t>consists of traded real estate investment trusts valued at the closing price reported on the major market on which the trusts</w:t>
      </w:r>
      <w:r>
        <w:rPr>
          <w:rFonts w:ascii="Arial" w:cs="Arial" w:eastAsia="Arial" w:hAnsi="Arial"/>
          <w:sz w:val="19"/>
          <w:szCs w:val="19"/>
          <w:i w:val="1"/>
          <w:iCs w:val="1"/>
          <w:color w:val="auto"/>
        </w:rPr>
        <w:t xml:space="preserve"> </w:t>
      </w:r>
      <w:r>
        <w:rPr>
          <w:rFonts w:ascii="Arial" w:cs="Arial" w:eastAsia="Arial" w:hAnsi="Arial"/>
          <w:sz w:val="19"/>
          <w:szCs w:val="19"/>
          <w:color w:val="auto"/>
        </w:rPr>
        <w:t>are traded and are categorized as Level 1 and institutional trust funds valued at NAV per fund share and are not categorized in the fair value hierarchy.</w:t>
      </w:r>
    </w:p>
    <w:p>
      <w:pPr>
        <w:spacing w:after="0" w:line="176" w:lineRule="exact"/>
        <w:rPr>
          <w:sz w:val="20"/>
          <w:szCs w:val="20"/>
          <w:color w:val="auto"/>
        </w:rPr>
      </w:pPr>
    </w:p>
    <w:p>
      <w:pPr>
        <w:spacing w:after="0" w:line="324" w:lineRule="auto"/>
        <w:rPr>
          <w:sz w:val="20"/>
          <w:szCs w:val="20"/>
          <w:color w:val="auto"/>
        </w:rPr>
      </w:pPr>
      <w:r>
        <w:rPr>
          <w:rFonts w:ascii="Arial" w:cs="Arial" w:eastAsia="Arial" w:hAnsi="Arial"/>
          <w:sz w:val="17"/>
          <w:szCs w:val="17"/>
          <w:i w:val="1"/>
          <w:iCs w:val="1"/>
          <w:color w:val="auto"/>
        </w:rPr>
        <w:t xml:space="preserve">Combination debt/equity/other fund </w:t>
      </w:r>
      <w:r>
        <w:rPr>
          <w:rFonts w:ascii="Arial" w:cs="Arial" w:eastAsia="Arial" w:hAnsi="Arial"/>
          <w:sz w:val="17"/>
          <w:szCs w:val="17"/>
          <w:color w:val="auto"/>
        </w:rPr>
        <w:t>- consists of a fund that invests in various types of debt, equity and other asset classes consistent with the fund's</w:t>
      </w:r>
      <w:r>
        <w:rPr>
          <w:rFonts w:ascii="Arial" w:cs="Arial" w:eastAsia="Arial" w:hAnsi="Arial"/>
          <w:sz w:val="17"/>
          <w:szCs w:val="17"/>
          <w:i w:val="1"/>
          <w:iCs w:val="1"/>
          <w:color w:val="auto"/>
        </w:rPr>
        <w:t xml:space="preserve"> </w:t>
      </w:r>
      <w:r>
        <w:rPr>
          <w:rFonts w:ascii="Arial" w:cs="Arial" w:eastAsia="Arial" w:hAnsi="Arial"/>
          <w:sz w:val="17"/>
          <w:szCs w:val="17"/>
          <w:color w:val="auto"/>
        </w:rPr>
        <w:t>stated objectives. The fund, which is publicly quoted, is valued based on quoted prices in active markets and is categorized as Level 1.</w:t>
      </w:r>
    </w:p>
    <w:p>
      <w:pPr>
        <w:spacing w:after="0" w:line="11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i w:val="1"/>
          <w:iCs w:val="1"/>
          <w:color w:val="auto"/>
        </w:rPr>
        <w:t xml:space="preserve">Alternative investments - </w:t>
      </w:r>
      <w:r>
        <w:rPr>
          <w:rFonts w:ascii="Arial" w:cs="Arial" w:eastAsia="Arial" w:hAnsi="Arial"/>
          <w:sz w:val="18"/>
          <w:szCs w:val="18"/>
          <w:color w:val="auto"/>
        </w:rPr>
        <w:t>consists of investments in institutional trust and hedge funds that are valued by fund administrators using the NAV per</w:t>
      </w:r>
      <w:r>
        <w:rPr>
          <w:rFonts w:ascii="Arial" w:cs="Arial" w:eastAsia="Arial" w:hAnsi="Arial"/>
          <w:sz w:val="18"/>
          <w:szCs w:val="18"/>
          <w:i w:val="1"/>
          <w:iCs w:val="1"/>
          <w:color w:val="auto"/>
        </w:rPr>
        <w:t xml:space="preserve"> </w:t>
      </w:r>
      <w:r>
        <w:rPr>
          <w:rFonts w:ascii="Arial" w:cs="Arial" w:eastAsia="Arial" w:hAnsi="Arial"/>
          <w:sz w:val="18"/>
          <w:szCs w:val="18"/>
          <w:color w:val="auto"/>
        </w:rPr>
        <w:t>fund share, derived from the underlying investments of the fund, and are not classified within the fair value hierarchy.</w:t>
      </w:r>
    </w:p>
    <w:p>
      <w:pPr>
        <w:spacing w:after="0" w:line="141"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i w:val="1"/>
          <w:iCs w:val="1"/>
          <w:color w:val="auto"/>
        </w:rPr>
        <w:t xml:space="preserve">Short-term investments </w:t>
      </w:r>
      <w:r>
        <w:rPr>
          <w:rFonts w:ascii="Arial" w:cs="Arial" w:eastAsia="Arial" w:hAnsi="Arial"/>
          <w:sz w:val="19"/>
          <w:szCs w:val="19"/>
          <w:color w:val="auto"/>
        </w:rPr>
        <w:t>- consists of fund investments in high-quality, short-term, U.S. dollar-denominated instruments with an average maturity of</w:t>
      </w:r>
      <w:r>
        <w:rPr>
          <w:rFonts w:ascii="Arial" w:cs="Arial" w:eastAsia="Arial" w:hAnsi="Arial"/>
          <w:sz w:val="19"/>
          <w:szCs w:val="19"/>
          <w:i w:val="1"/>
          <w:iCs w:val="1"/>
          <w:color w:val="auto"/>
        </w:rPr>
        <w:t xml:space="preserve"> </w:t>
      </w:r>
      <w:r>
        <w:rPr>
          <w:rFonts w:ascii="Arial" w:cs="Arial" w:eastAsia="Arial" w:hAnsi="Arial"/>
          <w:sz w:val="19"/>
          <w:szCs w:val="19"/>
          <w:color w:val="auto"/>
        </w:rPr>
        <w:t>60 days that are valued at NAV per fund share and are not categorized in the fair value hierarchy.</w:t>
      </w:r>
    </w:p>
    <w:p>
      <w:pPr>
        <w:spacing w:after="0" w:line="164" w:lineRule="exact"/>
        <w:rPr>
          <w:sz w:val="20"/>
          <w:szCs w:val="20"/>
          <w:color w:val="auto"/>
        </w:rPr>
      </w:pPr>
    </w:p>
    <w:p>
      <w:pPr>
        <w:ind w:right="580"/>
        <w:spacing w:after="0" w:line="264" w:lineRule="auto"/>
        <w:rPr>
          <w:sz w:val="20"/>
          <w:szCs w:val="20"/>
          <w:color w:val="auto"/>
        </w:rPr>
      </w:pPr>
      <w:r>
        <w:rPr>
          <w:rFonts w:ascii="Arial" w:cs="Arial" w:eastAsia="Arial" w:hAnsi="Arial"/>
          <w:sz w:val="19"/>
          <w:szCs w:val="19"/>
          <w:i w:val="1"/>
          <w:iCs w:val="1"/>
          <w:color w:val="auto"/>
        </w:rPr>
        <w:t xml:space="preserve">Cash and cash equivalents - </w:t>
      </w:r>
      <w:r>
        <w:rPr>
          <w:rFonts w:ascii="Arial" w:cs="Arial" w:eastAsia="Arial" w:hAnsi="Arial"/>
          <w:sz w:val="19"/>
          <w:szCs w:val="19"/>
          <w:color w:val="auto"/>
        </w:rPr>
        <w:t>consists of investments with original maturities of three months or less when purchased that are traded in active</w:t>
      </w:r>
      <w:r>
        <w:rPr>
          <w:rFonts w:ascii="Arial" w:cs="Arial" w:eastAsia="Arial" w:hAnsi="Arial"/>
          <w:sz w:val="19"/>
          <w:szCs w:val="19"/>
          <w:i w:val="1"/>
          <w:iCs w:val="1"/>
          <w:color w:val="auto"/>
        </w:rPr>
        <w:t xml:space="preserve"> </w:t>
      </w:r>
      <w:r>
        <w:rPr>
          <w:rFonts w:ascii="Arial" w:cs="Arial" w:eastAsia="Arial" w:hAnsi="Arial"/>
          <w:sz w:val="19"/>
          <w:szCs w:val="19"/>
          <w:color w:val="auto"/>
        </w:rPr>
        <w:t>markets and are categorized as Level 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22" w:name="page123"/>
    <w:bookmarkEnd w:id="12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Evergy Companies' pension plan assets at December 31, 2021 and 2020, by asset category are in the following tables.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5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4"/>
          </w:tcPr>
          <w:p>
            <w:pPr>
              <w:ind w:left="280"/>
              <w:spacing w:after="0"/>
              <w:rPr>
                <w:sz w:val="20"/>
                <w:szCs w:val="20"/>
                <w:color w:val="auto"/>
              </w:rPr>
            </w:pPr>
            <w:r>
              <w:rPr>
                <w:rFonts w:ascii="Arial" w:cs="Arial" w:eastAsia="Arial" w:hAnsi="Arial"/>
                <w:sz w:val="17"/>
                <w:szCs w:val="17"/>
                <w:b w:val="1"/>
                <w:bCs w:val="1"/>
                <w:color w:val="auto"/>
              </w:rPr>
              <w:t>Fair Value Measurements Using</w:t>
            </w: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1960" w:type="dxa"/>
            <w:vAlign w:val="bottom"/>
            <w:gridSpan w:val="3"/>
            <w:vMerge w:val="restart"/>
          </w:tcPr>
          <w:p>
            <w:pPr>
              <w:ind w:left="780"/>
              <w:spacing w:after="0"/>
              <w:rPr>
                <w:sz w:val="20"/>
                <w:szCs w:val="20"/>
                <w:color w:val="auto"/>
              </w:rPr>
            </w:pPr>
            <w:r>
              <w:rPr>
                <w:rFonts w:ascii="Arial" w:cs="Arial" w:eastAsia="Arial" w:hAnsi="Arial"/>
                <w:sz w:val="17"/>
                <w:szCs w:val="17"/>
                <w:b w:val="1"/>
                <w:bCs w:val="1"/>
                <w:color w:val="auto"/>
              </w:rPr>
              <w:t>December 31</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center"/>
              <w:ind w:right="274"/>
              <w:spacing w:after="0" w:line="161" w:lineRule="exact"/>
              <w:rPr>
                <w:sz w:val="20"/>
                <w:szCs w:val="20"/>
                <w:color w:val="auto"/>
              </w:rPr>
            </w:pPr>
            <w:r>
              <w:rPr>
                <w:rFonts w:ascii="Arial" w:cs="Arial" w:eastAsia="Arial" w:hAnsi="Arial"/>
                <w:sz w:val="17"/>
                <w:szCs w:val="17"/>
                <w:b w:val="1"/>
                <w:bCs w:val="1"/>
                <w:color w:val="auto"/>
                <w:w w:val="82"/>
              </w:rPr>
              <w:t>Assets</w:t>
            </w:r>
          </w:p>
        </w:tc>
        <w:tc>
          <w:tcPr>
            <w:tcW w:w="0" w:type="dxa"/>
            <w:vAlign w:val="bottom"/>
          </w:tcPr>
          <w:p>
            <w:pPr>
              <w:spacing w:after="0"/>
              <w:rPr>
                <w:sz w:val="1"/>
                <w:szCs w:val="1"/>
                <w:color w:val="auto"/>
              </w:rPr>
            </w:pPr>
          </w:p>
        </w:tc>
      </w:tr>
      <w:tr>
        <w:trPr>
          <w:trHeight w:val="168"/>
        </w:trPr>
        <w:tc>
          <w:tcPr>
            <w:tcW w:w="3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Description</w:t>
            </w:r>
          </w:p>
        </w:tc>
        <w:tc>
          <w:tcPr>
            <w:tcW w:w="19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restart"/>
          </w:tcPr>
          <w:p>
            <w:pPr>
              <w:jc w:val="right"/>
              <w:ind w:right="354"/>
              <w:spacing w:after="0"/>
              <w:rPr>
                <w:sz w:val="20"/>
                <w:szCs w:val="20"/>
                <w:color w:val="auto"/>
              </w:rPr>
            </w:pPr>
            <w:r>
              <w:rPr>
                <w:rFonts w:ascii="Arial" w:cs="Arial" w:eastAsia="Arial" w:hAnsi="Arial"/>
                <w:sz w:val="17"/>
                <w:szCs w:val="17"/>
                <w:b w:val="1"/>
                <w:bCs w:val="1"/>
                <w:color w:val="auto"/>
                <w:w w:val="97"/>
              </w:rPr>
              <w:t>Level 1</w:t>
            </w:r>
          </w:p>
        </w:tc>
        <w:tc>
          <w:tcPr>
            <w:tcW w:w="480" w:type="dxa"/>
            <w:vAlign w:val="bottom"/>
          </w:tcPr>
          <w:p>
            <w:pPr>
              <w:spacing w:after="0"/>
              <w:rPr>
                <w:sz w:val="14"/>
                <w:szCs w:val="14"/>
                <w:color w:val="auto"/>
              </w:rPr>
            </w:pPr>
          </w:p>
        </w:tc>
        <w:tc>
          <w:tcPr>
            <w:tcW w:w="106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Level 2</w:t>
            </w:r>
          </w:p>
        </w:tc>
        <w:tc>
          <w:tcPr>
            <w:tcW w:w="46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Level 3</w:t>
            </w:r>
          </w:p>
        </w:tc>
        <w:tc>
          <w:tcPr>
            <w:tcW w:w="1320" w:type="dxa"/>
            <w:vAlign w:val="bottom"/>
            <w:gridSpan w:val="2"/>
          </w:tcPr>
          <w:p>
            <w:pPr>
              <w:jc w:val="center"/>
              <w:ind w:left="14"/>
              <w:spacing w:after="0" w:line="167" w:lineRule="exact"/>
              <w:rPr>
                <w:sz w:val="20"/>
                <w:szCs w:val="20"/>
                <w:color w:val="auto"/>
              </w:rPr>
            </w:pPr>
            <w:r>
              <w:rPr>
                <w:rFonts w:ascii="Arial" w:cs="Arial" w:eastAsia="Arial" w:hAnsi="Arial"/>
                <w:sz w:val="17"/>
                <w:szCs w:val="17"/>
                <w:b w:val="1"/>
                <w:bCs w:val="1"/>
                <w:color w:val="auto"/>
                <w:w w:val="89"/>
              </w:rPr>
              <w:t>measured at</w:t>
            </w:r>
          </w:p>
        </w:tc>
        <w:tc>
          <w:tcPr>
            <w:tcW w:w="0" w:type="dxa"/>
            <w:vAlign w:val="bottom"/>
          </w:tcPr>
          <w:p>
            <w:pPr>
              <w:spacing w:after="0"/>
              <w:rPr>
                <w:sz w:val="1"/>
                <w:szCs w:val="1"/>
                <w:color w:val="auto"/>
              </w:rPr>
            </w:pPr>
          </w:p>
        </w:tc>
      </w:tr>
      <w:tr>
        <w:trPr>
          <w:trHeight w:val="219"/>
        </w:trPr>
        <w:tc>
          <w:tcPr>
            <w:tcW w:w="35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74"/>
              <w:spacing w:after="0"/>
              <w:rPr>
                <w:sz w:val="20"/>
                <w:szCs w:val="20"/>
                <w:color w:val="auto"/>
              </w:rPr>
            </w:pPr>
            <w:r>
              <w:rPr>
                <w:rFonts w:ascii="Arial" w:cs="Arial" w:eastAsia="Arial" w:hAnsi="Arial"/>
                <w:sz w:val="17"/>
                <w:szCs w:val="17"/>
                <w:b w:val="1"/>
                <w:bCs w:val="1"/>
                <w:color w:val="auto"/>
                <w:w w:val="94"/>
              </w:rPr>
              <w:t>NAV</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74"/>
              <w:spacing w:after="0"/>
              <w:rPr>
                <w:sz w:val="20"/>
                <w:szCs w:val="20"/>
                <w:color w:val="auto"/>
              </w:rPr>
            </w:pPr>
            <w:r>
              <w:rPr>
                <w:rFonts w:ascii="Arial" w:cs="Arial" w:eastAsia="Arial" w:hAnsi="Arial"/>
                <w:sz w:val="15"/>
                <w:szCs w:val="15"/>
                <w:color w:val="auto"/>
              </w:rPr>
              <w:t>(millions)</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20"/>
              <w:spacing w:after="0"/>
              <w:rPr>
                <w:sz w:val="20"/>
                <w:szCs w:val="20"/>
                <w:color w:val="auto"/>
              </w:rPr>
            </w:pPr>
            <w:r>
              <w:rPr>
                <w:rFonts w:ascii="Arial" w:cs="Arial" w:eastAsia="Arial" w:hAnsi="Arial"/>
                <w:sz w:val="17"/>
                <w:szCs w:val="17"/>
                <w:color w:val="auto"/>
              </w:rPr>
              <w:t>Evergy Kansas Central Pension Plans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Domestic equities</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209.9</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177.3</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18"/>
        </w:trPr>
        <w:tc>
          <w:tcPr>
            <w:tcW w:w="3540" w:type="dxa"/>
            <w:vAlign w:val="bottom"/>
          </w:tcPr>
          <w:p>
            <w:pPr>
              <w:ind w:left="200"/>
              <w:spacing w:after="0"/>
              <w:rPr>
                <w:sz w:val="20"/>
                <w:szCs w:val="20"/>
                <w:color w:val="auto"/>
              </w:rPr>
            </w:pPr>
            <w:r>
              <w:rPr>
                <w:rFonts w:ascii="Arial" w:cs="Arial" w:eastAsia="Arial" w:hAnsi="Arial"/>
                <w:sz w:val="17"/>
                <w:szCs w:val="17"/>
                <w:color w:val="auto"/>
              </w:rPr>
              <w:t>International equities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167.4</w:t>
            </w:r>
          </w:p>
        </w:tc>
        <w:tc>
          <w:tcPr>
            <w:tcW w:w="3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167.4</w:t>
            </w:r>
          </w:p>
        </w:tc>
        <w:tc>
          <w:tcPr>
            <w:tcW w:w="480" w:type="dxa"/>
            <w:vAlign w:val="bottom"/>
          </w:tcPr>
          <w:p>
            <w:pPr>
              <w:spacing w:after="0"/>
              <w:rPr>
                <w:sz w:val="18"/>
                <w:szCs w:val="18"/>
                <w:color w:val="auto"/>
              </w:rPr>
            </w:pPr>
          </w:p>
        </w:tc>
        <w:tc>
          <w:tcPr>
            <w:tcW w:w="106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Bond funds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330.4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330.4</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540" w:type="dxa"/>
            <w:vAlign w:val="bottom"/>
          </w:tcPr>
          <w:p>
            <w:pPr>
              <w:ind w:left="200"/>
              <w:spacing w:after="0"/>
              <w:rPr>
                <w:sz w:val="20"/>
                <w:szCs w:val="20"/>
                <w:color w:val="auto"/>
              </w:rPr>
            </w:pPr>
            <w:r>
              <w:rPr>
                <w:rFonts w:ascii="Arial" w:cs="Arial" w:eastAsia="Arial" w:hAnsi="Arial"/>
                <w:sz w:val="17"/>
                <w:szCs w:val="17"/>
                <w:color w:val="auto"/>
              </w:rPr>
              <w:t>Real estate investments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28.1</w:t>
            </w:r>
          </w:p>
        </w:tc>
        <w:tc>
          <w:tcPr>
            <w:tcW w:w="3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6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Combination debt/equity/other fund</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42.7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42.7</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540" w:type="dxa"/>
            <w:vAlign w:val="bottom"/>
          </w:tcPr>
          <w:p>
            <w:pPr>
              <w:ind w:left="200"/>
              <w:spacing w:after="0"/>
              <w:rPr>
                <w:sz w:val="20"/>
                <w:szCs w:val="20"/>
                <w:color w:val="auto"/>
              </w:rPr>
            </w:pPr>
            <w:r>
              <w:rPr>
                <w:rFonts w:ascii="Arial" w:cs="Arial" w:eastAsia="Arial" w:hAnsi="Arial"/>
                <w:sz w:val="17"/>
                <w:szCs w:val="17"/>
                <w:color w:val="auto"/>
              </w:rPr>
              <w:t>Alternative investment funds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44.1</w:t>
            </w:r>
          </w:p>
        </w:tc>
        <w:tc>
          <w:tcPr>
            <w:tcW w:w="3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6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Short-term investments</w:t>
            </w:r>
          </w:p>
        </w:tc>
        <w:tc>
          <w:tcPr>
            <w:tcW w:w="7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13.1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11"/>
        </w:trPr>
        <w:tc>
          <w:tcPr>
            <w:tcW w:w="3540" w:type="dxa"/>
            <w:vAlign w:val="bottom"/>
          </w:tcPr>
          <w:p>
            <w:pPr>
              <w:ind w:left="520"/>
              <w:spacing w:after="0"/>
              <w:rPr>
                <w:sz w:val="20"/>
                <w:szCs w:val="20"/>
                <w:color w:val="auto"/>
              </w:rPr>
            </w:pPr>
            <w:r>
              <w:rPr>
                <w:rFonts w:ascii="Arial" w:cs="Arial" w:eastAsia="Arial" w:hAnsi="Arial"/>
                <w:sz w:val="17"/>
                <w:szCs w:val="17"/>
                <w:color w:val="auto"/>
              </w:rPr>
              <w:t>Total</w:t>
            </w:r>
          </w:p>
        </w:tc>
        <w:tc>
          <w:tcPr>
            <w:tcW w:w="100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835.7</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717.8</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ind w:left="5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117.9</w:t>
            </w:r>
          </w:p>
        </w:tc>
        <w:tc>
          <w:tcPr>
            <w:tcW w:w="0" w:type="dxa"/>
            <w:vAlign w:val="bottom"/>
          </w:tcPr>
          <w:p>
            <w:pPr>
              <w:spacing w:after="0"/>
              <w:rPr>
                <w:sz w:val="1"/>
                <w:szCs w:val="1"/>
                <w:color w:val="auto"/>
              </w:rPr>
            </w:pPr>
          </w:p>
        </w:tc>
      </w:tr>
      <w:tr>
        <w:trPr>
          <w:trHeight w:val="246"/>
        </w:trPr>
        <w:tc>
          <w:tcPr>
            <w:tcW w:w="35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540" w:type="dxa"/>
            <w:vAlign w:val="bottom"/>
          </w:tcPr>
          <w:p>
            <w:pPr>
              <w:ind w:left="20"/>
              <w:spacing w:after="0"/>
              <w:rPr>
                <w:sz w:val="20"/>
                <w:szCs w:val="20"/>
                <w:color w:val="auto"/>
              </w:rPr>
            </w:pPr>
            <w:r>
              <w:rPr>
                <w:rFonts w:ascii="Arial" w:cs="Arial" w:eastAsia="Arial" w:hAnsi="Arial"/>
                <w:sz w:val="17"/>
                <w:szCs w:val="17"/>
                <w:color w:val="auto"/>
              </w:rPr>
              <w:t>Evergy Metro Pension Plans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Domestic equities</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203.0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179.5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18"/>
        </w:trPr>
        <w:tc>
          <w:tcPr>
            <w:tcW w:w="3540" w:type="dxa"/>
            <w:vAlign w:val="bottom"/>
          </w:tcPr>
          <w:p>
            <w:pPr>
              <w:ind w:left="200"/>
              <w:spacing w:after="0"/>
              <w:rPr>
                <w:sz w:val="20"/>
                <w:szCs w:val="20"/>
                <w:color w:val="auto"/>
              </w:rPr>
            </w:pPr>
            <w:r>
              <w:rPr>
                <w:rFonts w:ascii="Arial" w:cs="Arial" w:eastAsia="Arial" w:hAnsi="Arial"/>
                <w:sz w:val="17"/>
                <w:szCs w:val="17"/>
                <w:color w:val="auto"/>
              </w:rPr>
              <w:t>International equities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193.1</w:t>
            </w:r>
          </w:p>
        </w:tc>
        <w:tc>
          <w:tcPr>
            <w:tcW w:w="3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193.1</w:t>
            </w:r>
          </w:p>
        </w:tc>
        <w:tc>
          <w:tcPr>
            <w:tcW w:w="480" w:type="dxa"/>
            <w:vAlign w:val="bottom"/>
          </w:tcPr>
          <w:p>
            <w:pPr>
              <w:spacing w:after="0"/>
              <w:rPr>
                <w:sz w:val="18"/>
                <w:szCs w:val="18"/>
                <w:color w:val="auto"/>
              </w:rPr>
            </w:pPr>
          </w:p>
        </w:tc>
        <w:tc>
          <w:tcPr>
            <w:tcW w:w="106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Bond funds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260.6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260.6</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540" w:type="dxa"/>
            <w:vAlign w:val="bottom"/>
          </w:tcPr>
          <w:p>
            <w:pPr>
              <w:ind w:left="200"/>
              <w:spacing w:after="0"/>
              <w:rPr>
                <w:sz w:val="20"/>
                <w:szCs w:val="20"/>
                <w:color w:val="auto"/>
              </w:rPr>
            </w:pPr>
            <w:r>
              <w:rPr>
                <w:rFonts w:ascii="Arial" w:cs="Arial" w:eastAsia="Arial" w:hAnsi="Arial"/>
                <w:sz w:val="17"/>
                <w:szCs w:val="17"/>
                <w:color w:val="auto"/>
              </w:rPr>
              <w:t>Corporate bonds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27.1</w:t>
            </w:r>
          </w:p>
        </w:tc>
        <w:tc>
          <w:tcPr>
            <w:tcW w:w="3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60" w:type="dxa"/>
            <w:vAlign w:val="bottom"/>
          </w:tcPr>
          <w:p>
            <w:pPr>
              <w:jc w:val="right"/>
              <w:ind w:right="234"/>
              <w:spacing w:after="0"/>
              <w:rPr>
                <w:sz w:val="20"/>
                <w:szCs w:val="20"/>
                <w:color w:val="auto"/>
              </w:rPr>
            </w:pPr>
            <w:r>
              <w:rPr>
                <w:rFonts w:ascii="Arial" w:cs="Arial" w:eastAsia="Arial" w:hAnsi="Arial"/>
                <w:sz w:val="17"/>
                <w:szCs w:val="17"/>
                <w:color w:val="auto"/>
              </w:rPr>
              <w:t>27.1</w:t>
            </w:r>
          </w:p>
        </w:tc>
        <w:tc>
          <w:tcPr>
            <w:tcW w:w="46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U.S. Treasury and agency bonds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14.5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4.7</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9.8</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540" w:type="dxa"/>
            <w:vAlign w:val="bottom"/>
          </w:tcPr>
          <w:p>
            <w:pPr>
              <w:ind w:left="200"/>
              <w:spacing w:after="0"/>
              <w:rPr>
                <w:sz w:val="20"/>
                <w:szCs w:val="20"/>
                <w:color w:val="auto"/>
              </w:rPr>
            </w:pPr>
            <w:r>
              <w:rPr>
                <w:rFonts w:ascii="Arial" w:cs="Arial" w:eastAsia="Arial" w:hAnsi="Arial"/>
                <w:sz w:val="17"/>
                <w:szCs w:val="17"/>
                <w:color w:val="auto"/>
              </w:rPr>
              <w:t>Mortgage and asset backed securities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4.3</w:t>
            </w:r>
          </w:p>
        </w:tc>
        <w:tc>
          <w:tcPr>
            <w:tcW w:w="3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60" w:type="dxa"/>
            <w:vAlign w:val="bottom"/>
          </w:tcPr>
          <w:p>
            <w:pPr>
              <w:jc w:val="right"/>
              <w:ind w:right="234"/>
              <w:spacing w:after="0"/>
              <w:rPr>
                <w:sz w:val="20"/>
                <w:szCs w:val="20"/>
                <w:color w:val="auto"/>
              </w:rPr>
            </w:pPr>
            <w:r>
              <w:rPr>
                <w:rFonts w:ascii="Arial" w:cs="Arial" w:eastAsia="Arial" w:hAnsi="Arial"/>
                <w:sz w:val="17"/>
                <w:szCs w:val="17"/>
                <w:color w:val="auto"/>
              </w:rPr>
              <w:t>4.3</w:t>
            </w:r>
          </w:p>
        </w:tc>
        <w:tc>
          <w:tcPr>
            <w:tcW w:w="46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Real estate investments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55.9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0" w:type="dxa"/>
            <w:vAlign w:val="bottom"/>
          </w:tcPr>
          <w:p>
            <w:pPr>
              <w:spacing w:after="0"/>
              <w:rPr>
                <w:sz w:val="1"/>
                <w:szCs w:val="1"/>
                <w:color w:val="auto"/>
              </w:rPr>
            </w:pPr>
          </w:p>
        </w:tc>
      </w:tr>
      <w:tr>
        <w:trPr>
          <w:trHeight w:val="218"/>
        </w:trPr>
        <w:tc>
          <w:tcPr>
            <w:tcW w:w="3540" w:type="dxa"/>
            <w:vAlign w:val="bottom"/>
          </w:tcPr>
          <w:p>
            <w:pPr>
              <w:ind w:left="200"/>
              <w:spacing w:after="0"/>
              <w:rPr>
                <w:sz w:val="20"/>
                <w:szCs w:val="20"/>
                <w:color w:val="auto"/>
              </w:rPr>
            </w:pPr>
            <w:r>
              <w:rPr>
                <w:rFonts w:ascii="Arial" w:cs="Arial" w:eastAsia="Arial" w:hAnsi="Arial"/>
                <w:sz w:val="17"/>
                <w:szCs w:val="17"/>
                <w:color w:val="auto"/>
              </w:rPr>
              <w:t>Combination debt/equity/other fund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46.2</w:t>
            </w:r>
          </w:p>
        </w:tc>
        <w:tc>
          <w:tcPr>
            <w:tcW w:w="3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46.2</w:t>
            </w:r>
          </w:p>
        </w:tc>
        <w:tc>
          <w:tcPr>
            <w:tcW w:w="480" w:type="dxa"/>
            <w:vAlign w:val="bottom"/>
          </w:tcPr>
          <w:p>
            <w:pPr>
              <w:spacing w:after="0"/>
              <w:rPr>
                <w:sz w:val="18"/>
                <w:szCs w:val="18"/>
                <w:color w:val="auto"/>
              </w:rPr>
            </w:pPr>
          </w:p>
        </w:tc>
        <w:tc>
          <w:tcPr>
            <w:tcW w:w="106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Alternative investment funds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47.5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18"/>
        </w:trPr>
        <w:tc>
          <w:tcPr>
            <w:tcW w:w="354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14.1</w:t>
            </w:r>
          </w:p>
        </w:tc>
        <w:tc>
          <w:tcPr>
            <w:tcW w:w="3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14.1</w:t>
            </w:r>
          </w:p>
        </w:tc>
        <w:tc>
          <w:tcPr>
            <w:tcW w:w="480" w:type="dxa"/>
            <w:vAlign w:val="bottom"/>
          </w:tcPr>
          <w:p>
            <w:pPr>
              <w:spacing w:after="0"/>
              <w:rPr>
                <w:sz w:val="18"/>
                <w:szCs w:val="18"/>
                <w:color w:val="auto"/>
              </w:rPr>
            </w:pPr>
          </w:p>
        </w:tc>
        <w:tc>
          <w:tcPr>
            <w:tcW w:w="106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Short-term investments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9.5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8"/>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w:t>
            </w: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3.2</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3.2</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100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879.0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698.2</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44.4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3" w:name="page124"/>
    <w:bookmarkEnd w:id="12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7"/>
                <w:szCs w:val="17"/>
                <w:b w:val="1"/>
                <w:bCs w:val="1"/>
                <w:color w:val="auto"/>
              </w:rPr>
              <w:t>Fair Value Measurements Using</w:t>
            </w: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42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Description</w:t>
            </w:r>
          </w:p>
        </w:tc>
        <w:tc>
          <w:tcPr>
            <w:tcW w:w="1180" w:type="dxa"/>
            <w:vAlign w:val="bottom"/>
            <w:gridSpan w:val="2"/>
          </w:tcPr>
          <w:p>
            <w:pPr>
              <w:spacing w:after="0"/>
              <w:rPr>
                <w:sz w:val="20"/>
                <w:szCs w:val="20"/>
                <w:color w:val="auto"/>
              </w:rPr>
            </w:pPr>
            <w:r>
              <w:rPr>
                <w:rFonts w:ascii="Arial" w:cs="Arial" w:eastAsia="Arial" w:hAnsi="Arial"/>
                <w:sz w:val="17"/>
                <w:szCs w:val="17"/>
                <w:b w:val="1"/>
                <w:bCs w:val="1"/>
                <w:color w:val="auto"/>
              </w:rPr>
              <w:t>December 31</w:t>
            </w:r>
          </w:p>
        </w:tc>
        <w:tc>
          <w:tcPr>
            <w:tcW w:w="380" w:type="dxa"/>
            <w:vAlign w:val="bottom"/>
          </w:tcPr>
          <w:p>
            <w:pPr>
              <w:spacing w:after="0"/>
              <w:rPr>
                <w:sz w:val="24"/>
                <w:szCs w:val="24"/>
                <w:color w:val="auto"/>
              </w:rPr>
            </w:pPr>
          </w:p>
        </w:tc>
        <w:tc>
          <w:tcPr>
            <w:tcW w:w="104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w w:val="97"/>
              </w:rPr>
              <w:t>Level 1</w:t>
            </w:r>
          </w:p>
        </w:tc>
        <w:tc>
          <w:tcPr>
            <w:tcW w:w="440" w:type="dxa"/>
            <w:vAlign w:val="bottom"/>
          </w:tcPr>
          <w:p>
            <w:pPr>
              <w:spacing w:after="0"/>
              <w:rPr>
                <w:sz w:val="24"/>
                <w:szCs w:val="24"/>
                <w:color w:val="auto"/>
              </w:rPr>
            </w:pPr>
          </w:p>
        </w:tc>
        <w:tc>
          <w:tcPr>
            <w:tcW w:w="110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Level 2</w:t>
            </w:r>
          </w:p>
        </w:tc>
        <w:tc>
          <w:tcPr>
            <w:tcW w:w="420" w:type="dxa"/>
            <w:vAlign w:val="bottom"/>
          </w:tcPr>
          <w:p>
            <w:pPr>
              <w:spacing w:after="0"/>
              <w:rPr>
                <w:sz w:val="24"/>
                <w:szCs w:val="24"/>
                <w:color w:val="auto"/>
              </w:rPr>
            </w:pPr>
          </w:p>
        </w:tc>
        <w:tc>
          <w:tcPr>
            <w:tcW w:w="96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Level 3</w:t>
            </w:r>
          </w:p>
        </w:tc>
        <w:tc>
          <w:tcPr>
            <w:tcW w:w="1480" w:type="dxa"/>
            <w:vAlign w:val="bottom"/>
            <w:gridSpan w:val="2"/>
          </w:tcPr>
          <w:p>
            <w:pPr>
              <w:jc w:val="right"/>
              <w:spacing w:after="0"/>
              <w:rPr>
                <w:sz w:val="20"/>
                <w:szCs w:val="20"/>
                <w:color w:val="auto"/>
              </w:rPr>
            </w:pPr>
            <w:r>
              <w:rPr>
                <w:rFonts w:ascii="Arial" w:cs="Arial" w:eastAsia="Arial" w:hAnsi="Arial"/>
                <w:sz w:val="17"/>
                <w:szCs w:val="17"/>
                <w:b w:val="1"/>
                <w:bCs w:val="1"/>
                <w:color w:val="auto"/>
                <w:w w:val="99"/>
              </w:rPr>
              <w:t>Assets measured</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w w:val="96"/>
              </w:rPr>
              <w:t>at NAV</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354"/>
              <w:spacing w:after="0"/>
              <w:rPr>
                <w:sz w:val="20"/>
                <w:szCs w:val="20"/>
                <w:color w:val="auto"/>
              </w:rPr>
            </w:pPr>
            <w:r>
              <w:rPr>
                <w:rFonts w:ascii="Arial" w:cs="Arial" w:eastAsia="Arial" w:hAnsi="Arial"/>
                <w:sz w:val="15"/>
                <w:szCs w:val="15"/>
                <w:color w:val="auto"/>
              </w:rPr>
              <w:t>(millions)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7"/>
                <w:szCs w:val="17"/>
                <w:color w:val="auto"/>
              </w:rPr>
              <w:t>Evergy Kansas Central Pension Plans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Domestic equities</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248.5</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151.3</w:t>
            </w:r>
          </w:p>
        </w:tc>
        <w:tc>
          <w:tcPr>
            <w:tcW w:w="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International equities</w:t>
            </w:r>
          </w:p>
        </w:tc>
        <w:tc>
          <w:tcPr>
            <w:tcW w:w="200" w:type="dxa"/>
            <w:vAlign w:val="bottom"/>
          </w:tcPr>
          <w:p>
            <w:pPr>
              <w:spacing w:after="0"/>
              <w:rPr>
                <w:sz w:val="18"/>
                <w:szCs w:val="18"/>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171.2</w:t>
            </w:r>
          </w:p>
        </w:tc>
        <w:tc>
          <w:tcPr>
            <w:tcW w:w="38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103.8</w:t>
            </w:r>
          </w:p>
        </w:tc>
        <w:tc>
          <w:tcPr>
            <w:tcW w:w="4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Bond funds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281.2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230.7</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Real estate investments</w:t>
            </w:r>
          </w:p>
        </w:tc>
        <w:tc>
          <w:tcPr>
            <w:tcW w:w="20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7"/>
                <w:szCs w:val="17"/>
                <w:color w:val="auto"/>
              </w:rPr>
              <w:t>46.7</w:t>
            </w:r>
          </w:p>
        </w:tc>
        <w:tc>
          <w:tcPr>
            <w:tcW w:w="38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Combination debt/equity/other fund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30.4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30.4</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Alternative investment funds</w:t>
            </w:r>
          </w:p>
        </w:tc>
        <w:tc>
          <w:tcPr>
            <w:tcW w:w="20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7"/>
                <w:szCs w:val="17"/>
                <w:color w:val="auto"/>
              </w:rPr>
              <w:t>83.6</w:t>
            </w:r>
          </w:p>
        </w:tc>
        <w:tc>
          <w:tcPr>
            <w:tcW w:w="38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25.4</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1"/>
        </w:trPr>
        <w:tc>
          <w:tcPr>
            <w:tcW w:w="4240" w:type="dxa"/>
            <w:vAlign w:val="bottom"/>
          </w:tcPr>
          <w:p>
            <w:pPr>
              <w:ind w:left="520"/>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887.0</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516.2</w:t>
            </w:r>
          </w:p>
        </w:tc>
        <w:tc>
          <w:tcPr>
            <w:tcW w:w="440" w:type="dxa"/>
            <w:vAlign w:val="bottom"/>
          </w:tcPr>
          <w:p>
            <w:pPr>
              <w:ind w:left="3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ind w:left="5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370.8</w:t>
            </w:r>
          </w:p>
        </w:tc>
        <w:tc>
          <w:tcPr>
            <w:tcW w:w="0" w:type="dxa"/>
            <w:vAlign w:val="bottom"/>
          </w:tcPr>
          <w:p>
            <w:pPr>
              <w:spacing w:after="0"/>
              <w:rPr>
                <w:sz w:val="1"/>
                <w:szCs w:val="1"/>
                <w:color w:val="auto"/>
              </w:rPr>
            </w:pPr>
          </w:p>
        </w:tc>
      </w:tr>
      <w:tr>
        <w:trPr>
          <w:trHeight w:val="259"/>
        </w:trPr>
        <w:tc>
          <w:tcPr>
            <w:tcW w:w="4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Evergy Metro Pension Plans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Domestic equities</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247.4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191.9</w:t>
            </w:r>
          </w:p>
        </w:tc>
        <w:tc>
          <w:tcPr>
            <w:tcW w:w="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International equities</w:t>
            </w:r>
          </w:p>
        </w:tc>
        <w:tc>
          <w:tcPr>
            <w:tcW w:w="200" w:type="dxa"/>
            <w:vAlign w:val="bottom"/>
          </w:tcPr>
          <w:p>
            <w:pPr>
              <w:spacing w:after="0"/>
              <w:rPr>
                <w:sz w:val="18"/>
                <w:szCs w:val="18"/>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220.8</w:t>
            </w:r>
          </w:p>
        </w:tc>
        <w:tc>
          <w:tcPr>
            <w:tcW w:w="38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153.4</w:t>
            </w:r>
          </w:p>
        </w:tc>
        <w:tc>
          <w:tcPr>
            <w:tcW w:w="4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Bond funds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78.1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21.1</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57.0</w:t>
            </w: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Corporate bonds</w:t>
            </w:r>
          </w:p>
        </w:tc>
        <w:tc>
          <w:tcPr>
            <w:tcW w:w="200" w:type="dxa"/>
            <w:vAlign w:val="bottom"/>
          </w:tcPr>
          <w:p>
            <w:pPr>
              <w:spacing w:after="0"/>
              <w:rPr>
                <w:sz w:val="18"/>
                <w:szCs w:val="18"/>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133.6</w:t>
            </w:r>
          </w:p>
        </w:tc>
        <w:tc>
          <w:tcPr>
            <w:tcW w:w="38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7"/>
                <w:szCs w:val="17"/>
                <w:color w:val="auto"/>
              </w:rPr>
              <w:t>133.6</w:t>
            </w:r>
          </w:p>
        </w:tc>
        <w:tc>
          <w:tcPr>
            <w:tcW w:w="42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 Treasury and agency bonds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73.8</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61.5</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12.3</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Mortgage and asset backed securities</w:t>
            </w:r>
          </w:p>
        </w:tc>
        <w:tc>
          <w:tcPr>
            <w:tcW w:w="200" w:type="dxa"/>
            <w:vAlign w:val="bottom"/>
          </w:tcPr>
          <w:p>
            <w:pPr>
              <w:spacing w:after="0"/>
              <w:rPr>
                <w:sz w:val="18"/>
                <w:szCs w:val="18"/>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5.0</w:t>
            </w:r>
          </w:p>
        </w:tc>
        <w:tc>
          <w:tcPr>
            <w:tcW w:w="38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7"/>
                <w:szCs w:val="17"/>
                <w:color w:val="auto"/>
              </w:rPr>
              <w:t>5.0</w:t>
            </w:r>
          </w:p>
        </w:tc>
        <w:tc>
          <w:tcPr>
            <w:tcW w:w="42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Real estate investments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40.2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1.6</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Combination debt/equity/other fund</w:t>
            </w:r>
          </w:p>
        </w:tc>
        <w:tc>
          <w:tcPr>
            <w:tcW w:w="20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7"/>
                <w:szCs w:val="17"/>
                <w:color w:val="auto"/>
              </w:rPr>
              <w:t>15.6</w:t>
            </w:r>
          </w:p>
        </w:tc>
        <w:tc>
          <w:tcPr>
            <w:tcW w:w="38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15.6</w:t>
            </w:r>
          </w:p>
        </w:tc>
        <w:tc>
          <w:tcPr>
            <w:tcW w:w="4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Alternative investment funds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39.7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7"/>
                <w:szCs w:val="17"/>
                <w:color w:val="auto"/>
              </w:rPr>
              <w:t>57.3</w:t>
            </w:r>
          </w:p>
        </w:tc>
        <w:tc>
          <w:tcPr>
            <w:tcW w:w="38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57.3</w:t>
            </w:r>
          </w:p>
        </w:tc>
        <w:tc>
          <w:tcPr>
            <w:tcW w:w="4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(0.8)</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(0.8)</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912.1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502.4</w:t>
            </w:r>
          </w:p>
        </w:tc>
        <w:tc>
          <w:tcPr>
            <w:tcW w:w="4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150.1</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259.6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4" w:name="page125"/>
    <w:bookmarkEnd w:id="12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the Evergy Companies' post-retirement plan assets at December 31, 2021 and 2020, by asset category are in the following tables.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right"/>
              <w:ind w:right="55"/>
              <w:spacing w:after="0"/>
              <w:rPr>
                <w:sz w:val="20"/>
                <w:szCs w:val="20"/>
                <w:color w:val="auto"/>
              </w:rPr>
            </w:pPr>
            <w:r>
              <w:rPr>
                <w:rFonts w:ascii="Arial" w:cs="Arial" w:eastAsia="Arial" w:hAnsi="Arial"/>
                <w:sz w:val="17"/>
                <w:szCs w:val="17"/>
                <w:b w:val="1"/>
                <w:bCs w:val="1"/>
                <w:color w:val="auto"/>
              </w:rPr>
              <w:t>Fair Value Measurements Using</w:t>
            </w:r>
          </w:p>
        </w:tc>
        <w:tc>
          <w:tcPr>
            <w:tcW w:w="3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1860" w:type="dxa"/>
            <w:vAlign w:val="bottom"/>
            <w:gridSpan w:val="3"/>
            <w:vMerge w:val="restart"/>
          </w:tcPr>
          <w:p>
            <w:pPr>
              <w:jc w:val="right"/>
              <w:ind w:right="194"/>
              <w:spacing w:after="0"/>
              <w:rPr>
                <w:sz w:val="20"/>
                <w:szCs w:val="20"/>
                <w:color w:val="auto"/>
              </w:rPr>
            </w:pPr>
            <w:r>
              <w:rPr>
                <w:rFonts w:ascii="Arial" w:cs="Arial" w:eastAsia="Arial" w:hAnsi="Arial"/>
                <w:sz w:val="17"/>
                <w:szCs w:val="17"/>
                <w:b w:val="1"/>
                <w:bCs w:val="1"/>
                <w:color w:val="auto"/>
              </w:rPr>
              <w:t>December 31</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center"/>
              <w:ind w:right="255"/>
              <w:spacing w:after="0" w:line="161" w:lineRule="exact"/>
              <w:rPr>
                <w:sz w:val="20"/>
                <w:szCs w:val="20"/>
                <w:color w:val="auto"/>
              </w:rPr>
            </w:pPr>
            <w:r>
              <w:rPr>
                <w:rFonts w:ascii="Arial" w:cs="Arial" w:eastAsia="Arial" w:hAnsi="Arial"/>
                <w:sz w:val="17"/>
                <w:szCs w:val="17"/>
                <w:b w:val="1"/>
                <w:bCs w:val="1"/>
                <w:color w:val="auto"/>
                <w:w w:val="78"/>
              </w:rPr>
              <w:t>Assets</w:t>
            </w:r>
          </w:p>
        </w:tc>
        <w:tc>
          <w:tcPr>
            <w:tcW w:w="0" w:type="dxa"/>
            <w:vAlign w:val="bottom"/>
          </w:tcPr>
          <w:p>
            <w:pPr>
              <w:spacing w:after="0"/>
              <w:rPr>
                <w:sz w:val="1"/>
                <w:szCs w:val="1"/>
                <w:color w:val="auto"/>
              </w:rPr>
            </w:pPr>
          </w:p>
        </w:tc>
      </w:tr>
      <w:tr>
        <w:trPr>
          <w:trHeight w:val="168"/>
        </w:trPr>
        <w:tc>
          <w:tcPr>
            <w:tcW w:w="43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Description</w:t>
            </w:r>
          </w:p>
        </w:tc>
        <w:tc>
          <w:tcPr>
            <w:tcW w:w="18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3"/>
              </w:rPr>
              <w:t>Level 1</w:t>
            </w:r>
          </w:p>
        </w:tc>
        <w:tc>
          <w:tcPr>
            <w:tcW w:w="460" w:type="dxa"/>
            <w:vAlign w:val="bottom"/>
          </w:tcPr>
          <w:p>
            <w:pPr>
              <w:spacing w:after="0"/>
              <w:rPr>
                <w:sz w:val="14"/>
                <w:szCs w:val="14"/>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7"/>
                <w:szCs w:val="17"/>
                <w:b w:val="1"/>
                <w:bCs w:val="1"/>
                <w:color w:val="auto"/>
                <w:w w:val="90"/>
              </w:rPr>
              <w:t>Level 2</w:t>
            </w:r>
          </w:p>
        </w:tc>
        <w:tc>
          <w:tcPr>
            <w:tcW w:w="400" w:type="dxa"/>
            <w:vAlign w:val="bottom"/>
          </w:tcPr>
          <w:p>
            <w:pPr>
              <w:spacing w:after="0"/>
              <w:rPr>
                <w:sz w:val="14"/>
                <w:szCs w:val="14"/>
                <w:color w:val="auto"/>
              </w:rPr>
            </w:pPr>
          </w:p>
        </w:tc>
        <w:tc>
          <w:tcPr>
            <w:tcW w:w="100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w w:val="90"/>
              </w:rPr>
              <w:t>Level 3</w:t>
            </w:r>
          </w:p>
        </w:tc>
        <w:tc>
          <w:tcPr>
            <w:tcW w:w="1180" w:type="dxa"/>
            <w:vAlign w:val="bottom"/>
            <w:gridSpan w:val="2"/>
          </w:tcPr>
          <w:p>
            <w:pPr>
              <w:jc w:val="center"/>
              <w:spacing w:after="0" w:line="167" w:lineRule="exact"/>
              <w:rPr>
                <w:sz w:val="20"/>
                <w:szCs w:val="20"/>
                <w:color w:val="auto"/>
              </w:rPr>
            </w:pPr>
            <w:r>
              <w:rPr>
                <w:rFonts w:ascii="Arial" w:cs="Arial" w:eastAsia="Arial" w:hAnsi="Arial"/>
                <w:sz w:val="17"/>
                <w:szCs w:val="17"/>
                <w:b w:val="1"/>
                <w:bCs w:val="1"/>
                <w:color w:val="auto"/>
                <w:w w:val="89"/>
              </w:rPr>
              <w:t>measured at</w:t>
            </w:r>
          </w:p>
        </w:tc>
        <w:tc>
          <w:tcPr>
            <w:tcW w:w="0" w:type="dxa"/>
            <w:vAlign w:val="bottom"/>
          </w:tcPr>
          <w:p>
            <w:pPr>
              <w:spacing w:after="0"/>
              <w:rPr>
                <w:sz w:val="1"/>
                <w:szCs w:val="1"/>
                <w:color w:val="auto"/>
              </w:rPr>
            </w:pPr>
          </w:p>
        </w:tc>
      </w:tr>
      <w:tr>
        <w:trPr>
          <w:trHeight w:val="219"/>
        </w:trPr>
        <w:tc>
          <w:tcPr>
            <w:tcW w:w="43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55"/>
              <w:spacing w:after="0"/>
              <w:rPr>
                <w:sz w:val="20"/>
                <w:szCs w:val="20"/>
                <w:color w:val="auto"/>
              </w:rPr>
            </w:pPr>
            <w:r>
              <w:rPr>
                <w:rFonts w:ascii="Arial" w:cs="Arial" w:eastAsia="Arial" w:hAnsi="Arial"/>
                <w:sz w:val="17"/>
                <w:szCs w:val="17"/>
                <w:b w:val="1"/>
                <w:bCs w:val="1"/>
                <w:color w:val="auto"/>
              </w:rPr>
              <w:t>NAV</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2"/>
          </w:tcPr>
          <w:p>
            <w:pPr>
              <w:jc w:val="right"/>
              <w:ind w:right="235"/>
              <w:spacing w:after="0"/>
              <w:rPr>
                <w:sz w:val="20"/>
                <w:szCs w:val="20"/>
                <w:color w:val="auto"/>
              </w:rPr>
            </w:pPr>
            <w:r>
              <w:rPr>
                <w:rFonts w:ascii="Arial" w:cs="Arial" w:eastAsia="Arial" w:hAnsi="Arial"/>
                <w:sz w:val="15"/>
                <w:szCs w:val="15"/>
                <w:color w:val="auto"/>
              </w:rPr>
              <w:t>(millions)</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7"/>
                <w:szCs w:val="17"/>
                <w:color w:val="auto"/>
              </w:rPr>
              <w:t>Evergy Kansas Central Post-Retirement Benefit Plans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Domestic equities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32.5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32.5</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International equities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22.1</w:t>
            </w:r>
          </w:p>
        </w:tc>
        <w:tc>
          <w:tcPr>
            <w:tcW w:w="26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22.1</w:t>
            </w:r>
          </w:p>
        </w:tc>
        <w:tc>
          <w:tcPr>
            <w:tcW w:w="46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62.3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62.3</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Combination debt/equity/other fund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6.1</w:t>
            </w:r>
          </w:p>
        </w:tc>
        <w:tc>
          <w:tcPr>
            <w:tcW w:w="26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6.1</w:t>
            </w:r>
          </w:p>
        </w:tc>
        <w:tc>
          <w:tcPr>
            <w:tcW w:w="46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1000" w:type="dxa"/>
            <w:vAlign w:val="bottom"/>
          </w:tcPr>
          <w:p>
            <w:pPr>
              <w:jc w:val="right"/>
              <w:ind w:right="315"/>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w:t>
            </w: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1"/>
        </w:trPr>
        <w:tc>
          <w:tcPr>
            <w:tcW w:w="4360" w:type="dxa"/>
            <w:vAlign w:val="bottom"/>
          </w:tcPr>
          <w:p>
            <w:pPr>
              <w:ind w:left="520"/>
              <w:spacing w:after="0"/>
              <w:rPr>
                <w:sz w:val="20"/>
                <w:szCs w:val="20"/>
                <w:color w:val="auto"/>
              </w:rPr>
            </w:pPr>
            <w:r>
              <w:rPr>
                <w:rFonts w:ascii="Arial" w:cs="Arial" w:eastAsia="Arial" w:hAnsi="Arial"/>
                <w:sz w:val="17"/>
                <w:szCs w:val="17"/>
                <w:color w:val="auto"/>
              </w:rPr>
              <w:t>Total</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124.0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123.0</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7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6"/>
        </w:trPr>
        <w:tc>
          <w:tcPr>
            <w:tcW w:w="4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Evergy Metro Post-Retirement Benefit Plans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Domestic equities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20.0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20.0</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International equities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12.3</w:t>
            </w:r>
          </w:p>
        </w:tc>
        <w:tc>
          <w:tcPr>
            <w:tcW w:w="26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12.3</w:t>
            </w:r>
          </w:p>
        </w:tc>
        <w:tc>
          <w:tcPr>
            <w:tcW w:w="46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50.2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50.2</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Corporate bonds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18.1</w:t>
            </w:r>
          </w:p>
        </w:tc>
        <w:tc>
          <w:tcPr>
            <w:tcW w:w="26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color w:val="auto"/>
              </w:rPr>
              <w:t>18.1</w:t>
            </w:r>
          </w:p>
        </w:tc>
        <w:tc>
          <w:tcPr>
            <w:tcW w:w="400" w:type="dxa"/>
            <w:vAlign w:val="bottom"/>
          </w:tcPr>
          <w:p>
            <w:pPr>
              <w:spacing w:after="0"/>
              <w:rPr>
                <w:sz w:val="18"/>
                <w:szCs w:val="18"/>
                <w:color w:val="auto"/>
              </w:rPr>
            </w:pPr>
          </w:p>
        </w:tc>
        <w:tc>
          <w:tcPr>
            <w:tcW w:w="10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 Treasury and agency bonds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12.1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6.1</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6.0</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Mortgage and asset backed securities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0.8</w:t>
            </w:r>
          </w:p>
        </w:tc>
        <w:tc>
          <w:tcPr>
            <w:tcW w:w="26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color w:val="auto"/>
              </w:rPr>
              <w:t>0.8</w:t>
            </w:r>
          </w:p>
        </w:tc>
        <w:tc>
          <w:tcPr>
            <w:tcW w:w="400" w:type="dxa"/>
            <w:vAlign w:val="bottom"/>
          </w:tcPr>
          <w:p>
            <w:pPr>
              <w:spacing w:after="0"/>
              <w:rPr>
                <w:sz w:val="18"/>
                <w:szCs w:val="18"/>
                <w:color w:val="auto"/>
              </w:rPr>
            </w:pPr>
          </w:p>
        </w:tc>
        <w:tc>
          <w:tcPr>
            <w:tcW w:w="10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Combination debt/equity/other fund</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3.9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3.9</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0.5</w:t>
            </w:r>
          </w:p>
        </w:tc>
        <w:tc>
          <w:tcPr>
            <w:tcW w:w="26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0.5</w:t>
            </w:r>
          </w:p>
        </w:tc>
        <w:tc>
          <w:tcPr>
            <w:tcW w:w="46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0.1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8"/>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0.3</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0.3</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118.3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93.0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25.2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5" w:name="page126"/>
    <w:bookmarkEnd w:id="12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ind w:left="260"/>
              <w:spacing w:after="0"/>
              <w:rPr>
                <w:sz w:val="20"/>
                <w:szCs w:val="20"/>
                <w:color w:val="auto"/>
              </w:rPr>
            </w:pPr>
            <w:r>
              <w:rPr>
                <w:rFonts w:ascii="Arial" w:cs="Arial" w:eastAsia="Arial" w:hAnsi="Arial"/>
                <w:sz w:val="17"/>
                <w:szCs w:val="17"/>
                <w:b w:val="1"/>
                <w:bCs w:val="1"/>
                <w:color w:val="auto"/>
                <w:w w:val="96"/>
              </w:rPr>
              <w:t>Fair Value Measurements Using</w:t>
            </w:r>
          </w:p>
        </w:tc>
        <w:tc>
          <w:tcPr>
            <w:tcW w:w="3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1860" w:type="dxa"/>
            <w:vAlign w:val="bottom"/>
            <w:gridSpan w:val="3"/>
            <w:vMerge w:val="restart"/>
          </w:tcPr>
          <w:p>
            <w:pPr>
              <w:jc w:val="right"/>
              <w:ind w:right="194"/>
              <w:spacing w:after="0"/>
              <w:rPr>
                <w:sz w:val="20"/>
                <w:szCs w:val="20"/>
                <w:color w:val="auto"/>
              </w:rPr>
            </w:pPr>
            <w:r>
              <w:rPr>
                <w:rFonts w:ascii="Arial" w:cs="Arial" w:eastAsia="Arial" w:hAnsi="Arial"/>
                <w:sz w:val="17"/>
                <w:szCs w:val="17"/>
                <w:b w:val="1"/>
                <w:bCs w:val="1"/>
                <w:color w:val="auto"/>
              </w:rPr>
              <w:t>December 31</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center"/>
              <w:ind w:right="254"/>
              <w:spacing w:after="0" w:line="161" w:lineRule="exact"/>
              <w:rPr>
                <w:sz w:val="20"/>
                <w:szCs w:val="20"/>
                <w:color w:val="auto"/>
              </w:rPr>
            </w:pPr>
            <w:r>
              <w:rPr>
                <w:rFonts w:ascii="Arial" w:cs="Arial" w:eastAsia="Arial" w:hAnsi="Arial"/>
                <w:sz w:val="17"/>
                <w:szCs w:val="17"/>
                <w:b w:val="1"/>
                <w:bCs w:val="1"/>
                <w:color w:val="auto"/>
                <w:w w:val="78"/>
              </w:rPr>
              <w:t>Assets</w:t>
            </w:r>
          </w:p>
        </w:tc>
        <w:tc>
          <w:tcPr>
            <w:tcW w:w="0" w:type="dxa"/>
            <w:vAlign w:val="bottom"/>
          </w:tcPr>
          <w:p>
            <w:pPr>
              <w:spacing w:after="0"/>
              <w:rPr>
                <w:sz w:val="1"/>
                <w:szCs w:val="1"/>
                <w:color w:val="auto"/>
              </w:rPr>
            </w:pPr>
          </w:p>
        </w:tc>
      </w:tr>
      <w:tr>
        <w:trPr>
          <w:trHeight w:val="168"/>
        </w:trPr>
        <w:tc>
          <w:tcPr>
            <w:tcW w:w="43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Description</w:t>
            </w:r>
          </w:p>
        </w:tc>
        <w:tc>
          <w:tcPr>
            <w:tcW w:w="18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93"/>
              </w:rPr>
              <w:t>Level 1</w:t>
            </w:r>
          </w:p>
        </w:tc>
        <w:tc>
          <w:tcPr>
            <w:tcW w:w="460" w:type="dxa"/>
            <w:vAlign w:val="bottom"/>
          </w:tcPr>
          <w:p>
            <w:pPr>
              <w:spacing w:after="0"/>
              <w:rPr>
                <w:sz w:val="14"/>
                <w:szCs w:val="14"/>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7"/>
                <w:szCs w:val="17"/>
                <w:b w:val="1"/>
                <w:bCs w:val="1"/>
                <w:color w:val="auto"/>
                <w:w w:val="90"/>
              </w:rPr>
              <w:t>Level 2</w:t>
            </w:r>
          </w:p>
        </w:tc>
        <w:tc>
          <w:tcPr>
            <w:tcW w:w="40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7"/>
                <w:szCs w:val="17"/>
                <w:b w:val="1"/>
                <w:bCs w:val="1"/>
                <w:color w:val="auto"/>
              </w:rPr>
              <w:t>Level 3</w:t>
            </w:r>
          </w:p>
        </w:tc>
        <w:tc>
          <w:tcPr>
            <w:tcW w:w="1180" w:type="dxa"/>
            <w:vAlign w:val="bottom"/>
            <w:gridSpan w:val="2"/>
          </w:tcPr>
          <w:p>
            <w:pPr>
              <w:jc w:val="center"/>
              <w:spacing w:after="0" w:line="167" w:lineRule="exact"/>
              <w:rPr>
                <w:sz w:val="20"/>
                <w:szCs w:val="20"/>
                <w:color w:val="auto"/>
              </w:rPr>
            </w:pPr>
            <w:r>
              <w:rPr>
                <w:rFonts w:ascii="Arial" w:cs="Arial" w:eastAsia="Arial" w:hAnsi="Arial"/>
                <w:sz w:val="17"/>
                <w:szCs w:val="17"/>
                <w:b w:val="1"/>
                <w:bCs w:val="1"/>
                <w:color w:val="auto"/>
                <w:w w:val="89"/>
              </w:rPr>
              <w:t>measured at</w:t>
            </w:r>
          </w:p>
        </w:tc>
        <w:tc>
          <w:tcPr>
            <w:tcW w:w="0" w:type="dxa"/>
            <w:vAlign w:val="bottom"/>
          </w:tcPr>
          <w:p>
            <w:pPr>
              <w:spacing w:after="0"/>
              <w:rPr>
                <w:sz w:val="1"/>
                <w:szCs w:val="1"/>
                <w:color w:val="auto"/>
              </w:rPr>
            </w:pPr>
          </w:p>
        </w:tc>
      </w:tr>
      <w:tr>
        <w:trPr>
          <w:trHeight w:val="219"/>
        </w:trPr>
        <w:tc>
          <w:tcPr>
            <w:tcW w:w="43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54"/>
              <w:spacing w:after="0"/>
              <w:rPr>
                <w:sz w:val="20"/>
                <w:szCs w:val="20"/>
                <w:color w:val="auto"/>
              </w:rPr>
            </w:pPr>
            <w:r>
              <w:rPr>
                <w:rFonts w:ascii="Arial" w:cs="Arial" w:eastAsia="Arial" w:hAnsi="Arial"/>
                <w:sz w:val="17"/>
                <w:szCs w:val="17"/>
                <w:b w:val="1"/>
                <w:bCs w:val="1"/>
                <w:color w:val="auto"/>
              </w:rPr>
              <w:t>NAV</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2"/>
          </w:tcPr>
          <w:p>
            <w:pPr>
              <w:jc w:val="right"/>
              <w:ind w:right="234"/>
              <w:spacing w:after="0"/>
              <w:rPr>
                <w:sz w:val="20"/>
                <w:szCs w:val="20"/>
                <w:color w:val="auto"/>
              </w:rPr>
            </w:pPr>
            <w:r>
              <w:rPr>
                <w:rFonts w:ascii="Arial" w:cs="Arial" w:eastAsia="Arial" w:hAnsi="Arial"/>
                <w:sz w:val="15"/>
                <w:szCs w:val="15"/>
                <w:color w:val="auto"/>
              </w:rPr>
              <w:t>(millions)</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7"/>
                <w:szCs w:val="17"/>
                <w:color w:val="auto"/>
              </w:rPr>
              <w:t>Evergy Kansas Central Post-Retirement Benefit Plans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Domestic equities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41.9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International equities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27.7</w:t>
            </w:r>
          </w:p>
        </w:tc>
        <w:tc>
          <w:tcPr>
            <w:tcW w:w="26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60" w:type="dxa"/>
            <w:vAlign w:val="bottom"/>
          </w:tcPr>
          <w:p>
            <w:pPr>
              <w:jc w:val="right"/>
              <w:ind w:right="194"/>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55.5</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218"/>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Cash and cash equivalents</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0.7</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0.7</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125.8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0.7</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125.1</w:t>
            </w:r>
          </w:p>
        </w:tc>
        <w:tc>
          <w:tcPr>
            <w:tcW w:w="0" w:type="dxa"/>
            <w:vAlign w:val="bottom"/>
          </w:tcPr>
          <w:p>
            <w:pPr>
              <w:spacing w:after="0"/>
              <w:rPr>
                <w:sz w:val="1"/>
                <w:szCs w:val="1"/>
                <w:color w:val="auto"/>
              </w:rPr>
            </w:pPr>
          </w:p>
        </w:tc>
      </w:tr>
      <w:tr>
        <w:trPr>
          <w:trHeight w:val="245"/>
        </w:trPr>
        <w:tc>
          <w:tcPr>
            <w:tcW w:w="4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 Metro Post-Retirement Benefit Plans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Domestic equities</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4.6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4.6</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ind w:left="42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International equities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1.2</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Bond funds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79.0</w:t>
            </w:r>
          </w:p>
        </w:tc>
        <w:tc>
          <w:tcPr>
            <w:tcW w:w="26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0.2</w:t>
            </w:r>
          </w:p>
        </w:tc>
        <w:tc>
          <w:tcPr>
            <w:tcW w:w="46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60" w:type="dxa"/>
            <w:vAlign w:val="bottom"/>
          </w:tcPr>
          <w:p>
            <w:pPr>
              <w:jc w:val="right"/>
              <w:ind w:right="194"/>
              <w:spacing w:after="0"/>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bonds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17.9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17.9</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U.S. Treasury and agency bonds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13.6</w:t>
            </w:r>
          </w:p>
        </w:tc>
        <w:tc>
          <w:tcPr>
            <w:tcW w:w="26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5.7</w:t>
            </w:r>
          </w:p>
        </w:tc>
        <w:tc>
          <w:tcPr>
            <w:tcW w:w="46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7"/>
                <w:szCs w:val="17"/>
                <w:color w:val="auto"/>
              </w:rPr>
              <w:t>7.9</w:t>
            </w:r>
          </w:p>
        </w:tc>
        <w:tc>
          <w:tcPr>
            <w:tcW w:w="40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Mortgage and asset backed securities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0.5</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0.5</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color w:val="auto"/>
              </w:rPr>
              <w:t>5.4</w:t>
            </w:r>
          </w:p>
        </w:tc>
        <w:tc>
          <w:tcPr>
            <w:tcW w:w="26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5.4</w:t>
            </w:r>
          </w:p>
        </w:tc>
        <w:tc>
          <w:tcPr>
            <w:tcW w:w="46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0.3</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122.5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17.1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26.6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440"/>
        <w:spacing w:after="0" w:line="264" w:lineRule="auto"/>
        <w:rPr>
          <w:sz w:val="20"/>
          <w:szCs w:val="20"/>
          <w:color w:val="auto"/>
        </w:rPr>
      </w:pPr>
      <w:r>
        <w:rPr>
          <w:rFonts w:ascii="Arial" w:cs="Arial" w:eastAsia="Arial" w:hAnsi="Arial"/>
          <w:sz w:val="19"/>
          <w:szCs w:val="19"/>
          <w:color w:val="auto"/>
        </w:rPr>
        <w:t>Assumed health care cost trend rates have a significant effect on the amounts reported for the health care plans. The cost trend assumptions are detailed in the following tables.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Assumed annual health care cost growth rates as of December 31, 2021</w:t>
            </w:r>
          </w:p>
        </w:tc>
        <w:tc>
          <w:tcPr>
            <w:tcW w:w="206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7"/>
                <w:szCs w:val="17"/>
                <w:b w:val="1"/>
                <w:bCs w:val="1"/>
                <w:color w:val="auto"/>
              </w:rPr>
              <w:t>Evergy</w:t>
            </w:r>
          </w:p>
        </w:tc>
        <w:tc>
          <w:tcPr>
            <w:tcW w:w="1640" w:type="dxa"/>
            <w:vAlign w:val="bottom"/>
            <w:tcBorders>
              <w:top w:val="single" w:sz="8" w:color="auto"/>
            </w:tcBorders>
          </w:tcPr>
          <w:p>
            <w:pPr>
              <w:jc w:val="right"/>
              <w:ind w:right="254"/>
              <w:spacing w:after="0" w:line="194" w:lineRule="exact"/>
              <w:rPr>
                <w:sz w:val="20"/>
                <w:szCs w:val="20"/>
                <w:color w:val="auto"/>
              </w:rPr>
            </w:pPr>
            <w:r>
              <w:rPr>
                <w:rFonts w:ascii="Arial" w:cs="Arial" w:eastAsia="Arial" w:hAnsi="Arial"/>
                <w:sz w:val="17"/>
                <w:szCs w:val="17"/>
                <w:b w:val="1"/>
                <w:bCs w:val="1"/>
                <w:color w:val="auto"/>
              </w:rPr>
              <w:t>Evergy Kansas</w:t>
            </w:r>
          </w:p>
        </w:tc>
        <w:tc>
          <w:tcPr>
            <w:tcW w:w="142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7"/>
                <w:szCs w:val="17"/>
                <w:b w:val="1"/>
                <w:bCs w:val="1"/>
                <w:color w:val="auto"/>
              </w:rPr>
              <w:t>Evergy Metro</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Central</w:t>
            </w: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Health care cost trend rate assumed for next year</w:t>
            </w:r>
          </w:p>
        </w:tc>
        <w:tc>
          <w:tcPr>
            <w:tcW w:w="20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6.0 %</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6.0 %</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Rate to which the cost trend is assumed to decline (the ultimate trend rate)</w:t>
            </w:r>
          </w:p>
        </w:tc>
        <w:tc>
          <w:tcPr>
            <w:tcW w:w="2060" w:type="dxa"/>
            <w:vAlign w:val="bottom"/>
          </w:tcPr>
          <w:p>
            <w:pPr>
              <w:jc w:val="right"/>
              <w:ind w:right="94"/>
              <w:spacing w:after="0"/>
              <w:rPr>
                <w:sz w:val="20"/>
                <w:szCs w:val="20"/>
                <w:color w:val="auto"/>
              </w:rPr>
            </w:pPr>
            <w:r>
              <w:rPr>
                <w:rFonts w:ascii="Arial" w:cs="Arial" w:eastAsia="Arial" w:hAnsi="Arial"/>
                <w:sz w:val="17"/>
                <w:szCs w:val="17"/>
                <w:color w:val="auto"/>
              </w:rPr>
              <w:t>4.5 %</w:t>
            </w:r>
          </w:p>
        </w:tc>
        <w:tc>
          <w:tcPr>
            <w:tcW w:w="1640" w:type="dxa"/>
            <w:vAlign w:val="bottom"/>
          </w:tcPr>
          <w:p>
            <w:pPr>
              <w:jc w:val="right"/>
              <w:ind w:right="134"/>
              <w:spacing w:after="0"/>
              <w:rPr>
                <w:sz w:val="20"/>
                <w:szCs w:val="20"/>
                <w:color w:val="auto"/>
              </w:rPr>
            </w:pPr>
            <w:r>
              <w:rPr>
                <w:rFonts w:ascii="Arial" w:cs="Arial" w:eastAsia="Arial" w:hAnsi="Arial"/>
                <w:sz w:val="17"/>
                <w:szCs w:val="17"/>
                <w:color w:val="auto"/>
              </w:rPr>
              <w:t>4.5 %</w:t>
            </w:r>
          </w:p>
        </w:tc>
        <w:tc>
          <w:tcPr>
            <w:tcW w:w="1420" w:type="dxa"/>
            <w:vAlign w:val="bottom"/>
          </w:tcPr>
          <w:p>
            <w:pPr>
              <w:jc w:val="right"/>
              <w:spacing w:after="0"/>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r>
        <w:trPr>
          <w:trHeight w:val="226"/>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Year that rate reaches ultimate trend</w:t>
            </w:r>
          </w:p>
        </w:tc>
        <w:tc>
          <w:tcPr>
            <w:tcW w:w="20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2030</w:t>
            </w:r>
          </w:p>
        </w:tc>
        <w:tc>
          <w:tcPr>
            <w:tcW w:w="16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2030</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2030</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Assumed annual health care cost growth rates as of December 31, 2020</w:t>
            </w:r>
          </w:p>
        </w:tc>
        <w:tc>
          <w:tcPr>
            <w:tcW w:w="206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7"/>
                <w:szCs w:val="17"/>
                <w:b w:val="1"/>
                <w:bCs w:val="1"/>
                <w:color w:val="auto"/>
              </w:rPr>
              <w:t>Evergy</w:t>
            </w:r>
          </w:p>
        </w:tc>
        <w:tc>
          <w:tcPr>
            <w:tcW w:w="1640" w:type="dxa"/>
            <w:vAlign w:val="bottom"/>
            <w:tcBorders>
              <w:top w:val="single" w:sz="8" w:color="auto"/>
            </w:tcBorders>
          </w:tcPr>
          <w:p>
            <w:pPr>
              <w:jc w:val="right"/>
              <w:ind w:right="254"/>
              <w:spacing w:after="0" w:line="194" w:lineRule="exact"/>
              <w:rPr>
                <w:sz w:val="20"/>
                <w:szCs w:val="20"/>
                <w:color w:val="auto"/>
              </w:rPr>
            </w:pPr>
            <w:r>
              <w:rPr>
                <w:rFonts w:ascii="Arial" w:cs="Arial" w:eastAsia="Arial" w:hAnsi="Arial"/>
                <w:sz w:val="17"/>
                <w:szCs w:val="17"/>
                <w:b w:val="1"/>
                <w:bCs w:val="1"/>
                <w:color w:val="auto"/>
              </w:rPr>
              <w:t>Evergy Kansas</w:t>
            </w:r>
          </w:p>
        </w:tc>
        <w:tc>
          <w:tcPr>
            <w:tcW w:w="142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7"/>
                <w:szCs w:val="17"/>
                <w:b w:val="1"/>
                <w:bCs w:val="1"/>
                <w:color w:val="auto"/>
              </w:rPr>
              <w:t>Evergy Metro</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Central</w:t>
            </w: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Health care cost trend rate assumed for next year</w:t>
            </w:r>
          </w:p>
        </w:tc>
        <w:tc>
          <w:tcPr>
            <w:tcW w:w="20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6.0 %</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6.0 %</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Rate to which the cost trend is assumed to decline (the ultimate trend rate)</w:t>
            </w:r>
          </w:p>
        </w:tc>
        <w:tc>
          <w:tcPr>
            <w:tcW w:w="2060" w:type="dxa"/>
            <w:vAlign w:val="bottom"/>
          </w:tcPr>
          <w:p>
            <w:pPr>
              <w:jc w:val="right"/>
              <w:ind w:right="94"/>
              <w:spacing w:after="0"/>
              <w:rPr>
                <w:sz w:val="20"/>
                <w:szCs w:val="20"/>
                <w:color w:val="auto"/>
              </w:rPr>
            </w:pPr>
            <w:r>
              <w:rPr>
                <w:rFonts w:ascii="Arial" w:cs="Arial" w:eastAsia="Arial" w:hAnsi="Arial"/>
                <w:sz w:val="17"/>
                <w:szCs w:val="17"/>
                <w:color w:val="auto"/>
              </w:rPr>
              <w:t>4.5 %</w:t>
            </w:r>
          </w:p>
        </w:tc>
        <w:tc>
          <w:tcPr>
            <w:tcW w:w="1640" w:type="dxa"/>
            <w:vAlign w:val="bottom"/>
          </w:tcPr>
          <w:p>
            <w:pPr>
              <w:jc w:val="right"/>
              <w:ind w:right="134"/>
              <w:spacing w:after="0"/>
              <w:rPr>
                <w:sz w:val="20"/>
                <w:szCs w:val="20"/>
                <w:color w:val="auto"/>
              </w:rPr>
            </w:pPr>
            <w:r>
              <w:rPr>
                <w:rFonts w:ascii="Arial" w:cs="Arial" w:eastAsia="Arial" w:hAnsi="Arial"/>
                <w:sz w:val="17"/>
                <w:szCs w:val="17"/>
                <w:color w:val="auto"/>
              </w:rPr>
              <w:t>4.5 %</w:t>
            </w:r>
          </w:p>
        </w:tc>
        <w:tc>
          <w:tcPr>
            <w:tcW w:w="1420" w:type="dxa"/>
            <w:vAlign w:val="bottom"/>
          </w:tcPr>
          <w:p>
            <w:pPr>
              <w:jc w:val="right"/>
              <w:spacing w:after="0"/>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r>
        <w:trPr>
          <w:trHeight w:val="226"/>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Year that rate reaches ultimate trend</w:t>
            </w:r>
          </w:p>
        </w:tc>
        <w:tc>
          <w:tcPr>
            <w:tcW w:w="20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2027</w:t>
            </w:r>
          </w:p>
        </w:tc>
        <w:tc>
          <w:tcPr>
            <w:tcW w:w="16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2027</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2027</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Savings Plans</w:t>
      </w:r>
    </w:p>
    <w:p>
      <w:pPr>
        <w:spacing w:after="0" w:line="23" w:lineRule="exact"/>
        <w:rPr>
          <w:sz w:val="20"/>
          <w:szCs w:val="20"/>
          <w:color w:val="auto"/>
        </w:rPr>
      </w:pPr>
    </w:p>
    <w:p>
      <w:pPr>
        <w:ind w:right="220"/>
        <w:spacing w:after="0" w:line="247" w:lineRule="auto"/>
        <w:rPr>
          <w:sz w:val="20"/>
          <w:szCs w:val="20"/>
          <w:color w:val="auto"/>
        </w:rPr>
      </w:pPr>
      <w:r>
        <w:rPr>
          <w:rFonts w:ascii="Arial" w:cs="Arial" w:eastAsia="Arial" w:hAnsi="Arial"/>
          <w:sz w:val="19"/>
          <w:szCs w:val="19"/>
          <w:color w:val="auto"/>
        </w:rPr>
        <w:t>Evergy has defined contribution savings plans (401(k)) that cover substantially all employees. Evergy matches employee contributions, subject to limits. The annual costs of the plans are detailed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2019</w:t>
            </w:r>
          </w:p>
        </w:tc>
      </w:tr>
      <w:tr>
        <w:trPr>
          <w:trHeight w:val="196"/>
        </w:trPr>
        <w:tc>
          <w:tcPr>
            <w:tcW w:w="46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16"/>
              <w:spacing w:after="0"/>
              <w:rPr>
                <w:sz w:val="20"/>
                <w:szCs w:val="20"/>
                <w:color w:val="auto"/>
              </w:rPr>
            </w:pPr>
            <w:r>
              <w:rPr>
                <w:rFonts w:ascii="Arial" w:cs="Arial" w:eastAsia="Arial" w:hAnsi="Arial"/>
                <w:sz w:val="15"/>
                <w:szCs w:val="15"/>
                <w:color w:val="auto"/>
              </w:rPr>
              <w:t>(millions)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w:t>
            </w:r>
          </w:p>
        </w:tc>
        <w:tc>
          <w:tcPr>
            <w:tcW w:w="374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25.6</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17.4</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18"/>
        </w:trPr>
        <w:tc>
          <w:tcPr>
            <w:tcW w:w="4620" w:type="dxa"/>
            <w:vAlign w:val="bottom"/>
          </w:tcPr>
          <w:p>
            <w:pPr>
              <w:ind w:left="20"/>
              <w:spacing w:after="0"/>
              <w:rPr>
                <w:sz w:val="20"/>
                <w:szCs w:val="20"/>
                <w:color w:val="auto"/>
              </w:rPr>
            </w:pPr>
            <w:r>
              <w:rPr>
                <w:rFonts w:ascii="Arial" w:cs="Arial" w:eastAsia="Arial" w:hAnsi="Arial"/>
                <w:sz w:val="17"/>
                <w:szCs w:val="17"/>
                <w:color w:val="auto"/>
              </w:rPr>
              <w:t>Evergy Kansas Central</w:t>
            </w:r>
          </w:p>
        </w:tc>
        <w:tc>
          <w:tcPr>
            <w:tcW w:w="3740" w:type="dxa"/>
            <w:vAlign w:val="bottom"/>
          </w:tcPr>
          <w:p>
            <w:pPr>
              <w:spacing w:after="0"/>
              <w:rPr>
                <w:sz w:val="18"/>
                <w:szCs w:val="18"/>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w w:val="84"/>
              </w:rPr>
              <w:t>11.7</w:t>
            </w:r>
          </w:p>
        </w:tc>
        <w:tc>
          <w:tcPr>
            <w:tcW w:w="28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9.6</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26"/>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Evergy Metro</w:t>
            </w:r>
          </w:p>
        </w:tc>
        <w:tc>
          <w:tcPr>
            <w:tcW w:w="3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13.9</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7.8</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6" w:name="page127"/>
    <w:bookmarkEnd w:id="12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 EQUITY COMPENSATION</w:t>
      </w:r>
    </w:p>
    <w:p>
      <w:pPr>
        <w:spacing w:after="0" w:line="110"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Evergy's Long-Term Incentive Plan is an equity compensation plan approved by Evergy shareholders. The Long-Term Incentive Plan permits the grant of restricted stock, restricted stock units, bonus shares, stock options, stock appreciation rights, limited stock appreciation rights, director shares, director deferred share units and performance shares to directors, officers and other employees of Evergy. Common stock shares delivered by Evergy under the Long-Term Incentive Plan may be authorized but unissued, held in the treasury or purchased on the open market (including private purchases) in accordance with applicable securities laws. Evergy has a policy of delivering newly issued shares and does not expect to repurchase common shares during 2022 to satisfy equity compensation payments and director deferred share unit conversion. Forfeiture rates are based on historical forfeitures and future expectations and are reevaluated annually.</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Evergy Companies' equity compensation expense and the associated income tax benefit.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2019</w:t>
            </w:r>
          </w:p>
        </w:tc>
      </w:tr>
      <w:tr>
        <w:trPr>
          <w:trHeight w:val="212"/>
        </w:trPr>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Evergy</w:t>
            </w: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255"/>
              <w:spacing w:after="0"/>
              <w:rPr>
                <w:sz w:val="20"/>
                <w:szCs w:val="20"/>
                <w:color w:val="auto"/>
              </w:rPr>
            </w:pPr>
            <w:r>
              <w:rPr>
                <w:rFonts w:ascii="Arial" w:cs="Arial" w:eastAsia="Arial" w:hAnsi="Arial"/>
                <w:sz w:val="15"/>
                <w:szCs w:val="15"/>
                <w:color w:val="auto"/>
              </w:rPr>
              <w:t>(millions)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Equity compensation expense</w:t>
            </w:r>
          </w:p>
        </w:tc>
        <w:tc>
          <w:tcPr>
            <w:tcW w:w="336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90"/>
              </w:rPr>
              <w:t>15.6</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15.5</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r>
      <w:tr>
        <w:trPr>
          <w:trHeight w:val="218"/>
        </w:trPr>
        <w:tc>
          <w:tcPr>
            <w:tcW w:w="4760" w:type="dxa"/>
            <w:vAlign w:val="bottom"/>
          </w:tcPr>
          <w:p>
            <w:pPr>
              <w:ind w:left="140"/>
              <w:spacing w:after="0"/>
              <w:rPr>
                <w:sz w:val="20"/>
                <w:szCs w:val="20"/>
                <w:color w:val="auto"/>
              </w:rPr>
            </w:pPr>
            <w:r>
              <w:rPr>
                <w:rFonts w:ascii="Arial" w:cs="Arial" w:eastAsia="Arial" w:hAnsi="Arial"/>
                <w:sz w:val="17"/>
                <w:szCs w:val="17"/>
                <w:color w:val="auto"/>
              </w:rPr>
              <w:t>Income tax (expense) benefit</w:t>
            </w:r>
          </w:p>
        </w:tc>
        <w:tc>
          <w:tcPr>
            <w:tcW w:w="336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7"/>
                <w:szCs w:val="17"/>
                <w:color w:val="auto"/>
                <w:w w:val="97"/>
              </w:rPr>
              <w:t>(0.1)</w:t>
            </w:r>
          </w:p>
        </w:tc>
        <w:tc>
          <w:tcPr>
            <w:tcW w:w="28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0"/>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8"/>
        </w:trPr>
        <w:tc>
          <w:tcPr>
            <w:tcW w:w="4760" w:type="dxa"/>
            <w:vAlign w:val="bottom"/>
          </w:tcPr>
          <w:p>
            <w:pPr>
              <w:ind w:left="140"/>
              <w:spacing w:after="0"/>
              <w:rPr>
                <w:sz w:val="20"/>
                <w:szCs w:val="20"/>
                <w:color w:val="auto"/>
              </w:rPr>
            </w:pPr>
            <w:r>
              <w:rPr>
                <w:rFonts w:ascii="Arial" w:cs="Arial" w:eastAsia="Arial" w:hAnsi="Arial"/>
                <w:sz w:val="17"/>
                <w:szCs w:val="17"/>
                <w:color w:val="auto"/>
              </w:rPr>
              <w:t>Equity compensation expense</w:t>
            </w:r>
          </w:p>
        </w:tc>
        <w:tc>
          <w:tcPr>
            <w:tcW w:w="3360" w:type="dxa"/>
            <w:vAlign w:val="bottom"/>
          </w:tcPr>
          <w:p>
            <w:pPr>
              <w:spacing w:after="0"/>
              <w:rPr>
                <w:sz w:val="18"/>
                <w:szCs w:val="18"/>
                <w:color w:val="auto"/>
              </w:rPr>
            </w:pPr>
          </w:p>
        </w:tc>
        <w:tc>
          <w:tcPr>
            <w:tcW w:w="460" w:type="dxa"/>
            <w:vAlign w:val="bottom"/>
          </w:tcPr>
          <w:p>
            <w:pPr>
              <w:jc w:val="right"/>
              <w:ind w:right="54"/>
              <w:spacing w:after="0"/>
              <w:rPr>
                <w:sz w:val="20"/>
                <w:szCs w:val="20"/>
                <w:color w:val="auto"/>
              </w:rPr>
            </w:pPr>
            <w:r>
              <w:rPr>
                <w:rFonts w:ascii="Arial" w:cs="Arial" w:eastAsia="Arial" w:hAnsi="Arial"/>
                <w:sz w:val="17"/>
                <w:szCs w:val="17"/>
                <w:color w:val="auto"/>
              </w:rPr>
              <w:t>6.9</w:t>
            </w:r>
          </w:p>
        </w:tc>
        <w:tc>
          <w:tcPr>
            <w:tcW w:w="28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7.6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 (expense) benefit</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7"/>
              </w:rPr>
              <w:t>(0.2)</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9"/>
        </w:trPr>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Evergy Metro</w:t>
            </w:r>
          </w:p>
        </w:tc>
        <w:tc>
          <w:tcPr>
            <w:tcW w:w="3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Equity compensation expense</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25"/>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Income tax (expense) benefit</w:t>
            </w:r>
          </w:p>
        </w:tc>
        <w:tc>
          <w:tcPr>
            <w:tcW w:w="3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7"/>
              </w:rPr>
              <w:t>(0.6)</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0.2</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Share Units</w:t>
      </w:r>
    </w:p>
    <w:p>
      <w:pPr>
        <w:spacing w:after="0" w:line="23" w:lineRule="exact"/>
        <w:rPr>
          <w:sz w:val="20"/>
          <w:szCs w:val="20"/>
          <w:color w:val="auto"/>
        </w:rPr>
      </w:pPr>
    </w:p>
    <w:p>
      <w:pPr>
        <w:ind w:right="160"/>
        <w:spacing w:after="0" w:line="242" w:lineRule="auto"/>
        <w:rPr>
          <w:sz w:val="20"/>
          <w:szCs w:val="20"/>
          <w:color w:val="auto"/>
        </w:rPr>
      </w:pPr>
      <w:r>
        <w:rPr>
          <w:rFonts w:ascii="Arial" w:cs="Arial" w:eastAsia="Arial" w:hAnsi="Arial"/>
          <w:sz w:val="19"/>
          <w:szCs w:val="19"/>
          <w:color w:val="auto"/>
        </w:rPr>
        <w:t>Evergy utilizes RSUs for new grants of stock-based compensation awards. RSU awards are grants that entitle the holder to receive shares of common stock as the awards vest. These RSU awards are defined as nonvested shares and do not include restrictions once the awards have vested. These RSUs either take the form of RSUs with performance measures that vest upon the achievement of specific performance goals or RSUs with only service requirements that vest solely upon the passage of time.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RSUs with Performance Measures</w:t>
      </w:r>
    </w:p>
    <w:p>
      <w:pPr>
        <w:spacing w:after="0" w:line="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payment of RSUs with performance measures is contingent upon achievement of specific performance goals over a stated period of time as approved by the Compensation and Leadership Development Committee of the Board. The numbers of RSUs with performances measures ultimately paid can vary from the numbers of RSUs with performance measures initially granted depending on Evergy's performance over the stated performance periods. Compensation expense for RSUs with performance measures is calculated by recognizing the portion of the fair value for each reporting period for which the requisite service has been rendered. Dividends are accrued over the vesting period and paid in cash based on the number of RSUs with performance measures ultimately paid.</w:t>
      </w:r>
    </w:p>
    <w:p>
      <w:pPr>
        <w:spacing w:after="0" w:line="170"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The fair value of RSUs with performance measures is estimated using the market value of Evergy's stock at the valuation date and a Monte Carlo simulation technique that incorporates assumptions for inputs of expected volatilities, dividend yield and risk-free rates. Expected volatility is based on daily stock price change during a historical period commensurate with the remaining term of the performance period of the grant. The risk-free rate is based upon the rate at the time of the evaluation for zero-coupon government bonds with a maturity consistent with the remaining performance period of the grant. The dividend yield is based on the most recent dividends paid and the actual closing stock price on the valuation date. For shares granted in 2021, inputs for expected volatility, dividend yield and the risk-free rate were 32%, 3.99% and 0.24%, respectively.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7" w:name="page128"/>
    <w:bookmarkEnd w:id="12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RSU activity for awards with performance measures for 2021 is summarized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jc w:val="center"/>
              <w:ind w:left="2374"/>
              <w:spacing w:after="0" w:line="194" w:lineRule="exact"/>
              <w:rPr>
                <w:sz w:val="20"/>
                <w:szCs w:val="20"/>
                <w:color w:val="auto"/>
              </w:rPr>
            </w:pPr>
            <w:r>
              <w:rPr>
                <w:rFonts w:ascii="Arial" w:cs="Arial" w:eastAsia="Arial" w:hAnsi="Arial"/>
                <w:sz w:val="17"/>
                <w:szCs w:val="17"/>
                <w:b w:val="1"/>
                <w:bCs w:val="1"/>
                <w:color w:val="auto"/>
                <w:w w:val="87"/>
              </w:rPr>
              <w:t>Nonvested</w:t>
            </w:r>
          </w:p>
        </w:tc>
        <w:tc>
          <w:tcPr>
            <w:tcW w:w="1780" w:type="dxa"/>
            <w:vAlign w:val="bottom"/>
            <w:tcBorders>
              <w:top w:val="single" w:sz="8" w:color="auto"/>
            </w:tcBorders>
            <w:gridSpan w:val="2"/>
            <w:vMerge w:val="restart"/>
          </w:tcPr>
          <w:p>
            <w:pPr>
              <w:jc w:val="right"/>
              <w:ind w:right="334"/>
              <w:spacing w:after="0"/>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168"/>
        </w:trPr>
        <w:tc>
          <w:tcPr>
            <w:tcW w:w="5280" w:type="dxa"/>
            <w:vAlign w:val="bottom"/>
          </w:tcPr>
          <w:p>
            <w:pPr>
              <w:spacing w:after="0"/>
              <w:rPr>
                <w:sz w:val="14"/>
                <w:szCs w:val="14"/>
                <w:color w:val="auto"/>
              </w:rPr>
            </w:pPr>
          </w:p>
        </w:tc>
        <w:tc>
          <w:tcPr>
            <w:tcW w:w="4140" w:type="dxa"/>
            <w:vAlign w:val="bottom"/>
          </w:tcPr>
          <w:p>
            <w:pPr>
              <w:jc w:val="center"/>
              <w:ind w:left="2354"/>
              <w:spacing w:after="0" w:line="167" w:lineRule="exact"/>
              <w:rPr>
                <w:sz w:val="20"/>
                <w:szCs w:val="20"/>
                <w:color w:val="auto"/>
              </w:rPr>
            </w:pPr>
            <w:r>
              <w:rPr>
                <w:rFonts w:ascii="Arial" w:cs="Arial" w:eastAsia="Arial" w:hAnsi="Arial"/>
                <w:sz w:val="17"/>
                <w:szCs w:val="17"/>
                <w:b w:val="1"/>
                <w:bCs w:val="1"/>
                <w:color w:val="auto"/>
                <w:w w:val="90"/>
              </w:rPr>
              <w:t>Restricted Share</w:t>
            </w: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jc w:val="center"/>
              <w:ind w:left="2374"/>
              <w:spacing w:after="0"/>
              <w:rPr>
                <w:sz w:val="20"/>
                <w:szCs w:val="20"/>
                <w:color w:val="auto"/>
              </w:rPr>
            </w:pPr>
            <w:r>
              <w:rPr>
                <w:rFonts w:ascii="Arial" w:cs="Arial" w:eastAsia="Arial" w:hAnsi="Arial"/>
                <w:sz w:val="17"/>
                <w:szCs w:val="17"/>
                <w:b w:val="1"/>
                <w:bCs w:val="1"/>
                <w:color w:val="auto"/>
                <w:w w:val="94"/>
              </w:rPr>
              <w:t>Units</w:t>
            </w:r>
          </w:p>
        </w:tc>
        <w:tc>
          <w:tcPr>
            <w:tcW w:w="178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January 1, 2021</w:t>
            </w:r>
          </w:p>
        </w:tc>
        <w:tc>
          <w:tcPr>
            <w:tcW w:w="4140" w:type="dxa"/>
            <w:vAlign w:val="bottom"/>
            <w:shd w:val="clear" w:color="auto" w:fill="CCEEFF"/>
          </w:tcPr>
          <w:p>
            <w:pPr>
              <w:jc w:val="center"/>
              <w:ind w:left="2654"/>
              <w:spacing w:after="0"/>
              <w:rPr>
                <w:sz w:val="20"/>
                <w:szCs w:val="20"/>
                <w:color w:val="auto"/>
              </w:rPr>
            </w:pPr>
            <w:r>
              <w:rPr>
                <w:rFonts w:ascii="Arial" w:cs="Arial" w:eastAsia="Arial" w:hAnsi="Arial"/>
                <w:sz w:val="17"/>
                <w:szCs w:val="17"/>
                <w:color w:val="auto"/>
                <w:w w:val="91"/>
              </w:rPr>
              <w:t>347,964</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61.57</w:t>
            </w: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Granted</w:t>
            </w:r>
          </w:p>
        </w:tc>
        <w:tc>
          <w:tcPr>
            <w:tcW w:w="4140" w:type="dxa"/>
            <w:vAlign w:val="bottom"/>
          </w:tcPr>
          <w:p>
            <w:pPr>
              <w:jc w:val="center"/>
              <w:ind w:left="2654"/>
              <w:spacing w:after="0"/>
              <w:rPr>
                <w:sz w:val="20"/>
                <w:szCs w:val="20"/>
                <w:color w:val="auto"/>
              </w:rPr>
            </w:pPr>
            <w:r>
              <w:rPr>
                <w:rFonts w:ascii="Arial" w:cs="Arial" w:eastAsia="Arial" w:hAnsi="Arial"/>
                <w:sz w:val="17"/>
                <w:szCs w:val="17"/>
                <w:color w:val="auto"/>
                <w:w w:val="91"/>
              </w:rPr>
              <w:t>270,277</w:t>
            </w:r>
          </w:p>
        </w:tc>
        <w:tc>
          <w:tcPr>
            <w:tcW w:w="760" w:type="dxa"/>
            <w:vAlign w:val="bottom"/>
          </w:tcPr>
          <w:p>
            <w:pPr>
              <w:spacing w:after="0"/>
              <w:rPr>
                <w:sz w:val="18"/>
                <w:szCs w:val="18"/>
                <w:color w:val="auto"/>
              </w:rPr>
            </w:pPr>
          </w:p>
        </w:tc>
        <w:tc>
          <w:tcPr>
            <w:tcW w:w="1020" w:type="dxa"/>
            <w:vAlign w:val="bottom"/>
          </w:tcPr>
          <w:p>
            <w:pPr>
              <w:jc w:val="right"/>
              <w:ind w:right="334"/>
              <w:spacing w:after="0"/>
              <w:rPr>
                <w:sz w:val="20"/>
                <w:szCs w:val="20"/>
                <w:color w:val="auto"/>
              </w:rPr>
            </w:pPr>
            <w:r>
              <w:rPr>
                <w:rFonts w:ascii="Arial" w:cs="Arial" w:eastAsia="Arial" w:hAnsi="Arial"/>
                <w:sz w:val="17"/>
                <w:szCs w:val="17"/>
                <w:color w:val="auto"/>
              </w:rPr>
              <w:t>57.21</w:t>
            </w:r>
          </w:p>
        </w:tc>
        <w:tc>
          <w:tcPr>
            <w:tcW w:w="0" w:type="dxa"/>
            <w:vAlign w:val="bottom"/>
          </w:tcPr>
          <w:p>
            <w:pPr>
              <w:spacing w:after="0"/>
              <w:rPr>
                <w:sz w:val="1"/>
                <w:szCs w:val="1"/>
                <w:color w:val="auto"/>
              </w:rPr>
            </w:pPr>
          </w:p>
        </w:tc>
      </w:tr>
      <w:tr>
        <w:trPr>
          <w:trHeight w:val="220"/>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4140" w:type="dxa"/>
            <w:vAlign w:val="bottom"/>
            <w:tcBorders>
              <w:bottom w:val="single" w:sz="8" w:color="auto"/>
            </w:tcBorders>
            <w:shd w:val="clear" w:color="auto" w:fill="CCEEFF"/>
          </w:tcPr>
          <w:p>
            <w:pPr>
              <w:jc w:val="center"/>
              <w:ind w:left="2614"/>
              <w:spacing w:after="0"/>
              <w:rPr>
                <w:sz w:val="20"/>
                <w:szCs w:val="20"/>
                <w:color w:val="auto"/>
              </w:rPr>
            </w:pPr>
            <w:r>
              <w:rPr>
                <w:rFonts w:ascii="Arial" w:cs="Arial" w:eastAsia="Arial" w:hAnsi="Arial"/>
                <w:sz w:val="17"/>
                <w:szCs w:val="17"/>
                <w:color w:val="auto"/>
                <w:w w:val="93"/>
              </w:rPr>
              <w:t>(104,526)</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64.85</w:t>
            </w:r>
          </w:p>
        </w:tc>
        <w:tc>
          <w:tcPr>
            <w:tcW w:w="0" w:type="dxa"/>
            <w:vAlign w:val="bottom"/>
          </w:tcPr>
          <w:p>
            <w:pPr>
              <w:spacing w:after="0"/>
              <w:rPr>
                <w:sz w:val="1"/>
                <w:szCs w:val="1"/>
                <w:color w:val="auto"/>
              </w:rPr>
            </w:pPr>
          </w:p>
        </w:tc>
      </w:tr>
      <w:tr>
        <w:trPr>
          <w:trHeight w:val="218"/>
        </w:trPr>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 December 31, 2021</w:t>
            </w:r>
          </w:p>
        </w:tc>
        <w:tc>
          <w:tcPr>
            <w:tcW w:w="4140" w:type="dxa"/>
            <w:vAlign w:val="bottom"/>
            <w:tcBorders>
              <w:bottom w:val="single" w:sz="8" w:color="auto"/>
            </w:tcBorders>
          </w:tcPr>
          <w:p>
            <w:pPr>
              <w:jc w:val="center"/>
              <w:ind w:left="2654"/>
              <w:spacing w:after="0"/>
              <w:rPr>
                <w:sz w:val="20"/>
                <w:szCs w:val="20"/>
                <w:color w:val="auto"/>
              </w:rPr>
            </w:pPr>
            <w:r>
              <w:rPr>
                <w:rFonts w:ascii="Arial" w:cs="Arial" w:eastAsia="Arial" w:hAnsi="Arial"/>
                <w:sz w:val="17"/>
                <w:szCs w:val="17"/>
                <w:color w:val="auto"/>
                <w:w w:val="91"/>
              </w:rPr>
              <w:t>513,715</w:t>
            </w:r>
          </w:p>
        </w:tc>
        <w:tc>
          <w:tcPr>
            <w:tcW w:w="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58.79</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 weighted-average</w:t>
      </w:r>
    </w:p>
    <w:p>
      <w:pPr>
        <w:spacing w:after="0" w:line="206"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At December 31, 2021, the remaining weighted-average contractual term related to RSU awards with performance measures was 1.4 years. The weighted-average grant-date fair value of RSUs granted with performance measures was $57.21, $87.98 and $37.87 in 2021, 2020 and 2019, respectively. At December 31, 2021, there was $15.3 million of unrecognized compensation expense related to unvested RSUs with performance measures. No RSUs with performance measures vested in 2021, 2020 and 2019.</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RSUs with Only Service Requirements</w:t>
      </w:r>
    </w:p>
    <w:p>
      <w:pPr>
        <w:spacing w:after="0" w:line="17" w:lineRule="exact"/>
        <w:rPr>
          <w:sz w:val="20"/>
          <w:szCs w:val="20"/>
          <w:color w:val="auto"/>
        </w:rPr>
      </w:pPr>
    </w:p>
    <w:p>
      <w:pPr>
        <w:ind w:right="180"/>
        <w:spacing w:after="0" w:line="242" w:lineRule="auto"/>
        <w:rPr>
          <w:sz w:val="20"/>
          <w:szCs w:val="20"/>
          <w:color w:val="auto"/>
        </w:rPr>
      </w:pPr>
      <w:r>
        <w:rPr>
          <w:rFonts w:ascii="Arial" w:cs="Arial" w:eastAsia="Arial" w:hAnsi="Arial"/>
          <w:sz w:val="19"/>
          <w:szCs w:val="19"/>
          <w:color w:val="auto"/>
        </w:rPr>
        <w:t>Evergy measures the fair value of RSUs with only service requirements based on the fair market value of the underlying common stock as of the grant date. RSU awards with only service conditions recognize compensation expense by multiplying shares by the grant-date fair value related to the RSU and recognizing it on a straight-line basis over the requisite service period for the entire award. Dividends are accrued over the vesting period and are invested in additional RSU's subject to the same service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RSU activity for awards with only service requirements for 2021 is summarized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jc w:val="center"/>
              <w:ind w:left="2374"/>
              <w:spacing w:after="0" w:line="194" w:lineRule="exact"/>
              <w:rPr>
                <w:sz w:val="20"/>
                <w:szCs w:val="20"/>
                <w:color w:val="auto"/>
              </w:rPr>
            </w:pPr>
            <w:r>
              <w:rPr>
                <w:rFonts w:ascii="Arial" w:cs="Arial" w:eastAsia="Arial" w:hAnsi="Arial"/>
                <w:sz w:val="17"/>
                <w:szCs w:val="17"/>
                <w:b w:val="1"/>
                <w:bCs w:val="1"/>
                <w:color w:val="auto"/>
                <w:w w:val="87"/>
              </w:rPr>
              <w:t>Nonvested</w:t>
            </w:r>
          </w:p>
        </w:tc>
        <w:tc>
          <w:tcPr>
            <w:tcW w:w="1780" w:type="dxa"/>
            <w:vAlign w:val="bottom"/>
            <w:tcBorders>
              <w:top w:val="single" w:sz="8" w:color="auto"/>
            </w:tcBorders>
            <w:gridSpan w:val="2"/>
            <w:vMerge w:val="restart"/>
          </w:tcPr>
          <w:p>
            <w:pPr>
              <w:jc w:val="right"/>
              <w:ind w:right="334"/>
              <w:spacing w:after="0"/>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168"/>
        </w:trPr>
        <w:tc>
          <w:tcPr>
            <w:tcW w:w="5280" w:type="dxa"/>
            <w:vAlign w:val="bottom"/>
          </w:tcPr>
          <w:p>
            <w:pPr>
              <w:spacing w:after="0"/>
              <w:rPr>
                <w:sz w:val="14"/>
                <w:szCs w:val="14"/>
                <w:color w:val="auto"/>
              </w:rPr>
            </w:pPr>
          </w:p>
        </w:tc>
        <w:tc>
          <w:tcPr>
            <w:tcW w:w="4140" w:type="dxa"/>
            <w:vAlign w:val="bottom"/>
          </w:tcPr>
          <w:p>
            <w:pPr>
              <w:jc w:val="center"/>
              <w:ind w:left="2354"/>
              <w:spacing w:after="0" w:line="167" w:lineRule="exact"/>
              <w:rPr>
                <w:sz w:val="20"/>
                <w:szCs w:val="20"/>
                <w:color w:val="auto"/>
              </w:rPr>
            </w:pPr>
            <w:r>
              <w:rPr>
                <w:rFonts w:ascii="Arial" w:cs="Arial" w:eastAsia="Arial" w:hAnsi="Arial"/>
                <w:sz w:val="17"/>
                <w:szCs w:val="17"/>
                <w:b w:val="1"/>
                <w:bCs w:val="1"/>
                <w:color w:val="auto"/>
                <w:w w:val="90"/>
              </w:rPr>
              <w:t>Restricted Share</w:t>
            </w: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jc w:val="center"/>
              <w:ind w:left="2374"/>
              <w:spacing w:after="0"/>
              <w:rPr>
                <w:sz w:val="20"/>
                <w:szCs w:val="20"/>
                <w:color w:val="auto"/>
              </w:rPr>
            </w:pPr>
            <w:r>
              <w:rPr>
                <w:rFonts w:ascii="Arial" w:cs="Arial" w:eastAsia="Arial" w:hAnsi="Arial"/>
                <w:sz w:val="17"/>
                <w:szCs w:val="17"/>
                <w:b w:val="1"/>
                <w:bCs w:val="1"/>
                <w:color w:val="auto"/>
                <w:w w:val="94"/>
              </w:rPr>
              <w:t>Units</w:t>
            </w:r>
          </w:p>
        </w:tc>
        <w:tc>
          <w:tcPr>
            <w:tcW w:w="178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January 1, 2021</w:t>
            </w:r>
          </w:p>
        </w:tc>
        <w:tc>
          <w:tcPr>
            <w:tcW w:w="4140" w:type="dxa"/>
            <w:vAlign w:val="bottom"/>
            <w:shd w:val="clear" w:color="auto" w:fill="CCEEFF"/>
          </w:tcPr>
          <w:p>
            <w:pPr>
              <w:ind w:left="3160"/>
              <w:spacing w:after="0"/>
              <w:rPr>
                <w:sz w:val="20"/>
                <w:szCs w:val="20"/>
                <w:color w:val="auto"/>
              </w:rPr>
            </w:pPr>
            <w:r>
              <w:rPr>
                <w:rFonts w:ascii="Arial" w:cs="Arial" w:eastAsia="Arial" w:hAnsi="Arial"/>
                <w:sz w:val="17"/>
                <w:szCs w:val="17"/>
                <w:color w:val="auto"/>
              </w:rPr>
              <w:t>160,742</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59.42</w:t>
            </w: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Granted</w:t>
            </w:r>
          </w:p>
        </w:tc>
        <w:tc>
          <w:tcPr>
            <w:tcW w:w="4140" w:type="dxa"/>
            <w:vAlign w:val="bottom"/>
          </w:tcPr>
          <w:p>
            <w:pPr>
              <w:ind w:left="3160"/>
              <w:spacing w:after="0"/>
              <w:rPr>
                <w:sz w:val="20"/>
                <w:szCs w:val="20"/>
                <w:color w:val="auto"/>
              </w:rPr>
            </w:pPr>
            <w:r>
              <w:rPr>
                <w:rFonts w:ascii="Arial" w:cs="Arial" w:eastAsia="Arial" w:hAnsi="Arial"/>
                <w:sz w:val="17"/>
                <w:szCs w:val="17"/>
                <w:color w:val="auto"/>
              </w:rPr>
              <w:t>171,363</w:t>
            </w:r>
          </w:p>
        </w:tc>
        <w:tc>
          <w:tcPr>
            <w:tcW w:w="760" w:type="dxa"/>
            <w:vAlign w:val="bottom"/>
          </w:tcPr>
          <w:p>
            <w:pPr>
              <w:spacing w:after="0"/>
              <w:rPr>
                <w:sz w:val="18"/>
                <w:szCs w:val="18"/>
                <w:color w:val="auto"/>
              </w:rPr>
            </w:pPr>
          </w:p>
        </w:tc>
        <w:tc>
          <w:tcPr>
            <w:tcW w:w="1020" w:type="dxa"/>
            <w:vAlign w:val="bottom"/>
          </w:tcPr>
          <w:p>
            <w:pPr>
              <w:jc w:val="right"/>
              <w:ind w:right="334"/>
              <w:spacing w:after="0"/>
              <w:rPr>
                <w:sz w:val="20"/>
                <w:szCs w:val="20"/>
                <w:color w:val="auto"/>
              </w:rPr>
            </w:pPr>
            <w:r>
              <w:rPr>
                <w:rFonts w:ascii="Arial" w:cs="Arial" w:eastAsia="Arial" w:hAnsi="Arial"/>
                <w:sz w:val="17"/>
                <w:szCs w:val="17"/>
                <w:color w:val="auto"/>
              </w:rPr>
              <w:t>55.30</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4140" w:type="dxa"/>
            <w:vAlign w:val="bottom"/>
            <w:shd w:val="clear" w:color="auto" w:fill="CCEEFF"/>
          </w:tcPr>
          <w:p>
            <w:pPr>
              <w:ind w:left="3180"/>
              <w:spacing w:after="0"/>
              <w:rPr>
                <w:sz w:val="20"/>
                <w:szCs w:val="20"/>
                <w:color w:val="auto"/>
              </w:rPr>
            </w:pPr>
            <w:r>
              <w:rPr>
                <w:rFonts w:ascii="Arial" w:cs="Arial" w:eastAsia="Arial" w:hAnsi="Arial"/>
                <w:sz w:val="17"/>
                <w:szCs w:val="17"/>
                <w:color w:val="auto"/>
              </w:rPr>
              <w:t>(43,785)</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54.61</w:t>
            </w:r>
          </w:p>
        </w:tc>
        <w:tc>
          <w:tcPr>
            <w:tcW w:w="0" w:type="dxa"/>
            <w:vAlign w:val="bottom"/>
          </w:tcPr>
          <w:p>
            <w:pPr>
              <w:spacing w:after="0"/>
              <w:rPr>
                <w:sz w:val="1"/>
                <w:szCs w:val="1"/>
                <w:color w:val="auto"/>
              </w:rPr>
            </w:pPr>
          </w:p>
        </w:tc>
      </w:tr>
      <w:tr>
        <w:trPr>
          <w:trHeight w:val="21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Forfeited</w:t>
            </w:r>
          </w:p>
        </w:tc>
        <w:tc>
          <w:tcPr>
            <w:tcW w:w="4140" w:type="dxa"/>
            <w:vAlign w:val="bottom"/>
            <w:tcBorders>
              <w:bottom w:val="single" w:sz="8" w:color="auto"/>
            </w:tcBorders>
          </w:tcPr>
          <w:p>
            <w:pPr>
              <w:ind w:left="3180"/>
              <w:spacing w:after="0"/>
              <w:rPr>
                <w:sz w:val="20"/>
                <w:szCs w:val="20"/>
                <w:color w:val="auto"/>
              </w:rPr>
            </w:pPr>
            <w:r>
              <w:rPr>
                <w:rFonts w:ascii="Arial" w:cs="Arial" w:eastAsia="Arial" w:hAnsi="Arial"/>
                <w:sz w:val="17"/>
                <w:szCs w:val="17"/>
                <w:color w:val="auto"/>
              </w:rPr>
              <w:t>(35,274)</w:t>
            </w:r>
          </w:p>
        </w:tc>
        <w:tc>
          <w:tcPr>
            <w:tcW w:w="7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334"/>
              <w:spacing w:after="0"/>
              <w:rPr>
                <w:sz w:val="20"/>
                <w:szCs w:val="20"/>
                <w:color w:val="auto"/>
              </w:rPr>
            </w:pPr>
            <w:r>
              <w:rPr>
                <w:rFonts w:ascii="Arial" w:cs="Arial" w:eastAsia="Arial" w:hAnsi="Arial"/>
                <w:sz w:val="17"/>
                <w:szCs w:val="17"/>
                <w:color w:val="auto"/>
              </w:rPr>
              <w:t>59.24</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 December 31, 2021</w:t>
            </w:r>
          </w:p>
        </w:tc>
        <w:tc>
          <w:tcPr>
            <w:tcW w:w="4140" w:type="dxa"/>
            <w:vAlign w:val="bottom"/>
            <w:tcBorders>
              <w:bottom w:val="single" w:sz="8" w:color="auto"/>
            </w:tcBorders>
            <w:shd w:val="clear" w:color="auto" w:fill="CCEEFF"/>
          </w:tcPr>
          <w:p>
            <w:pPr>
              <w:ind w:left="3160"/>
              <w:spacing w:after="0"/>
              <w:rPr>
                <w:sz w:val="20"/>
                <w:szCs w:val="20"/>
                <w:color w:val="auto"/>
              </w:rPr>
            </w:pPr>
            <w:r>
              <w:rPr>
                <w:rFonts w:ascii="Arial" w:cs="Arial" w:eastAsia="Arial" w:hAnsi="Arial"/>
                <w:sz w:val="17"/>
                <w:szCs w:val="17"/>
                <w:color w:val="auto"/>
              </w:rPr>
              <w:t>253,046</w:t>
            </w:r>
          </w:p>
        </w:tc>
        <w:tc>
          <w:tcPr>
            <w:tcW w:w="7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57.18</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 weighted-average</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At December 31, 2021, the remaining weighted-average contractual term related to RSU awards with only service requirements was 1.4 years. The weighted-average grant-date fair value of RSUs granted with only service requirements was $55.30, $68.92 and $54.47 in 2021, 2020 and 2019, respectively. At December 31, 2021, there was $7.0 million of unrecognized compensation expense related to unvested RSUs. The total fair value of RSUs with only service requirements that vested was $2.4 million, $6.5 million and $2.6 million in 2021, 2020 and 2019, respectively.</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 addition to RSU's, Evergy also had 36,012 shares and 108,010 shares of restricted stock and performance shares, respectively, that vested in 2021 related to Great Plains Energy equity compensation awards that converted to equivalent Evergy awards at the closing of the Great Plains Energy and Evergy Kansas Central merger in 2018.</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 SHORT-TERM BORROWINGS AND SHORT-TERM BANK LINES OF CREDIT</w:t>
      </w:r>
    </w:p>
    <w:p>
      <w:pPr>
        <w:spacing w:after="0" w:line="1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August 2021, Evergy amended its $2.5 billion master credit facility and extended the maturity until 2026.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Evergy adjusted these sublimits in the first quarter of 2021 as further detailed in the table below. The applicable interest rates and commitment fees of the facility are subject to upward or downward adjustments, within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8" w:name="page129"/>
    <w:bookmarkEnd w:id="12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200"/>
        <w:spacing w:after="0" w:line="264" w:lineRule="auto"/>
        <w:rPr>
          <w:sz w:val="20"/>
          <w:szCs w:val="20"/>
          <w:color w:val="auto"/>
        </w:rPr>
      </w:pPr>
      <w:r>
        <w:rPr>
          <w:rFonts w:ascii="Arial" w:cs="Arial" w:eastAsia="Arial" w:hAnsi="Arial"/>
          <w:sz w:val="19"/>
          <w:szCs w:val="19"/>
          <w:color w:val="auto"/>
        </w:rPr>
        <w:t>certain limitations, if Evergy achieves, or fails to achieve, certain sustainability-linked targets based on two key performance indicator metrics: (i) Non-Emitting Generation Capacity and (ii) Diverse Supplier Spend (as defined in the facility).</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December 31, 2021, Evergy, Evergy Kansas Central, Evergy Metro and Evergy Missouri West were in compliance with this covenant.</w:t>
      </w:r>
    </w:p>
    <w:p>
      <w:pPr>
        <w:spacing w:after="0" w:line="148" w:lineRule="exact"/>
        <w:rPr>
          <w:sz w:val="20"/>
          <w:szCs w:val="20"/>
          <w:color w:val="auto"/>
        </w:rPr>
      </w:pPr>
    </w:p>
    <w:p>
      <w:pPr>
        <w:ind w:right="380"/>
        <w:spacing w:after="0" w:line="264" w:lineRule="auto"/>
        <w:rPr>
          <w:sz w:val="20"/>
          <w:szCs w:val="20"/>
          <w:color w:val="auto"/>
        </w:rPr>
      </w:pPr>
      <w:r>
        <w:rPr>
          <w:rFonts w:ascii="Arial" w:cs="Arial" w:eastAsia="Arial" w:hAnsi="Arial"/>
          <w:sz w:val="19"/>
          <w:szCs w:val="19"/>
          <w:color w:val="auto"/>
        </w:rPr>
        <w:t>The following table summarizes the committed credit facilities (excluding receivable sale facilities discussed in Note 3) available to the Evergy Companies as of December 31, 2021 and 2020.</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4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w w:val="93"/>
              </w:rPr>
              <w:t>Amounts Drawn</w:t>
            </w:r>
          </w:p>
        </w:tc>
        <w:tc>
          <w:tcPr>
            <w:tcW w:w="5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60" w:type="dxa"/>
            <w:vAlign w:val="bottom"/>
            <w:tcBorders>
              <w:top w:val="single" w:sz="8" w:color="auto"/>
              <w:bottom w:val="single" w:sz="8" w:color="auto"/>
            </w:tcBorders>
            <w:vMerge w:val="restart"/>
          </w:tcPr>
          <w:p>
            <w:pPr>
              <w:jc w:val="center"/>
              <w:ind w:left="114"/>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w w:val="95"/>
              </w:rPr>
              <w:t>Master Credit</w:t>
            </w:r>
          </w:p>
        </w:tc>
        <w:tc>
          <w:tcPr>
            <w:tcW w:w="160" w:type="dxa"/>
            <w:vAlign w:val="bottom"/>
          </w:tcPr>
          <w:p>
            <w:pPr>
              <w:spacing w:after="0"/>
              <w:rPr>
                <w:sz w:val="12"/>
                <w:szCs w:val="12"/>
                <w:color w:val="auto"/>
              </w:rPr>
            </w:pPr>
          </w:p>
        </w:tc>
        <w:tc>
          <w:tcPr>
            <w:tcW w:w="114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w w:val="94"/>
              </w:rPr>
              <w:t>Commercial</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Available</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80" w:type="dxa"/>
            <w:vAlign w:val="bottom"/>
            <w:gridSpan w:val="4"/>
            <w:vMerge w:val="restart"/>
          </w:tcPr>
          <w:p>
            <w:pPr>
              <w:ind w:left="80"/>
              <w:spacing w:after="0"/>
              <w:rPr>
                <w:sz w:val="20"/>
                <w:szCs w:val="20"/>
                <w:color w:val="auto"/>
              </w:rPr>
            </w:pPr>
            <w:r>
              <w:rPr>
                <w:rFonts w:ascii="Arial" w:cs="Arial" w:eastAsia="Arial" w:hAnsi="Arial"/>
                <w:sz w:val="17"/>
                <w:szCs w:val="17"/>
                <w:b w:val="1"/>
                <w:bCs w:val="1"/>
                <w:color w:val="auto"/>
                <w:w w:val="93"/>
              </w:rPr>
              <w:t>Letters of Credit Cash Borrowings</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60" w:type="dxa"/>
            <w:vAlign w:val="bottom"/>
          </w:tcPr>
          <w:p>
            <w:pPr>
              <w:jc w:val="center"/>
              <w:ind w:left="114"/>
              <w:spacing w:after="0" w:line="167" w:lineRule="exact"/>
              <w:rPr>
                <w:sz w:val="20"/>
                <w:szCs w:val="20"/>
                <w:color w:val="auto"/>
              </w:rPr>
            </w:pPr>
            <w:r>
              <w:rPr>
                <w:rFonts w:ascii="Arial" w:cs="Arial" w:eastAsia="Arial" w:hAnsi="Arial"/>
                <w:sz w:val="17"/>
                <w:szCs w:val="17"/>
                <w:b w:val="1"/>
                <w:bCs w:val="1"/>
                <w:color w:val="auto"/>
                <w:w w:val="92"/>
              </w:rPr>
              <w:t>Interest Rate on Short-</w:t>
            </w:r>
          </w:p>
        </w:tc>
        <w:tc>
          <w:tcPr>
            <w:tcW w:w="0" w:type="dxa"/>
            <w:vAlign w:val="bottom"/>
          </w:tcPr>
          <w:p>
            <w:pPr>
              <w:spacing w:after="0"/>
              <w:rPr>
                <w:sz w:val="1"/>
                <w:szCs w:val="1"/>
                <w:color w:val="auto"/>
              </w:rPr>
            </w:pPr>
          </w:p>
        </w:tc>
      </w:tr>
      <w:tr>
        <w:trPr>
          <w:trHeight w:val="219"/>
        </w:trPr>
        <w:tc>
          <w:tcPr>
            <w:tcW w:w="2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Paper</w:t>
            </w:r>
          </w:p>
        </w:tc>
        <w:tc>
          <w:tcPr>
            <w:tcW w:w="2680" w:type="dxa"/>
            <w:vAlign w:val="bottom"/>
            <w:tcBorders>
              <w:bottom w:val="single" w:sz="8" w:color="auto"/>
            </w:tcBorders>
            <w:gridSpan w:val="4"/>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5"/>
              </w:rPr>
              <w:t>Borrowings</w:t>
            </w:r>
          </w:p>
        </w:tc>
        <w:tc>
          <w:tcPr>
            <w:tcW w:w="2060" w:type="dxa"/>
            <w:vAlign w:val="bottom"/>
            <w:tcBorders>
              <w:bottom w:val="single" w:sz="8" w:color="auto"/>
            </w:tcBorders>
          </w:tcPr>
          <w:p>
            <w:pPr>
              <w:jc w:val="center"/>
              <w:ind w:left="114"/>
              <w:spacing w:after="0"/>
              <w:rPr>
                <w:sz w:val="20"/>
                <w:szCs w:val="20"/>
                <w:color w:val="auto"/>
              </w:rPr>
            </w:pPr>
            <w:r>
              <w:rPr>
                <w:rFonts w:ascii="Arial" w:cs="Arial" w:eastAsia="Arial" w:hAnsi="Arial"/>
                <w:sz w:val="17"/>
                <w:szCs w:val="17"/>
                <w:b w:val="1"/>
                <w:bCs w:val="1"/>
                <w:color w:val="auto"/>
                <w:w w:val="92"/>
              </w:rPr>
              <w:t>Term Borrowings</w:t>
            </w:r>
          </w:p>
        </w:tc>
        <w:tc>
          <w:tcPr>
            <w:tcW w:w="0" w:type="dxa"/>
            <w:vAlign w:val="bottom"/>
          </w:tcPr>
          <w:p>
            <w:pPr>
              <w:spacing w:after="0"/>
              <w:rPr>
                <w:sz w:val="1"/>
                <w:szCs w:val="1"/>
                <w:color w:val="auto"/>
              </w:rPr>
            </w:pPr>
          </w:p>
        </w:tc>
      </w:tr>
      <w:tr>
        <w:trPr>
          <w:trHeight w:val="212"/>
        </w:trPr>
        <w:tc>
          <w:tcPr>
            <w:tcW w:w="2440" w:type="dxa"/>
            <w:vAlign w:val="bottom"/>
          </w:tcPr>
          <w:p>
            <w:pPr>
              <w:spacing w:after="0"/>
              <w:rPr>
                <w:sz w:val="20"/>
                <w:szCs w:val="20"/>
                <w:color w:val="auto"/>
              </w:rPr>
            </w:pPr>
            <w:r>
              <w:rPr>
                <w:rFonts w:ascii="Arial" w:cs="Arial" w:eastAsia="Arial" w:hAnsi="Arial"/>
                <w:sz w:val="17"/>
                <w:szCs w:val="17"/>
                <w:b w:val="1"/>
                <w:bCs w:val="1"/>
                <w:color w:val="auto"/>
              </w:rPr>
              <w:t>December 31, 2021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55"/>
              <w:spacing w:after="0"/>
              <w:rPr>
                <w:sz w:val="20"/>
                <w:szCs w:val="20"/>
                <w:color w:val="auto"/>
              </w:rPr>
            </w:pPr>
            <w:r>
              <w:rPr>
                <w:rFonts w:ascii="Arial" w:cs="Arial" w:eastAsia="Arial" w:hAnsi="Arial"/>
                <w:sz w:val="15"/>
                <w:szCs w:val="15"/>
                <w:color w:val="auto"/>
              </w:rPr>
              <w:t>(millions)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Evergy,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5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20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5"/>
              </w:rPr>
              <w:t>0.34%</w:t>
            </w:r>
          </w:p>
        </w:tc>
        <w:tc>
          <w:tcPr>
            <w:tcW w:w="0" w:type="dxa"/>
            <w:vAlign w:val="bottom"/>
          </w:tcPr>
          <w:p>
            <w:pPr>
              <w:spacing w:after="0"/>
              <w:rPr>
                <w:sz w:val="1"/>
                <w:szCs w:val="1"/>
                <w:color w:val="auto"/>
              </w:rPr>
            </w:pPr>
          </w:p>
        </w:tc>
      </w:tr>
      <w:tr>
        <w:trPr>
          <w:trHeight w:val="218"/>
        </w:trPr>
        <w:tc>
          <w:tcPr>
            <w:tcW w:w="2440" w:type="dxa"/>
            <w:vAlign w:val="bottom"/>
          </w:tcPr>
          <w:p>
            <w:pPr>
              <w:spacing w:after="0"/>
              <w:rPr>
                <w:sz w:val="20"/>
                <w:szCs w:val="20"/>
                <w:color w:val="auto"/>
              </w:rPr>
            </w:pPr>
            <w:r>
              <w:rPr>
                <w:rFonts w:ascii="Arial" w:cs="Arial" w:eastAsia="Arial" w:hAnsi="Arial"/>
                <w:sz w:val="17"/>
                <w:szCs w:val="17"/>
                <w:color w:val="auto"/>
              </w:rPr>
              <w:t>Evergy Kansas Central</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750.0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406.0</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343.9</w:t>
            </w:r>
          </w:p>
        </w:tc>
        <w:tc>
          <w:tcPr>
            <w:tcW w:w="2060" w:type="dxa"/>
            <w:vAlign w:val="bottom"/>
          </w:tcPr>
          <w:p>
            <w:pPr>
              <w:jc w:val="center"/>
              <w:ind w:left="114"/>
              <w:spacing w:after="0"/>
              <w:rPr>
                <w:sz w:val="20"/>
                <w:szCs w:val="20"/>
                <w:color w:val="auto"/>
              </w:rPr>
            </w:pPr>
            <w:r>
              <w:rPr>
                <w:rFonts w:ascii="Arial" w:cs="Arial" w:eastAsia="Arial" w:hAnsi="Arial"/>
                <w:sz w:val="17"/>
                <w:szCs w:val="17"/>
                <w:color w:val="auto"/>
                <w:w w:val="95"/>
              </w:rPr>
              <w:t>0.41%</w:t>
            </w:r>
          </w:p>
        </w:tc>
        <w:tc>
          <w:tcPr>
            <w:tcW w:w="0" w:type="dxa"/>
            <w:vAlign w:val="bottom"/>
          </w:tcPr>
          <w:p>
            <w:pPr>
              <w:spacing w:after="0"/>
              <w:rPr>
                <w:sz w:val="1"/>
                <w:szCs w:val="1"/>
                <w:color w:val="auto"/>
              </w:rPr>
            </w:pPr>
          </w:p>
        </w:tc>
      </w:tr>
      <w:tr>
        <w:trPr>
          <w:trHeight w:val="220"/>
        </w:trPr>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Evergy Metro</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20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18"/>
        </w:trPr>
        <w:tc>
          <w:tcPr>
            <w:tcW w:w="24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Evergy Missouri West</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700.0</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395.3</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304.7</w:t>
            </w:r>
          </w:p>
        </w:tc>
        <w:tc>
          <w:tcPr>
            <w:tcW w:w="2060" w:type="dxa"/>
            <w:vAlign w:val="bottom"/>
            <w:tcBorders>
              <w:bottom w:val="single" w:sz="8" w:color="CCEEFF"/>
            </w:tcBorders>
          </w:tcPr>
          <w:p>
            <w:pPr>
              <w:jc w:val="center"/>
              <w:ind w:left="114"/>
              <w:spacing w:after="0"/>
              <w:rPr>
                <w:sz w:val="20"/>
                <w:szCs w:val="20"/>
                <w:color w:val="auto"/>
              </w:rPr>
            </w:pPr>
            <w:r>
              <w:rPr>
                <w:rFonts w:ascii="Arial" w:cs="Arial" w:eastAsia="Arial" w:hAnsi="Arial"/>
                <w:sz w:val="17"/>
                <w:szCs w:val="17"/>
                <w:color w:val="auto"/>
                <w:w w:val="95"/>
              </w:rPr>
              <w:t>0.40%</w:t>
            </w:r>
          </w:p>
        </w:tc>
        <w:tc>
          <w:tcPr>
            <w:tcW w:w="0" w:type="dxa"/>
            <w:vAlign w:val="bottom"/>
          </w:tcPr>
          <w:p>
            <w:pPr>
              <w:spacing w:after="0"/>
              <w:rPr>
                <w:sz w:val="1"/>
                <w:szCs w:val="1"/>
                <w:color w:val="auto"/>
              </w:rPr>
            </w:pPr>
          </w:p>
        </w:tc>
      </w:tr>
      <w:tr>
        <w:trPr>
          <w:trHeight w:val="213"/>
        </w:trPr>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Evergy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1,159.3</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5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1,339.9</w:t>
            </w: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2020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40" w:type="dxa"/>
            <w:vAlign w:val="bottom"/>
          </w:tcPr>
          <w:p>
            <w:pPr>
              <w:spacing w:after="0"/>
              <w:rPr>
                <w:sz w:val="20"/>
                <w:szCs w:val="20"/>
                <w:color w:val="auto"/>
              </w:rPr>
            </w:pPr>
            <w:r>
              <w:rPr>
                <w:rFonts w:ascii="Arial" w:cs="Arial" w:eastAsia="Arial" w:hAnsi="Arial"/>
                <w:sz w:val="17"/>
                <w:szCs w:val="17"/>
                <w:color w:val="auto"/>
              </w:rPr>
              <w:t>Evergy,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450.0</w:t>
            </w:r>
          </w:p>
        </w:tc>
        <w:tc>
          <w:tcPr>
            <w:tcW w:w="16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7"/>
                <w:szCs w:val="17"/>
                <w:color w:val="auto"/>
              </w:rPr>
              <w:t>n/a</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0.7</w:t>
            </w:r>
          </w:p>
        </w:tc>
        <w:tc>
          <w:tcPr>
            <w:tcW w:w="52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249.3</w:t>
            </w:r>
          </w:p>
        </w:tc>
        <w:tc>
          <w:tcPr>
            <w:tcW w:w="2060" w:type="dxa"/>
            <w:vAlign w:val="bottom"/>
          </w:tcPr>
          <w:p>
            <w:pPr>
              <w:jc w:val="center"/>
              <w:ind w:left="114"/>
              <w:spacing w:after="0"/>
              <w:rPr>
                <w:sz w:val="20"/>
                <w:szCs w:val="20"/>
                <w:color w:val="auto"/>
              </w:rPr>
            </w:pPr>
            <w:r>
              <w:rPr>
                <w:rFonts w:ascii="Arial" w:cs="Arial" w:eastAsia="Arial" w:hAnsi="Arial"/>
                <w:sz w:val="17"/>
                <w:szCs w:val="17"/>
                <w:color w:val="auto"/>
                <w:w w:val="95"/>
              </w:rPr>
              <w:t>1.40%</w:t>
            </w:r>
          </w:p>
        </w:tc>
        <w:tc>
          <w:tcPr>
            <w:tcW w:w="0" w:type="dxa"/>
            <w:vAlign w:val="bottom"/>
          </w:tcPr>
          <w:p>
            <w:pPr>
              <w:spacing w:after="0"/>
              <w:rPr>
                <w:sz w:val="1"/>
                <w:szCs w:val="1"/>
                <w:color w:val="auto"/>
              </w:rPr>
            </w:pPr>
          </w:p>
        </w:tc>
      </w:tr>
      <w:tr>
        <w:trPr>
          <w:trHeight w:val="220"/>
        </w:trPr>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Evergy Kansas Central</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933.0</w:t>
            </w:r>
          </w:p>
        </w:tc>
        <w:tc>
          <w:tcPr>
            <w:tcW w:w="20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5"/>
              </w:rPr>
              <w:t>0.23%</w:t>
            </w:r>
          </w:p>
        </w:tc>
        <w:tc>
          <w:tcPr>
            <w:tcW w:w="0" w:type="dxa"/>
            <w:vAlign w:val="bottom"/>
          </w:tcPr>
          <w:p>
            <w:pPr>
              <w:spacing w:after="0"/>
              <w:rPr>
                <w:sz w:val="1"/>
                <w:szCs w:val="1"/>
                <w:color w:val="auto"/>
              </w:rPr>
            </w:pPr>
          </w:p>
        </w:tc>
      </w:tr>
      <w:tr>
        <w:trPr>
          <w:trHeight w:val="218"/>
        </w:trPr>
        <w:tc>
          <w:tcPr>
            <w:tcW w:w="2440" w:type="dxa"/>
            <w:vAlign w:val="bottom"/>
          </w:tcPr>
          <w:p>
            <w:pPr>
              <w:spacing w:after="0"/>
              <w:rPr>
                <w:sz w:val="20"/>
                <w:szCs w:val="20"/>
                <w:color w:val="auto"/>
              </w:rPr>
            </w:pPr>
            <w:r>
              <w:rPr>
                <w:rFonts w:ascii="Arial" w:cs="Arial" w:eastAsia="Arial" w:hAnsi="Arial"/>
                <w:sz w:val="17"/>
                <w:szCs w:val="17"/>
                <w:color w:val="auto"/>
              </w:rPr>
              <w:t>Evergy Metro</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600.0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600.0</w:t>
            </w:r>
          </w:p>
        </w:tc>
        <w:tc>
          <w:tcPr>
            <w:tcW w:w="2060" w:type="dxa"/>
            <w:vAlign w:val="bottom"/>
          </w:tcPr>
          <w:p>
            <w:pPr>
              <w:jc w:val="center"/>
              <w:ind w:left="114"/>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20"/>
        </w:trPr>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Evergy Missouri West</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383.0</w:t>
            </w:r>
          </w:p>
        </w:tc>
        <w:tc>
          <w:tcPr>
            <w:tcW w:w="20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5"/>
              </w:rPr>
              <w:t>0.36%</w:t>
            </w:r>
          </w:p>
        </w:tc>
        <w:tc>
          <w:tcPr>
            <w:tcW w:w="0" w:type="dxa"/>
            <w:vAlign w:val="bottom"/>
          </w:tcPr>
          <w:p>
            <w:pPr>
              <w:spacing w:after="0"/>
              <w:rPr>
                <w:sz w:val="1"/>
                <w:szCs w:val="1"/>
                <w:color w:val="auto"/>
              </w:rPr>
            </w:pPr>
          </w:p>
        </w:tc>
      </w:tr>
      <w:tr>
        <w:trPr>
          <w:trHeight w:val="218"/>
        </w:trPr>
        <w:tc>
          <w:tcPr>
            <w:tcW w:w="2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Evergy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5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2,165.3</w:t>
            </w:r>
          </w:p>
        </w:tc>
        <w:tc>
          <w:tcPr>
            <w:tcW w:w="2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In May 2021, Evergy, Inc. established a commercial paper program supported by its borrowing capacity under the master credit facility.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9" w:name="page130"/>
    <w:bookmarkEnd w:id="12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 LONG-TERM DEBT</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The Evergy Companies' long-term debt is detailed in the following tables.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7"/>
                <w:szCs w:val="17"/>
                <w:b w:val="1"/>
                <w:bCs w:val="1"/>
                <w:color w:val="auto"/>
              </w:rPr>
              <w:t>December 31, 2021</w:t>
            </w:r>
          </w:p>
        </w:tc>
        <w:tc>
          <w:tcPr>
            <w:tcW w:w="2160" w:type="dxa"/>
            <w:vAlign w:val="bottom"/>
            <w:tcBorders>
              <w:top w:val="single" w:sz="8" w:color="auto"/>
            </w:tcBorders>
            <w:vMerge w:val="restart"/>
          </w:tcPr>
          <w:p>
            <w:pPr>
              <w:ind w:left="640"/>
              <w:spacing w:after="0"/>
              <w:rPr>
                <w:sz w:val="20"/>
                <w:szCs w:val="20"/>
                <w:color w:val="auto"/>
              </w:rPr>
            </w:pPr>
            <w:r>
              <w:rPr>
                <w:rFonts w:ascii="Arial" w:cs="Arial" w:eastAsia="Arial" w:hAnsi="Arial"/>
                <w:sz w:val="17"/>
                <w:szCs w:val="17"/>
                <w:b w:val="1"/>
                <w:bCs w:val="1"/>
                <w:color w:val="auto"/>
              </w:rPr>
              <w:t>Issuing Entity</w:t>
            </w:r>
          </w:p>
        </w:tc>
        <w:tc>
          <w:tcPr>
            <w:tcW w:w="1580" w:type="dxa"/>
            <w:vAlign w:val="bottom"/>
            <w:tcBorders>
              <w:top w:val="single" w:sz="8" w:color="auto"/>
            </w:tcBorders>
            <w:vMerge w:val="restart"/>
          </w:tcPr>
          <w:p>
            <w:pPr>
              <w:jc w:val="center"/>
              <w:ind w:right="2"/>
              <w:spacing w:after="0"/>
              <w:rPr>
                <w:sz w:val="20"/>
                <w:szCs w:val="20"/>
                <w:color w:val="auto"/>
              </w:rPr>
            </w:pPr>
            <w:r>
              <w:rPr>
                <w:rFonts w:ascii="Arial" w:cs="Arial" w:eastAsia="Arial" w:hAnsi="Arial"/>
                <w:sz w:val="17"/>
                <w:szCs w:val="17"/>
                <w:b w:val="1"/>
                <w:bCs w:val="1"/>
                <w:color w:val="auto"/>
                <w:w w:val="94"/>
              </w:rPr>
              <w:t>Year Due</w:t>
            </w:r>
          </w:p>
        </w:tc>
        <w:tc>
          <w:tcPr>
            <w:tcW w:w="116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7"/>
                <w:szCs w:val="17"/>
                <w:b w:val="1"/>
                <w:bCs w:val="1"/>
                <w:color w:val="auto"/>
              </w:rPr>
              <w:t>Evergy</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22"/>
              <w:spacing w:after="0" w:line="194" w:lineRule="exact"/>
              <w:rPr>
                <w:sz w:val="20"/>
                <w:szCs w:val="20"/>
                <w:color w:val="auto"/>
              </w:rPr>
            </w:pPr>
            <w:r>
              <w:rPr>
                <w:rFonts w:ascii="Arial" w:cs="Arial" w:eastAsia="Arial" w:hAnsi="Arial"/>
                <w:sz w:val="17"/>
                <w:szCs w:val="17"/>
                <w:b w:val="1"/>
                <w:bCs w:val="1"/>
                <w:color w:val="auto"/>
                <w:w w:val="90"/>
              </w:rPr>
              <w:t>Evergy Kansas</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102"/>
              <w:spacing w:after="0"/>
              <w:rPr>
                <w:sz w:val="20"/>
                <w:szCs w:val="20"/>
                <w:color w:val="auto"/>
              </w:rPr>
            </w:pPr>
            <w:r>
              <w:rPr>
                <w:rFonts w:ascii="Arial" w:cs="Arial" w:eastAsia="Arial" w:hAnsi="Arial"/>
                <w:sz w:val="17"/>
                <w:szCs w:val="17"/>
                <w:b w:val="1"/>
                <w:bCs w:val="1"/>
                <w:color w:val="auto"/>
                <w:w w:val="96"/>
              </w:rPr>
              <w:t>Evergy Metro</w:t>
            </w:r>
          </w:p>
        </w:tc>
        <w:tc>
          <w:tcPr>
            <w:tcW w:w="0" w:type="dxa"/>
            <w:vAlign w:val="bottom"/>
          </w:tcPr>
          <w:p>
            <w:pPr>
              <w:spacing w:after="0"/>
              <w:rPr>
                <w:sz w:val="1"/>
                <w:szCs w:val="1"/>
                <w:color w:val="auto"/>
              </w:rPr>
            </w:pPr>
          </w:p>
        </w:tc>
      </w:tr>
      <w:tr>
        <w:trPr>
          <w:trHeight w:val="219"/>
        </w:trPr>
        <w:tc>
          <w:tcPr>
            <w:tcW w:w="3300" w:type="dxa"/>
            <w:vAlign w:val="bottom"/>
            <w:tcBorders>
              <w:bottom w:val="single" w:sz="8" w:color="auto"/>
            </w:tcBorders>
            <w:gridSpan w:val="2"/>
            <w:vMerge w:val="continue"/>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7"/>
                <w:szCs w:val="17"/>
                <w:b w:val="1"/>
                <w:bCs w:val="1"/>
                <w:color w:val="auto"/>
                <w:w w:val="95"/>
              </w:rPr>
              <w:t>Central</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00" w:type="dxa"/>
            <w:vAlign w:val="bottom"/>
            <w:gridSpan w:val="2"/>
          </w:tcPr>
          <w:p>
            <w:pPr>
              <w:ind w:left="140"/>
              <w:spacing w:after="0"/>
              <w:rPr>
                <w:sz w:val="20"/>
                <w:szCs w:val="20"/>
                <w:color w:val="auto"/>
              </w:rPr>
            </w:pPr>
            <w:r>
              <w:rPr>
                <w:rFonts w:ascii="Arial" w:cs="Arial" w:eastAsia="Arial" w:hAnsi="Arial"/>
                <w:sz w:val="15"/>
                <w:szCs w:val="15"/>
                <w:color w:val="auto"/>
              </w:rPr>
              <w:t>Mortgage Bonds</w:t>
            </w: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22"/>
              <w:spacing w:after="0"/>
              <w:rPr>
                <w:sz w:val="20"/>
                <w:szCs w:val="20"/>
                <w:color w:val="auto"/>
              </w:rPr>
            </w:pPr>
            <w:r>
              <w:rPr>
                <w:rFonts w:ascii="Arial" w:cs="Arial" w:eastAsia="Arial" w:hAnsi="Arial"/>
                <w:sz w:val="15"/>
                <w:szCs w:val="15"/>
                <w:color w:val="auto"/>
              </w:rPr>
              <w:t>(millions)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3.25%</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2025</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250.0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250.0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2.55%</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2026</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350.0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3.10%</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2027</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Arial" w:cs="Arial" w:eastAsia="Arial" w:hAnsi="Arial"/>
                <w:sz w:val="15"/>
                <w:szCs w:val="15"/>
                <w:color w:val="auto"/>
              </w:rPr>
              <w:t>4.125% 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2042</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550.0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550.0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4.10%</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2043</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430.0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430.0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Arial" w:cs="Arial" w:eastAsia="Arial" w:hAnsi="Arial"/>
                <w:sz w:val="15"/>
                <w:szCs w:val="15"/>
                <w:color w:val="auto"/>
              </w:rPr>
              <w:t>4.625% 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2043</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250.0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250.0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4.25%</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2045</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3.25%</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2049</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300.0</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3.45%</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2050</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500.0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500.0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6.15%</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South,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2023</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6.53%</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South,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2037</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175.0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175.0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6.64%</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South,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2038</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100.0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100.0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4.30%</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South,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2044</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250.0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250.0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2.95%</w:t>
            </w:r>
          </w:p>
        </w:tc>
        <w:tc>
          <w:tcPr>
            <w:tcW w:w="2560" w:type="dxa"/>
            <w:vAlign w:val="bottom"/>
          </w:tcPr>
          <w:p>
            <w:pPr>
              <w:ind w:left="20"/>
              <w:spacing w:after="0"/>
              <w:rPr>
                <w:sz w:val="20"/>
                <w:szCs w:val="20"/>
                <w:color w:val="auto"/>
              </w:rPr>
            </w:pPr>
            <w:r>
              <w:rPr>
                <w:rFonts w:ascii="Arial" w:cs="Arial" w:eastAsia="Arial" w:hAnsi="Arial"/>
                <w:sz w:val="15"/>
                <w:szCs w:val="15"/>
                <w:color w:val="auto"/>
              </w:rPr>
              <w:t>EIRR bonds</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2023</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79.5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79.5</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4.125% 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Metro,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2049</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400.0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2.25%</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2030</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400.0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Pollution Control Bonds</w:t>
            </w:r>
          </w:p>
        </w:tc>
        <w:tc>
          <w:tcPr>
            <w:tcW w:w="2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line="207" w:lineRule="exact"/>
              <w:rPr>
                <w:sz w:val="20"/>
                <w:szCs w:val="20"/>
                <w:color w:val="auto"/>
              </w:rPr>
            </w:pPr>
            <w:r>
              <w:rPr>
                <w:rFonts w:ascii="Arial" w:cs="Arial" w:eastAsia="Arial" w:hAnsi="Arial"/>
                <w:sz w:val="15"/>
                <w:szCs w:val="15"/>
                <w:color w:val="auto"/>
              </w:rPr>
              <w:t>0.132% Series</w:t>
            </w:r>
            <w:r>
              <w:rPr>
                <w:rFonts w:ascii="Arial" w:cs="Arial" w:eastAsia="Arial" w:hAnsi="Arial"/>
                <w:sz w:val="20"/>
                <w:szCs w:val="20"/>
                <w:color w:val="auto"/>
                <w:vertAlign w:val="superscript"/>
              </w:rPr>
              <w:t>(b)</w:t>
            </w:r>
          </w:p>
        </w:tc>
        <w:tc>
          <w:tcPr>
            <w:tcW w:w="216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2032</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45.0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45.0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320"/>
              <w:spacing w:after="0" w:line="207" w:lineRule="exact"/>
              <w:rPr>
                <w:sz w:val="20"/>
                <w:szCs w:val="20"/>
                <w:color w:val="auto"/>
              </w:rPr>
            </w:pPr>
            <w:r>
              <w:rPr>
                <w:rFonts w:ascii="Arial" w:cs="Arial" w:eastAsia="Arial" w:hAnsi="Arial"/>
                <w:sz w:val="15"/>
                <w:szCs w:val="15"/>
                <w:color w:val="auto"/>
              </w:rPr>
              <w:t>0.132% Series</w:t>
            </w:r>
            <w:r>
              <w:rPr>
                <w:rFonts w:ascii="Arial" w:cs="Arial" w:eastAsia="Arial" w:hAnsi="Arial"/>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2032</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30.5</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30.5</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line="207" w:lineRule="exact"/>
              <w:rPr>
                <w:sz w:val="20"/>
                <w:szCs w:val="20"/>
                <w:color w:val="auto"/>
              </w:rPr>
            </w:pPr>
            <w:r>
              <w:rPr>
                <w:rFonts w:ascii="Arial" w:cs="Arial" w:eastAsia="Arial" w:hAnsi="Arial"/>
                <w:sz w:val="15"/>
                <w:szCs w:val="15"/>
                <w:color w:val="auto"/>
              </w:rPr>
              <w:t>0.132% Series</w:t>
            </w:r>
            <w:r>
              <w:rPr>
                <w:rFonts w:ascii="Arial" w:cs="Arial" w:eastAsia="Arial" w:hAnsi="Arial"/>
                <w:sz w:val="20"/>
                <w:szCs w:val="20"/>
                <w:color w:val="auto"/>
                <w:vertAlign w:val="superscript"/>
              </w:rPr>
              <w:t>(b)</w:t>
            </w:r>
          </w:p>
        </w:tc>
        <w:tc>
          <w:tcPr>
            <w:tcW w:w="2160" w:type="dxa"/>
            <w:vAlign w:val="bottom"/>
          </w:tcPr>
          <w:p>
            <w:pPr>
              <w:spacing w:after="0"/>
              <w:rPr>
                <w:sz w:val="20"/>
                <w:szCs w:val="20"/>
                <w:color w:val="auto"/>
              </w:rPr>
            </w:pPr>
            <w:r>
              <w:rPr>
                <w:rFonts w:ascii="Arial" w:cs="Arial" w:eastAsia="Arial" w:hAnsi="Arial"/>
                <w:sz w:val="15"/>
                <w:szCs w:val="15"/>
                <w:color w:val="auto"/>
              </w:rPr>
              <w:t>Evergy Kansas South,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2027</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21.9</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21.9</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2.50%</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South,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2031</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50.0</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line="207" w:lineRule="exact"/>
              <w:rPr>
                <w:sz w:val="20"/>
                <w:szCs w:val="20"/>
                <w:color w:val="auto"/>
              </w:rPr>
            </w:pPr>
            <w:r>
              <w:rPr>
                <w:rFonts w:ascii="Arial" w:cs="Arial" w:eastAsia="Arial" w:hAnsi="Arial"/>
                <w:sz w:val="15"/>
                <w:szCs w:val="15"/>
                <w:color w:val="auto"/>
              </w:rPr>
              <w:t>0.132% Series</w:t>
            </w:r>
            <w:r>
              <w:rPr>
                <w:rFonts w:ascii="Arial" w:cs="Arial" w:eastAsia="Arial" w:hAnsi="Arial"/>
                <w:sz w:val="20"/>
                <w:szCs w:val="20"/>
                <w:color w:val="auto"/>
                <w:vertAlign w:val="superscript"/>
              </w:rPr>
              <w:t>(b)</w:t>
            </w:r>
          </w:p>
        </w:tc>
        <w:tc>
          <w:tcPr>
            <w:tcW w:w="2160" w:type="dxa"/>
            <w:vAlign w:val="bottom"/>
          </w:tcPr>
          <w:p>
            <w:pPr>
              <w:spacing w:after="0"/>
              <w:rPr>
                <w:sz w:val="20"/>
                <w:szCs w:val="20"/>
                <w:color w:val="auto"/>
              </w:rPr>
            </w:pPr>
            <w:r>
              <w:rPr>
                <w:rFonts w:ascii="Arial" w:cs="Arial" w:eastAsia="Arial" w:hAnsi="Arial"/>
                <w:sz w:val="15"/>
                <w:szCs w:val="15"/>
                <w:color w:val="auto"/>
              </w:rPr>
              <w:t>Evergy Kansas South,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2032</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14.5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14.5</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320"/>
              <w:spacing w:after="0" w:line="207" w:lineRule="exact"/>
              <w:rPr>
                <w:sz w:val="20"/>
                <w:szCs w:val="20"/>
                <w:color w:val="auto"/>
              </w:rPr>
            </w:pPr>
            <w:r>
              <w:rPr>
                <w:rFonts w:ascii="Arial" w:cs="Arial" w:eastAsia="Arial" w:hAnsi="Arial"/>
                <w:sz w:val="15"/>
                <w:szCs w:val="15"/>
                <w:color w:val="auto"/>
              </w:rPr>
              <w:t>0.132% Series</w:t>
            </w:r>
            <w:r>
              <w:rPr>
                <w:rFonts w:ascii="Arial" w:cs="Arial" w:eastAsia="Arial" w:hAnsi="Arial"/>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South,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2032</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10.0</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line="207" w:lineRule="exact"/>
              <w:rPr>
                <w:sz w:val="20"/>
                <w:szCs w:val="20"/>
                <w:color w:val="auto"/>
              </w:rPr>
            </w:pPr>
            <w:r>
              <w:rPr>
                <w:rFonts w:ascii="Arial" w:cs="Arial" w:eastAsia="Arial" w:hAnsi="Arial"/>
                <w:sz w:val="15"/>
                <w:szCs w:val="15"/>
                <w:color w:val="auto"/>
              </w:rPr>
              <w:t>0.167% Series 2007A and 2007B</w:t>
            </w:r>
            <w:r>
              <w:rPr>
                <w:rFonts w:ascii="Arial" w:cs="Arial" w:eastAsia="Arial" w:hAnsi="Arial"/>
                <w:sz w:val="20"/>
                <w:szCs w:val="20"/>
                <w:color w:val="auto"/>
                <w:vertAlign w:val="superscript"/>
              </w:rPr>
              <w:t>(b)</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2035</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146.5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146.5</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2.75%</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2008</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Metro,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2038</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23.4</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203"/>
        </w:trPr>
        <w:tc>
          <w:tcPr>
            <w:tcW w:w="3300" w:type="dxa"/>
            <w:vAlign w:val="bottom"/>
            <w:gridSpan w:val="2"/>
          </w:tcPr>
          <w:p>
            <w:pPr>
              <w:ind w:left="140"/>
              <w:spacing w:after="0"/>
              <w:rPr>
                <w:sz w:val="20"/>
                <w:szCs w:val="20"/>
                <w:color w:val="auto"/>
              </w:rPr>
            </w:pPr>
            <w:r>
              <w:rPr>
                <w:rFonts w:ascii="Arial" w:cs="Arial" w:eastAsia="Arial" w:hAnsi="Arial"/>
                <w:sz w:val="15"/>
                <w:szCs w:val="15"/>
                <w:color w:val="auto"/>
              </w:rPr>
              <w:t>Senior Notes</w:t>
            </w: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3.15%</w:t>
            </w:r>
          </w:p>
        </w:tc>
        <w:tc>
          <w:tcPr>
            <w:tcW w:w="25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(g)</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Metro,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2023</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3.65%</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(g)</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2025</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350.0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6.05%</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 (5.78% rate)</w:t>
            </w:r>
            <w:r>
              <w:rPr>
                <w:rFonts w:ascii="Arial" w:cs="Arial" w:eastAsia="Arial" w:hAnsi="Arial"/>
                <w:sz w:val="20"/>
                <w:szCs w:val="20"/>
                <w:color w:val="auto"/>
                <w:vertAlign w:val="superscript"/>
              </w:rPr>
              <w:t>(a)(g)</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Metro,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2035</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5.30%</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(g)</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2041</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400.0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4.20%</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(g)</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Metro,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2047</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4.20%</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(g)</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2048</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3.49%</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 A</w:t>
            </w:r>
            <w:r>
              <w:rPr>
                <w:rFonts w:ascii="Arial" w:cs="Arial" w:eastAsia="Arial" w:hAnsi="Arial"/>
                <w:sz w:val="20"/>
                <w:szCs w:val="20"/>
                <w:color w:val="auto"/>
                <w:vertAlign w:val="superscript"/>
              </w:rPr>
              <w:t>(h)</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Missouri West,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2025</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36.0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4.06%</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 B</w:t>
            </w:r>
            <w:r>
              <w:rPr>
                <w:rFonts w:ascii="Arial" w:cs="Arial" w:eastAsia="Arial" w:hAnsi="Arial"/>
                <w:sz w:val="20"/>
                <w:szCs w:val="20"/>
                <w:color w:val="auto"/>
                <w:vertAlign w:val="superscript"/>
              </w:rPr>
              <w:t>(h)</w:t>
            </w:r>
          </w:p>
        </w:tc>
        <w:tc>
          <w:tcPr>
            <w:tcW w:w="2160" w:type="dxa"/>
            <w:vAlign w:val="bottom"/>
          </w:tcPr>
          <w:p>
            <w:pPr>
              <w:spacing w:after="0"/>
              <w:rPr>
                <w:sz w:val="20"/>
                <w:szCs w:val="20"/>
                <w:color w:val="auto"/>
              </w:rPr>
            </w:pPr>
            <w:r>
              <w:rPr>
                <w:rFonts w:ascii="Arial" w:cs="Arial" w:eastAsia="Arial" w:hAnsi="Arial"/>
                <w:sz w:val="15"/>
                <w:szCs w:val="15"/>
                <w:color w:val="auto"/>
              </w:rPr>
              <w:t>Evergy Missouri West,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2033</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60.0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4.74%</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 C</w:t>
            </w:r>
            <w:r>
              <w:rPr>
                <w:rFonts w:ascii="Arial" w:cs="Arial" w:eastAsia="Arial" w:hAnsi="Arial"/>
                <w:sz w:val="20"/>
                <w:szCs w:val="20"/>
                <w:color w:val="auto"/>
                <w:vertAlign w:val="superscript"/>
              </w:rPr>
              <w:t>(h)</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Missouri West,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2043</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3.74%</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(h)</w:t>
            </w:r>
          </w:p>
        </w:tc>
        <w:tc>
          <w:tcPr>
            <w:tcW w:w="2160" w:type="dxa"/>
            <w:vAlign w:val="bottom"/>
          </w:tcPr>
          <w:p>
            <w:pPr>
              <w:spacing w:after="0"/>
              <w:rPr>
                <w:sz w:val="20"/>
                <w:szCs w:val="20"/>
                <w:color w:val="auto"/>
              </w:rPr>
            </w:pPr>
            <w:r>
              <w:rPr>
                <w:rFonts w:ascii="Arial" w:cs="Arial" w:eastAsia="Arial" w:hAnsi="Arial"/>
                <w:sz w:val="15"/>
                <w:szCs w:val="15"/>
                <w:color w:val="auto"/>
              </w:rPr>
              <w:t>Evergy Missouri West,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2022</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100.0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2.86%</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 A</w:t>
            </w:r>
            <w:r>
              <w:rPr>
                <w:rFonts w:ascii="Arial" w:cs="Arial" w:eastAsia="Arial" w:hAnsi="Arial"/>
                <w:sz w:val="20"/>
                <w:szCs w:val="20"/>
                <w:color w:val="auto"/>
                <w:vertAlign w:val="superscript"/>
              </w:rPr>
              <w:t>(h)</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Missouri West,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2031</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3.01%</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 B</w:t>
            </w:r>
            <w:r>
              <w:rPr>
                <w:rFonts w:ascii="Arial" w:cs="Arial" w:eastAsia="Arial" w:hAnsi="Arial"/>
                <w:sz w:val="20"/>
                <w:szCs w:val="20"/>
                <w:color w:val="auto"/>
                <w:vertAlign w:val="superscript"/>
              </w:rPr>
              <w:t>(h)</w:t>
            </w:r>
          </w:p>
        </w:tc>
        <w:tc>
          <w:tcPr>
            <w:tcW w:w="2160" w:type="dxa"/>
            <w:vAlign w:val="bottom"/>
          </w:tcPr>
          <w:p>
            <w:pPr>
              <w:spacing w:after="0"/>
              <w:rPr>
                <w:sz w:val="20"/>
                <w:szCs w:val="20"/>
                <w:color w:val="auto"/>
              </w:rPr>
            </w:pPr>
            <w:r>
              <w:rPr>
                <w:rFonts w:ascii="Arial" w:cs="Arial" w:eastAsia="Arial" w:hAnsi="Arial"/>
                <w:sz w:val="15"/>
                <w:szCs w:val="15"/>
                <w:color w:val="auto"/>
              </w:rPr>
              <w:t>Evergy Missouri West,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2033</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75.0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3.21%</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 C</w:t>
            </w:r>
            <w:r>
              <w:rPr>
                <w:rFonts w:ascii="Arial" w:cs="Arial" w:eastAsia="Arial" w:hAnsi="Arial"/>
                <w:sz w:val="20"/>
                <w:szCs w:val="20"/>
                <w:color w:val="auto"/>
                <w:vertAlign w:val="superscript"/>
              </w:rPr>
              <w:t>(h)</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Missouri West,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2036</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75.0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rPr>
                <w:sz w:val="20"/>
                <w:szCs w:val="20"/>
                <w:color w:val="auto"/>
              </w:rPr>
            </w:pPr>
            <w:r>
              <w:rPr>
                <w:rFonts w:ascii="Arial" w:cs="Arial" w:eastAsia="Arial" w:hAnsi="Arial"/>
                <w:sz w:val="15"/>
                <w:szCs w:val="15"/>
                <w:color w:val="auto"/>
              </w:rPr>
              <w:t>5.292% Series</w:t>
            </w:r>
          </w:p>
        </w:tc>
        <w:tc>
          <w:tcPr>
            <w:tcW w:w="2160" w:type="dxa"/>
            <w:vAlign w:val="bottom"/>
          </w:tcPr>
          <w:p>
            <w:pPr>
              <w:spacing w:after="0" w:line="207" w:lineRule="exact"/>
              <w:rPr>
                <w:sz w:val="20"/>
                <w:szCs w:val="20"/>
                <w:color w:val="auto"/>
              </w:rPr>
            </w:pPr>
            <w:r>
              <w:rPr>
                <w:rFonts w:ascii="Arial" w:cs="Arial" w:eastAsia="Arial" w:hAnsi="Arial"/>
                <w:sz w:val="15"/>
                <w:szCs w:val="15"/>
                <w:color w:val="auto"/>
              </w:rPr>
              <w:t>Evergy, Inc.</w:t>
            </w:r>
            <w:r>
              <w:rPr>
                <w:rFonts w:ascii="Arial" w:cs="Arial" w:eastAsia="Arial" w:hAnsi="Arial"/>
                <w:sz w:val="20"/>
                <w:szCs w:val="20"/>
                <w:color w:val="auto"/>
                <w:vertAlign w:val="superscript"/>
              </w:rPr>
              <w:t>(f)</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2022</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287.5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2.45%</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2024</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800.0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2.90%</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 (3.77% rate)</w:t>
            </w:r>
            <w:r>
              <w:rPr>
                <w:rFonts w:ascii="Arial" w:cs="Arial" w:eastAsia="Arial" w:hAnsi="Arial"/>
                <w:sz w:val="20"/>
                <w:szCs w:val="20"/>
                <w:color w:val="auto"/>
                <w:vertAlign w:val="superscript"/>
              </w:rPr>
              <w:t>(a)</w:t>
            </w:r>
          </w:p>
        </w:tc>
        <w:tc>
          <w:tcPr>
            <w:tcW w:w="2160" w:type="dxa"/>
            <w:vAlign w:val="bottom"/>
          </w:tcPr>
          <w:p>
            <w:pPr>
              <w:spacing w:after="0"/>
              <w:rPr>
                <w:sz w:val="20"/>
                <w:szCs w:val="20"/>
                <w:color w:val="auto"/>
              </w:rPr>
            </w:pPr>
            <w:r>
              <w:rPr>
                <w:rFonts w:ascii="Arial" w:cs="Arial" w:eastAsia="Arial" w:hAnsi="Arial"/>
                <w:sz w:val="15"/>
                <w:szCs w:val="15"/>
                <w:color w:val="auto"/>
              </w:rPr>
              <w:t>Evergy,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2029</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800.0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Medium Term Notes</w:t>
            </w:r>
          </w:p>
        </w:tc>
        <w:tc>
          <w:tcPr>
            <w:tcW w:w="2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7.33%</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(h)</w:t>
            </w:r>
          </w:p>
        </w:tc>
        <w:tc>
          <w:tcPr>
            <w:tcW w:w="2160" w:type="dxa"/>
            <w:vAlign w:val="bottom"/>
          </w:tcPr>
          <w:p>
            <w:pPr>
              <w:spacing w:after="0"/>
              <w:rPr>
                <w:sz w:val="20"/>
                <w:szCs w:val="20"/>
                <w:color w:val="auto"/>
              </w:rPr>
            </w:pPr>
            <w:r>
              <w:rPr>
                <w:rFonts w:ascii="Arial" w:cs="Arial" w:eastAsia="Arial" w:hAnsi="Arial"/>
                <w:sz w:val="15"/>
                <w:szCs w:val="15"/>
                <w:color w:val="auto"/>
              </w:rPr>
              <w:t>Evergy Missouri West, Inc.</w:t>
            </w:r>
          </w:p>
        </w:tc>
        <w:tc>
          <w:tcPr>
            <w:tcW w:w="1580" w:type="dxa"/>
            <w:vAlign w:val="bottom"/>
          </w:tcPr>
          <w:p>
            <w:pPr>
              <w:jc w:val="center"/>
              <w:ind w:right="2"/>
              <w:spacing w:after="0"/>
              <w:rPr>
                <w:sz w:val="20"/>
                <w:szCs w:val="20"/>
                <w:color w:val="auto"/>
              </w:rPr>
            </w:pPr>
            <w:r>
              <w:rPr>
                <w:rFonts w:ascii="Arial" w:cs="Arial" w:eastAsia="Arial" w:hAnsi="Arial"/>
                <w:sz w:val="15"/>
                <w:szCs w:val="15"/>
                <w:color w:val="auto"/>
                <w:w w:val="89"/>
              </w:rPr>
              <w:t>2023</w:t>
            </w: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7.17%</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(h)</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Missouri West, Inc.</w:t>
            </w:r>
          </w:p>
        </w:tc>
        <w:tc>
          <w:tcPr>
            <w:tcW w:w="1580" w:type="dxa"/>
            <w:vAlign w:val="bottom"/>
            <w:shd w:val="clear" w:color="auto" w:fill="CCEEFF"/>
          </w:tcPr>
          <w:p>
            <w:pPr>
              <w:jc w:val="center"/>
              <w:ind w:right="2"/>
              <w:spacing w:after="0"/>
              <w:rPr>
                <w:sz w:val="20"/>
                <w:szCs w:val="20"/>
                <w:color w:val="auto"/>
              </w:rPr>
            </w:pPr>
            <w:r>
              <w:rPr>
                <w:rFonts w:ascii="Arial" w:cs="Arial" w:eastAsia="Arial" w:hAnsi="Arial"/>
                <w:sz w:val="15"/>
                <w:szCs w:val="15"/>
                <w:color w:val="auto"/>
                <w:w w:val="89"/>
              </w:rPr>
              <w:t>2023</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7.0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Fair value adjustment</w:t>
            </w:r>
            <w:r>
              <w:rPr>
                <w:rFonts w:ascii="Arial" w:cs="Arial" w:eastAsia="Arial" w:hAnsi="Arial"/>
                <w:sz w:val="20"/>
                <w:szCs w:val="20"/>
                <w:color w:val="auto"/>
                <w:vertAlign w:val="superscript"/>
              </w:rPr>
              <w:t>(e)</w:t>
            </w: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97.9</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140"/>
              <w:spacing w:after="0" w:line="207" w:lineRule="exact"/>
              <w:rPr>
                <w:sz w:val="20"/>
                <w:szCs w:val="20"/>
                <w:color w:val="auto"/>
              </w:rPr>
            </w:pPr>
            <w:r>
              <w:rPr>
                <w:rFonts w:ascii="Arial" w:cs="Arial" w:eastAsia="Arial" w:hAnsi="Arial"/>
                <w:sz w:val="15"/>
                <w:szCs w:val="15"/>
                <w:color w:val="auto"/>
              </w:rPr>
              <w:t>Current maturities</w:t>
            </w:r>
            <w:r>
              <w:rPr>
                <w:rFonts w:ascii="Arial" w:cs="Arial" w:eastAsia="Arial" w:hAnsi="Arial"/>
                <w:sz w:val="20"/>
                <w:szCs w:val="20"/>
                <w:color w:val="auto"/>
                <w:vertAlign w:val="superscript"/>
              </w:rPr>
              <w:t>(c)</w:t>
            </w:r>
          </w:p>
        </w:tc>
        <w:tc>
          <w:tcPr>
            <w:tcW w:w="2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(389.3)</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color w:val="auto"/>
                <w:w w:val="91"/>
              </w:rPr>
              <w:t>Unamortized debt discount and debt issuance costs</w:t>
            </w:r>
          </w:p>
        </w:tc>
        <w:tc>
          <w:tcPr>
            <w:tcW w:w="2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(42.7)</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208"/>
        </w:trPr>
        <w:tc>
          <w:tcPr>
            <w:tcW w:w="3300" w:type="dxa"/>
            <w:vAlign w:val="bottom"/>
            <w:tcBorders>
              <w:bottom w:val="single" w:sz="8" w:color="auto"/>
            </w:tcBorders>
            <w:gridSpan w:val="2"/>
            <w:shd w:val="clear" w:color="auto" w:fill="CCEEFF"/>
          </w:tcPr>
          <w:p>
            <w:pPr>
              <w:ind w:left="440"/>
              <w:spacing w:after="0" w:line="202" w:lineRule="exact"/>
              <w:rPr>
                <w:sz w:val="20"/>
                <w:szCs w:val="20"/>
                <w:color w:val="auto"/>
              </w:rPr>
            </w:pPr>
            <w:r>
              <w:rPr>
                <w:rFonts w:ascii="Arial" w:cs="Arial" w:eastAsia="Arial" w:hAnsi="Arial"/>
                <w:sz w:val="15"/>
                <w:szCs w:val="15"/>
                <w:color w:val="auto"/>
              </w:rPr>
              <w:t>Total excluding current maturities</w:t>
            </w:r>
            <w:r>
              <w:rPr>
                <w:rFonts w:ascii="Arial" w:cs="Arial" w:eastAsia="Arial" w:hAnsi="Arial"/>
                <w:sz w:val="20"/>
                <w:szCs w:val="20"/>
                <w:color w:val="auto"/>
                <w:vertAlign w:val="superscript"/>
              </w:rPr>
              <w:t>(d)</w:t>
            </w:r>
          </w:p>
        </w:tc>
        <w:tc>
          <w:tcPr>
            <w:tcW w:w="2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rPr>
              <w:t>9,297.9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rPr>
              <w:t>3,934.2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0" w:name="page131"/>
    <w:bookmarkEnd w:id="13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7"/>
                <w:szCs w:val="17"/>
                <w:b w:val="1"/>
                <w:bCs w:val="1"/>
                <w:color w:val="auto"/>
              </w:rPr>
              <w:t>December 31, 2020</w:t>
            </w:r>
          </w:p>
        </w:tc>
        <w:tc>
          <w:tcPr>
            <w:tcW w:w="2160" w:type="dxa"/>
            <w:vAlign w:val="bottom"/>
            <w:tcBorders>
              <w:top w:val="single" w:sz="8" w:color="auto"/>
            </w:tcBorders>
            <w:vMerge w:val="restart"/>
          </w:tcPr>
          <w:p>
            <w:pPr>
              <w:ind w:left="640"/>
              <w:spacing w:after="0"/>
              <w:rPr>
                <w:sz w:val="20"/>
                <w:szCs w:val="20"/>
                <w:color w:val="auto"/>
              </w:rPr>
            </w:pPr>
            <w:r>
              <w:rPr>
                <w:rFonts w:ascii="Arial" w:cs="Arial" w:eastAsia="Arial" w:hAnsi="Arial"/>
                <w:sz w:val="17"/>
                <w:szCs w:val="17"/>
                <w:b w:val="1"/>
                <w:bCs w:val="1"/>
                <w:color w:val="auto"/>
              </w:rPr>
              <w:t>Issuing Entity</w:t>
            </w:r>
          </w:p>
        </w:tc>
        <w:tc>
          <w:tcPr>
            <w:tcW w:w="1220" w:type="dxa"/>
            <w:vAlign w:val="bottom"/>
            <w:tcBorders>
              <w:top w:val="single" w:sz="8" w:color="auto"/>
            </w:tcBorders>
            <w:vMerge w:val="restart"/>
          </w:tcPr>
          <w:p>
            <w:pPr>
              <w:jc w:val="center"/>
              <w:ind w:left="202"/>
              <w:spacing w:after="0"/>
              <w:rPr>
                <w:sz w:val="20"/>
                <w:szCs w:val="20"/>
                <w:color w:val="auto"/>
              </w:rPr>
            </w:pPr>
            <w:r>
              <w:rPr>
                <w:rFonts w:ascii="Arial" w:cs="Arial" w:eastAsia="Arial" w:hAnsi="Arial"/>
                <w:sz w:val="17"/>
                <w:szCs w:val="17"/>
                <w:b w:val="1"/>
                <w:bCs w:val="1"/>
                <w:color w:val="auto"/>
                <w:w w:val="94"/>
              </w:rPr>
              <w:t>Year Due</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7"/>
                <w:szCs w:val="17"/>
                <w:b w:val="1"/>
                <w:bCs w:val="1"/>
                <w:color w:val="auto"/>
              </w:rPr>
              <w:t>Evergy</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22"/>
              <w:spacing w:after="0" w:line="194" w:lineRule="exact"/>
              <w:rPr>
                <w:sz w:val="20"/>
                <w:szCs w:val="20"/>
                <w:color w:val="auto"/>
              </w:rPr>
            </w:pPr>
            <w:r>
              <w:rPr>
                <w:rFonts w:ascii="Arial" w:cs="Arial" w:eastAsia="Arial" w:hAnsi="Arial"/>
                <w:sz w:val="17"/>
                <w:szCs w:val="17"/>
                <w:b w:val="1"/>
                <w:bCs w:val="1"/>
                <w:color w:val="auto"/>
                <w:w w:val="90"/>
              </w:rPr>
              <w:t>Evergy Kansas</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102"/>
              <w:spacing w:after="0"/>
              <w:rPr>
                <w:sz w:val="20"/>
                <w:szCs w:val="20"/>
                <w:color w:val="auto"/>
              </w:rPr>
            </w:pPr>
            <w:r>
              <w:rPr>
                <w:rFonts w:ascii="Arial" w:cs="Arial" w:eastAsia="Arial" w:hAnsi="Arial"/>
                <w:sz w:val="17"/>
                <w:szCs w:val="17"/>
                <w:b w:val="1"/>
                <w:bCs w:val="1"/>
                <w:color w:val="auto"/>
                <w:w w:val="96"/>
              </w:rPr>
              <w:t>Evergy Metro</w:t>
            </w:r>
          </w:p>
        </w:tc>
        <w:tc>
          <w:tcPr>
            <w:tcW w:w="0" w:type="dxa"/>
            <w:vAlign w:val="bottom"/>
          </w:tcPr>
          <w:p>
            <w:pPr>
              <w:spacing w:after="0"/>
              <w:rPr>
                <w:sz w:val="1"/>
                <w:szCs w:val="1"/>
                <w:color w:val="auto"/>
              </w:rPr>
            </w:pPr>
          </w:p>
        </w:tc>
      </w:tr>
      <w:tr>
        <w:trPr>
          <w:trHeight w:val="219"/>
        </w:trPr>
        <w:tc>
          <w:tcPr>
            <w:tcW w:w="3300" w:type="dxa"/>
            <w:vAlign w:val="bottom"/>
            <w:tcBorders>
              <w:bottom w:val="single" w:sz="8" w:color="auto"/>
            </w:tcBorders>
            <w:gridSpan w:val="2"/>
            <w:vMerge w:val="continue"/>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7"/>
                <w:szCs w:val="17"/>
                <w:b w:val="1"/>
                <w:bCs w:val="1"/>
                <w:color w:val="auto"/>
                <w:w w:val="95"/>
              </w:rPr>
              <w:t>Central</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00" w:type="dxa"/>
            <w:vAlign w:val="bottom"/>
            <w:gridSpan w:val="2"/>
          </w:tcPr>
          <w:p>
            <w:pPr>
              <w:ind w:left="140"/>
              <w:spacing w:after="0"/>
              <w:rPr>
                <w:sz w:val="20"/>
                <w:szCs w:val="20"/>
                <w:color w:val="auto"/>
              </w:rPr>
            </w:pPr>
            <w:r>
              <w:rPr>
                <w:rFonts w:ascii="Arial" w:cs="Arial" w:eastAsia="Arial" w:hAnsi="Arial"/>
                <w:sz w:val="15"/>
                <w:szCs w:val="15"/>
                <w:color w:val="auto"/>
              </w:rPr>
              <w:t>Mortgage Bonds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22"/>
              <w:spacing w:after="0"/>
              <w:rPr>
                <w:sz w:val="20"/>
                <w:szCs w:val="20"/>
                <w:color w:val="auto"/>
              </w:rPr>
            </w:pPr>
            <w:r>
              <w:rPr>
                <w:rFonts w:ascii="Arial" w:cs="Arial" w:eastAsia="Arial" w:hAnsi="Arial"/>
                <w:sz w:val="15"/>
                <w:szCs w:val="15"/>
                <w:color w:val="auto"/>
              </w:rPr>
              <w:t>(millions)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3.25%</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2025</w:t>
            </w:r>
          </w:p>
        </w:tc>
        <w:tc>
          <w:tcPr>
            <w:tcW w:w="3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250.0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250.0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2.55%</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2026</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350.0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3.10%</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2027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Arial" w:cs="Arial" w:eastAsia="Arial" w:hAnsi="Arial"/>
                <w:sz w:val="15"/>
                <w:szCs w:val="15"/>
                <w:color w:val="auto"/>
              </w:rPr>
              <w:t>4.125% 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2042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550.0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550.0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4.10%</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2043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430.0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430.0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Arial" w:cs="Arial" w:eastAsia="Arial" w:hAnsi="Arial"/>
                <w:sz w:val="15"/>
                <w:szCs w:val="15"/>
                <w:color w:val="auto"/>
              </w:rPr>
              <w:t>4.625% 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2043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250.0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250.0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4.25%</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2045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3.25%</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2049</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300.0</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3.45%</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2050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500.0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500.0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6.15%</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South,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2023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6.53%</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2037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175.0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175.0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6.64%</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South,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2038</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100.0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100.0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4.30%</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2044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250.0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250.0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2.95%</w:t>
            </w:r>
          </w:p>
        </w:tc>
        <w:tc>
          <w:tcPr>
            <w:tcW w:w="2560" w:type="dxa"/>
            <w:vAlign w:val="bottom"/>
          </w:tcPr>
          <w:p>
            <w:pPr>
              <w:ind w:left="20"/>
              <w:spacing w:after="0"/>
              <w:rPr>
                <w:sz w:val="20"/>
                <w:szCs w:val="20"/>
                <w:color w:val="auto"/>
              </w:rPr>
            </w:pPr>
            <w:r>
              <w:rPr>
                <w:rFonts w:ascii="Arial" w:cs="Arial" w:eastAsia="Arial" w:hAnsi="Arial"/>
                <w:sz w:val="15"/>
                <w:szCs w:val="15"/>
                <w:color w:val="auto"/>
              </w:rPr>
              <w:t>EIRR bonds</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2023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79.5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79.5</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4.125% 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2049</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400.0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2.25%</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2030</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400.0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9.44%</w:t>
            </w:r>
          </w:p>
        </w:tc>
        <w:tc>
          <w:tcPr>
            <w:tcW w:w="25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(h)</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2021</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1.1</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140"/>
              <w:spacing w:after="0"/>
              <w:rPr>
                <w:sz w:val="20"/>
                <w:szCs w:val="20"/>
                <w:color w:val="auto"/>
              </w:rPr>
            </w:pPr>
            <w:r>
              <w:rPr>
                <w:rFonts w:ascii="Arial" w:cs="Arial" w:eastAsia="Arial" w:hAnsi="Arial"/>
                <w:sz w:val="15"/>
                <w:szCs w:val="15"/>
                <w:color w:val="auto"/>
              </w:rPr>
              <w:t>Pollution Control Bonds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0.18%</w:t>
            </w:r>
          </w:p>
        </w:tc>
        <w:tc>
          <w:tcPr>
            <w:tcW w:w="25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2032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45.0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45.0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0.18%</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(b)</w:t>
            </w:r>
          </w:p>
        </w:tc>
        <w:tc>
          <w:tcPr>
            <w:tcW w:w="2160" w:type="dxa"/>
            <w:vAlign w:val="bottom"/>
          </w:tcPr>
          <w:p>
            <w:pPr>
              <w:spacing w:after="0"/>
              <w:rPr>
                <w:sz w:val="20"/>
                <w:szCs w:val="20"/>
                <w:color w:val="auto"/>
              </w:rPr>
            </w:pPr>
            <w:r>
              <w:rPr>
                <w:rFonts w:ascii="Arial" w:cs="Arial" w:eastAsia="Arial" w:hAnsi="Arial"/>
                <w:sz w:val="15"/>
                <w:szCs w:val="15"/>
                <w:color w:val="auto"/>
              </w:rPr>
              <w:t>Evergy Kansas Central,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2032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30.5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30.5</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0.18%</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2027</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21.9</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21.9</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2.50%</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Kansas South,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2031</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0.18%</w:t>
            </w:r>
          </w:p>
        </w:tc>
        <w:tc>
          <w:tcPr>
            <w:tcW w:w="25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2032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14.5</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14.5</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0.18%</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(b)</w:t>
            </w:r>
          </w:p>
        </w:tc>
        <w:tc>
          <w:tcPr>
            <w:tcW w:w="2160" w:type="dxa"/>
            <w:vAlign w:val="bottom"/>
          </w:tcPr>
          <w:p>
            <w:pPr>
              <w:spacing w:after="0"/>
              <w:rPr>
                <w:sz w:val="20"/>
                <w:szCs w:val="20"/>
                <w:color w:val="auto"/>
              </w:rPr>
            </w:pPr>
            <w:r>
              <w:rPr>
                <w:rFonts w:ascii="Arial" w:cs="Arial" w:eastAsia="Arial" w:hAnsi="Arial"/>
                <w:sz w:val="15"/>
                <w:szCs w:val="15"/>
                <w:color w:val="auto"/>
              </w:rPr>
              <w:t>Evergy Kansas South,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2032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10.0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10.0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0.20%</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 2007A and 2007B</w:t>
            </w:r>
            <w:r>
              <w:rPr>
                <w:rFonts w:ascii="Arial" w:cs="Arial" w:eastAsia="Arial" w:hAnsi="Arial"/>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2035</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146.5</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146.5</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2.75%</w:t>
            </w:r>
          </w:p>
        </w:tc>
        <w:tc>
          <w:tcPr>
            <w:tcW w:w="2560" w:type="dxa"/>
            <w:vAlign w:val="bottom"/>
          </w:tcPr>
          <w:p>
            <w:pPr>
              <w:ind w:left="20"/>
              <w:spacing w:after="0"/>
              <w:rPr>
                <w:sz w:val="20"/>
                <w:szCs w:val="20"/>
                <w:color w:val="auto"/>
              </w:rPr>
            </w:pPr>
            <w:r>
              <w:rPr>
                <w:rFonts w:ascii="Arial" w:cs="Arial" w:eastAsia="Arial" w:hAnsi="Arial"/>
                <w:sz w:val="15"/>
                <w:szCs w:val="15"/>
                <w:color w:val="auto"/>
              </w:rPr>
              <w:t>Series 2008</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2038</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23.4</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Senior Notes</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3.15%</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(g)</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2023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3.65%</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(g)</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2025</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6.05%</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 (5.78% rate)</w:t>
            </w:r>
            <w:r>
              <w:rPr>
                <w:rFonts w:ascii="Arial" w:cs="Arial" w:eastAsia="Arial" w:hAnsi="Arial"/>
                <w:sz w:val="20"/>
                <w:szCs w:val="20"/>
                <w:color w:val="auto"/>
                <w:vertAlign w:val="superscript"/>
              </w:rPr>
              <w:t>(a)(g)</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2035</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250.0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5.30%</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(g)</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2041</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400.0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4.20%</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(g)</w:t>
            </w:r>
          </w:p>
        </w:tc>
        <w:tc>
          <w:tcPr>
            <w:tcW w:w="2160" w:type="dxa"/>
            <w:vAlign w:val="bottom"/>
          </w:tcPr>
          <w:p>
            <w:pPr>
              <w:spacing w:after="0"/>
              <w:rPr>
                <w:sz w:val="20"/>
                <w:szCs w:val="20"/>
                <w:color w:val="auto"/>
              </w:rPr>
            </w:pPr>
            <w:r>
              <w:rPr>
                <w:rFonts w:ascii="Arial" w:cs="Arial" w:eastAsia="Arial" w:hAnsi="Arial"/>
                <w:sz w:val="15"/>
                <w:szCs w:val="15"/>
                <w:color w:val="auto"/>
              </w:rPr>
              <w:t>Evergy Metro,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2047</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4.20%</w:t>
            </w:r>
          </w:p>
        </w:tc>
        <w:tc>
          <w:tcPr>
            <w:tcW w:w="25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(g)</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2048</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300.0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8.27%</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w:t>
            </w:r>
            <w:r>
              <w:rPr>
                <w:rFonts w:ascii="Arial" w:cs="Arial" w:eastAsia="Arial" w:hAnsi="Arial"/>
                <w:sz w:val="20"/>
                <w:szCs w:val="20"/>
                <w:color w:val="auto"/>
                <w:vertAlign w:val="superscript"/>
              </w:rPr>
              <w:t>(h)</w:t>
            </w:r>
          </w:p>
        </w:tc>
        <w:tc>
          <w:tcPr>
            <w:tcW w:w="2160" w:type="dxa"/>
            <w:vAlign w:val="bottom"/>
          </w:tcPr>
          <w:p>
            <w:pPr>
              <w:spacing w:after="0"/>
              <w:rPr>
                <w:sz w:val="20"/>
                <w:szCs w:val="20"/>
                <w:color w:val="auto"/>
              </w:rPr>
            </w:pPr>
            <w:r>
              <w:rPr>
                <w:rFonts w:ascii="Arial" w:cs="Arial" w:eastAsia="Arial" w:hAnsi="Arial"/>
                <w:sz w:val="15"/>
                <w:szCs w:val="15"/>
                <w:color w:val="auto"/>
              </w:rPr>
              <w:t>Evergy Missouri West,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2021</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80.9</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3.49%</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A</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2025</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36.0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4.06%</w:t>
            </w:r>
          </w:p>
        </w:tc>
        <w:tc>
          <w:tcPr>
            <w:tcW w:w="2560" w:type="dxa"/>
            <w:vAlign w:val="bottom"/>
          </w:tcPr>
          <w:p>
            <w:pPr>
              <w:ind w:left="20"/>
              <w:spacing w:after="0"/>
              <w:rPr>
                <w:sz w:val="20"/>
                <w:szCs w:val="20"/>
                <w:color w:val="auto"/>
              </w:rPr>
            </w:pPr>
            <w:r>
              <w:rPr>
                <w:rFonts w:ascii="Arial" w:cs="Arial" w:eastAsia="Arial" w:hAnsi="Arial"/>
                <w:sz w:val="15"/>
                <w:szCs w:val="15"/>
                <w:color w:val="auto"/>
              </w:rPr>
              <w:t>Series B</w:t>
            </w:r>
          </w:p>
        </w:tc>
        <w:tc>
          <w:tcPr>
            <w:tcW w:w="2160" w:type="dxa"/>
            <w:vAlign w:val="bottom"/>
          </w:tcPr>
          <w:p>
            <w:pPr>
              <w:spacing w:after="0"/>
              <w:rPr>
                <w:sz w:val="20"/>
                <w:szCs w:val="20"/>
                <w:color w:val="auto"/>
              </w:rPr>
            </w:pPr>
            <w:r>
              <w:rPr>
                <w:rFonts w:ascii="Arial" w:cs="Arial" w:eastAsia="Arial" w:hAnsi="Arial"/>
                <w:sz w:val="15"/>
                <w:szCs w:val="15"/>
                <w:color w:val="auto"/>
              </w:rPr>
              <w:t>Evergy Missouri West,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2033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60.0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4.74%</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2043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150.0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Arial" w:cs="Arial" w:eastAsia="Arial" w:hAnsi="Arial"/>
                <w:sz w:val="15"/>
                <w:szCs w:val="15"/>
                <w:color w:val="auto"/>
                <w:w w:val="93"/>
              </w:rPr>
              <w:t>3.74%</w:t>
            </w:r>
          </w:p>
        </w:tc>
        <w:tc>
          <w:tcPr>
            <w:tcW w:w="2560" w:type="dxa"/>
            <w:vAlign w:val="bottom"/>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tcPr>
          <w:p>
            <w:pPr>
              <w:spacing w:after="0"/>
              <w:rPr>
                <w:sz w:val="20"/>
                <w:szCs w:val="20"/>
                <w:color w:val="auto"/>
              </w:rPr>
            </w:pPr>
            <w:r>
              <w:rPr>
                <w:rFonts w:ascii="Arial" w:cs="Arial" w:eastAsia="Arial" w:hAnsi="Arial"/>
                <w:sz w:val="15"/>
                <w:szCs w:val="15"/>
                <w:color w:val="auto"/>
              </w:rPr>
              <w:t>Evergy Missouri West,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2022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100.0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4.85%</w:t>
            </w: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w:t>
            </w:r>
          </w:p>
        </w:tc>
        <w:tc>
          <w:tcPr>
            <w:tcW w:w="216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Evergy, Inc.</w:t>
            </w:r>
            <w:r>
              <w:rPr>
                <w:rFonts w:ascii="Arial" w:cs="Arial" w:eastAsia="Arial" w:hAnsi="Arial"/>
                <w:sz w:val="20"/>
                <w:szCs w:val="20"/>
                <w:color w:val="auto"/>
                <w:vertAlign w:val="superscript"/>
              </w:rPr>
              <w:t>(f)</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2021</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350.0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rPr>
                <w:sz w:val="20"/>
                <w:szCs w:val="20"/>
                <w:color w:val="auto"/>
              </w:rPr>
            </w:pPr>
            <w:r>
              <w:rPr>
                <w:rFonts w:ascii="Arial" w:cs="Arial" w:eastAsia="Arial" w:hAnsi="Arial"/>
                <w:sz w:val="15"/>
                <w:szCs w:val="15"/>
                <w:color w:val="auto"/>
              </w:rPr>
              <w:t>5.292% Series</w:t>
            </w:r>
          </w:p>
        </w:tc>
        <w:tc>
          <w:tcPr>
            <w:tcW w:w="2160" w:type="dxa"/>
            <w:vAlign w:val="bottom"/>
          </w:tcPr>
          <w:p>
            <w:pPr>
              <w:spacing w:after="0" w:line="207" w:lineRule="exact"/>
              <w:rPr>
                <w:sz w:val="20"/>
                <w:szCs w:val="20"/>
                <w:color w:val="auto"/>
              </w:rPr>
            </w:pPr>
            <w:r>
              <w:rPr>
                <w:rFonts w:ascii="Arial" w:cs="Arial" w:eastAsia="Arial" w:hAnsi="Arial"/>
                <w:sz w:val="15"/>
                <w:szCs w:val="15"/>
                <w:color w:val="auto"/>
              </w:rPr>
              <w:t>Evergy, Inc.</w:t>
            </w:r>
            <w:r>
              <w:rPr>
                <w:rFonts w:ascii="Arial" w:cs="Arial" w:eastAsia="Arial" w:hAnsi="Arial"/>
                <w:sz w:val="20"/>
                <w:szCs w:val="20"/>
                <w:color w:val="auto"/>
                <w:vertAlign w:val="superscript"/>
              </w:rPr>
              <w:t>(f)</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2022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287.5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2.45% Series</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2024</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800.0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Arial" w:cs="Arial" w:eastAsia="Arial" w:hAnsi="Arial"/>
                <w:sz w:val="15"/>
                <w:szCs w:val="15"/>
                <w:color w:val="auto"/>
                <w:w w:val="93"/>
              </w:rPr>
              <w:t>2.90%</w:t>
            </w:r>
          </w:p>
        </w:tc>
        <w:tc>
          <w:tcPr>
            <w:tcW w:w="2560" w:type="dxa"/>
            <w:vAlign w:val="bottom"/>
          </w:tcPr>
          <w:p>
            <w:pPr>
              <w:ind w:left="20"/>
              <w:spacing w:after="0" w:line="207" w:lineRule="exact"/>
              <w:rPr>
                <w:sz w:val="20"/>
                <w:szCs w:val="20"/>
                <w:color w:val="auto"/>
              </w:rPr>
            </w:pPr>
            <w:r>
              <w:rPr>
                <w:rFonts w:ascii="Arial" w:cs="Arial" w:eastAsia="Arial" w:hAnsi="Arial"/>
                <w:sz w:val="15"/>
                <w:szCs w:val="15"/>
                <w:color w:val="auto"/>
              </w:rPr>
              <w:t>Series (3.77% rate)</w:t>
            </w:r>
            <w:r>
              <w:rPr>
                <w:rFonts w:ascii="Arial" w:cs="Arial" w:eastAsia="Arial" w:hAnsi="Arial"/>
                <w:sz w:val="20"/>
                <w:szCs w:val="20"/>
                <w:color w:val="auto"/>
                <w:vertAlign w:val="superscript"/>
              </w:rPr>
              <w:t>(a)</w:t>
            </w:r>
          </w:p>
        </w:tc>
        <w:tc>
          <w:tcPr>
            <w:tcW w:w="2160" w:type="dxa"/>
            <w:vAlign w:val="bottom"/>
          </w:tcPr>
          <w:p>
            <w:pPr>
              <w:spacing w:after="0"/>
              <w:rPr>
                <w:sz w:val="20"/>
                <w:szCs w:val="20"/>
                <w:color w:val="auto"/>
              </w:rPr>
            </w:pPr>
            <w:r>
              <w:rPr>
                <w:rFonts w:ascii="Arial" w:cs="Arial" w:eastAsia="Arial" w:hAnsi="Arial"/>
                <w:sz w:val="15"/>
                <w:szCs w:val="15"/>
                <w:color w:val="auto"/>
              </w:rPr>
              <w:t>Evergy,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2029</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800.0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Medium Term Notes</w:t>
            </w:r>
          </w:p>
        </w:tc>
        <w:tc>
          <w:tcPr>
            <w:tcW w:w="2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gridSpan w:val="2"/>
          </w:tcPr>
          <w:p>
            <w:pPr>
              <w:ind w:left="340"/>
              <w:spacing w:after="0" w:line="207" w:lineRule="exact"/>
              <w:rPr>
                <w:sz w:val="20"/>
                <w:szCs w:val="20"/>
                <w:color w:val="auto"/>
              </w:rPr>
            </w:pPr>
            <w:r>
              <w:rPr>
                <w:rFonts w:ascii="Arial" w:cs="Arial" w:eastAsia="Arial" w:hAnsi="Arial"/>
                <w:sz w:val="15"/>
                <w:szCs w:val="15"/>
                <w:color w:val="auto"/>
              </w:rPr>
              <w:t>7.33% Series</w:t>
            </w:r>
            <w:r>
              <w:rPr>
                <w:rFonts w:ascii="Arial" w:cs="Arial" w:eastAsia="Arial" w:hAnsi="Arial"/>
                <w:sz w:val="20"/>
                <w:szCs w:val="20"/>
                <w:color w:val="auto"/>
                <w:vertAlign w:val="superscript"/>
              </w:rPr>
              <w:t>(h)</w:t>
            </w:r>
          </w:p>
        </w:tc>
        <w:tc>
          <w:tcPr>
            <w:tcW w:w="2160" w:type="dxa"/>
            <w:vAlign w:val="bottom"/>
          </w:tcPr>
          <w:p>
            <w:pPr>
              <w:spacing w:after="0"/>
              <w:rPr>
                <w:sz w:val="20"/>
                <w:szCs w:val="20"/>
                <w:color w:val="auto"/>
              </w:rPr>
            </w:pPr>
            <w:r>
              <w:rPr>
                <w:rFonts w:ascii="Arial" w:cs="Arial" w:eastAsia="Arial" w:hAnsi="Arial"/>
                <w:sz w:val="15"/>
                <w:szCs w:val="15"/>
                <w:color w:val="auto"/>
              </w:rPr>
              <w:t>Evergy Missouri West, Inc.</w:t>
            </w:r>
          </w:p>
        </w:tc>
        <w:tc>
          <w:tcPr>
            <w:tcW w:w="1220" w:type="dxa"/>
            <w:vAlign w:val="bottom"/>
          </w:tcPr>
          <w:p>
            <w:pPr>
              <w:jc w:val="center"/>
              <w:ind w:left="202"/>
              <w:spacing w:after="0"/>
              <w:rPr>
                <w:sz w:val="20"/>
                <w:szCs w:val="20"/>
                <w:color w:val="auto"/>
              </w:rPr>
            </w:pPr>
            <w:r>
              <w:rPr>
                <w:rFonts w:ascii="Arial" w:cs="Arial" w:eastAsia="Arial" w:hAnsi="Arial"/>
                <w:sz w:val="15"/>
                <w:szCs w:val="15"/>
                <w:color w:val="auto"/>
                <w:w w:val="89"/>
              </w:rPr>
              <w:t>2023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3.0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340"/>
              <w:spacing w:after="0" w:line="207" w:lineRule="exact"/>
              <w:rPr>
                <w:sz w:val="20"/>
                <w:szCs w:val="20"/>
                <w:color w:val="auto"/>
              </w:rPr>
            </w:pPr>
            <w:r>
              <w:rPr>
                <w:rFonts w:ascii="Arial" w:cs="Arial" w:eastAsia="Arial" w:hAnsi="Arial"/>
                <w:sz w:val="15"/>
                <w:szCs w:val="15"/>
                <w:color w:val="auto"/>
              </w:rPr>
              <w:t>7.17% Series</w:t>
            </w:r>
            <w:r>
              <w:rPr>
                <w:rFonts w:ascii="Arial" w:cs="Arial" w:eastAsia="Arial" w:hAnsi="Arial"/>
                <w:sz w:val="20"/>
                <w:szCs w:val="20"/>
                <w:color w:val="auto"/>
                <w:vertAlign w:val="superscript"/>
              </w:rPr>
              <w:t>(h)</w:t>
            </w: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Arial" w:cs="Arial" w:eastAsia="Arial" w:hAnsi="Arial"/>
                <w:sz w:val="15"/>
                <w:szCs w:val="15"/>
                <w:color w:val="auto"/>
                <w:w w:val="89"/>
              </w:rPr>
              <w:t>2023</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7.0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Fair value adjustment</w:t>
            </w:r>
            <w:r>
              <w:rPr>
                <w:rFonts w:ascii="Arial" w:cs="Arial" w:eastAsia="Arial" w:hAnsi="Arial"/>
                <w:sz w:val="20"/>
                <w:szCs w:val="20"/>
                <w:color w:val="auto"/>
                <w:vertAlign w:val="superscript"/>
              </w:rPr>
              <w:t>(e)</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5"/>
                <w:szCs w:val="15"/>
                <w:color w:val="auto"/>
              </w:rPr>
              <w:t>110.4</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140"/>
              <w:spacing w:after="0" w:line="207" w:lineRule="exact"/>
              <w:rPr>
                <w:sz w:val="20"/>
                <w:szCs w:val="20"/>
                <w:color w:val="auto"/>
              </w:rPr>
            </w:pPr>
            <w:r>
              <w:rPr>
                <w:rFonts w:ascii="Arial" w:cs="Arial" w:eastAsia="Arial" w:hAnsi="Arial"/>
                <w:sz w:val="15"/>
                <w:szCs w:val="15"/>
                <w:color w:val="auto"/>
              </w:rPr>
              <w:t>Current maturities</w:t>
            </w:r>
            <w:r>
              <w:rPr>
                <w:rFonts w:ascii="Arial" w:cs="Arial" w:eastAsia="Arial" w:hAnsi="Arial"/>
                <w:sz w:val="20"/>
                <w:szCs w:val="20"/>
                <w:color w:val="auto"/>
                <w:vertAlign w:val="superscript"/>
              </w:rPr>
              <w:t>(c)</w:t>
            </w:r>
          </w:p>
        </w:tc>
        <w:tc>
          <w:tcPr>
            <w:tcW w:w="2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(436.4)</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color w:val="auto"/>
                <w:w w:val="91"/>
              </w:rPr>
              <w:t>Unamortized debt discount and debt issuance costs</w:t>
            </w:r>
          </w:p>
        </w:tc>
        <w:tc>
          <w:tcPr>
            <w:tcW w:w="2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(45.4)</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w:t>
            </w:r>
          </w:p>
        </w:tc>
        <w:tc>
          <w:tcPr>
            <w:tcW w:w="0" w:type="dxa"/>
            <w:vAlign w:val="bottom"/>
          </w:tcPr>
          <w:p>
            <w:pPr>
              <w:spacing w:after="0"/>
              <w:rPr>
                <w:sz w:val="1"/>
                <w:szCs w:val="1"/>
                <w:color w:val="auto"/>
              </w:rPr>
            </w:pPr>
          </w:p>
        </w:tc>
      </w:tr>
      <w:tr>
        <w:trPr>
          <w:trHeight w:val="208"/>
        </w:trPr>
        <w:tc>
          <w:tcPr>
            <w:tcW w:w="3300" w:type="dxa"/>
            <w:vAlign w:val="bottom"/>
            <w:tcBorders>
              <w:bottom w:val="single" w:sz="8" w:color="auto"/>
            </w:tcBorders>
            <w:gridSpan w:val="2"/>
            <w:shd w:val="clear" w:color="auto" w:fill="CCEEFF"/>
          </w:tcPr>
          <w:p>
            <w:pPr>
              <w:ind w:left="440"/>
              <w:spacing w:after="0" w:line="202" w:lineRule="exact"/>
              <w:rPr>
                <w:sz w:val="20"/>
                <w:szCs w:val="20"/>
                <w:color w:val="auto"/>
              </w:rPr>
            </w:pPr>
            <w:r>
              <w:rPr>
                <w:rFonts w:ascii="Arial" w:cs="Arial" w:eastAsia="Arial" w:hAnsi="Arial"/>
                <w:sz w:val="15"/>
                <w:szCs w:val="15"/>
                <w:color w:val="auto"/>
              </w:rPr>
              <w:t>Total excluding current maturities</w:t>
            </w:r>
            <w:r>
              <w:rPr>
                <w:rFonts w:ascii="Arial" w:cs="Arial" w:eastAsia="Arial" w:hAnsi="Arial"/>
                <w:sz w:val="20"/>
                <w:szCs w:val="20"/>
                <w:color w:val="auto"/>
                <w:vertAlign w:val="superscript"/>
              </w:rPr>
              <w:t>(d)</w:t>
            </w:r>
          </w:p>
        </w:tc>
        <w:tc>
          <w:tcPr>
            <w:tcW w:w="2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rPr>
              <w:t>9,190.9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rPr>
              <w:t>3,931.5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2,923.0</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60" w:hanging="157"/>
        <w:spacing w:after="0"/>
        <w:tabs>
          <w:tab w:leader="none" w:pos="160" w:val="left"/>
        </w:tabs>
        <w:numPr>
          <w:ilvl w:val="0"/>
          <w:numId w:val="62"/>
        </w:numPr>
        <w:rPr>
          <w:rFonts w:ascii="Arial" w:cs="Arial" w:eastAsia="Arial" w:hAnsi="Arial"/>
          <w:sz w:val="19"/>
          <w:szCs w:val="19"/>
          <w:color w:val="auto"/>
          <w:vertAlign w:val="superscript"/>
        </w:rPr>
      </w:pPr>
      <w:r>
        <w:rPr>
          <w:rFonts w:ascii="Arial" w:cs="Arial" w:eastAsia="Arial" w:hAnsi="Arial"/>
          <w:sz w:val="15"/>
          <w:szCs w:val="15"/>
          <w:color w:val="auto"/>
        </w:rPr>
        <w:t>Rate after amortizing gains/losses recognized in OCI on settlements of interest rate hedging instruments.</w:t>
      </w:r>
    </w:p>
    <w:p>
      <w:pPr>
        <w:ind w:left="140" w:hanging="137"/>
        <w:spacing w:after="0" w:line="235" w:lineRule="auto"/>
        <w:tabs>
          <w:tab w:leader="none" w:pos="140" w:val="left"/>
        </w:tabs>
        <w:numPr>
          <w:ilvl w:val="0"/>
          <w:numId w:val="62"/>
        </w:numPr>
        <w:rPr>
          <w:rFonts w:ascii="Arial" w:cs="Arial" w:eastAsia="Arial" w:hAnsi="Arial"/>
          <w:sz w:val="16"/>
          <w:szCs w:val="16"/>
          <w:color w:val="auto"/>
          <w:vertAlign w:val="superscript"/>
        </w:rPr>
      </w:pPr>
      <w:r>
        <w:rPr>
          <w:rFonts w:ascii="Arial" w:cs="Arial" w:eastAsia="Arial" w:hAnsi="Arial"/>
          <w:sz w:val="13"/>
          <w:szCs w:val="13"/>
          <w:color w:val="auto"/>
        </w:rPr>
        <w:t>Variable rate.</w:t>
      </w:r>
    </w:p>
    <w:p>
      <w:pPr>
        <w:ind w:left="160" w:right="260" w:hanging="157"/>
        <w:spacing w:after="0" w:line="221" w:lineRule="auto"/>
        <w:tabs>
          <w:tab w:leader="none" w:pos="155" w:val="left"/>
        </w:tabs>
        <w:numPr>
          <w:ilvl w:val="0"/>
          <w:numId w:val="62"/>
        </w:numPr>
        <w:rPr>
          <w:rFonts w:ascii="Arial" w:cs="Arial" w:eastAsia="Arial" w:hAnsi="Arial"/>
          <w:sz w:val="19"/>
          <w:szCs w:val="19"/>
          <w:color w:val="auto"/>
          <w:vertAlign w:val="superscript"/>
        </w:rPr>
      </w:pPr>
      <w:r>
        <w:rPr>
          <w:rFonts w:ascii="Arial" w:cs="Arial" w:eastAsia="Arial" w:hAnsi="Arial"/>
          <w:sz w:val="15"/>
          <w:szCs w:val="15"/>
          <w:color w:val="auto"/>
        </w:rPr>
        <w:t>Evergy's current maturities total as of December 31, 2021 and 2020, includes $1.8 million and $4.4 million, respectively, of fair value adjustments recorded in connection with purchase accounting for the Great Plains Energy and Evergy Kansas Central merger.</w:t>
      </w:r>
    </w:p>
    <w:p>
      <w:pPr>
        <w:ind w:left="160" w:right="520" w:hanging="157"/>
        <w:spacing w:after="0" w:line="251" w:lineRule="auto"/>
        <w:tabs>
          <w:tab w:leader="none" w:pos="148" w:val="left"/>
        </w:tabs>
        <w:numPr>
          <w:ilvl w:val="0"/>
          <w:numId w:val="62"/>
        </w:numPr>
        <w:rPr>
          <w:rFonts w:ascii="Arial" w:cs="Arial" w:eastAsia="Arial" w:hAnsi="Arial"/>
          <w:sz w:val="17"/>
          <w:szCs w:val="17"/>
          <w:color w:val="auto"/>
          <w:vertAlign w:val="superscript"/>
        </w:rPr>
      </w:pPr>
      <w:r>
        <w:rPr>
          <w:rFonts w:ascii="Arial" w:cs="Arial" w:eastAsia="Arial" w:hAnsi="Arial"/>
          <w:sz w:val="13"/>
          <w:szCs w:val="13"/>
          <w:color w:val="auto"/>
        </w:rPr>
        <w:t>At December 31, 2021 and 2020, does not include $50.0 million and $21.9 million of secured Series 2005 Environmental Improvement Revenue Refunding (EIRR) bonds because the bonds were repurchased in September 2015 and are held by Evergy Metro.</w:t>
      </w:r>
    </w:p>
    <w:p>
      <w:pPr>
        <w:ind w:left="160" w:right="20" w:hanging="157"/>
        <w:spacing w:after="0" w:line="250" w:lineRule="auto"/>
        <w:tabs>
          <w:tab w:leader="none" w:pos="155"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Represents the fair value adjustments recorded at Evergy consolidated related to the long-term debt of Great Plains Energy, Evergy Metro and Evergy Missouri West in connection with purchase accounting for the Great Plains Energy and Evergy Kansas Central merger. This amount is not part of future principal payments and will amortize over the remaining life of the associated debt instruments.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31" w:name="page132"/>
    <w:bookmarkEnd w:id="13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160" w:hanging="157"/>
        <w:spacing w:after="0"/>
        <w:tabs>
          <w:tab w:leader="none" w:pos="160" w:val="left"/>
        </w:tabs>
        <w:numPr>
          <w:ilvl w:val="0"/>
          <w:numId w:val="63"/>
        </w:numPr>
        <w:rPr>
          <w:rFonts w:ascii="Arial" w:cs="Arial" w:eastAsia="Arial" w:hAnsi="Arial"/>
          <w:sz w:val="20"/>
          <w:szCs w:val="20"/>
          <w:color w:val="auto"/>
          <w:vertAlign w:val="superscript"/>
        </w:rPr>
      </w:pPr>
      <w:r>
        <w:rPr>
          <w:rFonts w:ascii="Arial" w:cs="Arial" w:eastAsia="Arial" w:hAnsi="Arial"/>
          <w:sz w:val="15"/>
          <w:szCs w:val="15"/>
          <w:color w:val="auto"/>
        </w:rPr>
        <w:t>Originally issued by Great Plains Energy but assumed by Evergy, Inc. as part of the Great Plains Energy and Evergy Kansas Central merger.</w:t>
      </w:r>
    </w:p>
    <w:p>
      <w:pPr>
        <w:ind w:left="160" w:right="200" w:hanging="157"/>
        <w:spacing w:after="0" w:line="251" w:lineRule="auto"/>
        <w:tabs>
          <w:tab w:leader="none" w:pos="148" w:val="left"/>
        </w:tabs>
        <w:numPr>
          <w:ilvl w:val="0"/>
          <w:numId w:val="63"/>
        </w:numPr>
        <w:rPr>
          <w:rFonts w:ascii="Arial" w:cs="Arial" w:eastAsia="Arial" w:hAnsi="Arial"/>
          <w:sz w:val="17"/>
          <w:szCs w:val="17"/>
          <w:color w:val="auto"/>
          <w:vertAlign w:val="superscript"/>
        </w:rPr>
      </w:pPr>
      <w:r>
        <w:rPr>
          <w:rFonts w:ascii="Arial" w:cs="Arial" w:eastAsia="Arial" w:hAnsi="Arial"/>
          <w:sz w:val="13"/>
          <w:szCs w:val="13"/>
          <w:color w:val="auto"/>
        </w:rPr>
        <w:t>Effectively secured pursuant to the General Mortgage Indenture and Deed of Trust dated as of December 1, 1986, as supplemented (Evergy Metro Mortgage Indenture) through the issuance of collateral mortgage bonds to the trustee in 2019.</w:t>
      </w:r>
    </w:p>
    <w:p>
      <w:pPr>
        <w:ind w:left="140" w:hanging="137"/>
        <w:spacing w:after="0"/>
        <w:tabs>
          <w:tab w:leader="none" w:pos="140" w:val="left"/>
        </w:tabs>
        <w:numPr>
          <w:ilvl w:val="0"/>
          <w:numId w:val="63"/>
        </w:numPr>
        <w:rPr>
          <w:rFonts w:ascii="Arial" w:cs="Arial" w:eastAsia="Arial" w:hAnsi="Arial"/>
          <w:sz w:val="16"/>
          <w:szCs w:val="16"/>
          <w:color w:val="auto"/>
          <w:vertAlign w:val="superscript"/>
        </w:rPr>
      </w:pPr>
      <w:r>
        <w:rPr>
          <w:rFonts w:ascii="Arial" w:cs="Arial" w:eastAsia="Arial" w:hAnsi="Arial"/>
          <w:sz w:val="13"/>
          <w:szCs w:val="13"/>
          <w:color w:val="auto"/>
        </w:rPr>
        <w:t>Unconditionally guaranteed by Evergy, Inc.</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Mortgage Bonds</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Evergy Kansas Central and Evergy Kansas South mortgages each contain provisions restricting the amount of first mortgage bonds (FMBs) that could be issued by each entity. Evergy Kansas Central and Evergy Kansas South must be in compliance with such restrictions prior to the issuance of additional first mortgage bonds or other secured indebtedness. The amount of Evergy Kansas Central FMBs authorized by its Mortgage and Deed of Trust, dated July 1, 1939, as supplemented, is subject to certain limitations as described below. The amount of Evergy Kansas South FMBs authorized by the Evergy Kansas South Mortgage and Deed of Trust, dated April 1, 1940, as supplemented and amended, is limited to a maximum of $3.5 billion, unless amended further. FMBs are secured by utility assets. Amounts of additional FMBs that may be issued are subject to property, earnings and certain restrictive provisions, except in connection with certain refundings, of each mortgage. As of December 31, 2021, approximately $998.9 million and $2,828.6 million principal amounts of additional Evergy Kansas Central FMBs or Evergy Kansas South FMBs, respectively, could be issued under the most restrictive provisions of their mortgages.</w:t>
      </w:r>
    </w:p>
    <w:p>
      <w:pPr>
        <w:spacing w:after="0" w:line="162"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Evergy Metro has issued mortgage bonds under the Evergy Metro Mortgage Indenture, which creates a mortgage lien on substantially all Evergy Metro's utility plant. Additional Evergy Metro bonds may be issued on the basis of 75% of property additions or retired bonds. As of December 31, 2021, approximately $5,075.8 million principal amount of additional Evergy Metro mortgage bonds could be issued under the most restrictive provisions in the mortgage.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Senior Notes</w:t>
      </w:r>
    </w:p>
    <w:p>
      <w:pPr>
        <w:spacing w:after="0" w:line="23"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color w:val="auto"/>
        </w:rPr>
        <w:t>Under the terms of the note purchase agreements for certain Evergy Missouri West senior notes, Evergy Missouri West is required to maintain a consolidated indebtedness to consolidated capitalization ratio, as defined in the agreements, not greater than 0.65 to 1.00. In addition, Evergy Missouri West's priority debt, as defined in the agreements, cannot exceed 15% of consolidated tangible net worth, as defined in the agreements. At December 31, 2021, Evergy Missouri West was in compliance with these covenants.</w:t>
      </w:r>
    </w:p>
    <w:p>
      <w:pPr>
        <w:spacing w:after="0" w:line="186"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In April 2021, Evergy Missouri West issued in a private placement $350.0 million of 2.86% Series A Senior Notes, maturing in 2031, $75.0 million of 3.01% Series B Senior Notes, maturing in 2033, and $75.0 million of 3.21% Series C Senior Notes, maturing in 2036, pursuant to a note purchase agreement. In connection with the issuance, Evergy entered into an agreement to provide an unconditional guaranty of the Series A, B and C Senior Notes, and as required by certain existing note purchase agreements, also agreed to provide unconditional guaranty of the following series of outstanding Evergy Missouri West unsecured senior notes:</w:t>
      </w:r>
    </w:p>
    <w:p>
      <w:pPr>
        <w:spacing w:after="0" w:line="79" w:lineRule="exact"/>
        <w:rPr>
          <w:sz w:val="20"/>
          <w:szCs w:val="20"/>
          <w:color w:val="auto"/>
        </w:rPr>
      </w:pPr>
    </w:p>
    <w:p>
      <w:pPr>
        <w:ind w:left="620" w:hanging="307"/>
        <w:spacing w:after="0"/>
        <w:tabs>
          <w:tab w:leader="none" w:pos="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$36.0 million of 3.49% Series A, maturing in 2025;</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$60.0 million of 4.06% Series B, maturing in 2033;</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$150.0 million of 4.74% Series C, maturing in 2043; and</w:t>
      </w:r>
    </w:p>
    <w:p>
      <w:pPr>
        <w:spacing w:after="0" w:line="103" w:lineRule="exact"/>
        <w:rPr>
          <w:rFonts w:ascii="Arial" w:cs="Arial" w:eastAsia="Arial" w:hAnsi="Arial"/>
          <w:sz w:val="19"/>
          <w:szCs w:val="19"/>
          <w:color w:val="auto"/>
        </w:rPr>
      </w:pPr>
    </w:p>
    <w:p>
      <w:pPr>
        <w:ind w:left="620" w:hanging="307"/>
        <w:spacing w:after="0"/>
        <w:tabs>
          <w:tab w:leader="none" w:pos="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$100.0 million of 3.74% Series, maturing in 2022.</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In April 2021, Evergy redeemed its $350.0 million of 4.85% Senior Notes, which had a maturity date of June 2021.</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In November 2021, Evergy Missouri West repaid its $80.9 million of 8.27% Senior Notes at maturity.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2" w:name="page133"/>
    <w:bookmarkEnd w:id="13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Scheduled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long-term debt maturities for the next five years are detailed in the following table.</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50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2026</w:t>
            </w:r>
          </w:p>
        </w:tc>
      </w:tr>
      <w:tr>
        <w:trPr>
          <w:trHeight w:val="196"/>
        </w:trPr>
        <w:tc>
          <w:tcPr>
            <w:tcW w:w="3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96"/>
              <w:spacing w:after="0"/>
              <w:rPr>
                <w:sz w:val="20"/>
                <w:szCs w:val="20"/>
                <w:color w:val="auto"/>
              </w:rPr>
            </w:pPr>
            <w:r>
              <w:rPr>
                <w:rFonts w:ascii="Arial" w:cs="Arial" w:eastAsia="Arial" w:hAnsi="Arial"/>
                <w:sz w:val="15"/>
                <w:szCs w:val="15"/>
                <w:color w:val="auto"/>
              </w:rPr>
              <w:t>(millions)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w:t>
            </w:r>
          </w:p>
        </w:tc>
        <w:tc>
          <w:tcPr>
            <w:tcW w:w="21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387.5</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439.5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800.0</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636.0</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Evergy Kansas Central</w:t>
            </w:r>
          </w:p>
        </w:tc>
        <w:tc>
          <w:tcPr>
            <w:tcW w:w="210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7"/>
                <w:szCs w:val="17"/>
                <w:color w:val="auto"/>
              </w:rPr>
              <w:t>50.0</w:t>
            </w:r>
          </w:p>
        </w:tc>
        <w:tc>
          <w:tcPr>
            <w:tcW w:w="280" w:type="dxa"/>
            <w:vAlign w:val="bottom"/>
          </w:tcPr>
          <w:p>
            <w:pPr>
              <w:spacing w:after="0"/>
              <w:rPr>
                <w:sz w:val="18"/>
                <w:szCs w:val="18"/>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7"/>
                <w:szCs w:val="17"/>
                <w:color w:val="auto"/>
              </w:rPr>
              <w:t>250.0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350.0</w:t>
            </w:r>
          </w:p>
        </w:tc>
      </w:tr>
      <w:tr>
        <w:trPr>
          <w:trHeight w:val="22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Evergy Metro</w:t>
            </w:r>
          </w:p>
        </w:tc>
        <w:tc>
          <w:tcPr>
            <w:tcW w:w="2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379.5</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350.0</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 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Values of Financial Instruments</w:t>
      </w:r>
    </w:p>
    <w:p>
      <w:pPr>
        <w:spacing w:after="0" w:line="23"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85" w:lineRule="exact"/>
        <w:rPr>
          <w:sz w:val="20"/>
          <w:szCs w:val="20"/>
          <w:color w:val="auto"/>
        </w:rPr>
      </w:pPr>
    </w:p>
    <w:p>
      <w:pPr>
        <w:ind w:right="280"/>
        <w:spacing w:after="0" w:line="264" w:lineRule="auto"/>
        <w:rPr>
          <w:sz w:val="20"/>
          <w:szCs w:val="20"/>
          <w:color w:val="auto"/>
        </w:rPr>
      </w:pPr>
      <w:r>
        <w:rPr>
          <w:rFonts w:ascii="Arial" w:cs="Arial" w:eastAsia="Arial" w:hAnsi="Arial"/>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w:t>
      </w:r>
    </w:p>
    <w:p>
      <w:pPr>
        <w:spacing w:after="0" w:line="164" w:lineRule="exact"/>
        <w:rPr>
          <w:sz w:val="20"/>
          <w:szCs w:val="20"/>
          <w:color w:val="auto"/>
        </w:rPr>
      </w:pPr>
    </w:p>
    <w:p>
      <w:pPr>
        <w:jc w:val="both"/>
        <w:ind w:right="300"/>
        <w:spacing w:after="0" w:line="252" w:lineRule="auto"/>
        <w:rPr>
          <w:sz w:val="20"/>
          <w:szCs w:val="20"/>
          <w:color w:val="auto"/>
        </w:rPr>
      </w:pPr>
      <w:r>
        <w:rPr>
          <w:rFonts w:ascii="Arial" w:cs="Arial" w:eastAsia="Arial" w:hAnsi="Arial"/>
          <w:sz w:val="19"/>
          <w:szCs w:val="19"/>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or other financial instruments priced with models using highly observable inputs.</w:t>
      </w:r>
    </w:p>
    <w:p>
      <w:pPr>
        <w:spacing w:after="0" w:line="176" w:lineRule="exact"/>
        <w:rPr>
          <w:sz w:val="20"/>
          <w:szCs w:val="20"/>
          <w:color w:val="auto"/>
        </w:rPr>
      </w:pPr>
    </w:p>
    <w:p>
      <w:pPr>
        <w:ind w:right="400"/>
        <w:spacing w:after="0" w:line="264" w:lineRule="auto"/>
        <w:rPr>
          <w:sz w:val="20"/>
          <w:szCs w:val="20"/>
          <w:color w:val="auto"/>
        </w:rPr>
      </w:pPr>
      <w:r>
        <w:rPr>
          <w:rFonts w:ascii="Arial" w:cs="Arial" w:eastAsia="Arial" w:hAnsi="Arial"/>
          <w:sz w:val="19"/>
          <w:szCs w:val="19"/>
          <w:color w:val="auto"/>
        </w:rPr>
        <w:t>Level 3 – Significant inputs to pricing have little or no transparency. The types of assets and liabilities included in Level 3 are those with inputs requiring significant management judgment or estimation.</w:t>
      </w:r>
    </w:p>
    <w:p>
      <w:pPr>
        <w:spacing w:after="0" w:line="164"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80" w:lineRule="exact"/>
        <w:rPr>
          <w:sz w:val="20"/>
          <w:szCs w:val="20"/>
          <w:color w:val="auto"/>
        </w:rPr>
      </w:pPr>
    </w:p>
    <w:p>
      <w:pPr>
        <w:ind w:right="340"/>
        <w:spacing w:after="0" w:line="264" w:lineRule="auto"/>
        <w:rPr>
          <w:sz w:val="20"/>
          <w:szCs w:val="20"/>
          <w:color w:val="auto"/>
        </w:rPr>
      </w:pPr>
      <w:r>
        <w:rPr>
          <w:rFonts w:ascii="Arial" w:cs="Arial" w:eastAsia="Arial" w:hAnsi="Arial"/>
          <w:sz w:val="19"/>
          <w:szCs w:val="19"/>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Derivatives</w:t>
      </w:r>
    </w:p>
    <w:p>
      <w:pPr>
        <w:spacing w:after="0" w:line="2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Evergy Companies are exposed to market risks arising from changes in interest rates and may use derivative instruments to manage these risks. From time to time, risk management activities may include entering into interest rate swap agreements to protect against unfavorable interest rate changes relating to forecasted debt transactions. These interest rate swap agreements can be designated as cash flow hedges, in which case gains and losses on the interest rate swaps are deferred in other comprehensive income to be recognized as an adjustment to interest expense over the same period that the hedged interest payments affect earnings. The Evergy Companies classify all cash inflows and outflows for interest rate swap agreements accounted for as cash flow hedges of forecasted debt transactions as financing activities on their consolidated statements of cash flows.</w:t>
      </w:r>
    </w:p>
    <w:p>
      <w:pPr>
        <w:spacing w:after="0" w:line="156"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In September 2019, Evergy issued $800.0 million of 2.90% Senior Notes maturing in 2029 and paid $69.8 million to settle an interest rate swap agreement with a notional amount of $500.0 million that was designated as a cash flow hedge of interest payments on the debt issuance. The $69.8 million pre-tax loss was recorded in accumulated other comprehensive loss on Evergy's consolidated balance sheet and is being reclassified into interest expense over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3" w:name="page134"/>
    <w:bookmarkEnd w:id="13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the ten-year term of the debt. For 2021, 2020 and 2019, $7.0 million, $7.0 million and $2.0 million, respectively, were reclassified from accumulated other comprehensive loss to interest expense on Evergy's consolidated statements of comprehensive income. For 2021, 2020 and 2019, $(1.5) million, $(4.0) million and $(0.5) million, respectively, were reclassified from accumulated other comprehensive loss to income tax expense on Evergy's consolidated statements of comprehensive income. As of December 31, 2021, Evergy expects to amortize $5.4 million to earnings from accumulated other comprehensive loss over the next twelve months.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Fair Value of Long-Term Debt</w:t>
      </w:r>
    </w:p>
    <w:p>
      <w:pPr>
        <w:spacing w:after="0" w:line="23" w:lineRule="exact"/>
        <w:rPr>
          <w:sz w:val="20"/>
          <w:szCs w:val="20"/>
          <w:color w:val="auto"/>
        </w:rPr>
      </w:pPr>
    </w:p>
    <w:p>
      <w:pPr>
        <w:ind w:right="60"/>
        <w:spacing w:after="0" w:line="304" w:lineRule="auto"/>
        <w:rPr>
          <w:sz w:val="20"/>
          <w:szCs w:val="20"/>
          <w:color w:val="auto"/>
        </w:rPr>
      </w:pPr>
      <w:r>
        <w:rPr>
          <w:rFonts w:ascii="Arial" w:cs="Arial" w:eastAsia="Arial" w:hAnsi="Arial"/>
          <w:sz w:val="17"/>
          <w:szCs w:val="17"/>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940" w:type="dxa"/>
            <w:vAlign w:val="bottom"/>
            <w:tcBorders>
              <w:top w:val="single" w:sz="8" w:color="auto"/>
            </w:tcBorders>
            <w:gridSpan w:val="4"/>
          </w:tcPr>
          <w:p>
            <w:pPr>
              <w:ind w:left="580"/>
              <w:spacing w:after="0"/>
              <w:rPr>
                <w:sz w:val="20"/>
                <w:szCs w:val="20"/>
                <w:color w:val="auto"/>
              </w:rPr>
            </w:pPr>
            <w:r>
              <w:rPr>
                <w:rFonts w:ascii="Arial" w:cs="Arial" w:eastAsia="Arial" w:hAnsi="Arial"/>
                <w:sz w:val="17"/>
                <w:szCs w:val="17"/>
                <w:b w:val="1"/>
                <w:bCs w:val="1"/>
                <w:color w:val="auto"/>
              </w:rPr>
              <w:t>December 31, 2021</w:t>
            </w:r>
          </w:p>
        </w:tc>
        <w:tc>
          <w:tcPr>
            <w:tcW w:w="2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3"/>
          </w:tcPr>
          <w:p>
            <w:pPr>
              <w:jc w:val="right"/>
              <w:ind w:right="694"/>
              <w:spacing w:after="0"/>
              <w:rPr>
                <w:sz w:val="20"/>
                <w:szCs w:val="20"/>
                <w:color w:val="auto"/>
              </w:rPr>
            </w:pPr>
            <w:r>
              <w:rPr>
                <w:rFonts w:ascii="Arial" w:cs="Arial" w:eastAsia="Arial" w:hAnsi="Arial"/>
                <w:sz w:val="17"/>
                <w:szCs w:val="17"/>
                <w:b w:val="1"/>
                <w:bCs w:val="1"/>
                <w:color w:val="auto"/>
              </w:rPr>
              <w:t>December 31, 2020</w:t>
            </w:r>
          </w:p>
        </w:tc>
      </w:tr>
      <w:tr>
        <w:trPr>
          <w:trHeight w:val="212"/>
        </w:trPr>
        <w:tc>
          <w:tcPr>
            <w:tcW w:w="5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94"/>
              </w:rPr>
              <w:t>Book Value</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Fair Value</w:t>
            </w:r>
          </w:p>
        </w:tc>
        <w:tc>
          <w:tcPr>
            <w:tcW w:w="2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90"/>
              </w:rPr>
              <w:t>Book Value</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Fair Value</w:t>
            </w:r>
          </w:p>
        </w:tc>
      </w:tr>
      <w:tr>
        <w:trPr>
          <w:trHeight w:val="212"/>
        </w:trPr>
        <w:tc>
          <w:tcPr>
            <w:tcW w:w="5180" w:type="dxa"/>
            <w:vAlign w:val="bottom"/>
          </w:tcPr>
          <w:p>
            <w:pPr>
              <w:ind w:left="20"/>
              <w:spacing w:after="0" w:line="212" w:lineRule="exact"/>
              <w:rPr>
                <w:sz w:val="20"/>
                <w:szCs w:val="20"/>
                <w:color w:val="auto"/>
              </w:rPr>
            </w:pPr>
            <w:r>
              <w:rPr>
                <w:rFonts w:ascii="Arial" w:cs="Arial" w:eastAsia="Arial" w:hAnsi="Arial"/>
                <w:sz w:val="17"/>
                <w:szCs w:val="17"/>
                <w:b w:val="1"/>
                <w:bCs w:val="1"/>
                <w:color w:val="auto"/>
              </w:rPr>
              <w:t>Long-term debt</w:t>
            </w:r>
            <w:r>
              <w:rPr>
                <w:rFonts w:ascii="Arial" w:cs="Arial" w:eastAsia="Arial" w:hAnsi="Arial"/>
                <w:sz w:val="22"/>
                <w:szCs w:val="22"/>
                <w:b w:val="1"/>
                <w:bCs w:val="1"/>
                <w:color w:val="auto"/>
                <w:vertAlign w:val="superscript"/>
              </w:rPr>
              <w:t>(a)</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5"/>
                <w:szCs w:val="15"/>
                <w:color w:val="auto"/>
              </w:rPr>
              <w:t>(millions)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1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Evergy</w:t>
            </w:r>
            <w:r>
              <w:rPr>
                <w:rFonts w:ascii="Arial" w:cs="Arial" w:eastAsia="Arial" w:hAnsi="Arial"/>
                <w:sz w:val="22"/>
                <w:szCs w:val="22"/>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9,687.2</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10,758.5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9,627.3</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11,274.2</w:t>
            </w: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Evergy Kansas Central</w:t>
            </w:r>
          </w:p>
        </w:tc>
        <w:tc>
          <w:tcPr>
            <w:tcW w:w="18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7"/>
                <w:szCs w:val="17"/>
                <w:color w:val="auto"/>
              </w:rPr>
              <w:t>3,934.2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4,522.5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3,931.5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4,801.7</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 Metro</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2,925.0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2,923.0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3,591.2</w:t>
            </w:r>
          </w:p>
        </w:tc>
      </w:tr>
      <w:tr>
        <w:trPr>
          <w:trHeight w:val="219"/>
        </w:trPr>
        <w:tc>
          <w:tcPr>
            <w:tcW w:w="5180" w:type="dxa"/>
            <w:vAlign w:val="bottom"/>
          </w:tcPr>
          <w:p>
            <w:pPr>
              <w:ind w:left="20"/>
              <w:spacing w:after="0" w:line="219" w:lineRule="exact"/>
              <w:rPr>
                <w:sz w:val="20"/>
                <w:szCs w:val="20"/>
                <w:color w:val="auto"/>
              </w:rPr>
            </w:pPr>
            <w:r>
              <w:rPr>
                <w:rFonts w:ascii="Arial" w:cs="Arial" w:eastAsia="Arial" w:hAnsi="Arial"/>
                <w:sz w:val="17"/>
                <w:szCs w:val="17"/>
                <w:b w:val="1"/>
                <w:bCs w:val="1"/>
                <w:color w:val="auto"/>
              </w:rPr>
              <w:t>Long-term debt of variable interest entities</w:t>
            </w:r>
            <w:r>
              <w:rPr>
                <w:rFonts w:ascii="Arial" w:cs="Arial" w:eastAsia="Arial" w:hAnsi="Arial"/>
                <w:sz w:val="22"/>
                <w:szCs w:val="22"/>
                <w:b w:val="1"/>
                <w:bCs w:val="1"/>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18.8</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2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Evergy Kansas Central</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18.8</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r>
    </w:tbl>
    <w:p>
      <w:pPr>
        <w:spacing w:after="0" w:line="82" w:lineRule="exact"/>
        <w:rPr>
          <w:sz w:val="20"/>
          <w:szCs w:val="20"/>
          <w:color w:val="auto"/>
        </w:rPr>
      </w:pPr>
    </w:p>
    <w:p>
      <w:pPr>
        <w:ind w:left="140" w:hanging="137"/>
        <w:spacing w:after="0"/>
        <w:tabs>
          <w:tab w:leader="none" w:pos="1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Includes current maturities.</w:t>
      </w:r>
    </w:p>
    <w:p>
      <w:pPr>
        <w:spacing w:after="0" w:line="8" w:lineRule="exact"/>
        <w:rPr>
          <w:rFonts w:ascii="Arial" w:cs="Arial" w:eastAsia="Arial" w:hAnsi="Arial"/>
          <w:sz w:val="16"/>
          <w:szCs w:val="16"/>
          <w:color w:val="auto"/>
          <w:vertAlign w:val="superscript"/>
        </w:rPr>
      </w:pPr>
    </w:p>
    <w:p>
      <w:pPr>
        <w:ind w:left="160" w:right="20" w:hanging="157"/>
        <w:spacing w:after="0" w:line="269" w:lineRule="auto"/>
        <w:tabs>
          <w:tab w:leader="none" w:pos="148" w:val="left"/>
        </w:tabs>
        <w:numPr>
          <w:ilvl w:val="0"/>
          <w:numId w:val="65"/>
        </w:numPr>
        <w:rPr>
          <w:rFonts w:ascii="Arial" w:cs="Arial" w:eastAsia="Arial" w:hAnsi="Arial"/>
          <w:sz w:val="17"/>
          <w:szCs w:val="17"/>
          <w:color w:val="auto"/>
          <w:vertAlign w:val="superscript"/>
        </w:rPr>
      </w:pPr>
      <w:r>
        <w:rPr>
          <w:rFonts w:ascii="Arial" w:cs="Arial" w:eastAsia="Arial" w:hAnsi="Arial"/>
          <w:sz w:val="13"/>
          <w:szCs w:val="13"/>
          <w:color w:val="auto"/>
        </w:rPr>
        <w:t>Book value as of December 31, 2021 and 2020, includes $97.9 million and $110.4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4" w:name="page135"/>
    <w:bookmarkEnd w:id="13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Recurring Fair Value Measurements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3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Description</w:t>
            </w:r>
          </w:p>
        </w:tc>
        <w:tc>
          <w:tcPr>
            <w:tcW w:w="2260" w:type="dxa"/>
            <w:vAlign w:val="bottom"/>
            <w:tcBorders>
              <w:top w:val="single" w:sz="8" w:color="auto"/>
              <w:bottom w:val="single" w:sz="8" w:color="auto"/>
            </w:tcBorders>
            <w:gridSpan w:val="3"/>
          </w:tcPr>
          <w:p>
            <w:pPr>
              <w:jc w:val="right"/>
              <w:ind w:right="163"/>
              <w:spacing w:after="0"/>
              <w:rPr>
                <w:sz w:val="20"/>
                <w:szCs w:val="20"/>
                <w:color w:val="auto"/>
              </w:rPr>
            </w:pPr>
            <w:r>
              <w:rPr>
                <w:rFonts w:ascii="Arial" w:cs="Arial" w:eastAsia="Arial" w:hAnsi="Arial"/>
                <w:sz w:val="15"/>
                <w:szCs w:val="15"/>
                <w:b w:val="1"/>
                <w:bCs w:val="1"/>
                <w:color w:val="auto"/>
              </w:rPr>
              <w:t>December 31, 2021</w:t>
            </w: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Level 1</w:t>
            </w: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Level 2</w:t>
            </w:r>
          </w:p>
        </w:tc>
        <w:tc>
          <w:tcPr>
            <w:tcW w:w="4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Level 3</w:t>
            </w: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NAV</w:t>
            </w:r>
          </w:p>
        </w:tc>
      </w:tr>
      <w:tr>
        <w:trPr>
          <w:trHeight w:val="197"/>
        </w:trPr>
        <w:tc>
          <w:tcPr>
            <w:tcW w:w="3480" w:type="dxa"/>
            <w:vAlign w:val="bottom"/>
          </w:tcPr>
          <w:p>
            <w:pPr>
              <w:ind w:left="20"/>
              <w:spacing w:after="0"/>
              <w:rPr>
                <w:sz w:val="20"/>
                <w:szCs w:val="20"/>
                <w:color w:val="auto"/>
              </w:rPr>
            </w:pPr>
            <w:r>
              <w:rPr>
                <w:rFonts w:ascii="Arial" w:cs="Arial" w:eastAsia="Arial" w:hAnsi="Arial"/>
                <w:sz w:val="15"/>
                <w:szCs w:val="15"/>
                <w:b w:val="1"/>
                <w:bCs w:val="1"/>
                <w:color w:val="auto"/>
              </w:rPr>
              <w:t>Evergy Kansas Central</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263"/>
              <w:spacing w:after="0"/>
              <w:rPr>
                <w:sz w:val="20"/>
                <w:szCs w:val="20"/>
                <w:color w:val="auto"/>
              </w:rPr>
            </w:pPr>
            <w:r>
              <w:rPr>
                <w:rFonts w:ascii="Arial" w:cs="Arial" w:eastAsia="Arial" w:hAnsi="Arial"/>
                <w:sz w:val="15"/>
                <w:szCs w:val="15"/>
                <w:color w:val="auto"/>
              </w:rPr>
              <w:t>(millions)</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3480" w:type="dxa"/>
            <w:vAlign w:val="bottom"/>
          </w:tcPr>
          <w:p>
            <w:pPr>
              <w:ind w:left="20"/>
              <w:spacing w:after="0"/>
              <w:rPr>
                <w:sz w:val="20"/>
                <w:szCs w:val="20"/>
                <w:color w:val="auto"/>
              </w:rPr>
            </w:pPr>
            <w:r>
              <w:rPr>
                <w:rFonts w:ascii="Arial" w:cs="Arial" w:eastAsia="Arial" w:hAnsi="Arial"/>
                <w:sz w:val="15"/>
                <w:szCs w:val="15"/>
                <w:color w:val="auto"/>
              </w:rPr>
              <w:t>Assets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3480" w:type="dxa"/>
            <w:vAlign w:val="bottom"/>
          </w:tcPr>
          <w:p>
            <w:pPr>
              <w:ind w:left="180"/>
              <w:spacing w:after="0" w:line="212" w:lineRule="exact"/>
              <w:rPr>
                <w:sz w:val="20"/>
                <w:szCs w:val="20"/>
                <w:color w:val="auto"/>
              </w:rPr>
            </w:pPr>
            <w:r>
              <w:rPr>
                <w:rFonts w:ascii="Arial" w:cs="Arial" w:eastAsia="Arial" w:hAnsi="Arial"/>
                <w:sz w:val="15"/>
                <w:szCs w:val="15"/>
                <w:color w:val="auto"/>
              </w:rPr>
              <w:t>Nuclear decommissioning trust</w:t>
            </w:r>
            <w:r>
              <w:rPr>
                <w:rFonts w:ascii="Arial" w:cs="Arial" w:eastAsia="Arial" w:hAnsi="Arial"/>
                <w:sz w:val="20"/>
                <w:szCs w:val="20"/>
                <w:color w:val="auto"/>
                <w:vertAlign w:val="superscript"/>
              </w:rPr>
              <w:t>(a)</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6"/>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Domestic equity funds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140.4</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126.5</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13.9</w:t>
            </w: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International equity funds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74.0</w:t>
            </w:r>
          </w:p>
        </w:tc>
        <w:tc>
          <w:tcPr>
            <w:tcW w:w="380" w:type="dxa"/>
            <w:vAlign w:val="bottom"/>
          </w:tcPr>
          <w:p>
            <w:pPr>
              <w:spacing w:after="0"/>
              <w:rPr>
                <w:sz w:val="17"/>
                <w:szCs w:val="17"/>
                <w:color w:val="auto"/>
              </w:rPr>
            </w:pP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74.0</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w:t>
            </w:r>
          </w:p>
        </w:tc>
      </w:tr>
      <w:tr>
        <w:trPr>
          <w:trHeight w:val="209"/>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Core bond fund</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58.1</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58.1</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High-yield bond fund</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29.6</w:t>
            </w:r>
          </w:p>
        </w:tc>
        <w:tc>
          <w:tcPr>
            <w:tcW w:w="380" w:type="dxa"/>
            <w:vAlign w:val="bottom"/>
          </w:tcPr>
          <w:p>
            <w:pPr>
              <w:spacing w:after="0"/>
              <w:rPr>
                <w:sz w:val="17"/>
                <w:szCs w:val="17"/>
                <w:color w:val="auto"/>
              </w:rPr>
            </w:pP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29.6</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w:t>
            </w:r>
          </w:p>
        </w:tc>
      </w:tr>
      <w:tr>
        <w:trPr>
          <w:trHeight w:val="209"/>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Emerging markets bond fund</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18.0</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18.0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Alternative investments fund</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32.7</w:t>
            </w:r>
          </w:p>
        </w:tc>
        <w:tc>
          <w:tcPr>
            <w:tcW w:w="380" w:type="dxa"/>
            <w:vAlign w:val="bottom"/>
          </w:tcPr>
          <w:p>
            <w:pPr>
              <w:spacing w:after="0"/>
              <w:rPr>
                <w:sz w:val="17"/>
                <w:szCs w:val="17"/>
                <w:color w:val="auto"/>
              </w:rPr>
            </w:pP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32.7</w:t>
            </w:r>
          </w:p>
        </w:tc>
      </w:tr>
      <w:tr>
        <w:trPr>
          <w:trHeight w:val="209"/>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estate securities fund</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15.2</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15.2</w:t>
            </w:r>
          </w:p>
        </w:tc>
      </w:tr>
      <w:tr>
        <w:trPr>
          <w:trHeight w:val="203"/>
        </w:trPr>
        <w:tc>
          <w:tcPr>
            <w:tcW w:w="34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Cash equivalents</w:t>
            </w:r>
          </w:p>
        </w:tc>
        <w:tc>
          <w:tcPr>
            <w:tcW w:w="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0.4</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0.4</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r>
      <w:tr>
        <w:trPr>
          <w:trHeight w:val="202"/>
        </w:trPr>
        <w:tc>
          <w:tcPr>
            <w:tcW w:w="34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nuclear decommissioning trust</w:t>
            </w:r>
          </w:p>
        </w:tc>
        <w:tc>
          <w:tcPr>
            <w:tcW w:w="9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368.4</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306.6</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61.8</w:t>
            </w:r>
          </w:p>
        </w:tc>
      </w:tr>
      <w:tr>
        <w:trPr>
          <w:trHeight w:val="183"/>
        </w:trPr>
        <w:tc>
          <w:tcPr>
            <w:tcW w:w="3480" w:type="dxa"/>
            <w:vAlign w:val="bottom"/>
          </w:tcPr>
          <w:p>
            <w:pPr>
              <w:ind w:left="180"/>
              <w:spacing w:after="0"/>
              <w:rPr>
                <w:sz w:val="20"/>
                <w:szCs w:val="20"/>
                <w:color w:val="auto"/>
              </w:rPr>
            </w:pPr>
            <w:r>
              <w:rPr>
                <w:rFonts w:ascii="Arial" w:cs="Arial" w:eastAsia="Arial" w:hAnsi="Arial"/>
                <w:sz w:val="15"/>
                <w:szCs w:val="15"/>
                <w:color w:val="auto"/>
              </w:rPr>
              <w:t>Rabbi trust</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9"/>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Fixed income funds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19.6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19.6</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Equity funds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9.5</w:t>
            </w:r>
          </w:p>
        </w:tc>
        <w:tc>
          <w:tcPr>
            <w:tcW w:w="380" w:type="dxa"/>
            <w:vAlign w:val="bottom"/>
          </w:tcPr>
          <w:p>
            <w:pPr>
              <w:spacing w:after="0"/>
              <w:rPr>
                <w:sz w:val="17"/>
                <w:szCs w:val="17"/>
                <w:color w:val="auto"/>
              </w:rPr>
            </w:pP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9.5</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w:t>
            </w:r>
          </w:p>
        </w:tc>
      </w:tr>
      <w:tr>
        <w:trPr>
          <w:trHeight w:val="209"/>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Combination debt/equity/other fund</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2.4</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2.4</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3"/>
        </w:trPr>
        <w:tc>
          <w:tcPr>
            <w:tcW w:w="34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Cash equivalents</w:t>
            </w:r>
          </w:p>
        </w:tc>
        <w:tc>
          <w:tcPr>
            <w:tcW w:w="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0.2</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0.2</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r>
      <w:tr>
        <w:trPr>
          <w:trHeight w:val="202"/>
        </w:trPr>
        <w:tc>
          <w:tcPr>
            <w:tcW w:w="34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rabbi trust</w:t>
            </w:r>
          </w:p>
        </w:tc>
        <w:tc>
          <w:tcPr>
            <w:tcW w:w="9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31.7</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31.7</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196"/>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Total</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400.1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338.3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61.8</w:t>
            </w:r>
          </w:p>
        </w:tc>
      </w:tr>
      <w:tr>
        <w:trPr>
          <w:trHeight w:val="202"/>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Evergy Metro</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5"/>
                <w:szCs w:val="15"/>
                <w:color w:val="auto"/>
              </w:rPr>
              <w:t>Assets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3480" w:type="dxa"/>
            <w:vAlign w:val="bottom"/>
            <w:shd w:val="clear" w:color="auto" w:fill="CCEEFF"/>
          </w:tcPr>
          <w:p>
            <w:pPr>
              <w:ind w:left="180"/>
              <w:spacing w:after="0" w:line="209" w:lineRule="exact"/>
              <w:rPr>
                <w:sz w:val="20"/>
                <w:szCs w:val="20"/>
                <w:color w:val="auto"/>
              </w:rPr>
            </w:pPr>
            <w:r>
              <w:rPr>
                <w:rFonts w:ascii="Arial" w:cs="Arial" w:eastAsia="Arial" w:hAnsi="Arial"/>
                <w:sz w:val="15"/>
                <w:szCs w:val="15"/>
                <w:color w:val="auto"/>
              </w:rPr>
              <w:t>Nuclear decommissioning trust</w:t>
            </w:r>
            <w:r>
              <w:rPr>
                <w:rFonts w:ascii="Arial" w:cs="Arial" w:eastAsia="Arial" w:hAnsi="Arial"/>
                <w:sz w:val="20"/>
                <w:szCs w:val="20"/>
                <w:color w:val="auto"/>
                <w:vertAlign w:val="superscript"/>
              </w:rPr>
              <w:t>(a)</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Equity securities</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299.2</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299.2</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w:t>
            </w:r>
          </w:p>
        </w:tc>
      </w:tr>
      <w:tr>
        <w:trPr>
          <w:trHeight w:val="209"/>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Debt securities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3480" w:type="dxa"/>
            <w:vAlign w:val="bottom"/>
          </w:tcPr>
          <w:p>
            <w:pPr>
              <w:ind w:left="340"/>
              <w:spacing w:after="0"/>
              <w:rPr>
                <w:sz w:val="20"/>
                <w:szCs w:val="20"/>
                <w:color w:val="auto"/>
              </w:rPr>
            </w:pPr>
            <w:r>
              <w:rPr>
                <w:rFonts w:ascii="Arial" w:cs="Arial" w:eastAsia="Arial" w:hAnsi="Arial"/>
                <w:sz w:val="15"/>
                <w:szCs w:val="15"/>
                <w:color w:val="auto"/>
              </w:rPr>
              <w:t>U.S. Treasury</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46.1</w:t>
            </w:r>
          </w:p>
        </w:tc>
        <w:tc>
          <w:tcPr>
            <w:tcW w:w="380" w:type="dxa"/>
            <w:vAlign w:val="bottom"/>
          </w:tcPr>
          <w:p>
            <w:pPr>
              <w:spacing w:after="0"/>
              <w:rPr>
                <w:sz w:val="17"/>
                <w:szCs w:val="17"/>
                <w:color w:val="auto"/>
              </w:rPr>
            </w:pP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46.1</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w:t>
            </w:r>
          </w:p>
        </w:tc>
      </w:tr>
      <w:tr>
        <w:trPr>
          <w:trHeight w:val="209"/>
        </w:trPr>
        <w:tc>
          <w:tcPr>
            <w:tcW w:w="3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U.S. Agency</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0.4</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0.4</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3"/>
        </w:trPr>
        <w:tc>
          <w:tcPr>
            <w:tcW w:w="3480" w:type="dxa"/>
            <w:vAlign w:val="bottom"/>
          </w:tcPr>
          <w:p>
            <w:pPr>
              <w:ind w:left="340"/>
              <w:spacing w:after="0"/>
              <w:rPr>
                <w:sz w:val="20"/>
                <w:szCs w:val="20"/>
                <w:color w:val="auto"/>
              </w:rPr>
            </w:pPr>
            <w:r>
              <w:rPr>
                <w:rFonts w:ascii="Arial" w:cs="Arial" w:eastAsia="Arial" w:hAnsi="Arial"/>
                <w:sz w:val="15"/>
                <w:szCs w:val="15"/>
                <w:color w:val="auto"/>
              </w:rPr>
              <w:t>State and local obligations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4.0</w:t>
            </w:r>
          </w:p>
        </w:tc>
        <w:tc>
          <w:tcPr>
            <w:tcW w:w="380" w:type="dxa"/>
            <w:vAlign w:val="bottom"/>
          </w:tcPr>
          <w:p>
            <w:pPr>
              <w:spacing w:after="0"/>
              <w:rPr>
                <w:sz w:val="17"/>
                <w:szCs w:val="17"/>
                <w:color w:val="auto"/>
              </w:rPr>
            </w:pP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4.0</w:t>
            </w:r>
          </w:p>
        </w:tc>
        <w:tc>
          <w:tcPr>
            <w:tcW w:w="400" w:type="dxa"/>
            <w:vAlign w:val="bottom"/>
          </w:tcPr>
          <w:p>
            <w:pPr>
              <w:spacing w:after="0"/>
              <w:rPr>
                <w:sz w:val="17"/>
                <w:szCs w:val="17"/>
                <w:color w:val="auto"/>
              </w:rPr>
            </w:pP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w:t>
            </w:r>
          </w:p>
        </w:tc>
      </w:tr>
      <w:tr>
        <w:trPr>
          <w:trHeight w:val="209"/>
        </w:trPr>
        <w:tc>
          <w:tcPr>
            <w:tcW w:w="3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Corporate bonds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43.7</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43.7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3"/>
        </w:trPr>
        <w:tc>
          <w:tcPr>
            <w:tcW w:w="3480" w:type="dxa"/>
            <w:vAlign w:val="bottom"/>
          </w:tcPr>
          <w:p>
            <w:pPr>
              <w:ind w:left="340"/>
              <w:spacing w:after="0"/>
              <w:rPr>
                <w:sz w:val="20"/>
                <w:szCs w:val="20"/>
                <w:color w:val="auto"/>
              </w:rPr>
            </w:pPr>
            <w:r>
              <w:rPr>
                <w:rFonts w:ascii="Arial" w:cs="Arial" w:eastAsia="Arial" w:hAnsi="Arial"/>
                <w:sz w:val="15"/>
                <w:szCs w:val="15"/>
                <w:color w:val="auto"/>
              </w:rPr>
              <w:t>Foreign governments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0.1</w:t>
            </w:r>
          </w:p>
        </w:tc>
        <w:tc>
          <w:tcPr>
            <w:tcW w:w="380" w:type="dxa"/>
            <w:vAlign w:val="bottom"/>
          </w:tcPr>
          <w:p>
            <w:pPr>
              <w:spacing w:after="0"/>
              <w:rPr>
                <w:sz w:val="17"/>
                <w:szCs w:val="17"/>
                <w:color w:val="auto"/>
              </w:rPr>
            </w:pP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0.1</w:t>
            </w:r>
          </w:p>
        </w:tc>
        <w:tc>
          <w:tcPr>
            <w:tcW w:w="400" w:type="dxa"/>
            <w:vAlign w:val="bottom"/>
          </w:tcPr>
          <w:p>
            <w:pPr>
              <w:spacing w:after="0"/>
              <w:rPr>
                <w:sz w:val="17"/>
                <w:szCs w:val="17"/>
                <w:color w:val="auto"/>
              </w:rPr>
            </w:pP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w:t>
            </w:r>
          </w:p>
        </w:tc>
      </w:tr>
      <w:tr>
        <w:trPr>
          <w:trHeight w:val="209"/>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equivalents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6.8</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6.8</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3"/>
        </w:trPr>
        <w:tc>
          <w:tcPr>
            <w:tcW w:w="34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Other</w:t>
            </w:r>
          </w:p>
        </w:tc>
        <w:tc>
          <w:tcPr>
            <w:tcW w:w="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r>
      <w:tr>
        <w:trPr>
          <w:trHeight w:val="202"/>
        </w:trPr>
        <w:tc>
          <w:tcPr>
            <w:tcW w:w="34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nuclear decommissioning trust</w:t>
            </w:r>
          </w:p>
        </w:tc>
        <w:tc>
          <w:tcPr>
            <w:tcW w:w="9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400.3</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352.1</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48.2</w:t>
            </w: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186"/>
        </w:trPr>
        <w:tc>
          <w:tcPr>
            <w:tcW w:w="3480" w:type="dxa"/>
            <w:vAlign w:val="bottom"/>
          </w:tcPr>
          <w:p>
            <w:pPr>
              <w:ind w:left="180"/>
              <w:spacing w:after="0" w:line="186" w:lineRule="exact"/>
              <w:rPr>
                <w:sz w:val="20"/>
                <w:szCs w:val="20"/>
                <w:color w:val="auto"/>
              </w:rPr>
            </w:pPr>
            <w:r>
              <w:rPr>
                <w:rFonts w:ascii="Arial" w:cs="Arial" w:eastAsia="Arial" w:hAnsi="Arial"/>
                <w:sz w:val="15"/>
                <w:szCs w:val="15"/>
                <w:color w:val="auto"/>
              </w:rPr>
              <w:t>Self-insured health plan trust</w:t>
            </w:r>
            <w:r>
              <w:rPr>
                <w:rFonts w:ascii="Arial" w:cs="Arial" w:eastAsia="Arial" w:hAnsi="Arial"/>
                <w:sz w:val="20"/>
                <w:szCs w:val="20"/>
                <w:color w:val="auto"/>
                <w:vertAlign w:val="superscript"/>
              </w:rPr>
              <w:t>(b)</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Equity securities</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2.0</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2.0</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Debt securities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8.7</w:t>
            </w:r>
          </w:p>
        </w:tc>
        <w:tc>
          <w:tcPr>
            <w:tcW w:w="380" w:type="dxa"/>
            <w:vAlign w:val="bottom"/>
          </w:tcPr>
          <w:p>
            <w:pPr>
              <w:spacing w:after="0"/>
              <w:rPr>
                <w:sz w:val="17"/>
                <w:szCs w:val="17"/>
                <w:color w:val="auto"/>
              </w:rPr>
            </w:pP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2.7</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6.0</w:t>
            </w:r>
          </w:p>
        </w:tc>
        <w:tc>
          <w:tcPr>
            <w:tcW w:w="400" w:type="dxa"/>
            <w:vAlign w:val="bottom"/>
          </w:tcPr>
          <w:p>
            <w:pPr>
              <w:spacing w:after="0"/>
              <w:rPr>
                <w:sz w:val="17"/>
                <w:szCs w:val="17"/>
                <w:color w:val="auto"/>
              </w:rPr>
            </w:pP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w:t>
            </w:r>
          </w:p>
        </w:tc>
      </w:tr>
      <w:tr>
        <w:trPr>
          <w:trHeight w:val="209"/>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and cash equivalents</w:t>
            </w:r>
          </w:p>
        </w:tc>
        <w:tc>
          <w:tcPr>
            <w:tcW w:w="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1.8</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1.8</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196"/>
        </w:trPr>
        <w:tc>
          <w:tcPr>
            <w:tcW w:w="348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self-insured health plan trust</w:t>
            </w:r>
          </w:p>
        </w:tc>
        <w:tc>
          <w:tcPr>
            <w:tcW w:w="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12.5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6.5</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6.0</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r>
      <w:tr>
        <w:trPr>
          <w:trHeight w:val="199"/>
        </w:trPr>
        <w:tc>
          <w:tcPr>
            <w:tcW w:w="34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Total</w:t>
            </w:r>
          </w:p>
        </w:tc>
        <w:tc>
          <w:tcPr>
            <w:tcW w:w="12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412.8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358.6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54.2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0"/>
        </w:trPr>
        <w:tc>
          <w:tcPr>
            <w:tcW w:w="3480" w:type="dxa"/>
            <w:vAlign w:val="bottom"/>
          </w:tcPr>
          <w:p>
            <w:pPr>
              <w:ind w:left="20"/>
              <w:spacing w:after="0"/>
              <w:rPr>
                <w:sz w:val="20"/>
                <w:szCs w:val="20"/>
                <w:color w:val="auto"/>
              </w:rPr>
            </w:pPr>
            <w:r>
              <w:rPr>
                <w:rFonts w:ascii="Arial" w:cs="Arial" w:eastAsia="Arial" w:hAnsi="Arial"/>
                <w:sz w:val="15"/>
                <w:szCs w:val="15"/>
                <w:b w:val="1"/>
                <w:bCs w:val="1"/>
                <w:color w:val="auto"/>
              </w:rPr>
              <w:t>Other Evergy</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3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Evergy investments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3480" w:type="dxa"/>
            <w:vAlign w:val="bottom"/>
          </w:tcPr>
          <w:p>
            <w:pPr>
              <w:ind w:left="220"/>
              <w:spacing w:after="0" w:line="207" w:lineRule="exact"/>
              <w:rPr>
                <w:sz w:val="20"/>
                <w:szCs w:val="20"/>
                <w:color w:val="auto"/>
              </w:rPr>
            </w:pPr>
            <w:r>
              <w:rPr>
                <w:rFonts w:ascii="Arial" w:cs="Arial" w:eastAsia="Arial" w:hAnsi="Arial"/>
                <w:sz w:val="15"/>
                <w:szCs w:val="15"/>
                <w:color w:val="auto"/>
              </w:rPr>
              <w:t>Equity securities</w:t>
            </w:r>
            <w:r>
              <w:rPr>
                <w:rFonts w:ascii="Arial" w:cs="Arial" w:eastAsia="Arial" w:hAnsi="Arial"/>
                <w:sz w:val="20"/>
                <w:szCs w:val="20"/>
                <w:color w:val="auto"/>
                <w:vertAlign w:val="superscript"/>
              </w:rPr>
              <w:t>(c)</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31.4</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31.4</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w:t>
            </w:r>
          </w:p>
        </w:tc>
      </w:tr>
      <w:tr>
        <w:trPr>
          <w:trHeight w:val="199"/>
        </w:trPr>
        <w:tc>
          <w:tcPr>
            <w:tcW w:w="34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other Evergy investments</w:t>
            </w:r>
          </w:p>
        </w:tc>
        <w:tc>
          <w:tcPr>
            <w:tcW w:w="9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31.4</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31.4</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183"/>
        </w:trPr>
        <w:tc>
          <w:tcPr>
            <w:tcW w:w="3480" w:type="dxa"/>
            <w:vAlign w:val="bottom"/>
          </w:tcPr>
          <w:p>
            <w:pPr>
              <w:ind w:left="180"/>
              <w:spacing w:after="0"/>
              <w:rPr>
                <w:sz w:val="20"/>
                <w:szCs w:val="20"/>
                <w:color w:val="auto"/>
              </w:rPr>
            </w:pPr>
            <w:r>
              <w:rPr>
                <w:rFonts w:ascii="Arial" w:cs="Arial" w:eastAsia="Arial" w:hAnsi="Arial"/>
                <w:sz w:val="15"/>
                <w:szCs w:val="15"/>
                <w:color w:val="auto"/>
              </w:rPr>
              <w:t>Rabbi trusts</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9"/>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Core bond fund</w:t>
            </w:r>
          </w:p>
        </w:tc>
        <w:tc>
          <w:tcPr>
            <w:tcW w:w="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12.5</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12.5</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196"/>
        </w:trPr>
        <w:tc>
          <w:tcPr>
            <w:tcW w:w="348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rabbi trusts</w:t>
            </w:r>
          </w:p>
        </w:tc>
        <w:tc>
          <w:tcPr>
            <w:tcW w:w="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12.5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12.5</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r>
      <w:tr>
        <w:trPr>
          <w:trHeight w:val="199"/>
        </w:trPr>
        <w:tc>
          <w:tcPr>
            <w:tcW w:w="34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Total</w:t>
            </w:r>
          </w:p>
        </w:tc>
        <w:tc>
          <w:tcPr>
            <w:tcW w:w="12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43.9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12.5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31.4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0"/>
        </w:trPr>
        <w:tc>
          <w:tcPr>
            <w:tcW w:w="3480" w:type="dxa"/>
            <w:vAlign w:val="bottom"/>
          </w:tcPr>
          <w:p>
            <w:pPr>
              <w:ind w:left="20"/>
              <w:spacing w:after="0"/>
              <w:rPr>
                <w:sz w:val="20"/>
                <w:szCs w:val="20"/>
                <w:color w:val="auto"/>
              </w:rPr>
            </w:pPr>
            <w:r>
              <w:rPr>
                <w:rFonts w:ascii="Arial" w:cs="Arial" w:eastAsia="Arial" w:hAnsi="Arial"/>
                <w:sz w:val="15"/>
                <w:szCs w:val="15"/>
                <w:b w:val="1"/>
                <w:bCs w:val="1"/>
                <w:color w:val="auto"/>
              </w:rPr>
              <w:t>Evergy</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3480" w:type="dxa"/>
            <w:vAlign w:val="bottom"/>
          </w:tcPr>
          <w:p>
            <w:pPr>
              <w:ind w:left="140"/>
              <w:spacing w:after="0" w:line="207" w:lineRule="exact"/>
              <w:rPr>
                <w:sz w:val="20"/>
                <w:szCs w:val="20"/>
                <w:color w:val="auto"/>
              </w:rPr>
            </w:pPr>
            <w:r>
              <w:rPr>
                <w:rFonts w:ascii="Arial" w:cs="Arial" w:eastAsia="Arial" w:hAnsi="Arial"/>
                <w:sz w:val="15"/>
                <w:szCs w:val="15"/>
                <w:color w:val="auto"/>
              </w:rPr>
              <w:t>Nuclear decommissioning trust</w:t>
            </w:r>
            <w:r>
              <w:rPr>
                <w:rFonts w:ascii="Arial" w:cs="Arial" w:eastAsia="Arial" w:hAnsi="Arial"/>
                <w:sz w:val="20"/>
                <w:szCs w:val="20"/>
                <w:color w:val="auto"/>
                <w:vertAlign w:val="superscript"/>
              </w:rPr>
              <w:t>(a)</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768.7</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658.7</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48.2</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61.8</w:t>
            </w:r>
          </w:p>
        </w:tc>
      </w:tr>
      <w:tr>
        <w:trPr>
          <w:trHeight w:val="206"/>
        </w:trPr>
        <w:tc>
          <w:tcPr>
            <w:tcW w:w="3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Rabbi trusts</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44.2</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44.2</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6"/>
        </w:trPr>
        <w:tc>
          <w:tcPr>
            <w:tcW w:w="3480" w:type="dxa"/>
            <w:vAlign w:val="bottom"/>
          </w:tcPr>
          <w:p>
            <w:pPr>
              <w:ind w:left="120"/>
              <w:spacing w:after="0" w:line="207" w:lineRule="exact"/>
              <w:rPr>
                <w:sz w:val="20"/>
                <w:szCs w:val="20"/>
                <w:color w:val="auto"/>
              </w:rPr>
            </w:pPr>
            <w:r>
              <w:rPr>
                <w:rFonts w:ascii="Arial" w:cs="Arial" w:eastAsia="Arial" w:hAnsi="Arial"/>
                <w:sz w:val="15"/>
                <w:szCs w:val="15"/>
                <w:color w:val="auto"/>
              </w:rPr>
              <w:t>Self-insured health plan trust</w:t>
            </w:r>
            <w:r>
              <w:rPr>
                <w:rFonts w:ascii="Arial" w:cs="Arial" w:eastAsia="Arial" w:hAnsi="Arial"/>
                <w:sz w:val="20"/>
                <w:szCs w:val="20"/>
                <w:color w:val="auto"/>
                <w:vertAlign w:val="superscript"/>
              </w:rPr>
              <w:t>(b)</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12.5</w:t>
            </w:r>
          </w:p>
        </w:tc>
        <w:tc>
          <w:tcPr>
            <w:tcW w:w="380" w:type="dxa"/>
            <w:vAlign w:val="bottom"/>
          </w:tcPr>
          <w:p>
            <w:pPr>
              <w:spacing w:after="0"/>
              <w:rPr>
                <w:sz w:val="17"/>
                <w:szCs w:val="17"/>
                <w:color w:val="auto"/>
              </w:rPr>
            </w:pPr>
          </w:p>
        </w:tc>
        <w:tc>
          <w:tcPr>
            <w:tcW w:w="960" w:type="dxa"/>
            <w:vAlign w:val="bottom"/>
          </w:tcPr>
          <w:p>
            <w:pPr>
              <w:jc w:val="right"/>
              <w:ind w:right="183"/>
              <w:spacing w:after="0"/>
              <w:rPr>
                <w:sz w:val="20"/>
                <w:szCs w:val="20"/>
                <w:color w:val="auto"/>
              </w:rPr>
            </w:pPr>
            <w:r>
              <w:rPr>
                <w:rFonts w:ascii="Arial" w:cs="Arial" w:eastAsia="Arial" w:hAnsi="Arial"/>
                <w:sz w:val="15"/>
                <w:szCs w:val="15"/>
                <w:color w:val="auto"/>
              </w:rPr>
              <w:t>6.5</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5"/>
                <w:szCs w:val="15"/>
                <w:color w:val="auto"/>
              </w:rPr>
              <w:t>6.0</w:t>
            </w:r>
          </w:p>
        </w:tc>
        <w:tc>
          <w:tcPr>
            <w:tcW w:w="400" w:type="dxa"/>
            <w:vAlign w:val="bottom"/>
          </w:tcPr>
          <w:p>
            <w:pPr>
              <w:spacing w:after="0"/>
              <w:rPr>
                <w:sz w:val="17"/>
                <w:szCs w:val="17"/>
                <w:color w:val="auto"/>
              </w:rPr>
            </w:pPr>
          </w:p>
        </w:tc>
        <w:tc>
          <w:tcPr>
            <w:tcW w:w="94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Arial" w:cs="Arial" w:eastAsia="Arial" w:hAnsi="Arial"/>
                <w:sz w:val="15"/>
                <w:szCs w:val="15"/>
                <w:color w:val="auto"/>
              </w:rPr>
              <w:t>—</w:t>
            </w:r>
          </w:p>
        </w:tc>
      </w:tr>
      <w:tr>
        <w:trPr>
          <w:trHeight w:val="206"/>
        </w:trPr>
        <w:tc>
          <w:tcPr>
            <w:tcW w:w="3480" w:type="dxa"/>
            <w:vAlign w:val="bottom"/>
            <w:shd w:val="clear" w:color="auto" w:fill="CCEEFF"/>
          </w:tcPr>
          <w:p>
            <w:pPr>
              <w:ind w:left="120"/>
              <w:spacing w:after="0" w:line="207" w:lineRule="exact"/>
              <w:rPr>
                <w:sz w:val="20"/>
                <w:szCs w:val="20"/>
                <w:color w:val="auto"/>
              </w:rPr>
            </w:pPr>
            <w:r>
              <w:rPr>
                <w:rFonts w:ascii="Arial" w:cs="Arial" w:eastAsia="Arial" w:hAnsi="Arial"/>
                <w:sz w:val="15"/>
                <w:szCs w:val="15"/>
                <w:color w:val="auto"/>
              </w:rPr>
              <w:t>Other Evergy investments</w:t>
            </w:r>
            <w:r>
              <w:rPr>
                <w:rFonts w:ascii="Arial" w:cs="Arial" w:eastAsia="Arial" w:hAnsi="Arial"/>
                <w:sz w:val="20"/>
                <w:szCs w:val="20"/>
                <w:color w:val="auto"/>
                <w:vertAlign w:val="superscript"/>
              </w:rPr>
              <w:t>(c)</w:t>
            </w:r>
          </w:p>
        </w:tc>
        <w:tc>
          <w:tcPr>
            <w:tcW w:w="9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31.4</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31.4</w:t>
            </w: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r>
      <w:tr>
        <w:trPr>
          <w:trHeight w:val="205"/>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Total</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856.8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709.4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85.6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61.8</w:t>
            </w:r>
          </w:p>
        </w:tc>
      </w:tr>
    </w:tbl>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5" w:name="page136"/>
    <w:bookmarkEnd w:id="13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Description</w:t>
            </w:r>
          </w:p>
        </w:tc>
        <w:tc>
          <w:tcPr>
            <w:tcW w:w="2260" w:type="dxa"/>
            <w:vAlign w:val="bottom"/>
            <w:tcBorders>
              <w:top w:val="single" w:sz="8" w:color="auto"/>
              <w:bottom w:val="single" w:sz="8" w:color="auto"/>
            </w:tcBorders>
            <w:gridSpan w:val="3"/>
          </w:tcPr>
          <w:p>
            <w:pPr>
              <w:jc w:val="right"/>
              <w:ind w:right="183"/>
              <w:spacing w:after="0"/>
              <w:rPr>
                <w:sz w:val="20"/>
                <w:szCs w:val="20"/>
                <w:color w:val="auto"/>
              </w:rPr>
            </w:pPr>
            <w:r>
              <w:rPr>
                <w:rFonts w:ascii="Arial" w:cs="Arial" w:eastAsia="Arial" w:hAnsi="Arial"/>
                <w:sz w:val="15"/>
                <w:szCs w:val="15"/>
                <w:b w:val="1"/>
                <w:bCs w:val="1"/>
                <w:color w:val="auto"/>
              </w:rPr>
              <w:t>December 31, 2020</w:t>
            </w: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Level 1</w:t>
            </w: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Level 2</w:t>
            </w: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b w:val="1"/>
                <w:bCs w:val="1"/>
                <w:color w:val="auto"/>
              </w:rPr>
              <w:t>Level 3</w:t>
            </w: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rPr>
              <w:t>NAV</w:t>
            </w:r>
          </w:p>
        </w:tc>
      </w:tr>
      <w:tr>
        <w:trPr>
          <w:trHeight w:val="197"/>
        </w:trPr>
        <w:tc>
          <w:tcPr>
            <w:tcW w:w="3440" w:type="dxa"/>
            <w:vAlign w:val="bottom"/>
          </w:tcPr>
          <w:p>
            <w:pPr>
              <w:ind w:left="20"/>
              <w:spacing w:after="0"/>
              <w:rPr>
                <w:sz w:val="20"/>
                <w:szCs w:val="20"/>
                <w:color w:val="auto"/>
              </w:rPr>
            </w:pPr>
            <w:r>
              <w:rPr>
                <w:rFonts w:ascii="Arial" w:cs="Arial" w:eastAsia="Arial" w:hAnsi="Arial"/>
                <w:sz w:val="15"/>
                <w:szCs w:val="15"/>
                <w:b w:val="1"/>
                <w:bCs w:val="1"/>
                <w:color w:val="auto"/>
              </w:rPr>
              <w:t>Evergy Kansas Central</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263"/>
              <w:spacing w:after="0"/>
              <w:rPr>
                <w:sz w:val="20"/>
                <w:szCs w:val="20"/>
                <w:color w:val="auto"/>
              </w:rPr>
            </w:pPr>
            <w:r>
              <w:rPr>
                <w:rFonts w:ascii="Arial" w:cs="Arial" w:eastAsia="Arial" w:hAnsi="Arial"/>
                <w:sz w:val="15"/>
                <w:szCs w:val="15"/>
                <w:color w:val="auto"/>
                <w:w w:val="99"/>
              </w:rPr>
              <w:t>(millions)</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440" w:type="dxa"/>
            <w:vAlign w:val="bottom"/>
          </w:tcPr>
          <w:p>
            <w:pPr>
              <w:ind w:left="20"/>
              <w:spacing w:after="0"/>
              <w:rPr>
                <w:sz w:val="20"/>
                <w:szCs w:val="20"/>
                <w:color w:val="auto"/>
              </w:rPr>
            </w:pPr>
            <w:r>
              <w:rPr>
                <w:rFonts w:ascii="Arial" w:cs="Arial" w:eastAsia="Arial" w:hAnsi="Arial"/>
                <w:sz w:val="15"/>
                <w:szCs w:val="15"/>
                <w:color w:val="auto"/>
              </w:rPr>
              <w:t>Assets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3440" w:type="dxa"/>
            <w:vAlign w:val="bottom"/>
          </w:tcPr>
          <w:p>
            <w:pPr>
              <w:ind w:left="180"/>
              <w:spacing w:after="0" w:line="212" w:lineRule="exact"/>
              <w:rPr>
                <w:sz w:val="20"/>
                <w:szCs w:val="20"/>
                <w:color w:val="auto"/>
              </w:rPr>
            </w:pPr>
            <w:r>
              <w:rPr>
                <w:rFonts w:ascii="Arial" w:cs="Arial" w:eastAsia="Arial" w:hAnsi="Arial"/>
                <w:sz w:val="15"/>
                <w:szCs w:val="15"/>
                <w:color w:val="auto"/>
              </w:rPr>
              <w:t>Nuclear decommissioning trust</w:t>
            </w:r>
            <w:r>
              <w:rPr>
                <w:rFonts w:ascii="Arial" w:cs="Arial" w:eastAsia="Arial" w:hAnsi="Arial"/>
                <w:sz w:val="20"/>
                <w:szCs w:val="20"/>
                <w:color w:val="auto"/>
                <w:vertAlign w:val="superscript"/>
              </w:rPr>
              <w:t>(a)</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6"/>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Domestic equity funds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102.7</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95.1</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7.6</w:t>
            </w: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International equity funds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63.8</w:t>
            </w:r>
          </w:p>
        </w:tc>
        <w:tc>
          <w:tcPr>
            <w:tcW w:w="380" w:type="dxa"/>
            <w:vAlign w:val="bottom"/>
          </w:tcPr>
          <w:p>
            <w:pPr>
              <w:spacing w:after="0"/>
              <w:rPr>
                <w:sz w:val="17"/>
                <w:szCs w:val="17"/>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63.8</w:t>
            </w:r>
          </w:p>
        </w:tc>
        <w:tc>
          <w:tcPr>
            <w:tcW w:w="360" w:type="dxa"/>
            <w:vAlign w:val="bottom"/>
          </w:tcPr>
          <w:p>
            <w:pPr>
              <w:spacing w:after="0"/>
              <w:rPr>
                <w:sz w:val="17"/>
                <w:szCs w:val="17"/>
                <w:color w:val="auto"/>
              </w:rPr>
            </w:pP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w:t>
            </w:r>
          </w:p>
        </w:tc>
      </w:tr>
      <w:tr>
        <w:trPr>
          <w:trHeight w:val="209"/>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Core bond fund</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40.6</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40.6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High-yield bond fund</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25.0</w:t>
            </w:r>
          </w:p>
        </w:tc>
        <w:tc>
          <w:tcPr>
            <w:tcW w:w="380" w:type="dxa"/>
            <w:vAlign w:val="bottom"/>
          </w:tcPr>
          <w:p>
            <w:pPr>
              <w:spacing w:after="0"/>
              <w:rPr>
                <w:sz w:val="17"/>
                <w:szCs w:val="17"/>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25.0</w:t>
            </w:r>
          </w:p>
        </w:tc>
        <w:tc>
          <w:tcPr>
            <w:tcW w:w="360" w:type="dxa"/>
            <w:vAlign w:val="bottom"/>
          </w:tcPr>
          <w:p>
            <w:pPr>
              <w:spacing w:after="0"/>
              <w:rPr>
                <w:sz w:val="17"/>
                <w:szCs w:val="17"/>
                <w:color w:val="auto"/>
              </w:rPr>
            </w:pP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w:t>
            </w:r>
          </w:p>
        </w:tc>
      </w:tr>
      <w:tr>
        <w:trPr>
          <w:trHeight w:val="209"/>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Emerging markets bond fund</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21.0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21.0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Combination debt/equity/other fund</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20.1</w:t>
            </w:r>
          </w:p>
        </w:tc>
        <w:tc>
          <w:tcPr>
            <w:tcW w:w="380" w:type="dxa"/>
            <w:vAlign w:val="bottom"/>
          </w:tcPr>
          <w:p>
            <w:pPr>
              <w:spacing w:after="0"/>
              <w:rPr>
                <w:sz w:val="17"/>
                <w:szCs w:val="17"/>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20.1</w:t>
            </w:r>
          </w:p>
        </w:tc>
        <w:tc>
          <w:tcPr>
            <w:tcW w:w="360" w:type="dxa"/>
            <w:vAlign w:val="bottom"/>
          </w:tcPr>
          <w:p>
            <w:pPr>
              <w:spacing w:after="0"/>
              <w:rPr>
                <w:sz w:val="17"/>
                <w:szCs w:val="17"/>
                <w:color w:val="auto"/>
              </w:rPr>
            </w:pP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w:t>
            </w:r>
          </w:p>
        </w:tc>
      </w:tr>
      <w:tr>
        <w:trPr>
          <w:trHeight w:val="209"/>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Alternative investments fund</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23.2</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23.2</w:t>
            </w: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Real estate securities fund</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12.9</w:t>
            </w:r>
          </w:p>
        </w:tc>
        <w:tc>
          <w:tcPr>
            <w:tcW w:w="380" w:type="dxa"/>
            <w:vAlign w:val="bottom"/>
          </w:tcPr>
          <w:p>
            <w:pPr>
              <w:spacing w:after="0"/>
              <w:rPr>
                <w:sz w:val="17"/>
                <w:szCs w:val="17"/>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12.9</w:t>
            </w:r>
          </w:p>
        </w:tc>
      </w:tr>
      <w:tr>
        <w:trPr>
          <w:trHeight w:val="209"/>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equivalents</w:t>
            </w:r>
          </w:p>
        </w:tc>
        <w:tc>
          <w:tcPr>
            <w:tcW w:w="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0.5</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0.5</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196"/>
        </w:trPr>
        <w:tc>
          <w:tcPr>
            <w:tcW w:w="344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nuclear decommissioning trust</w:t>
            </w:r>
          </w:p>
        </w:tc>
        <w:tc>
          <w:tcPr>
            <w:tcW w:w="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309.8</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266.1</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43.7</w:t>
            </w:r>
          </w:p>
        </w:tc>
      </w:tr>
      <w:tr>
        <w:trPr>
          <w:trHeight w:val="189"/>
        </w:trPr>
        <w:tc>
          <w:tcPr>
            <w:tcW w:w="3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Rabbi trust</w:t>
            </w: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Core bond fund</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25.6</w:t>
            </w:r>
          </w:p>
        </w:tc>
        <w:tc>
          <w:tcPr>
            <w:tcW w:w="380" w:type="dxa"/>
            <w:vAlign w:val="bottom"/>
          </w:tcPr>
          <w:p>
            <w:pPr>
              <w:spacing w:after="0"/>
              <w:rPr>
                <w:sz w:val="17"/>
                <w:szCs w:val="17"/>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25.6</w:t>
            </w:r>
          </w:p>
        </w:tc>
      </w:tr>
      <w:tr>
        <w:trPr>
          <w:trHeight w:val="209"/>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Combination debt/equity/other fund</w:t>
            </w:r>
          </w:p>
        </w:tc>
        <w:tc>
          <w:tcPr>
            <w:tcW w:w="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7.1</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7.1</w:t>
            </w:r>
          </w:p>
        </w:tc>
      </w:tr>
      <w:tr>
        <w:trPr>
          <w:trHeight w:val="196"/>
        </w:trPr>
        <w:tc>
          <w:tcPr>
            <w:tcW w:w="344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rabbi trust</w:t>
            </w:r>
          </w:p>
        </w:tc>
        <w:tc>
          <w:tcPr>
            <w:tcW w:w="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32.7</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32.7</w:t>
            </w:r>
          </w:p>
        </w:tc>
      </w:tr>
      <w:tr>
        <w:trPr>
          <w:trHeight w:val="199"/>
        </w:trPr>
        <w:tc>
          <w:tcPr>
            <w:tcW w:w="34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12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342.5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266.1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76.4</w:t>
            </w:r>
          </w:p>
        </w:tc>
      </w:tr>
      <w:tr>
        <w:trPr>
          <w:trHeight w:val="200"/>
        </w:trPr>
        <w:tc>
          <w:tcPr>
            <w:tcW w:w="3440" w:type="dxa"/>
            <w:vAlign w:val="bottom"/>
          </w:tcPr>
          <w:p>
            <w:pPr>
              <w:ind w:left="20"/>
              <w:spacing w:after="0"/>
              <w:rPr>
                <w:sz w:val="20"/>
                <w:szCs w:val="20"/>
                <w:color w:val="auto"/>
              </w:rPr>
            </w:pPr>
            <w:r>
              <w:rPr>
                <w:rFonts w:ascii="Arial" w:cs="Arial" w:eastAsia="Arial" w:hAnsi="Arial"/>
                <w:sz w:val="15"/>
                <w:szCs w:val="15"/>
                <w:b w:val="1"/>
                <w:bCs w:val="1"/>
                <w:color w:val="auto"/>
              </w:rPr>
              <w:t>Evergy Metro</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8"/>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6"/>
        </w:trPr>
        <w:tc>
          <w:tcPr>
            <w:tcW w:w="3440" w:type="dxa"/>
            <w:vAlign w:val="bottom"/>
          </w:tcPr>
          <w:p>
            <w:pPr>
              <w:ind w:left="140"/>
              <w:spacing w:after="0" w:line="207" w:lineRule="exact"/>
              <w:rPr>
                <w:sz w:val="20"/>
                <w:szCs w:val="20"/>
                <w:color w:val="auto"/>
              </w:rPr>
            </w:pPr>
            <w:r>
              <w:rPr>
                <w:rFonts w:ascii="Arial" w:cs="Arial" w:eastAsia="Arial" w:hAnsi="Arial"/>
                <w:sz w:val="15"/>
                <w:szCs w:val="15"/>
                <w:color w:val="auto"/>
              </w:rPr>
              <w:t>Nuclear decommissioning trust</w:t>
            </w:r>
            <w:r>
              <w:rPr>
                <w:rFonts w:ascii="Arial" w:cs="Arial" w:eastAsia="Arial" w:hAnsi="Arial"/>
                <w:sz w:val="20"/>
                <w:szCs w:val="20"/>
                <w:color w:val="auto"/>
                <w:vertAlign w:val="superscript"/>
              </w:rPr>
              <w:t>(a)</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Equity securities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243.1</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243.1</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Debt securities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3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U.S. Treasury</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47.7</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47.7</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203"/>
        </w:trPr>
        <w:tc>
          <w:tcPr>
            <w:tcW w:w="3440" w:type="dxa"/>
            <w:vAlign w:val="bottom"/>
          </w:tcPr>
          <w:p>
            <w:pPr>
              <w:ind w:left="320"/>
              <w:spacing w:after="0"/>
              <w:rPr>
                <w:sz w:val="20"/>
                <w:szCs w:val="20"/>
                <w:color w:val="auto"/>
              </w:rPr>
            </w:pPr>
            <w:r>
              <w:rPr>
                <w:rFonts w:ascii="Arial" w:cs="Arial" w:eastAsia="Arial" w:hAnsi="Arial"/>
                <w:sz w:val="15"/>
                <w:szCs w:val="15"/>
                <w:color w:val="auto"/>
              </w:rPr>
              <w:t>U.S. Agency</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0.5</w:t>
            </w:r>
          </w:p>
        </w:tc>
        <w:tc>
          <w:tcPr>
            <w:tcW w:w="380" w:type="dxa"/>
            <w:vAlign w:val="bottom"/>
          </w:tcPr>
          <w:p>
            <w:pPr>
              <w:spacing w:after="0"/>
              <w:rPr>
                <w:sz w:val="17"/>
                <w:szCs w:val="17"/>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0.5</w:t>
            </w:r>
          </w:p>
        </w:tc>
        <w:tc>
          <w:tcPr>
            <w:tcW w:w="40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w:t>
            </w:r>
          </w:p>
        </w:tc>
      </w:tr>
      <w:tr>
        <w:trPr>
          <w:trHeight w:val="209"/>
        </w:trPr>
        <w:tc>
          <w:tcPr>
            <w:tcW w:w="3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State and local obligations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4.1</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203"/>
        </w:trPr>
        <w:tc>
          <w:tcPr>
            <w:tcW w:w="3440" w:type="dxa"/>
            <w:vAlign w:val="bottom"/>
          </w:tcPr>
          <w:p>
            <w:pPr>
              <w:ind w:left="320"/>
              <w:spacing w:after="0"/>
              <w:rPr>
                <w:sz w:val="20"/>
                <w:szCs w:val="20"/>
                <w:color w:val="auto"/>
              </w:rPr>
            </w:pPr>
            <w:r>
              <w:rPr>
                <w:rFonts w:ascii="Arial" w:cs="Arial" w:eastAsia="Arial" w:hAnsi="Arial"/>
                <w:sz w:val="15"/>
                <w:szCs w:val="15"/>
                <w:color w:val="auto"/>
              </w:rPr>
              <w:t>Corporate bonds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43.1</w:t>
            </w:r>
          </w:p>
        </w:tc>
        <w:tc>
          <w:tcPr>
            <w:tcW w:w="380" w:type="dxa"/>
            <w:vAlign w:val="bottom"/>
          </w:tcPr>
          <w:p>
            <w:pPr>
              <w:spacing w:after="0"/>
              <w:rPr>
                <w:sz w:val="17"/>
                <w:szCs w:val="17"/>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43.1</w:t>
            </w:r>
          </w:p>
        </w:tc>
        <w:tc>
          <w:tcPr>
            <w:tcW w:w="40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w:t>
            </w:r>
          </w:p>
        </w:tc>
      </w:tr>
      <w:tr>
        <w:trPr>
          <w:trHeight w:val="209"/>
        </w:trPr>
        <w:tc>
          <w:tcPr>
            <w:tcW w:w="3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Foreign governments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0.1</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0.1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Cash equivalents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3.2</w:t>
            </w:r>
          </w:p>
        </w:tc>
        <w:tc>
          <w:tcPr>
            <w:tcW w:w="380" w:type="dxa"/>
            <w:vAlign w:val="bottom"/>
          </w:tcPr>
          <w:p>
            <w:pPr>
              <w:spacing w:after="0"/>
              <w:rPr>
                <w:sz w:val="17"/>
                <w:szCs w:val="17"/>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3.2</w:t>
            </w:r>
          </w:p>
        </w:tc>
        <w:tc>
          <w:tcPr>
            <w:tcW w:w="360" w:type="dxa"/>
            <w:vAlign w:val="bottom"/>
          </w:tcPr>
          <w:p>
            <w:pPr>
              <w:spacing w:after="0"/>
              <w:rPr>
                <w:sz w:val="17"/>
                <w:szCs w:val="17"/>
                <w:color w:val="auto"/>
              </w:rPr>
            </w:pP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w:t>
            </w:r>
          </w:p>
        </w:tc>
      </w:tr>
      <w:tr>
        <w:trPr>
          <w:trHeight w:val="209"/>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0.5</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0.5</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196"/>
        </w:trPr>
        <w:tc>
          <w:tcPr>
            <w:tcW w:w="3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nuclear decommissioning trust</w:t>
            </w:r>
          </w:p>
        </w:tc>
        <w:tc>
          <w:tcPr>
            <w:tcW w:w="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342.3</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294.5</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47.8</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r>
      <w:tr>
        <w:trPr>
          <w:trHeight w:val="189"/>
        </w:trPr>
        <w:tc>
          <w:tcPr>
            <w:tcW w:w="3440" w:type="dxa"/>
            <w:vAlign w:val="bottom"/>
            <w:shd w:val="clear" w:color="auto" w:fill="CCEEFF"/>
          </w:tcPr>
          <w:p>
            <w:pPr>
              <w:ind w:left="180"/>
              <w:spacing w:after="0" w:line="189" w:lineRule="exact"/>
              <w:rPr>
                <w:sz w:val="20"/>
                <w:szCs w:val="20"/>
                <w:color w:val="auto"/>
              </w:rPr>
            </w:pPr>
            <w:r>
              <w:rPr>
                <w:rFonts w:ascii="Arial" w:cs="Arial" w:eastAsia="Arial" w:hAnsi="Arial"/>
                <w:sz w:val="15"/>
                <w:szCs w:val="15"/>
                <w:color w:val="auto"/>
              </w:rPr>
              <w:t>Self-insured health plan trust</w:t>
            </w:r>
            <w:r>
              <w:rPr>
                <w:rFonts w:ascii="Arial" w:cs="Arial" w:eastAsia="Arial" w:hAnsi="Arial"/>
                <w:sz w:val="20"/>
                <w:szCs w:val="20"/>
                <w:color w:val="auto"/>
                <w:vertAlign w:val="superscript"/>
              </w:rPr>
              <w:t>(b)</w:t>
            </w: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Equity securities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1.7</w:t>
            </w:r>
          </w:p>
        </w:tc>
        <w:tc>
          <w:tcPr>
            <w:tcW w:w="380" w:type="dxa"/>
            <w:vAlign w:val="bottom"/>
          </w:tcPr>
          <w:p>
            <w:pPr>
              <w:spacing w:after="0"/>
              <w:rPr>
                <w:sz w:val="17"/>
                <w:szCs w:val="17"/>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1.7</w:t>
            </w:r>
          </w:p>
        </w:tc>
        <w:tc>
          <w:tcPr>
            <w:tcW w:w="360" w:type="dxa"/>
            <w:vAlign w:val="bottom"/>
          </w:tcPr>
          <w:p>
            <w:pPr>
              <w:spacing w:after="0"/>
              <w:rPr>
                <w:sz w:val="17"/>
                <w:szCs w:val="17"/>
                <w:color w:val="auto"/>
              </w:rPr>
            </w:pP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w:t>
            </w:r>
          </w:p>
        </w:tc>
      </w:tr>
      <w:tr>
        <w:trPr>
          <w:trHeight w:val="209"/>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Debt securities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8.0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5.2</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203"/>
        </w:trPr>
        <w:tc>
          <w:tcPr>
            <w:tcW w:w="34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Cash and cash equivalents</w:t>
            </w:r>
          </w:p>
        </w:tc>
        <w:tc>
          <w:tcPr>
            <w:tcW w:w="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3.5</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3.5</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r>
      <w:tr>
        <w:trPr>
          <w:trHeight w:val="202"/>
        </w:trPr>
        <w:tc>
          <w:tcPr>
            <w:tcW w:w="34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self-insured health plan trust</w:t>
            </w:r>
          </w:p>
        </w:tc>
        <w:tc>
          <w:tcPr>
            <w:tcW w:w="9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13.2</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8.0</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5.2</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196"/>
        </w:trPr>
        <w:tc>
          <w:tcPr>
            <w:tcW w:w="34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Total</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355.5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302.5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53.0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r>
      <w:tr>
        <w:trPr>
          <w:trHeight w:val="202"/>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Evergy</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3440" w:type="dxa"/>
            <w:vAlign w:val="bottom"/>
          </w:tcPr>
          <w:p>
            <w:pPr>
              <w:ind w:left="20"/>
              <w:spacing w:after="0"/>
              <w:rPr>
                <w:sz w:val="20"/>
                <w:szCs w:val="20"/>
                <w:color w:val="auto"/>
              </w:rPr>
            </w:pPr>
            <w:r>
              <w:rPr>
                <w:rFonts w:ascii="Arial" w:cs="Arial" w:eastAsia="Arial" w:hAnsi="Arial"/>
                <w:sz w:val="15"/>
                <w:szCs w:val="15"/>
                <w:color w:val="auto"/>
              </w:rPr>
              <w:t>Assets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3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Rabbi trusts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Fixed income fund</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13.1</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13.1</w:t>
            </w:r>
          </w:p>
        </w:tc>
      </w:tr>
      <w:tr>
        <w:trPr>
          <w:trHeight w:val="209"/>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and cash equivalents</w:t>
            </w:r>
          </w:p>
        </w:tc>
        <w:tc>
          <w:tcPr>
            <w:tcW w:w="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0.5</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0.5</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196"/>
        </w:trPr>
        <w:tc>
          <w:tcPr>
            <w:tcW w:w="344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Total rabbi trusts</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13.6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0.5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13.1</w:t>
            </w:r>
          </w:p>
        </w:tc>
      </w:tr>
      <w:tr>
        <w:trPr>
          <w:trHeight w:val="202"/>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Evergy</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3440" w:type="dxa"/>
            <w:vAlign w:val="bottom"/>
          </w:tcPr>
          <w:p>
            <w:pPr>
              <w:ind w:left="20"/>
              <w:spacing w:after="0"/>
              <w:rPr>
                <w:sz w:val="20"/>
                <w:szCs w:val="20"/>
                <w:color w:val="auto"/>
              </w:rPr>
            </w:pPr>
            <w:r>
              <w:rPr>
                <w:rFonts w:ascii="Arial" w:cs="Arial" w:eastAsia="Arial" w:hAnsi="Arial"/>
                <w:sz w:val="15"/>
                <w:szCs w:val="15"/>
                <w:color w:val="auto"/>
              </w:rPr>
              <w:t>Assets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3440" w:type="dxa"/>
            <w:vAlign w:val="bottom"/>
            <w:shd w:val="clear" w:color="auto" w:fill="CCEEFF"/>
          </w:tcPr>
          <w:p>
            <w:pPr>
              <w:ind w:left="140"/>
              <w:spacing w:after="0" w:line="209" w:lineRule="exact"/>
              <w:rPr>
                <w:sz w:val="20"/>
                <w:szCs w:val="20"/>
                <w:color w:val="auto"/>
              </w:rPr>
            </w:pPr>
            <w:r>
              <w:rPr>
                <w:rFonts w:ascii="Arial" w:cs="Arial" w:eastAsia="Arial" w:hAnsi="Arial"/>
                <w:sz w:val="15"/>
                <w:szCs w:val="15"/>
                <w:color w:val="auto"/>
              </w:rPr>
              <w:t>Nuclear decommissioning trust</w:t>
            </w:r>
            <w:r>
              <w:rPr>
                <w:rFonts w:ascii="Arial" w:cs="Arial" w:eastAsia="Arial" w:hAnsi="Arial"/>
                <w:sz w:val="20"/>
                <w:szCs w:val="20"/>
                <w:color w:val="auto"/>
                <w:vertAlign w:val="superscript"/>
              </w:rPr>
              <w:t>(a)</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652.1</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560.6</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47.8</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43.7</w:t>
            </w: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Rabbi trust</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03"/>
              <w:spacing w:after="0"/>
              <w:rPr>
                <w:sz w:val="20"/>
                <w:szCs w:val="20"/>
                <w:color w:val="auto"/>
              </w:rPr>
            </w:pPr>
            <w:r>
              <w:rPr>
                <w:rFonts w:ascii="Arial" w:cs="Arial" w:eastAsia="Arial" w:hAnsi="Arial"/>
                <w:sz w:val="15"/>
                <w:szCs w:val="15"/>
                <w:color w:val="auto"/>
              </w:rPr>
              <w:t>46.3</w:t>
            </w:r>
          </w:p>
        </w:tc>
        <w:tc>
          <w:tcPr>
            <w:tcW w:w="380" w:type="dxa"/>
            <w:vAlign w:val="bottom"/>
          </w:tcPr>
          <w:p>
            <w:pPr>
              <w:spacing w:after="0"/>
              <w:rPr>
                <w:sz w:val="17"/>
                <w:szCs w:val="17"/>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0.5</w:t>
            </w:r>
          </w:p>
        </w:tc>
        <w:tc>
          <w:tcPr>
            <w:tcW w:w="360" w:type="dxa"/>
            <w:vAlign w:val="bottom"/>
          </w:tcPr>
          <w:p>
            <w:pPr>
              <w:spacing w:after="0"/>
              <w:rPr>
                <w:sz w:val="17"/>
                <w:szCs w:val="17"/>
                <w:color w:val="auto"/>
              </w:rPr>
            </w:pP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color w:val="auto"/>
              </w:rPr>
              <w:t>45.8</w:t>
            </w:r>
          </w:p>
        </w:tc>
      </w:tr>
      <w:tr>
        <w:trPr>
          <w:trHeight w:val="209"/>
        </w:trPr>
        <w:tc>
          <w:tcPr>
            <w:tcW w:w="3440" w:type="dxa"/>
            <w:vAlign w:val="bottom"/>
            <w:shd w:val="clear" w:color="auto" w:fill="CCEEFF"/>
          </w:tcPr>
          <w:p>
            <w:pPr>
              <w:ind w:left="140"/>
              <w:spacing w:after="0" w:line="209" w:lineRule="exact"/>
              <w:rPr>
                <w:sz w:val="20"/>
                <w:szCs w:val="20"/>
                <w:color w:val="auto"/>
              </w:rPr>
            </w:pPr>
            <w:r>
              <w:rPr>
                <w:rFonts w:ascii="Arial" w:cs="Arial" w:eastAsia="Arial" w:hAnsi="Arial"/>
                <w:sz w:val="15"/>
                <w:szCs w:val="15"/>
                <w:color w:val="auto"/>
              </w:rPr>
              <w:t>Self-insured health plan trust</w:t>
            </w:r>
            <w:r>
              <w:rPr>
                <w:rFonts w:ascii="Arial" w:cs="Arial" w:eastAsia="Arial" w:hAnsi="Arial"/>
                <w:sz w:val="20"/>
                <w:szCs w:val="20"/>
                <w:color w:val="auto"/>
                <w:vertAlign w:val="superscript"/>
              </w:rPr>
              <w:t>(b)</w:t>
            </w:r>
          </w:p>
        </w:tc>
        <w:tc>
          <w:tcPr>
            <w:tcW w:w="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5"/>
                <w:szCs w:val="15"/>
                <w:color w:val="auto"/>
              </w:rPr>
              <w:t>13.2</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8.0</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5.2</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r>
      <w:tr>
        <w:trPr>
          <w:trHeight w:val="205"/>
        </w:trPr>
        <w:tc>
          <w:tcPr>
            <w:tcW w:w="34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Total</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711.6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569.1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53.0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89.5</w:t>
            </w:r>
          </w:p>
        </w:tc>
      </w:tr>
    </w:tbl>
    <w:p>
      <w:pPr>
        <w:spacing w:after="0" w:line="43" w:lineRule="exact"/>
        <w:rPr>
          <w:sz w:val="20"/>
          <w:szCs w:val="20"/>
          <w:color w:val="auto"/>
        </w:rPr>
      </w:pPr>
    </w:p>
    <w:p>
      <w:pPr>
        <w:ind w:left="160" w:hanging="157"/>
        <w:spacing w:after="0"/>
        <w:tabs>
          <w:tab w:leader="none" w:pos="160" w:val="left"/>
        </w:tabs>
        <w:numPr>
          <w:ilvl w:val="0"/>
          <w:numId w:val="66"/>
        </w:numPr>
        <w:rPr>
          <w:rFonts w:ascii="Arial" w:cs="Arial" w:eastAsia="Arial" w:hAnsi="Arial"/>
          <w:sz w:val="19"/>
          <w:szCs w:val="19"/>
          <w:color w:val="auto"/>
          <w:vertAlign w:val="superscript"/>
        </w:rPr>
      </w:pPr>
      <w:r>
        <w:rPr>
          <w:rFonts w:ascii="Arial" w:cs="Arial" w:eastAsia="Arial" w:hAnsi="Arial"/>
          <w:sz w:val="15"/>
          <w:szCs w:val="15"/>
          <w:color w:val="auto"/>
        </w:rPr>
        <w:t>With the exception of investments measured at NAV, fair value is based on quoted market prices of the investments held by the trust and/or valuation models.</w:t>
      </w:r>
    </w:p>
    <w:p>
      <w:pPr>
        <w:ind w:left="160" w:right="300" w:hanging="157"/>
        <w:spacing w:after="0" w:line="253" w:lineRule="auto"/>
        <w:tabs>
          <w:tab w:leader="none" w:pos="148" w:val="left"/>
        </w:tabs>
        <w:numPr>
          <w:ilvl w:val="0"/>
          <w:numId w:val="66"/>
        </w:numPr>
        <w:rPr>
          <w:rFonts w:ascii="Arial" w:cs="Arial" w:eastAsia="Arial" w:hAnsi="Arial"/>
          <w:sz w:val="17"/>
          <w:szCs w:val="17"/>
          <w:color w:val="auto"/>
          <w:vertAlign w:val="superscript"/>
        </w:rPr>
      </w:pPr>
      <w:r>
        <w:rPr>
          <w:rFonts w:ascii="Arial" w:cs="Arial" w:eastAsia="Arial" w:hAnsi="Arial"/>
          <w:sz w:val="13"/>
          <w:szCs w:val="13"/>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ind w:left="160" w:hanging="157"/>
        <w:spacing w:after="0" w:line="201" w:lineRule="auto"/>
        <w:tabs>
          <w:tab w:leader="none" w:pos="160" w:val="left"/>
        </w:tabs>
        <w:numPr>
          <w:ilvl w:val="0"/>
          <w:numId w:val="66"/>
        </w:numPr>
        <w:rPr>
          <w:rFonts w:ascii="Arial" w:cs="Arial" w:eastAsia="Arial" w:hAnsi="Arial"/>
          <w:sz w:val="20"/>
          <w:szCs w:val="20"/>
          <w:color w:val="auto"/>
          <w:vertAlign w:val="superscript"/>
        </w:rPr>
      </w:pPr>
      <w:r>
        <w:rPr>
          <w:rFonts w:ascii="Arial" w:cs="Arial" w:eastAsia="Arial" w:hAnsi="Arial"/>
          <w:sz w:val="15"/>
          <w:szCs w:val="15"/>
          <w:color w:val="auto"/>
        </w:rPr>
        <w:t>Fair value is based on quoted market prices adjusted for a discount for lack of marketability based on a valuation model due to a restriction on the sale of the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6" w:name="page137"/>
    <w:bookmarkEnd w:id="13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additional information on these Evergy and Evergy Kansas Central investments.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tcBorders>
            <w:gridSpan w:val="3"/>
          </w:tcPr>
          <w:p>
            <w:pPr>
              <w:jc w:val="right"/>
              <w:ind w:right="555"/>
              <w:spacing w:after="0"/>
              <w:rPr>
                <w:sz w:val="20"/>
                <w:szCs w:val="20"/>
                <w:color w:val="auto"/>
              </w:rPr>
            </w:pPr>
            <w:r>
              <w:rPr>
                <w:rFonts w:ascii="Arial" w:cs="Arial" w:eastAsia="Arial" w:hAnsi="Arial"/>
                <w:sz w:val="17"/>
                <w:szCs w:val="17"/>
                <w:b w:val="1"/>
                <w:bCs w:val="1"/>
                <w:color w:val="auto"/>
              </w:rPr>
              <w:t>December 31, 2021</w:t>
            </w:r>
          </w:p>
        </w:tc>
        <w:tc>
          <w:tcPr>
            <w:tcW w:w="38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gridSpan w:val="2"/>
          </w:tcPr>
          <w:p>
            <w:pPr>
              <w:jc w:val="right"/>
              <w:ind w:right="214"/>
              <w:spacing w:after="0"/>
              <w:rPr>
                <w:sz w:val="20"/>
                <w:szCs w:val="20"/>
                <w:color w:val="auto"/>
              </w:rPr>
            </w:pPr>
            <w:r>
              <w:rPr>
                <w:rFonts w:ascii="Arial" w:cs="Arial" w:eastAsia="Arial" w:hAnsi="Arial"/>
                <w:sz w:val="17"/>
                <w:szCs w:val="17"/>
                <w:b w:val="1"/>
                <w:bCs w:val="1"/>
                <w:color w:val="auto"/>
              </w:rPr>
              <w:t>December 31, 2020</w:t>
            </w:r>
          </w:p>
        </w:tc>
        <w:tc>
          <w:tcPr>
            <w:tcW w:w="3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66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7"/>
                <w:szCs w:val="17"/>
                <w:b w:val="1"/>
                <w:bCs w:val="1"/>
                <w:color w:val="auto"/>
              </w:rPr>
              <w:t>December 31, 2021</w:t>
            </w:r>
          </w:p>
        </w:tc>
      </w:tr>
      <w:tr>
        <w:trPr>
          <w:trHeight w:val="207"/>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94"/>
              <w:spacing w:after="0"/>
              <w:rPr>
                <w:sz w:val="20"/>
                <w:szCs w:val="20"/>
                <w:color w:val="auto"/>
              </w:rPr>
            </w:pPr>
            <w:r>
              <w:rPr>
                <w:rFonts w:ascii="Arial" w:cs="Arial" w:eastAsia="Arial" w:hAnsi="Arial"/>
                <w:sz w:val="17"/>
                <w:szCs w:val="17"/>
                <w:b w:val="1"/>
                <w:bCs w:val="1"/>
                <w:color w:val="auto"/>
              </w:rPr>
              <w:t>Fair</w:t>
            </w:r>
          </w:p>
        </w:tc>
        <w:tc>
          <w:tcPr>
            <w:tcW w:w="260" w:type="dxa"/>
            <w:vAlign w:val="bottom"/>
          </w:tcPr>
          <w:p>
            <w:pPr>
              <w:spacing w:after="0"/>
              <w:rPr>
                <w:sz w:val="17"/>
                <w:szCs w:val="17"/>
                <w:color w:val="auto"/>
              </w:rPr>
            </w:pP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auto"/>
              </w:rPr>
              <w:t>Unfunded</w:t>
            </w:r>
          </w:p>
        </w:tc>
        <w:tc>
          <w:tcPr>
            <w:tcW w:w="380" w:type="dxa"/>
            <w:vAlign w:val="bottom"/>
          </w:tcPr>
          <w:p>
            <w:pPr>
              <w:spacing w:after="0"/>
              <w:rPr>
                <w:sz w:val="17"/>
                <w:szCs w:val="17"/>
                <w:color w:val="auto"/>
              </w:rPr>
            </w:pPr>
          </w:p>
        </w:tc>
        <w:tc>
          <w:tcPr>
            <w:tcW w:w="780" w:type="dxa"/>
            <w:vAlign w:val="bottom"/>
          </w:tcPr>
          <w:p>
            <w:pPr>
              <w:jc w:val="right"/>
              <w:ind w:right="314"/>
              <w:spacing w:after="0"/>
              <w:rPr>
                <w:sz w:val="20"/>
                <w:szCs w:val="20"/>
                <w:color w:val="auto"/>
              </w:rPr>
            </w:pPr>
            <w:r>
              <w:rPr>
                <w:rFonts w:ascii="Arial" w:cs="Arial" w:eastAsia="Arial" w:hAnsi="Arial"/>
                <w:sz w:val="17"/>
                <w:szCs w:val="17"/>
                <w:b w:val="1"/>
                <w:bCs w:val="1"/>
                <w:color w:val="auto"/>
              </w:rPr>
              <w:t>Fair</w:t>
            </w:r>
          </w:p>
        </w:tc>
        <w:tc>
          <w:tcPr>
            <w:tcW w:w="1240" w:type="dxa"/>
            <w:vAlign w:val="bottom"/>
          </w:tcPr>
          <w:p>
            <w:pPr>
              <w:jc w:val="center"/>
              <w:ind w:left="334"/>
              <w:spacing w:after="0"/>
              <w:rPr>
                <w:sz w:val="20"/>
                <w:szCs w:val="20"/>
                <w:color w:val="auto"/>
              </w:rPr>
            </w:pPr>
            <w:r>
              <w:rPr>
                <w:rFonts w:ascii="Arial" w:cs="Arial" w:eastAsia="Arial" w:hAnsi="Arial"/>
                <w:sz w:val="17"/>
                <w:szCs w:val="17"/>
                <w:b w:val="1"/>
                <w:bCs w:val="1"/>
                <w:color w:val="auto"/>
                <w:w w:val="93"/>
              </w:rPr>
              <w:t>Unfunded</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89"/>
              </w:rPr>
              <w:t>Redemption</w:t>
            </w: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2"/>
              </w:rPr>
              <w:t>Length of</w:t>
            </w:r>
          </w:p>
        </w:tc>
      </w:tr>
      <w:tr>
        <w:trPr>
          <w:trHeight w:val="224"/>
        </w:trPr>
        <w:tc>
          <w:tcPr>
            <w:tcW w:w="3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Value</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95"/>
              </w:rPr>
              <w:t>Commitments</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92"/>
              </w:rPr>
              <w:t>Value</w:t>
            </w:r>
          </w:p>
        </w:tc>
        <w:tc>
          <w:tcPr>
            <w:tcW w:w="17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7"/>
                <w:szCs w:val="17"/>
                <w:b w:val="1"/>
                <w:bCs w:val="1"/>
                <w:color w:val="auto"/>
                <w:w w:val="91"/>
              </w:rPr>
              <w:t>Commitments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Frequency</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Settlement</w:t>
            </w:r>
          </w:p>
        </w:tc>
      </w:tr>
      <w:tr>
        <w:trPr>
          <w:trHeight w:val="213"/>
        </w:trPr>
        <w:tc>
          <w:tcPr>
            <w:tcW w:w="3080" w:type="dxa"/>
            <w:vAlign w:val="bottom"/>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(millions)</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3080" w:type="dxa"/>
            <w:vAlign w:val="bottom"/>
          </w:tcPr>
          <w:p>
            <w:pPr>
              <w:ind w:left="20"/>
              <w:spacing w:after="0"/>
              <w:rPr>
                <w:sz w:val="20"/>
                <w:szCs w:val="20"/>
                <w:color w:val="auto"/>
              </w:rPr>
            </w:pPr>
            <w:r>
              <w:rPr>
                <w:rFonts w:ascii="Arial" w:cs="Arial" w:eastAsia="Arial" w:hAnsi="Arial"/>
                <w:sz w:val="17"/>
                <w:szCs w:val="17"/>
                <w:color w:val="auto"/>
              </w:rPr>
              <w:t>Nuclear decommissioning trust: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3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Domestic equity funds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w:t>
            </w:r>
          </w:p>
        </w:tc>
        <w:tc>
          <w:tcPr>
            <w:tcW w:w="3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7.6</w:t>
            </w:r>
          </w:p>
        </w:tc>
        <w:tc>
          <w:tcPr>
            <w:tcW w:w="12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(a)</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(a)</w:t>
            </w:r>
          </w:p>
        </w:tc>
      </w:tr>
      <w:tr>
        <w:trPr>
          <w:trHeight w:val="218"/>
        </w:trPr>
        <w:tc>
          <w:tcPr>
            <w:tcW w:w="3080" w:type="dxa"/>
            <w:vAlign w:val="bottom"/>
          </w:tcPr>
          <w:p>
            <w:pPr>
              <w:ind w:left="140"/>
              <w:spacing w:after="0"/>
              <w:rPr>
                <w:sz w:val="20"/>
                <w:szCs w:val="20"/>
                <w:color w:val="auto"/>
              </w:rPr>
            </w:pPr>
            <w:r>
              <w:rPr>
                <w:rFonts w:ascii="Arial" w:cs="Arial" w:eastAsia="Arial" w:hAnsi="Arial"/>
                <w:sz w:val="17"/>
                <w:szCs w:val="17"/>
                <w:color w:val="auto"/>
              </w:rPr>
              <w:t>Alternative investments fund</w:t>
            </w:r>
            <w:r>
              <w:rPr>
                <w:rFonts w:ascii="Arial" w:cs="Arial" w:eastAsia="Arial" w:hAnsi="Arial"/>
                <w:sz w:val="10"/>
                <w:szCs w:val="10"/>
                <w:color w:val="auto"/>
              </w:rPr>
              <w:t>(b)</w:t>
            </w:r>
          </w:p>
        </w:tc>
        <w:tc>
          <w:tcPr>
            <w:tcW w:w="20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32.7</w:t>
            </w:r>
          </w:p>
        </w:tc>
        <w:tc>
          <w:tcPr>
            <w:tcW w:w="260" w:type="dxa"/>
            <w:vAlign w:val="bottom"/>
          </w:tcPr>
          <w:p>
            <w:pPr>
              <w:spacing w:after="0"/>
              <w:rPr>
                <w:sz w:val="18"/>
                <w:szCs w:val="18"/>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23.2</w:t>
            </w:r>
          </w:p>
        </w:tc>
        <w:tc>
          <w:tcPr>
            <w:tcW w:w="12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tcPr>
          <w:p>
            <w:pPr>
              <w:jc w:val="center"/>
              <w:spacing w:after="0"/>
              <w:rPr>
                <w:sz w:val="20"/>
                <w:szCs w:val="20"/>
                <w:color w:val="auto"/>
              </w:rPr>
            </w:pPr>
            <w:r>
              <w:rPr>
                <w:rFonts w:ascii="Arial" w:cs="Arial" w:eastAsia="Arial" w:hAnsi="Arial"/>
                <w:sz w:val="17"/>
                <w:szCs w:val="17"/>
                <w:color w:val="auto"/>
                <w:w w:val="91"/>
              </w:rPr>
              <w:t>Quarterly</w:t>
            </w: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65 days</w:t>
            </w:r>
          </w:p>
        </w:tc>
      </w:tr>
      <w:tr>
        <w:trPr>
          <w:trHeight w:val="220"/>
        </w:trPr>
        <w:tc>
          <w:tcPr>
            <w:tcW w:w="3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 estate securities fund</w:t>
            </w:r>
            <w:r>
              <w:rPr>
                <w:rFonts w:ascii="Arial" w:cs="Arial" w:eastAsia="Arial" w:hAnsi="Arial"/>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15.2</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12.9</w:t>
            </w:r>
          </w:p>
        </w:tc>
        <w:tc>
          <w:tcPr>
            <w:tcW w:w="12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Quarterly</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65 days</w:t>
            </w:r>
          </w:p>
        </w:tc>
      </w:tr>
      <w:tr>
        <w:trPr>
          <w:trHeight w:val="211"/>
        </w:trPr>
        <w:tc>
          <w:tcPr>
            <w:tcW w:w="3080" w:type="dxa"/>
            <w:vAlign w:val="bottom"/>
          </w:tcPr>
          <w:p>
            <w:pPr>
              <w:ind w:left="32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61.8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1.7</w:t>
            </w:r>
          </w:p>
        </w:tc>
        <w:tc>
          <w:tcPr>
            <w:tcW w:w="3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43.7</w:t>
            </w:r>
          </w:p>
        </w:tc>
        <w:tc>
          <w:tcPr>
            <w:tcW w:w="1240" w:type="dxa"/>
            <w:vAlign w:val="bottom"/>
          </w:tcPr>
          <w:p>
            <w:pPr>
              <w:jc w:val="right"/>
              <w:ind w:right="954"/>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92"/>
              </w:rPr>
              <w:t>2.2</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Rabbi trust: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3080" w:type="dxa"/>
            <w:vAlign w:val="bottom"/>
          </w:tcPr>
          <w:p>
            <w:pPr>
              <w:ind w:left="140"/>
              <w:spacing w:after="0"/>
              <w:rPr>
                <w:sz w:val="20"/>
                <w:szCs w:val="20"/>
                <w:color w:val="auto"/>
              </w:rPr>
            </w:pPr>
            <w:r>
              <w:rPr>
                <w:rFonts w:ascii="Arial" w:cs="Arial" w:eastAsia="Arial" w:hAnsi="Arial"/>
                <w:sz w:val="17"/>
                <w:szCs w:val="17"/>
                <w:color w:val="auto"/>
              </w:rPr>
              <w:t>Core bond fund</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25.6</w:t>
            </w:r>
          </w:p>
        </w:tc>
        <w:tc>
          <w:tcPr>
            <w:tcW w:w="1240" w:type="dxa"/>
            <w:vAlign w:val="bottom"/>
          </w:tcPr>
          <w:p>
            <w:pPr>
              <w:jc w:val="right"/>
              <w:ind w:right="954"/>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tcPr>
          <w:p>
            <w:pPr>
              <w:jc w:val="center"/>
              <w:spacing w:after="0"/>
              <w:rPr>
                <w:sz w:val="20"/>
                <w:szCs w:val="20"/>
                <w:color w:val="auto"/>
              </w:rPr>
            </w:pPr>
            <w:r>
              <w:rPr>
                <w:rFonts w:ascii="Arial" w:cs="Arial" w:eastAsia="Arial" w:hAnsi="Arial"/>
                <w:sz w:val="17"/>
                <w:szCs w:val="17"/>
                <w:color w:val="auto"/>
              </w:rPr>
              <w:t>(c)</w:t>
            </w: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(c)</w:t>
            </w:r>
          </w:p>
        </w:tc>
      </w:tr>
      <w:tr>
        <w:trPr>
          <w:trHeight w:val="220"/>
        </w:trPr>
        <w:tc>
          <w:tcPr>
            <w:tcW w:w="3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Combination debt/equity/other fund</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7.1</w:t>
            </w:r>
          </w:p>
        </w:tc>
        <w:tc>
          <w:tcPr>
            <w:tcW w:w="1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(c)</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w:t>
            </w:r>
          </w:p>
        </w:tc>
      </w:tr>
      <w:tr>
        <w:trPr>
          <w:trHeight w:val="211"/>
        </w:trPr>
        <w:tc>
          <w:tcPr>
            <w:tcW w:w="3080" w:type="dxa"/>
            <w:vAlign w:val="bottom"/>
          </w:tcPr>
          <w:p>
            <w:pPr>
              <w:ind w:left="32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32.7</w:t>
            </w:r>
          </w:p>
        </w:tc>
        <w:tc>
          <w:tcPr>
            <w:tcW w:w="1240" w:type="dxa"/>
            <w:vAlign w:val="bottom"/>
          </w:tcPr>
          <w:p>
            <w:pPr>
              <w:jc w:val="right"/>
              <w:ind w:right="954"/>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Evergy</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3080" w:type="dxa"/>
            <w:vAlign w:val="bottom"/>
          </w:tcPr>
          <w:p>
            <w:pPr>
              <w:ind w:left="20"/>
              <w:spacing w:after="0"/>
              <w:rPr>
                <w:sz w:val="20"/>
                <w:szCs w:val="20"/>
                <w:color w:val="auto"/>
              </w:rPr>
            </w:pPr>
            <w:r>
              <w:rPr>
                <w:rFonts w:ascii="Arial" w:cs="Arial" w:eastAsia="Arial" w:hAnsi="Arial"/>
                <w:sz w:val="17"/>
                <w:szCs w:val="17"/>
                <w:color w:val="auto"/>
              </w:rPr>
              <w:t>Rabbi trust: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3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Fixed income fund</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13.1</w:t>
            </w:r>
          </w:p>
        </w:tc>
        <w:tc>
          <w:tcPr>
            <w:tcW w:w="124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(c)</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w:t>
            </w:r>
          </w:p>
        </w:tc>
      </w:tr>
      <w:tr>
        <w:trPr>
          <w:trHeight w:val="21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Evergy investments at NAV</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w:t>
            </w:r>
          </w:p>
        </w:tc>
        <w:tc>
          <w:tcPr>
            <w:tcW w:w="3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89.5</w:t>
            </w:r>
          </w:p>
        </w:tc>
        <w:tc>
          <w:tcPr>
            <w:tcW w:w="124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2.2</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bl>
    <w:p>
      <w:pPr>
        <w:spacing w:after="0" w:line="82" w:lineRule="exact"/>
        <w:rPr>
          <w:sz w:val="20"/>
          <w:szCs w:val="20"/>
          <w:color w:val="auto"/>
        </w:rPr>
      </w:pPr>
    </w:p>
    <w:p>
      <w:pPr>
        <w:ind w:left="160" w:right="20" w:hanging="157"/>
        <w:spacing w:after="0" w:line="257" w:lineRule="auto"/>
        <w:tabs>
          <w:tab w:leader="none" w:pos="155"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spacing w:after="0" w:line="3" w:lineRule="exact"/>
        <w:rPr>
          <w:rFonts w:ascii="Arial" w:cs="Arial" w:eastAsia="Arial" w:hAnsi="Arial"/>
          <w:sz w:val="18"/>
          <w:szCs w:val="18"/>
          <w:color w:val="auto"/>
          <w:vertAlign w:val="superscript"/>
        </w:rPr>
      </w:pPr>
    </w:p>
    <w:p>
      <w:pPr>
        <w:ind w:left="140" w:hanging="137"/>
        <w:spacing w:after="0" w:line="235" w:lineRule="auto"/>
        <w:tabs>
          <w:tab w:leader="none" w:pos="140" w:val="left"/>
        </w:tabs>
        <w:numPr>
          <w:ilvl w:val="0"/>
          <w:numId w:val="67"/>
        </w:numPr>
        <w:rPr>
          <w:rFonts w:ascii="Arial" w:cs="Arial" w:eastAsia="Arial" w:hAnsi="Arial"/>
          <w:sz w:val="16"/>
          <w:szCs w:val="16"/>
          <w:color w:val="auto"/>
          <w:vertAlign w:val="superscript"/>
        </w:rPr>
      </w:pPr>
      <w:r>
        <w:rPr>
          <w:rFonts w:ascii="Arial" w:cs="Arial" w:eastAsia="Arial" w:hAnsi="Arial"/>
          <w:sz w:val="13"/>
          <w:szCs w:val="13"/>
          <w:color w:val="auto"/>
        </w:rPr>
        <w:t>There is a holdback on final redemptions.</w:t>
      </w:r>
    </w:p>
    <w:p>
      <w:pPr>
        <w:ind w:left="160" w:hanging="157"/>
        <w:spacing w:after="0" w:line="191" w:lineRule="auto"/>
        <w:tabs>
          <w:tab w:leader="none" w:pos="160" w:val="left"/>
        </w:tabs>
        <w:numPr>
          <w:ilvl w:val="0"/>
          <w:numId w:val="67"/>
        </w:numPr>
        <w:rPr>
          <w:rFonts w:ascii="Arial" w:cs="Arial" w:eastAsia="Arial" w:hAnsi="Arial"/>
          <w:sz w:val="20"/>
          <w:szCs w:val="20"/>
          <w:color w:val="auto"/>
          <w:vertAlign w:val="superscript"/>
        </w:rPr>
      </w:pPr>
      <w:r>
        <w:rPr>
          <w:rFonts w:ascii="Arial" w:cs="Arial" w:eastAsia="Arial" w:hAnsi="Arial"/>
          <w:sz w:val="15"/>
          <w:szCs w:val="15"/>
          <w:color w:val="auto"/>
        </w:rPr>
        <w:t>This investment can be redeemed immediately and is not subject to any restrictions on redemptions.</w:t>
      </w:r>
    </w:p>
    <w:p>
      <w:pPr>
        <w:spacing w:after="0" w:line="183"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7" w:name="page138"/>
    <w:bookmarkEnd w:id="13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2019</w:t>
            </w:r>
          </w:p>
        </w:tc>
      </w:tr>
      <w:tr>
        <w:trPr>
          <w:trHeight w:val="212"/>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Evergy</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15"/>
              <w:spacing w:after="0"/>
              <w:rPr>
                <w:sz w:val="20"/>
                <w:szCs w:val="20"/>
                <w:color w:val="auto"/>
              </w:rPr>
            </w:pPr>
            <w:r>
              <w:rPr>
                <w:rFonts w:ascii="Arial" w:cs="Arial" w:eastAsia="Arial" w:hAnsi="Arial"/>
                <w:sz w:val="15"/>
                <w:szCs w:val="15"/>
                <w:color w:val="auto"/>
              </w:rPr>
              <w:t>(millions)</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Nuclear decommissioning trust - equity securities</w:t>
            </w:r>
          </w:p>
        </w:tc>
        <w:tc>
          <w:tcPr>
            <w:tcW w:w="118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98"/>
              </w:rPr>
              <w:t>101.8</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45.5</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Nuclear decommissioning trust - debt securities</w:t>
            </w:r>
          </w:p>
        </w:tc>
        <w:tc>
          <w:tcPr>
            <w:tcW w:w="118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7"/>
                <w:szCs w:val="17"/>
                <w:color w:val="auto"/>
              </w:rPr>
              <w:t>(4.5)</w:t>
            </w:r>
          </w:p>
        </w:tc>
        <w:tc>
          <w:tcPr>
            <w:tcW w:w="320" w:type="dxa"/>
            <w:vAlign w:val="bottom"/>
          </w:tcPr>
          <w:p>
            <w:pPr>
              <w:spacing w:after="0"/>
              <w:rPr>
                <w:sz w:val="18"/>
                <w:szCs w:val="18"/>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5.3</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Rabbi trusts - equity securities</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(1.8)</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(5.6)</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1"/>
        </w:trPr>
        <w:tc>
          <w:tcPr>
            <w:tcW w:w="6160" w:type="dxa"/>
            <w:vAlign w:val="bottom"/>
          </w:tcPr>
          <w:p>
            <w:pPr>
              <w:ind w:left="140"/>
              <w:spacing w:after="0"/>
              <w:rPr>
                <w:sz w:val="20"/>
                <w:szCs w:val="20"/>
                <w:color w:val="auto"/>
              </w:rPr>
            </w:pPr>
            <w:r>
              <w:rPr>
                <w:rFonts w:ascii="Arial" w:cs="Arial" w:eastAsia="Arial" w:hAnsi="Arial"/>
                <w:sz w:val="17"/>
                <w:szCs w:val="17"/>
                <w:color w:val="auto"/>
              </w:rPr>
              <w:t>Total</w:t>
            </w:r>
          </w:p>
        </w:tc>
        <w:tc>
          <w:tcPr>
            <w:tcW w:w="118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74"/>
              <w:spacing w:after="0"/>
              <w:rPr>
                <w:sz w:val="20"/>
                <w:szCs w:val="20"/>
                <w:color w:val="auto"/>
              </w:rPr>
            </w:pPr>
            <w:r>
              <w:rPr>
                <w:rFonts w:ascii="Arial" w:cs="Arial" w:eastAsia="Arial" w:hAnsi="Arial"/>
                <w:sz w:val="17"/>
                <w:szCs w:val="17"/>
                <w:color w:val="auto"/>
              </w:rPr>
              <w:t>95.5</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45.2</w:t>
            </w:r>
          </w:p>
        </w:tc>
        <w:tc>
          <w:tcPr>
            <w:tcW w:w="44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82.2</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Nuclear decommissioning trust - equity securities</w:t>
            </w:r>
          </w:p>
        </w:tc>
        <w:tc>
          <w:tcPr>
            <w:tcW w:w="118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74"/>
              <w:spacing w:after="0"/>
              <w:rPr>
                <w:sz w:val="20"/>
                <w:szCs w:val="20"/>
                <w:color w:val="auto"/>
              </w:rPr>
            </w:pPr>
            <w:r>
              <w:rPr>
                <w:rFonts w:ascii="Arial" w:cs="Arial" w:eastAsia="Arial" w:hAnsi="Arial"/>
                <w:sz w:val="17"/>
                <w:szCs w:val="17"/>
                <w:color w:val="auto"/>
              </w:rPr>
              <w:t>50.5</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21.9</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33.3</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Rabbi trust - equity securities</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(6.1)</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1"/>
        </w:trPr>
        <w:tc>
          <w:tcPr>
            <w:tcW w:w="6160" w:type="dxa"/>
            <w:vAlign w:val="bottom"/>
          </w:tcPr>
          <w:p>
            <w:pPr>
              <w:ind w:left="140"/>
              <w:spacing w:after="0"/>
              <w:rPr>
                <w:sz w:val="20"/>
                <w:szCs w:val="20"/>
                <w:color w:val="auto"/>
              </w:rPr>
            </w:pPr>
            <w:r>
              <w:rPr>
                <w:rFonts w:ascii="Arial" w:cs="Arial" w:eastAsia="Arial" w:hAnsi="Arial"/>
                <w:sz w:val="17"/>
                <w:szCs w:val="17"/>
                <w:color w:val="auto"/>
              </w:rPr>
              <w:t>Total</w:t>
            </w:r>
          </w:p>
        </w:tc>
        <w:tc>
          <w:tcPr>
            <w:tcW w:w="118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74"/>
              <w:spacing w:after="0"/>
              <w:rPr>
                <w:sz w:val="20"/>
                <w:szCs w:val="20"/>
                <w:color w:val="auto"/>
              </w:rPr>
            </w:pPr>
            <w:r>
              <w:rPr>
                <w:rFonts w:ascii="Arial" w:cs="Arial" w:eastAsia="Arial" w:hAnsi="Arial"/>
                <w:sz w:val="17"/>
                <w:szCs w:val="17"/>
                <w:color w:val="auto"/>
              </w:rPr>
              <w:t>49.1</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15.8</w:t>
            </w:r>
          </w:p>
        </w:tc>
        <w:tc>
          <w:tcPr>
            <w:tcW w:w="44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36.5</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Evergy Metro</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Nuclear decommissioning trust - equity securities</w:t>
            </w:r>
          </w:p>
        </w:tc>
        <w:tc>
          <w:tcPr>
            <w:tcW w:w="118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74"/>
              <w:spacing w:after="0"/>
              <w:rPr>
                <w:sz w:val="20"/>
                <w:szCs w:val="20"/>
                <w:color w:val="auto"/>
              </w:rPr>
            </w:pPr>
            <w:r>
              <w:rPr>
                <w:rFonts w:ascii="Arial" w:cs="Arial" w:eastAsia="Arial" w:hAnsi="Arial"/>
                <w:sz w:val="17"/>
                <w:szCs w:val="17"/>
                <w:color w:val="auto"/>
              </w:rPr>
              <w:t>51.3</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23.6</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40.7</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Nuclear decommissioning trust - debt securities</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(4.5)</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5.3</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8"/>
        </w:trPr>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w:t>
            </w:r>
          </w:p>
        </w:tc>
        <w:tc>
          <w:tcPr>
            <w:tcW w:w="118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46.8</w:t>
            </w:r>
          </w:p>
        </w:tc>
        <w:tc>
          <w:tcPr>
            <w:tcW w:w="3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28.9</w:t>
            </w:r>
          </w:p>
        </w:tc>
        <w:tc>
          <w:tcPr>
            <w:tcW w:w="4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14.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23" w:lineRule="exact"/>
        <w:rPr>
          <w:sz w:val="20"/>
          <w:szCs w:val="20"/>
          <w:color w:val="auto"/>
        </w:rPr>
      </w:pPr>
    </w:p>
    <w:p>
      <w:pPr>
        <w:ind w:right="140"/>
        <w:spacing w:after="0" w:line="295" w:lineRule="auto"/>
        <w:rPr>
          <w:sz w:val="20"/>
          <w:szCs w:val="20"/>
          <w:color w:val="auto"/>
        </w:rPr>
      </w:pPr>
      <w:r>
        <w:rPr>
          <w:rFonts w:ascii="Arial" w:cs="Arial" w:eastAsia="Arial" w:hAnsi="Arial"/>
          <w:sz w:val="17"/>
          <w:szCs w:val="17"/>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w:t>
      </w:r>
    </w:p>
    <w:p>
      <w:pPr>
        <w:spacing w:after="0" w:line="3" w:lineRule="exact"/>
        <w:rPr>
          <w:sz w:val="20"/>
          <w:szCs w:val="20"/>
          <w:color w:val="auto"/>
        </w:rPr>
      </w:pPr>
    </w:p>
    <w:p>
      <w:pPr>
        <w:ind w:right="540"/>
        <w:spacing w:after="0" w:line="324" w:lineRule="auto"/>
        <w:rPr>
          <w:sz w:val="20"/>
          <w:szCs w:val="20"/>
          <w:color w:val="auto"/>
        </w:rPr>
      </w:pPr>
      <w:r>
        <w:rPr>
          <w:rFonts w:ascii="Arial" w:cs="Arial" w:eastAsia="Arial" w:hAnsi="Arial"/>
          <w:sz w:val="17"/>
          <w:szCs w:val="17"/>
          <w:color w:val="auto"/>
        </w:rPr>
        <w:t>actions could result in the assessment of administrative, civil and criminal penalties and the imposition of remedial requirements. The Evergy Companies believe that all their operations are in substantial compliance with current federal, state and local environmental standards.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There are a variety of final and proposed laws and regulations that could have a material adverse effect on the Evergy Companies' operations and</w:t>
      </w:r>
    </w:p>
    <w:p>
      <w:pPr>
        <w:spacing w:after="0" w:line="49"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Clean Air Act - Startup, Shutdown and Malfunction (SSM) Regulation</w:t>
      </w:r>
    </w:p>
    <w:p>
      <w:pPr>
        <w:spacing w:after="0" w:line="17"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In 2015, the EPA issued a final rule addressing how state implementation plans (SIPs) can treat excess emissions during SSM events. This rule was referred to as the 2015 SIP Call Rule. The rule required 36 states to submit SIP revisions by November 2016 to remove certain exemptions and other discretionary enforcement provisions that apply to excess emissions during SSM events. Legal challenges ensued and the case was eventually placed in abeyance. In December 2021, the U.S. Court of Appeals for the D.C. Circuit (D.C. Circuit) restarted the 2015 SIP Call Rule litigation. The outcome of this case could result in required SIP revisions in Oklahoma, Kansas and Missouri which could have a material impact on the Evergy Companies.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Ozone Interstate Transport State Implementation Plans</w:t>
      </w:r>
    </w:p>
    <w:p>
      <w:pPr>
        <w:spacing w:after="0" w:line="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2015, the EPA lowered the Ozone National Ambient Air Quality Standards (NAAQS) from 75 ppb to 70 ppb. Impacted states were required to submit Interstate Transport State Implementation Plans (ITSIPs) in 2018 to comply with the good neighbor provisions of the Clean Air Act. The EPA did not act on these ITSIP submissions and was challenged in a court filing in May 2021 to address them. In January 2022, the U.S. District Court for the Northern District of California entered a final consent decree between the EPA and various environmental groups requiring the EPA to approve or disapprove, in whole or in part, by February 28, 2022, the ITSIPs for the 2015 Ozone NAAQS, for twenty-one states including Kansas,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Missouri and Oklahoma. For any ITSIP fully or partially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8" w:name="page139"/>
    <w:bookmarkEnd w:id="13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disapproved by the EPA along with a corresponding federal implementation plan (FIP) proposed by February 28, 2022, the consent decree requires the EPA to sign a final action on the ITSIP for the affected state by December 15, 2022. On January 25, 2022, the EPA transmitted a proposed FIP to the Office of Management and Budget for review. On February 8, 2022, the EPA published a proposed approval of the Kansas ITSIP in the Federal Register. On February 22, 2022, the EPA published proposed disapprovals of ITSIPs for nineteen states including Missouri and Oklahoma. The EPA is also in the process of reconsidering the 2020 Ozone NAAQS and the 2020 PM2.5 NAAQS. Due to uncertainty regarding the disposition of these 2015 Ozone NAAQS ITSIPs for Kansas, Missouri and Oklahoma, along with potential lowering of the 2020 NAAQS, the Evergy Companies cannot determine the impacts on their operations or consolidated financial results, but the cost to comply with a FIP or a lower future NAAQS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Regional Haze Rule</w:t>
      </w:r>
    </w:p>
    <w:p>
      <w:pPr>
        <w:spacing w:after="0" w:line="26"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w:t>
      </w:r>
    </w:p>
    <w:p>
      <w:pPr>
        <w:spacing w:after="0" w:line="1"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31, 2021. The Evergy Companies have been in contact with the Kansas Department of Health and Environmental (KDHE) and the Missouri Department of Natural Resources (MDNR) as they worked to draft their SIP revisions. The Missouri SIP revision is still being drafted. MDNR has indicated they intend to submit the Missouri SIP revision in early 2022 and that it will not require any</w:t>
      </w:r>
    </w:p>
    <w:p>
      <w:pPr>
        <w:spacing w:after="0" w:line="4"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additional reductions from the Evergy Companies' generating units in the state. The Kansas SIP revision was placed on public notice in June 2021 and requested no additional emission reductions by electric utilities based on the significant reductions that were achieved during the first</w:t>
      </w:r>
    </w:p>
    <w:p>
      <w:pPr>
        <w:spacing w:after="0" w:line="1"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implementation period. The EPA provided comments on the Kansas SIP revision in June 2021 that each state is statutorily required to conduct a "four-factor analysis" on at least two sources within the state to help determine if further emission reductions are necessary. The EPA also stated it would be difficult to approve the Kansas SIP revision if at least two four-factor analyses are not conducted on Kansas emission sources. KDHE</w:t>
      </w:r>
    </w:p>
    <w:p>
      <w:pPr>
        <w:spacing w:after="0" w:line="2"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submitted the Kansas SIP revision in July 2021. If a Kansas generating unit of the Evergy Companies is selected for analysis, the possibility exists that the state or EPA, through a FIP, could determine that additional operational or physical modifications are required on the generating unit 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further reduce emissions. The overall cost of those modifications could be material to the Evergy Companies.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Greenhouse Gases</w:t>
      </w:r>
    </w:p>
    <w:p>
      <w:pPr>
        <w:spacing w:after="0" w:line="17"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Burning coal and other fossil fuels releases carbon dioxide (CO</w:t>
      </w:r>
      <w:r>
        <w:rPr>
          <w:rFonts w:ascii="Arial" w:cs="Arial" w:eastAsia="Arial" w:hAnsi="Arial"/>
          <w:sz w:val="20"/>
          <w:szCs w:val="20"/>
          <w:color w:val="auto"/>
          <w:vertAlign w:val="subscript"/>
        </w:rPr>
        <w:t>2</w:t>
      </w:r>
      <w:r>
        <w:rPr>
          <w:rFonts w:ascii="Arial" w:cs="Arial" w:eastAsia="Arial" w:hAnsi="Arial"/>
          <w:sz w:val="17"/>
          <w:szCs w:val="17"/>
          <w:color w:val="auto"/>
        </w:rPr>
        <w:t>) and other gases referred to as greenhouse gases (GHG). Various regulations under the federal Clean Air Act Amendments of 1990 (CAA) limit CO</w:t>
      </w:r>
      <w:r>
        <w:rPr>
          <w:rFonts w:ascii="Arial" w:cs="Arial" w:eastAsia="Arial" w:hAnsi="Arial"/>
          <w:sz w:val="20"/>
          <w:szCs w:val="20"/>
          <w:color w:val="auto"/>
          <w:vertAlign w:val="subscript"/>
        </w:rPr>
        <w:t>2</w:t>
      </w:r>
      <w:r>
        <w:rPr>
          <w:rFonts w:ascii="Arial" w:cs="Arial" w:eastAsia="Arial" w:hAnsi="Arial"/>
          <w:sz w:val="17"/>
          <w:szCs w:val="17"/>
          <w:color w:val="auto"/>
        </w:rPr>
        <w:t xml:space="preserve"> and other GHG emissions, and in addition, other measures are being imposed or offered by individual states, municipalities and regional agreements </w:t>
      </w:r>
      <w:r>
        <w:rPr>
          <w:rFonts w:ascii="Arial" w:cs="Arial" w:eastAsia="Arial" w:hAnsi="Arial"/>
          <w:sz w:val="16"/>
          <w:szCs w:val="16"/>
          <w:color w:val="auto"/>
        </w:rPr>
        <w:t>with</w:t>
      </w:r>
      <w:r>
        <w:rPr>
          <w:rFonts w:ascii="Arial" w:cs="Arial" w:eastAsia="Arial" w:hAnsi="Arial"/>
          <w:sz w:val="17"/>
          <w:szCs w:val="17"/>
          <w:color w:val="auto"/>
        </w:rPr>
        <w:t xml:space="preserve"> the goal of reducing GHG emissions.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In July 2019, the EPA published the final Affordable Clean Energy (ACE) rule in the Federal Register. This rule contained emission guidelines for</w:t>
      </w:r>
    </w:p>
    <w:p>
      <w:pPr>
        <w:spacing w:after="0" w:line="49"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GHG emissions from existing electric utility generating units (EGUs) and revisions to emission guideline implementing regulations. The rule defined the "best system of emission reduction" (BSER) for GHG emissions from existing coal-fired EGUs as on-site, heat-rate efficiency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improvements. In conjunction with the finalization of the ACE rule, the EPA repealed its previously adopted Clean Power Plan (CPP). In January</w:t>
      </w:r>
    </w:p>
    <w:p>
      <w:pPr>
        <w:spacing w:after="0" w:line="49"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2021, the D.C. Circuit vacated and remanded the ACE rule back to the EPA. In October 2021, the Supreme Court granted petitions for certiorari to review the D.C. Circuit decision to vacate and remand the ACE rule. A ruling from the Supreme Court is expected in mid-2022.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9" w:name="page140"/>
    <w:bookmarkEnd w:id="13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20"/>
        <w:spacing w:after="0" w:line="324" w:lineRule="auto"/>
        <w:rPr>
          <w:sz w:val="20"/>
          <w:szCs w:val="20"/>
          <w:color w:val="auto"/>
        </w:rPr>
      </w:pPr>
      <w:r>
        <w:rPr>
          <w:rFonts w:ascii="Arial" w:cs="Arial" w:eastAsia="Arial" w:hAnsi="Arial"/>
          <w:sz w:val="17"/>
          <w:szCs w:val="17"/>
          <w:color w:val="auto"/>
        </w:rPr>
        <w:t>Due to uncertainty regarding the future of the ACE rule or other potential GHG regulations, the Evergy Companies cannot determine the impacts on their operations or consolidated financial results, but the cost to comply with the ACE rule or other potential GHG rules could be material.</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Water</w:t>
      </w:r>
    </w:p>
    <w:p>
      <w:pPr>
        <w:spacing w:after="0" w:line="26"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w:t>
      </w:r>
    </w:p>
    <w:p>
      <w:pPr>
        <w:spacing w:after="0" w:line="1"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wastewater discharges, including limits on the amount of toxic metals and other pollutants that can be discharged. Implementation timelines for this 2015 rule vary from 2018 to 2023. In April 2019, the U.S. Court of Appeals for the 5th Circuit (5th Circuit) issued a ruling that vacated and remanded portions of the original ELG rule. Due to this ruling, the EPA announced a plan in July 2021 to release a proposed rulemaking in</w:t>
      </w:r>
    </w:p>
    <w:p>
      <w:pPr>
        <w:spacing w:after="0" w:line="2" w:lineRule="exact"/>
        <w:rPr>
          <w:sz w:val="20"/>
          <w:szCs w:val="20"/>
          <w:color w:val="auto"/>
        </w:rPr>
      </w:pPr>
    </w:p>
    <w:p>
      <w:pPr>
        <w:jc w:val="both"/>
        <w:ind w:right="440"/>
        <w:spacing w:after="0" w:line="252" w:lineRule="auto"/>
        <w:rPr>
          <w:sz w:val="20"/>
          <w:szCs w:val="20"/>
          <w:color w:val="auto"/>
        </w:rPr>
      </w:pPr>
      <w:r>
        <w:rPr>
          <w:rFonts w:ascii="Arial" w:cs="Arial" w:eastAsia="Arial" w:hAnsi="Arial"/>
          <w:sz w:val="19"/>
          <w:szCs w:val="19"/>
          <w:color w:val="auto"/>
        </w:rPr>
        <w:t>September 2022 to address the vacated limitations for legacy wastewater and landfill leachate. Future ELG modifications for the best available technology economically achievable for the discharge of legacy wastewater and landfill leachate are likely and could be material to the Evergy Companies.</w:t>
      </w:r>
    </w:p>
    <w:p>
      <w:pPr>
        <w:spacing w:after="0" w:line="201"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In October 2020, the EPA published the final ELG reconsideration rule. This rule adjusts numeric limits for flue gas desulfurization (FGD) wastewater and adds a 10% volumetric purge limit for bottom ash transport water. The timeline for final FGD wastewater compliance is as soon as</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possible on or after one year following publication of the final rule in the Federal Register but no later than December 31, 2025. In August 2021, the EPA published notice in the Federal Register that it is initiating a supplemental rulemaking to revise the ELG regulations after completing review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reconsideration rule as a result of an executive order from President Biden. As part of the rulemaking process, the EPA will determine if more</w:t>
      </w:r>
    </w:p>
    <w:p>
      <w:pPr>
        <w:spacing w:after="0" w:line="49" w:lineRule="exact"/>
        <w:rPr>
          <w:sz w:val="20"/>
          <w:szCs w:val="20"/>
          <w:color w:val="auto"/>
        </w:rPr>
      </w:pPr>
    </w:p>
    <w:p>
      <w:pPr>
        <w:ind w:right="400"/>
        <w:spacing w:after="0" w:line="264" w:lineRule="auto"/>
        <w:rPr>
          <w:sz w:val="20"/>
          <w:szCs w:val="20"/>
          <w:color w:val="auto"/>
        </w:rPr>
      </w:pPr>
      <w:r>
        <w:rPr>
          <w:rFonts w:ascii="Arial" w:cs="Arial" w:eastAsia="Arial" w:hAnsi="Arial"/>
          <w:sz w:val="19"/>
          <w:szCs w:val="19"/>
          <w:color w:val="auto"/>
        </w:rPr>
        <w:t>stringent limitations and standards are appropriate. The 2020 ELG reconsideration rule will remain in effect while the EPA undertakes this new rulemaking.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Evergy Companies have reviewed the 2020 ELG reconsideration regulation, and the costs to comply with these changes are not expected to be</w:t>
      </w:r>
    </w:p>
    <w:p>
      <w:pPr>
        <w:spacing w:after="0" w:line="49" w:lineRule="exact"/>
        <w:rPr>
          <w:sz w:val="20"/>
          <w:szCs w:val="20"/>
          <w:color w:val="auto"/>
        </w:rPr>
      </w:pPr>
    </w:p>
    <w:p>
      <w:pPr>
        <w:ind w:right="220"/>
        <w:spacing w:after="0" w:line="264" w:lineRule="auto"/>
        <w:rPr>
          <w:sz w:val="20"/>
          <w:szCs w:val="20"/>
          <w:color w:val="auto"/>
        </w:rPr>
      </w:pPr>
      <w:r>
        <w:rPr>
          <w:rFonts w:ascii="Arial" w:cs="Arial" w:eastAsia="Arial" w:hAnsi="Arial"/>
          <w:sz w:val="19"/>
          <w:szCs w:val="19"/>
          <w:color w:val="auto"/>
        </w:rPr>
        <w:t>material. However, the Evergy Companies cannot predict what revisions the EPA may make under its supplemental rulemaking to revise the ELG regulations, and compliance costs associated with any revisions could be material.</w:t>
      </w:r>
    </w:p>
    <w:p>
      <w:pPr>
        <w:spacing w:after="0" w:line="164" w:lineRule="exact"/>
        <w:rPr>
          <w:sz w:val="20"/>
          <w:szCs w:val="20"/>
          <w:color w:val="auto"/>
        </w:rPr>
      </w:pPr>
    </w:p>
    <w:p>
      <w:pPr>
        <w:ind w:right="480"/>
        <w:spacing w:after="0" w:line="300" w:lineRule="auto"/>
        <w:rPr>
          <w:sz w:val="20"/>
          <w:szCs w:val="20"/>
          <w:color w:val="auto"/>
        </w:rPr>
      </w:pPr>
      <w:r>
        <w:rPr>
          <w:rFonts w:ascii="Arial" w:cs="Arial" w:eastAsia="Arial" w:hAnsi="Arial"/>
          <w:sz w:val="17"/>
          <w:szCs w:val="17"/>
          <w:color w:val="auto"/>
        </w:rPr>
        <w:t>After reviewing the Navigable Waters Protection Rule as directed by President Biden's administration, the EPA and Department of the Army determined a need to revise the definition to prevent environmental degradation. In December 2021, the EPA and the Department of the Army published a proposed rule that repeals the Navigable Waters Protection Rule and revises the definition of “Waters of the United States.” This</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proposed rule restores definitions of Waters of the United States that were in place prior to 2015. The Evergy Companies are reviewing the proposed rule and the impact on their operations or consolidated financial results could be material. A second rulemaking is expected in the future which will replace the Navigable Waters Protection Rule. The cost to comply with any future rulemaking that replaces the Navigable Waters Protection Rule could be material to the Evergy Companies.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Regulation of Coal Combustion Residuals</w:t>
      </w:r>
    </w:p>
    <w:p>
      <w:pPr>
        <w:spacing w:after="0" w:line="26"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w:t>
      </w:r>
    </w:p>
    <w:p>
      <w:pPr>
        <w:spacing w:after="0" w:line="176"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The Evergy Companies have recorded AROs for their current estimates for the closure of ash disposal ponds and landfills, but the revision of these AROs may be required in the future due to changes in existing CCR regulations, the results of groundwater monitoring of CCR units or changes in</w:t>
      </w:r>
    </w:p>
    <w:p>
      <w:pPr>
        <w:spacing w:after="0" w:line="1"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interpretation of existing CCR regulations or changes in the timing or cost to close ash disposal ponds and landfills. If revisions to these AROs are necessary, the impact on the Evergy Companies' operations or consolidated financial results could be material.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0" w:name="page141"/>
    <w:bookmarkEnd w:id="14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Nuclear Insurance</w:t>
      </w:r>
    </w:p>
    <w:p>
      <w:pPr>
        <w:spacing w:after="0" w:line="23" w:lineRule="exact"/>
        <w:rPr>
          <w:sz w:val="20"/>
          <w:szCs w:val="20"/>
          <w:color w:val="auto"/>
        </w:rPr>
      </w:pPr>
    </w:p>
    <w:p>
      <w:pPr>
        <w:ind w:right="200"/>
        <w:spacing w:after="0" w:line="242" w:lineRule="auto"/>
        <w:rPr>
          <w:sz w:val="20"/>
          <w:szCs w:val="20"/>
          <w:color w:val="auto"/>
        </w:rPr>
      </w:pPr>
      <w:r>
        <w:rPr>
          <w:rFonts w:ascii="Arial" w:cs="Arial" w:eastAsia="Arial" w:hAnsi="Arial"/>
          <w:sz w:val="19"/>
          <w:szCs w:val="19"/>
          <w:color w:val="auto"/>
        </w:rPr>
        <w:t>Nuclear liability, property and accidental outage insurance is maintained for Wolf Creek. These policies contain certain industry standard terms, conditions and exclusions, including, but not limited to, ordinary wear and tear and war. An industry aggregate limit of $3.2 billion for nuclear events ($1.8 billion of non-nuclear events) plus any reinsurance, indemnity or any other source recoverable by Nuclear Electric Insurance Limited (NEIL), provider of property and accidental outage insurance, exists for acts of terrorism affecting Wolf Creek or any other NEIL insured plant within 12 months from the date of the first act. In addition, participation is required in industry-wide retrospect assessment programs as discussed below.</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Nuclear Liability Insurance</w:t>
      </w:r>
    </w:p>
    <w:p>
      <w:pPr>
        <w:spacing w:after="0" w:line="2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Pursuant to the Price-Anderson Act, liability insurance includes coverage against public nuclear liability claims resulting from nuclear incidents to the required limit of public liability, which is approximately $13.6 billion. This limit of liability consists of the maximum available commercial insurance of $0.5 billion and the remaining $13.1 billion is provided through mandatory participation in an industry-wide retrospective assessment program. Under this retrospective assessment program, the owners of Wolf Creek are jointly and severally subject to an assessment of up to $137.6 million (Evergy's share is $129.4 million and each of Evergy Kansas Central's and Evergy Metro's is $64.7 million), payable at no more than $20.5 million (Evergy's share is $19.2 million and each of Evergy Kansas Central's and Evergy Metro's is $9.6 million) per incident per year per reactor for any commercial U.S. nuclear reactor qualifying incident. Both the total and yearly assessment is subject to an inflationary adjustment based on the Consumer Price Index and applicable premium taxes. In addition, the U.S. Congress could impose additional revenue-raising measures to pay claims.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Nuclear Property and Accidental Outage Insurance</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owners of Wolf Creek carry decontamination liability, nuclear property damage and premature nuclear decommissioning liability insurance for Wolf Creek totaling approximately $2.8 billion. Insurance coverage for non-nuclear property damage accidents total approximately $2.3 billion. In the event of an extraordinary nuclear accident, insurance proceeds must first be used for reactor stabilization and site decontamination in accordance with a plan mandated by the NRC. The Evergy Companies' share of any remaining proceeds can be used to pay for property damage or, if certain requirements are met, including decommissioning the plant, toward a shortfall in the nuclear decommissioning trust fund. The owners also carry additional insurance with NEIL to help cover costs of replacement power and other extra expenses incurred during a prolonged outage resulting from accidental property damage at Wolf Creek. If significant losses were incurred at any of the nuclear plants insured under the NEIL policies, the owners of Wolf Creek may be subject to retrospective assessments under the current policies of approximately $30.0 million (Evergy's share is $28.2 million and each of Evergy Kansas Central's and Evergy Metro's is $14.1 million).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Nuclear Insurance Considerations</w:t>
      </w:r>
    </w:p>
    <w:p>
      <w:pPr>
        <w:spacing w:after="0" w:line="23"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Although the Evergy Companies maintain various insurance policies to provide coverage for potential losses and liabilities resulting from an accident or an extended outage, the insurance coverage may not be adequate to cover the costs that could result from a catastrophic accident or extended outage at Wolf Creek. Any substantial losses not covered by insurance, to the extent not recoverable in prices, would have a material effect on the Evergy Companies'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1" w:name="page142"/>
    <w:bookmarkEnd w:id="14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Contractual Commitments - </w:t>
      </w:r>
      <w:r>
        <w:rPr>
          <w:rFonts w:ascii="Arial" w:cs="Arial" w:eastAsia="Arial" w:hAnsi="Arial"/>
          <w:sz w:val="19"/>
          <w:szCs w:val="19"/>
          <w:b w:val="1"/>
          <w:bCs w:val="1"/>
          <w:i w:val="1"/>
          <w:iCs w:val="1"/>
          <w:color w:val="auto"/>
        </w:rPr>
        <w:t>Fuel and Power</w:t>
      </w:r>
    </w:p>
    <w:p>
      <w:pPr>
        <w:spacing w:after="0" w:line="23"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The Evergy Companies' contractual commitments for fuel and power at December 31, 2021 are detailed in the following tables. See Notes 9, 12 and 20 for information regarding pension, long-term debt and lease commitments, respectively.</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Evergy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2025</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2026</w:t>
            </w:r>
          </w:p>
        </w:tc>
        <w:tc>
          <w:tcPr>
            <w:tcW w:w="116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After 2026</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Total</w:t>
            </w:r>
          </w:p>
        </w:tc>
      </w:tr>
      <w:tr>
        <w:trPr>
          <w:trHeight w:val="211"/>
        </w:trPr>
        <w:tc>
          <w:tcPr>
            <w:tcW w:w="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Purchase commitments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36"/>
              <w:spacing w:after="0"/>
              <w:rPr>
                <w:sz w:val="20"/>
                <w:szCs w:val="20"/>
                <w:color w:val="auto"/>
              </w:rPr>
            </w:pPr>
            <w:r>
              <w:rPr>
                <w:rFonts w:ascii="Arial" w:cs="Arial" w:eastAsia="Arial" w:hAnsi="Arial"/>
                <w:sz w:val="15"/>
                <w:szCs w:val="15"/>
                <w:color w:val="auto"/>
                <w:w w:val="99"/>
              </w:rPr>
              <w:t>(millions)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Fuel</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403.1</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183.5</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130.2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100.4</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106.7</w:t>
            </w:r>
          </w:p>
        </w:tc>
        <w:tc>
          <w:tcPr>
            <w:tcW w:w="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221.1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1,145.0</w:t>
            </w:r>
          </w:p>
        </w:tc>
        <w:tc>
          <w:tcPr>
            <w:tcW w:w="40" w:type="dxa"/>
            <w:vAlign w:val="bottom"/>
            <w:shd w:val="clear" w:color="auto" w:fill="CCEEFF"/>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28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Power</w:t>
            </w: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63.0</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63.6</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58.0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58.4</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58.4</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294.2</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595.6</w:t>
            </w:r>
          </w:p>
        </w:tc>
        <w:tc>
          <w:tcPr>
            <w:tcW w:w="40" w:type="dxa"/>
            <w:vAlign w:val="bottom"/>
            <w:tcBorders>
              <w:bottom w:val="single" w:sz="8" w:color="auto"/>
            </w:tcBorders>
          </w:tcPr>
          <w:p>
            <w:pPr>
              <w:spacing w:after="0"/>
              <w:rPr>
                <w:sz w:val="18"/>
                <w:szCs w:val="18"/>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fuel and power commitments</w:t>
            </w: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466.1</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247.1</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188.2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158.8</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165.1</w:t>
            </w:r>
          </w:p>
        </w:tc>
        <w:tc>
          <w:tcPr>
            <w:tcW w:w="4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515.3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1,740.6</w:t>
            </w:r>
          </w:p>
        </w:tc>
        <w:tc>
          <w:tcPr>
            <w:tcW w:w="40" w:type="dxa"/>
            <w:vAlign w:val="bottom"/>
            <w:tcBorders>
              <w:bottom w:val="single" w:sz="8" w:color="auto"/>
            </w:tcBorders>
            <w:shd w:val="clear" w:color="auto" w:fill="CCEEFF"/>
          </w:tcPr>
          <w:p>
            <w:pPr>
              <w:spacing w:after="0"/>
              <w:rPr>
                <w:sz w:val="19"/>
                <w:szCs w:val="19"/>
                <w:color w:val="auto"/>
              </w:rPr>
            </w:pPr>
          </w:p>
        </w:tc>
      </w:tr>
      <w:tr>
        <w:trPr>
          <w:trHeight w:val="444"/>
        </w:trPr>
        <w:tc>
          <w:tcPr>
            <w:tcW w:w="28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i w:val="1"/>
                <w:iCs w:val="1"/>
                <w:color w:val="auto"/>
              </w:rPr>
              <w:t>Evergy Kansas Central</w:t>
            </w: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2024</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89"/>
              </w:rPr>
              <w:t>2025</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2026</w:t>
            </w: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b w:val="1"/>
                <w:bCs w:val="1"/>
                <w:color w:val="auto"/>
              </w:rPr>
              <w:t>After 2026</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Total</w:t>
            </w:r>
          </w:p>
        </w:tc>
      </w:tr>
      <w:tr>
        <w:trPr>
          <w:trHeight w:val="211"/>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Purchase commitments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36"/>
              <w:spacing w:after="0"/>
              <w:rPr>
                <w:sz w:val="20"/>
                <w:szCs w:val="20"/>
                <w:color w:val="auto"/>
              </w:rPr>
            </w:pPr>
            <w:r>
              <w:rPr>
                <w:rFonts w:ascii="Arial" w:cs="Arial" w:eastAsia="Arial" w:hAnsi="Arial"/>
                <w:sz w:val="15"/>
                <w:szCs w:val="15"/>
                <w:color w:val="auto"/>
              </w:rPr>
              <w:t>(millions)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40" w:type="dxa"/>
            <w:vAlign w:val="bottom"/>
            <w:tcBorders>
              <w:right w:val="single" w:sz="8" w:color="CCEEFF"/>
            </w:tcBorders>
            <w:shd w:val="clear" w:color="auto" w:fill="CCEEFF"/>
          </w:tcPr>
          <w:p>
            <w:pPr>
              <w:spacing w:after="0"/>
              <w:rPr>
                <w:sz w:val="19"/>
                <w:szCs w:val="19"/>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Fuel</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232.4</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102.6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83.3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69.4</w:t>
            </w: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72.6</w:t>
            </w:r>
          </w:p>
        </w:tc>
        <w:tc>
          <w:tcPr>
            <w:tcW w:w="4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121.3</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681.6</w:t>
            </w:r>
          </w:p>
        </w:tc>
        <w:tc>
          <w:tcPr>
            <w:tcW w:w="40" w:type="dxa"/>
            <w:vAlign w:val="bottom"/>
            <w:shd w:val="clear" w:color="auto" w:fill="CCEEFF"/>
          </w:tcPr>
          <w:p>
            <w:pPr>
              <w:spacing w:after="0"/>
              <w:rPr>
                <w:sz w:val="19"/>
                <w:szCs w:val="19"/>
                <w:color w:val="auto"/>
              </w:rPr>
            </w:pPr>
          </w:p>
        </w:tc>
      </w:tr>
      <w:tr>
        <w:trPr>
          <w:trHeight w:val="218"/>
        </w:trPr>
        <w:tc>
          <w:tcPr>
            <w:tcW w:w="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Power</w:t>
            </w: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0.9</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0.9</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0.9</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0.9</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3.6</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40" w:type="dxa"/>
            <w:vAlign w:val="bottom"/>
            <w:tcBorders>
              <w:bottom w:val="single" w:sz="8" w:color="auto"/>
            </w:tcBorders>
          </w:tcPr>
          <w:p>
            <w:pPr>
              <w:spacing w:after="0"/>
              <w:rPr>
                <w:sz w:val="18"/>
                <w:szCs w:val="18"/>
                <w:color w:val="auto"/>
              </w:rPr>
            </w:pPr>
          </w:p>
        </w:tc>
      </w:tr>
      <w:tr>
        <w:trPr>
          <w:trHeight w:val="219"/>
        </w:trPr>
        <w:tc>
          <w:tcPr>
            <w:tcW w:w="28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fuel and power commitments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233.3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103.5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84.2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70.3</w:t>
            </w:r>
          </w:p>
        </w:tc>
        <w:tc>
          <w:tcPr>
            <w:tcW w:w="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73.5</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124.9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689.7</w:t>
            </w:r>
          </w:p>
        </w:tc>
        <w:tc>
          <w:tcPr>
            <w:tcW w:w="40" w:type="dxa"/>
            <w:vAlign w:val="bottom"/>
            <w:tcBorders>
              <w:bottom w:val="single" w:sz="8" w:color="auto"/>
            </w:tcBorders>
            <w:shd w:val="clear" w:color="auto" w:fill="CCEEFF"/>
          </w:tcPr>
          <w:p>
            <w:pPr>
              <w:spacing w:after="0"/>
              <w:rPr>
                <w:sz w:val="19"/>
                <w:szCs w:val="19"/>
                <w:color w:val="auto"/>
              </w:rPr>
            </w:pPr>
          </w:p>
        </w:tc>
      </w:tr>
      <w:tr>
        <w:trPr>
          <w:trHeight w:val="431"/>
        </w:trPr>
        <w:tc>
          <w:tcPr>
            <w:tcW w:w="40" w:type="dxa"/>
            <w:vAlign w:val="bottom"/>
          </w:tcPr>
          <w:p>
            <w:pPr>
              <w:spacing w:after="0"/>
              <w:rPr>
                <w:sz w:val="24"/>
                <w:szCs w:val="24"/>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rPr>
              <w:t>Evergy Metro</w:t>
            </w: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2024</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2025</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2026</w:t>
            </w: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After 2026</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9"/>
                <w:szCs w:val="19"/>
                <w:color w:val="auto"/>
              </w:rPr>
            </w:pPr>
          </w:p>
        </w:tc>
      </w:tr>
      <w:tr>
        <w:trPr>
          <w:trHeight w:val="211"/>
        </w:trPr>
        <w:tc>
          <w:tcPr>
            <w:tcW w:w="4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7"/>
                <w:szCs w:val="17"/>
                <w:color w:val="auto"/>
              </w:rPr>
              <w:t>Purchase commitments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76"/>
              <w:spacing w:after="0"/>
              <w:rPr>
                <w:sz w:val="20"/>
                <w:szCs w:val="20"/>
                <w:color w:val="auto"/>
              </w:rPr>
            </w:pPr>
            <w:r>
              <w:rPr>
                <w:rFonts w:ascii="Arial" w:cs="Arial" w:eastAsia="Arial" w:hAnsi="Arial"/>
                <w:sz w:val="15"/>
                <w:szCs w:val="15"/>
                <w:color w:val="auto"/>
                <w:w w:val="99"/>
              </w:rPr>
              <w:t>(millions)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Fuel</w:t>
            </w: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145.3</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73.7</w:t>
            </w:r>
          </w:p>
        </w:tc>
        <w:tc>
          <w:tcPr>
            <w:tcW w:w="3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43.3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28.4</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31.4</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99.8</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421.9</w:t>
            </w:r>
          </w:p>
        </w:tc>
        <w:tc>
          <w:tcPr>
            <w:tcW w:w="4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28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Power</w:t>
            </w: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35.1</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35.3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29.2</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29.2</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29.2</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166.9</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324.9</w:t>
            </w:r>
          </w:p>
        </w:tc>
        <w:tc>
          <w:tcPr>
            <w:tcW w:w="4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2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fuel and power commitments</w:t>
            </w:r>
          </w:p>
        </w:tc>
        <w:tc>
          <w:tcPr>
            <w:tcW w:w="6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180.4</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109.0</w:t>
            </w:r>
          </w:p>
        </w:tc>
        <w:tc>
          <w:tcPr>
            <w:tcW w:w="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72.5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57.6</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60.6</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266.7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746.8</w:t>
            </w:r>
          </w:p>
        </w:tc>
        <w:tc>
          <w:tcPr>
            <w:tcW w:w="40" w:type="dxa"/>
            <w:vAlign w:val="bottom"/>
          </w:tcPr>
          <w:p>
            <w:pPr>
              <w:spacing w:after="0"/>
              <w:rPr>
                <w:sz w:val="19"/>
                <w:szCs w:val="19"/>
                <w:color w:val="auto"/>
              </w:rPr>
            </w:pPr>
          </w:p>
        </w:tc>
      </w:tr>
    </w:tbl>
    <w:p>
      <w:pPr>
        <w:spacing w:after="0" w:line="280" w:lineRule="exact"/>
        <w:rPr>
          <w:sz w:val="20"/>
          <w:szCs w:val="20"/>
          <w:color w:val="auto"/>
        </w:rPr>
      </w:pPr>
    </w:p>
    <w:p>
      <w:pPr>
        <w:ind w:right="240"/>
        <w:spacing w:after="0" w:line="264" w:lineRule="auto"/>
        <w:rPr>
          <w:sz w:val="20"/>
          <w:szCs w:val="20"/>
          <w:color w:val="auto"/>
        </w:rPr>
      </w:pPr>
      <w:r>
        <w:rPr>
          <w:rFonts w:ascii="Arial" w:cs="Arial" w:eastAsia="Arial" w:hAnsi="Arial"/>
          <w:sz w:val="19"/>
          <w:szCs w:val="19"/>
          <w:color w:val="auto"/>
        </w:rPr>
        <w:t>Fuel commitments consist of commitments for nuclear fuel, coal and coal transportation. Power commitments consist of certain commitments for renewable energy under power purchase agreements, capacity purchases and firm transmission service.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15. GUARANTEES</w:t>
      </w:r>
    </w:p>
    <w:p>
      <w:pPr>
        <w:spacing w:after="0" w:line="1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ordinary course of business, Evergy and certain of its subsidiaries enter into various agreements providing financial or performance assurance to third parties on behalf of certain subsidiaries. Such agreements include, for example, guarantees and letters of credit. These agreements are entered into primarily to support or enhance the creditworthiness otherwise attributed to a subsidiary on a stand-alone basis, thereby facilitating the extension of sufficient credit to accomplish the subsidiary's intended business purposes. The majority of these agreements guarantee Evergy's own future performance, so a liability for the fair value of the obligation is not recorded.</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2021, Evergy has provided $904.0 million of credit support for certain of its subsidiaries as follows:</w:t>
      </w:r>
    </w:p>
    <w:p>
      <w:pPr>
        <w:spacing w:after="0" w:line="104" w:lineRule="exact"/>
        <w:rPr>
          <w:sz w:val="20"/>
          <w:szCs w:val="20"/>
          <w:color w:val="auto"/>
        </w:rPr>
      </w:pPr>
    </w:p>
    <w:p>
      <w:pPr>
        <w:ind w:left="620" w:right="60" w:hanging="307"/>
        <w:spacing w:after="0" w:line="264" w:lineRule="auto"/>
        <w:tabs>
          <w:tab w:leader="none" w:pos="609" w:val="left"/>
        </w:tabs>
        <w:numPr>
          <w:ilvl w:val="0"/>
          <w:numId w:val="68"/>
        </w:numPr>
        <w:rPr>
          <w:rFonts w:ascii="Arial" w:cs="Arial" w:eastAsia="Arial" w:hAnsi="Arial"/>
          <w:sz w:val="19"/>
          <w:szCs w:val="19"/>
          <w:color w:val="auto"/>
        </w:rPr>
      </w:pPr>
      <w:r>
        <w:rPr>
          <w:rFonts w:ascii="Arial" w:cs="Arial" w:eastAsia="Arial" w:hAnsi="Arial"/>
          <w:sz w:val="19"/>
          <w:szCs w:val="19"/>
          <w:color w:val="auto"/>
        </w:rPr>
        <w:t>Evergy direct guarantees to Evergy Kansas Central and Evergy Metro counterparties for certain fuel supply contracts totaling $48.0 million, which expire in 2027; and</w:t>
      </w:r>
    </w:p>
    <w:p>
      <w:pPr>
        <w:spacing w:after="0" w:line="60" w:lineRule="exact"/>
        <w:rPr>
          <w:rFonts w:ascii="Arial" w:cs="Arial" w:eastAsia="Arial" w:hAnsi="Arial"/>
          <w:sz w:val="19"/>
          <w:szCs w:val="19"/>
          <w:color w:val="auto"/>
        </w:rPr>
      </w:pPr>
    </w:p>
    <w:p>
      <w:pPr>
        <w:ind w:left="620" w:right="160" w:hanging="307"/>
        <w:spacing w:after="0" w:line="264" w:lineRule="auto"/>
        <w:tabs>
          <w:tab w:leader="none" w:pos="609" w:val="left"/>
        </w:tabs>
        <w:numPr>
          <w:ilvl w:val="0"/>
          <w:numId w:val="68"/>
        </w:numPr>
        <w:rPr>
          <w:rFonts w:ascii="Arial" w:cs="Arial" w:eastAsia="Arial" w:hAnsi="Arial"/>
          <w:sz w:val="19"/>
          <w:szCs w:val="19"/>
          <w:color w:val="auto"/>
        </w:rPr>
      </w:pPr>
      <w:r>
        <w:rPr>
          <w:rFonts w:ascii="Arial" w:cs="Arial" w:eastAsia="Arial" w:hAnsi="Arial"/>
          <w:sz w:val="19"/>
          <w:szCs w:val="19"/>
          <w:color w:val="auto"/>
        </w:rPr>
        <w:t>Evergy's guarantee of Evergy Missouri West long-term debt totaling $856.0 million, which includes debt with maturity dates ranging from 2022 to 2043.</w:t>
      </w:r>
    </w:p>
    <w:p>
      <w:pPr>
        <w:spacing w:after="0" w:line="164" w:lineRule="exact"/>
        <w:rPr>
          <w:sz w:val="20"/>
          <w:szCs w:val="20"/>
          <w:color w:val="auto"/>
        </w:rPr>
      </w:pPr>
    </w:p>
    <w:p>
      <w:pPr>
        <w:jc w:val="both"/>
        <w:ind w:right="160"/>
        <w:spacing w:after="0" w:line="252" w:lineRule="auto"/>
        <w:rPr>
          <w:sz w:val="20"/>
          <w:szCs w:val="20"/>
          <w:color w:val="auto"/>
        </w:rPr>
      </w:pPr>
      <w:r>
        <w:rPr>
          <w:rFonts w:ascii="Arial" w:cs="Arial" w:eastAsia="Arial" w:hAnsi="Arial"/>
          <w:sz w:val="19"/>
          <w:szCs w:val="19"/>
          <w:color w:val="auto"/>
        </w:rPr>
        <w:t>Evergy has also guaranteed Evergy Missouri West's commercial paper program. At December 31, 2021, Evergy Missouri West had $395.3 million of commercial paper outstanding. None of the guaranteed obligations are subject to default or prepayment if Evergy Missouri West's credit ratings were downgraded.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2" w:name="page143"/>
    <w:bookmarkEnd w:id="14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16. RELATED PARTY TRANSACTIONS AND RELATIONSHIPS</w:t>
      </w:r>
    </w:p>
    <w:p>
      <w:pPr>
        <w:spacing w:after="0" w:line="110" w:lineRule="exact"/>
        <w:rPr>
          <w:sz w:val="20"/>
          <w:szCs w:val="20"/>
          <w:color w:val="auto"/>
        </w:rPr>
      </w:pPr>
    </w:p>
    <w:p>
      <w:pPr>
        <w:ind w:right="340"/>
        <w:spacing w:after="0" w:line="264" w:lineRule="auto"/>
        <w:rPr>
          <w:sz w:val="20"/>
          <w:szCs w:val="20"/>
          <w:color w:val="auto"/>
        </w:rPr>
      </w:pPr>
      <w:r>
        <w:rPr>
          <w:rFonts w:ascii="Arial" w:cs="Arial" w:eastAsia="Arial" w:hAnsi="Arial"/>
          <w:sz w:val="19"/>
          <w:szCs w:val="19"/>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Jointly-Owned Plants and Shared Services</w:t>
      </w:r>
    </w:p>
    <w:p>
      <w:pPr>
        <w:spacing w:after="0" w:line="23"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The operating expenses and capital costs billed for jointly-owned plants and shared services are detailed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80" w:type="dxa"/>
            <w:vAlign w:val="bottom"/>
            <w:tcBorders>
              <w:top w:val="single" w:sz="8" w:color="auto"/>
              <w:bottom w:val="single" w:sz="8" w:color="auto"/>
            </w:tcBorders>
          </w:tcPr>
          <w:p>
            <w:pPr>
              <w:spacing w:after="0"/>
              <w:rPr>
                <w:sz w:val="21"/>
                <w:szCs w:val="21"/>
                <w:color w:val="auto"/>
              </w:rPr>
            </w:pP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196"/>
        </w:trPr>
        <w:tc>
          <w:tcPr>
            <w:tcW w:w="54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396"/>
              <w:spacing w:after="0"/>
              <w:rPr>
                <w:sz w:val="20"/>
                <w:szCs w:val="20"/>
                <w:color w:val="auto"/>
              </w:rPr>
            </w:pPr>
            <w:r>
              <w:rPr>
                <w:rFonts w:ascii="Arial" w:cs="Arial" w:eastAsia="Arial" w:hAnsi="Arial"/>
                <w:sz w:val="15"/>
                <w:szCs w:val="15"/>
                <w:color w:val="auto"/>
              </w:rPr>
              <w:t>(millions)</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 Kansas Central billings to Evergy Missouri West</w:t>
            </w:r>
          </w:p>
        </w:tc>
        <w:tc>
          <w:tcPr>
            <w:tcW w:w="240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32.5</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37.6</w:t>
            </w:r>
          </w:p>
        </w:tc>
        <w:tc>
          <w:tcPr>
            <w:tcW w:w="4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r>
      <w:tr>
        <w:trPr>
          <w:trHeight w:val="218"/>
        </w:trPr>
        <w:tc>
          <w:tcPr>
            <w:tcW w:w="5480" w:type="dxa"/>
            <w:vAlign w:val="bottom"/>
          </w:tcPr>
          <w:p>
            <w:pPr>
              <w:ind w:left="20"/>
              <w:spacing w:after="0"/>
              <w:rPr>
                <w:sz w:val="20"/>
                <w:szCs w:val="20"/>
                <w:color w:val="auto"/>
              </w:rPr>
            </w:pPr>
            <w:r>
              <w:rPr>
                <w:rFonts w:ascii="Arial" w:cs="Arial" w:eastAsia="Arial" w:hAnsi="Arial"/>
                <w:sz w:val="17"/>
                <w:szCs w:val="17"/>
                <w:color w:val="auto"/>
              </w:rPr>
              <w:t>Evergy Metro billings to Evergy Missouri West</w:t>
            </w:r>
          </w:p>
        </w:tc>
        <w:tc>
          <w:tcPr>
            <w:tcW w:w="24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7"/>
                <w:szCs w:val="17"/>
                <w:color w:val="auto"/>
                <w:w w:val="89"/>
              </w:rPr>
              <w:t>142.1</w:t>
            </w:r>
          </w:p>
        </w:tc>
        <w:tc>
          <w:tcPr>
            <w:tcW w:w="300" w:type="dxa"/>
            <w:vAlign w:val="bottom"/>
          </w:tcPr>
          <w:p>
            <w:pPr>
              <w:spacing w:after="0"/>
              <w:rPr>
                <w:sz w:val="18"/>
                <w:szCs w:val="18"/>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168.7</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172.8</w:t>
            </w:r>
          </w:p>
        </w:tc>
      </w:tr>
      <w:tr>
        <w:trPr>
          <w:trHeight w:val="220"/>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Evergy Kansas Central billings to Evergy Metro</w:t>
            </w:r>
          </w:p>
        </w:tc>
        <w:tc>
          <w:tcPr>
            <w:tcW w:w="24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29.4</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34.7</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r>
      <w:tr>
        <w:trPr>
          <w:trHeight w:val="22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Evergy Metro billings to Evergy Kansas Central</w:t>
            </w:r>
          </w:p>
        </w:tc>
        <w:tc>
          <w:tcPr>
            <w:tcW w:w="2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9"/>
              </w:rPr>
              <w:t>134.7</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130.8</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Money Pool</w:t>
      </w:r>
    </w:p>
    <w:p>
      <w:pPr>
        <w:spacing w:after="0" w:line="23" w:lineRule="exact"/>
        <w:rPr>
          <w:sz w:val="20"/>
          <w:szCs w:val="20"/>
          <w:color w:val="auto"/>
        </w:rPr>
      </w:pPr>
    </w:p>
    <w:p>
      <w:pPr>
        <w:jc w:val="both"/>
        <w:ind w:right="80"/>
        <w:spacing w:after="0" w:line="242" w:lineRule="auto"/>
        <w:rPr>
          <w:sz w:val="20"/>
          <w:szCs w:val="20"/>
          <w:color w:val="auto"/>
        </w:rPr>
      </w:pPr>
      <w:r>
        <w:rPr>
          <w:rFonts w:ascii="Arial" w:cs="Arial" w:eastAsia="Arial" w:hAnsi="Arial"/>
          <w:sz w:val="19"/>
          <w:szCs w:val="19"/>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 The Evergy, Inc. money pool was amended in July 2021 to include Evergy Kansas Central as a participant.</w:t>
      </w:r>
    </w:p>
    <w:p>
      <w:pPr>
        <w:spacing w:after="0" w:line="186" w:lineRule="exact"/>
        <w:rPr>
          <w:sz w:val="20"/>
          <w:szCs w:val="20"/>
          <w:color w:val="auto"/>
        </w:rPr>
      </w:pPr>
    </w:p>
    <w:p>
      <w:pPr>
        <w:ind w:right="880"/>
        <w:spacing w:after="0" w:line="324" w:lineRule="auto"/>
        <w:rPr>
          <w:sz w:val="20"/>
          <w:szCs w:val="20"/>
          <w:color w:val="auto"/>
        </w:rPr>
      </w:pPr>
      <w:r>
        <w:rPr>
          <w:rFonts w:ascii="Arial" w:cs="Arial" w:eastAsia="Arial" w:hAnsi="Arial"/>
          <w:sz w:val="17"/>
          <w:szCs w:val="17"/>
          <w:color w:val="auto"/>
        </w:rPr>
        <w:t>At December 31, 2021, Evergy Metro had a $155.0 million outstanding receivable from Evergy Missouri West under the money pool. At December 31, 2020, Evergy Metro had a $100.0 million outstanding receivable from Evergy Missouri West under the money pool.</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Related Party Net Receivables and Payables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Evergy Kansas Central's and Evergy Metro's related party net receivables and payables.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460" w:type="dxa"/>
            <w:vAlign w:val="bottom"/>
            <w:tcBorders>
              <w:top w:val="single" w:sz="8" w:color="auto"/>
            </w:tcBorders>
          </w:tcPr>
          <w:p>
            <w:pPr>
              <w:spacing w:after="0"/>
              <w:rPr>
                <w:sz w:val="21"/>
                <w:szCs w:val="21"/>
                <w:color w:val="auto"/>
              </w:rPr>
            </w:pPr>
          </w:p>
        </w:tc>
        <w:tc>
          <w:tcPr>
            <w:tcW w:w="34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1220" w:type="dxa"/>
            <w:vAlign w:val="bottom"/>
            <w:tcBorders>
              <w:top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rPr>
              <w:t>December 31</w:t>
            </w:r>
          </w:p>
        </w:tc>
        <w:tc>
          <w:tcPr>
            <w:tcW w:w="108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4"/>
        </w:trPr>
        <w:tc>
          <w:tcPr>
            <w:tcW w:w="54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3480" w:type="dxa"/>
            <w:vAlign w:val="bottom"/>
          </w:tcPr>
          <w:p>
            <w:pPr>
              <w:spacing w:after="0"/>
              <w:rPr>
                <w:sz w:val="18"/>
                <w:szCs w:val="18"/>
                <w:color w:val="auto"/>
              </w:rPr>
            </w:pPr>
          </w:p>
        </w:tc>
        <w:tc>
          <w:tcPr>
            <w:tcW w:w="1220" w:type="dxa"/>
            <w:vAlign w:val="bottom"/>
            <w:gridSpan w:val="2"/>
          </w:tcPr>
          <w:p>
            <w:pPr>
              <w:jc w:val="right"/>
              <w:ind w:right="214"/>
              <w:spacing w:after="0"/>
              <w:rPr>
                <w:sz w:val="20"/>
                <w:szCs w:val="20"/>
                <w:color w:val="auto"/>
              </w:rPr>
            </w:pPr>
            <w:r>
              <w:rPr>
                <w:rFonts w:ascii="Arial" w:cs="Arial" w:eastAsia="Arial" w:hAnsi="Arial"/>
                <w:sz w:val="15"/>
                <w:szCs w:val="15"/>
                <w:color w:val="auto"/>
              </w:rPr>
              <w:t>(millions)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receivable from (payable to) Evergy</w:t>
            </w:r>
          </w:p>
        </w:tc>
        <w:tc>
          <w:tcPr>
            <w:tcW w:w="348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c>
          <w:tcPr>
            <w:tcW w:w="60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8"/>
        </w:trPr>
        <w:tc>
          <w:tcPr>
            <w:tcW w:w="5460" w:type="dxa"/>
            <w:vAlign w:val="bottom"/>
          </w:tcPr>
          <w:p>
            <w:pPr>
              <w:ind w:left="20"/>
              <w:spacing w:after="0"/>
              <w:rPr>
                <w:sz w:val="20"/>
                <w:szCs w:val="20"/>
                <w:color w:val="auto"/>
              </w:rPr>
            </w:pPr>
            <w:r>
              <w:rPr>
                <w:rFonts w:ascii="Arial" w:cs="Arial" w:eastAsia="Arial" w:hAnsi="Arial"/>
                <w:sz w:val="17"/>
                <w:szCs w:val="17"/>
                <w:color w:val="auto"/>
              </w:rPr>
              <w:t>Net payable to Evergy Metro</w:t>
            </w:r>
          </w:p>
        </w:tc>
        <w:tc>
          <w:tcPr>
            <w:tcW w:w="348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(14.5)</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20"/>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receivable from Evergy Missouri West</w:t>
            </w:r>
          </w:p>
        </w:tc>
        <w:tc>
          <w:tcPr>
            <w:tcW w:w="34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10.4</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45"/>
        </w:trPr>
        <w:tc>
          <w:tcPr>
            <w:tcW w:w="54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Evergy Metro</w:t>
            </w:r>
          </w:p>
        </w:tc>
        <w:tc>
          <w:tcPr>
            <w:tcW w:w="3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60" w:type="dxa"/>
            <w:vAlign w:val="bottom"/>
          </w:tcPr>
          <w:p>
            <w:pPr>
              <w:ind w:left="20"/>
              <w:spacing w:after="0"/>
              <w:rPr>
                <w:sz w:val="20"/>
                <w:szCs w:val="20"/>
                <w:color w:val="auto"/>
              </w:rPr>
            </w:pPr>
            <w:r>
              <w:rPr>
                <w:rFonts w:ascii="Arial" w:cs="Arial" w:eastAsia="Arial" w:hAnsi="Arial"/>
                <w:sz w:val="17"/>
                <w:szCs w:val="17"/>
                <w:color w:val="auto"/>
              </w:rPr>
              <w:t>Net receivable from Evergy</w:t>
            </w:r>
          </w:p>
        </w:tc>
        <w:tc>
          <w:tcPr>
            <w:tcW w:w="3480" w:type="dxa"/>
            <w:vAlign w:val="bottom"/>
          </w:tcPr>
          <w:p>
            <w:pPr>
              <w:jc w:val="right"/>
              <w:ind w:right="874"/>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55"/>
              <w:spacing w:after="0"/>
              <w:rPr>
                <w:sz w:val="20"/>
                <w:szCs w:val="20"/>
                <w:color w:val="auto"/>
              </w:rPr>
            </w:pPr>
            <w:r>
              <w:rPr>
                <w:rFonts w:ascii="Arial" w:cs="Arial" w:eastAsia="Arial" w:hAnsi="Arial"/>
                <w:sz w:val="17"/>
                <w:szCs w:val="17"/>
                <w:color w:val="auto"/>
              </w:rPr>
              <w:t>8.7</w:t>
            </w:r>
          </w:p>
        </w:tc>
        <w:tc>
          <w:tcPr>
            <w:tcW w:w="60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20"/>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receivable from Evergy Kansas Central</w:t>
            </w:r>
          </w:p>
        </w:tc>
        <w:tc>
          <w:tcPr>
            <w:tcW w:w="34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14.5</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receivable from Evergy Missouri West</w:t>
            </w:r>
          </w:p>
        </w:tc>
        <w:tc>
          <w:tcPr>
            <w:tcW w:w="3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254.5</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3" w:name="page144"/>
    <w:bookmarkEnd w:id="14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Allocation Agreement</w:t>
      </w:r>
    </w:p>
    <w:p>
      <w:pPr>
        <w:spacing w:after="0" w:line="23" w:lineRule="exact"/>
        <w:rPr>
          <w:sz w:val="20"/>
          <w:szCs w:val="20"/>
          <w:color w:val="auto"/>
        </w:rPr>
      </w:pPr>
    </w:p>
    <w:p>
      <w:pPr>
        <w:ind w:right="140"/>
        <w:spacing w:after="0" w:line="242" w:lineRule="auto"/>
        <w:rPr>
          <w:sz w:val="20"/>
          <w:szCs w:val="20"/>
          <w:color w:val="auto"/>
        </w:rPr>
      </w:pPr>
      <w:r>
        <w:rPr>
          <w:rFonts w:ascii="Arial" w:cs="Arial" w:eastAsia="Arial" w:hAnsi="Arial"/>
          <w:sz w:val="19"/>
          <w:szCs w:val="19"/>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68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1200" w:type="dxa"/>
            <w:vAlign w:val="bottom"/>
            <w:tcBorders>
              <w:top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rPr>
              <w:t>December 31</w:t>
            </w:r>
          </w:p>
        </w:tc>
        <w:tc>
          <w:tcPr>
            <w:tcW w:w="108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4"/>
        </w:trPr>
        <w:tc>
          <w:tcPr>
            <w:tcW w:w="56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3280" w:type="dxa"/>
            <w:vAlign w:val="bottom"/>
          </w:tcPr>
          <w:p>
            <w:pPr>
              <w:spacing w:after="0"/>
              <w:rPr>
                <w:sz w:val="18"/>
                <w:szCs w:val="18"/>
                <w:color w:val="auto"/>
              </w:rPr>
            </w:pPr>
          </w:p>
        </w:tc>
        <w:tc>
          <w:tcPr>
            <w:tcW w:w="1200" w:type="dxa"/>
            <w:vAlign w:val="bottom"/>
            <w:gridSpan w:val="2"/>
          </w:tcPr>
          <w:p>
            <w:pPr>
              <w:jc w:val="right"/>
              <w:ind w:right="214"/>
              <w:spacing w:after="0"/>
              <w:rPr>
                <w:sz w:val="20"/>
                <w:szCs w:val="20"/>
                <w:color w:val="auto"/>
              </w:rPr>
            </w:pPr>
            <w:r>
              <w:rPr>
                <w:rFonts w:ascii="Arial" w:cs="Arial" w:eastAsia="Arial" w:hAnsi="Arial"/>
                <w:sz w:val="15"/>
                <w:szCs w:val="15"/>
                <w:color w:val="auto"/>
              </w:rPr>
              <w:t>(millions)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 receivable from Evergy</w:t>
            </w:r>
          </w:p>
        </w:tc>
        <w:tc>
          <w:tcPr>
            <w:tcW w:w="32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9.6</w:t>
            </w:r>
          </w:p>
        </w:tc>
        <w:tc>
          <w:tcPr>
            <w:tcW w:w="60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45"/>
        </w:trPr>
        <w:tc>
          <w:tcPr>
            <w:tcW w:w="56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Evergy Metro</w:t>
            </w:r>
          </w:p>
        </w:tc>
        <w:tc>
          <w:tcPr>
            <w:tcW w:w="3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taxes receivable from (payable to) Evergy</w:t>
            </w:r>
          </w:p>
        </w:tc>
        <w:tc>
          <w:tcPr>
            <w:tcW w:w="32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w:t>
            </w:r>
          </w:p>
        </w:tc>
        <w:tc>
          <w:tcPr>
            <w:tcW w:w="6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17. SHAREHOLDERS' EQUITY</w:t>
      </w:r>
    </w:p>
    <w:p>
      <w:pPr>
        <w:spacing w:after="0" w:line="110" w:lineRule="exact"/>
        <w:rPr>
          <w:sz w:val="20"/>
          <w:szCs w:val="20"/>
          <w:color w:val="auto"/>
        </w:rPr>
      </w:pPr>
    </w:p>
    <w:p>
      <w:pPr>
        <w:ind w:right="380"/>
        <w:spacing w:after="0" w:line="264" w:lineRule="auto"/>
        <w:rPr>
          <w:sz w:val="20"/>
          <w:szCs w:val="20"/>
          <w:color w:val="auto"/>
        </w:rPr>
      </w:pPr>
      <w:r>
        <w:rPr>
          <w:rFonts w:ascii="Arial" w:cs="Arial" w:eastAsia="Arial" w:hAnsi="Arial"/>
          <w:sz w:val="19"/>
          <w:szCs w:val="19"/>
          <w:color w:val="auto"/>
        </w:rPr>
        <w:t>Evergy's authorized capital stock consists of 600 million shares of common stock, without par value, and 12 million shares of Preference Stock, without par value.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Bluescape Energy Partners, LLC (Bluescape) Securities Purchase Agreement</w:t>
      </w:r>
    </w:p>
    <w:p>
      <w:pPr>
        <w:spacing w:after="0" w:line="2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February 2021, Evergy entered into a securities purchase agreement with an affiliate of Bluescape. Pursuant to the securities purchase agreement, an affiliate of Bluescape agreed to purchase 2,269,447 shares of Evergy’s common stock for approximately $113.2 million and to receive a warrant to purchase up to 3,950,000 additional shares of Evergy’s common stock. Under the terms of the warrant, Evergy will have the option to elect a net cash settlement with respect to the exercise of the warrant under certain circumstances, or to net settle in shares of Evergy’s common stock. The warrant expires three years from issuance and has an exercise price equal to $64.70 per share. Following the satisfaction of customary closing conditions, Evergy completed the sale of its common stock and warrant to the affiliate of Bluescape in April 2021 for $112.5 million, net of issuance costs of $0.7 million. The Executive Chairman of Bluescape, C. John Wilder, joined the Evergy Board in March 2021.</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Registration Statements</w:t>
      </w:r>
    </w:p>
    <w:p>
      <w:pPr>
        <w:spacing w:after="0" w:line="10" w:lineRule="exact"/>
        <w:rPr>
          <w:sz w:val="20"/>
          <w:szCs w:val="20"/>
          <w:color w:val="auto"/>
        </w:rPr>
      </w:pPr>
    </w:p>
    <w:p>
      <w:pPr>
        <w:ind w:right="160"/>
        <w:spacing w:after="0" w:line="247" w:lineRule="auto"/>
        <w:rPr>
          <w:sz w:val="20"/>
          <w:szCs w:val="20"/>
          <w:color w:val="auto"/>
        </w:rPr>
      </w:pPr>
      <w:r>
        <w:rPr>
          <w:rFonts w:ascii="Arial" w:cs="Arial" w:eastAsia="Arial" w:hAnsi="Arial"/>
          <w:sz w:val="19"/>
          <w:szCs w:val="19"/>
          <w:color w:val="auto"/>
        </w:rPr>
        <w:t>In September 2021, Evergy filed an automatic registration statement providing for the sale of unlimited amounts of securities with the SEC, which expires in September 2024.</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2021, Evergy registered shares of its common stock with the SEC for its Dividend Reinvestment and Direct Stock Purchase Plan.</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Shares issued under the plan may be either newly issued shares or shares purchased on the open market.</w:t>
      </w:r>
    </w:p>
    <w:p>
      <w:pPr>
        <w:spacing w:after="0" w:line="191"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Evergy has registered shares of its common stock with the SEC for the Evergy, Inc. 401(k) Savings Plan. Shares issued under the plan may be either newly issued shares or shares purchased on the open market.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Restrictions</w:t>
      </w:r>
    </w:p>
    <w:p>
      <w:pPr>
        <w:spacing w:after="0" w:line="23" w:lineRule="exact"/>
        <w:rPr>
          <w:sz w:val="20"/>
          <w:szCs w:val="20"/>
          <w:color w:val="auto"/>
        </w:rPr>
      </w:pPr>
    </w:p>
    <w:p>
      <w:pPr>
        <w:ind w:right="80"/>
        <w:spacing w:after="0" w:line="304" w:lineRule="auto"/>
        <w:rPr>
          <w:sz w:val="20"/>
          <w:szCs w:val="20"/>
          <w:color w:val="auto"/>
        </w:rPr>
      </w:pPr>
      <w:r>
        <w:rPr>
          <w:rFonts w:ascii="Arial" w:cs="Arial" w:eastAsia="Arial" w:hAnsi="Arial"/>
          <w:sz w:val="17"/>
          <w:szCs w:val="17"/>
          <w:color w:val="auto"/>
        </w:rPr>
        <w:t>Evergy depends on its subsidiaries to pay dividends on its common stock. The Evergy Companies have certain restrictions stemming from statutory requirements, corporate organizational documents, covenants and other conditions that could affect dividend levels or the ability to pay dividends.</w:t>
      </w:r>
    </w:p>
    <w:p>
      <w:pPr>
        <w:spacing w:after="0" w:line="133" w:lineRule="exact"/>
        <w:rPr>
          <w:sz w:val="20"/>
          <w:szCs w:val="20"/>
          <w:color w:val="auto"/>
        </w:rPr>
      </w:pPr>
    </w:p>
    <w:p>
      <w:pPr>
        <w:ind w:right="280"/>
        <w:spacing w:after="0" w:line="264" w:lineRule="auto"/>
        <w:rPr>
          <w:sz w:val="20"/>
          <w:szCs w:val="20"/>
          <w:color w:val="auto"/>
        </w:rPr>
      </w:pPr>
      <w:r>
        <w:rPr>
          <w:rFonts w:ascii="Arial" w:cs="Arial" w:eastAsia="Arial" w:hAnsi="Arial"/>
          <w:sz w:val="19"/>
          <w:szCs w:val="19"/>
          <w:color w:val="auto"/>
        </w:rPr>
        <w:t>The KCC order authorizing the merger transaction requires Evergy to maintain consolidated common equity of at least 35% of total consolidated capitalization.</w:t>
      </w:r>
    </w:p>
    <w:p>
      <w:pPr>
        <w:spacing w:after="0" w:line="16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Under the Federal Power Act, Evergy Kansas Central, Evergy Metro and Evergy Missouri West generally can pay dividends only out of retained earnings. Certain conditions in the MPSC and KCC orders authorizing the merger transaction also require Evergy Kansas Central and Evergy Metro to maintain consolidated common equity of at least 40% of total capitalization. Other conditions in the MPSC and KCC merger orders require Evergy Kansas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4" w:name="page145"/>
    <w:bookmarkEnd w:id="14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Central, Evergy Metro and Evergy Missouri West to maintain credit ratings of at least investment grade. If Evergy Kansas Central's, Evergy Metro's or Evergy Missouri West's credit ratings are downgraded below the investment grade level as a result of their affiliation with Evergy or any of Evergy's affiliates, the impacted utility shall not pay a dividend to Evergy without KCC or MPSC approval or until the impacted utility's investment grade credit rating has been restored.</w:t>
      </w:r>
    </w:p>
    <w:p>
      <w:pPr>
        <w:spacing w:after="0" w:line="180"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color w:val="auto"/>
        </w:rPr>
        <w:t>The master credit facility of Evergy, Evergy Kansas Central, Evergy Metro and Evergy Missouri West and the note purchase agreements for certain Evergy Missouri West senior notes contain covenants requiring the respective company to maintain a consolidated indebtedness to consolidated total capitalization ratio of not more than 0.65 to 1.00 at all times.</w:t>
      </w:r>
    </w:p>
    <w:p>
      <w:pPr>
        <w:spacing w:after="0" w:line="176"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As of December 31, 2021, all of Evergy's and Evergy Kansas Central's retained earnings and net income were free of restrictions and Evergy Metro had a retained earnings restriction of $386.9 million. As of December 31, 2021, Evergy's subsidiaries had restricted net assets of approximately $5.7 billion. These restrictions are not expected to affect the Evergy Companies' ability to pay dividends at the current level for the foreseeable future.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 VARIABLE INTEREST ENTITIES</w:t>
      </w:r>
    </w:p>
    <w:p>
      <w:pPr>
        <w:spacing w:after="0" w:line="110"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In determining the primary beneficiary of a VIE, the Evergy Companies assess the entity's purpose and design, including the nature of the entity's activities and the risks that the entity was designed to create and pass through to its variable interest holders. A reporting enterprise is deemed to be the primary beneficiary of a VIE if it has (a) the power to direct the activities of the VIE that most significantly impact the VIE's economic performance and (b) the obligation to absorb losses or right to receive benefits from the VIE that could potentially be significant to the VIE. The primary beneficiary of a VIE is required to consolidate the VIE. The trust holding an 8% interest in JEC was a VIE until the expiration of a purchase option in July 2017 and then became a VIE again during 2019 until the 8% interest was purchased by Evergy Kansas Central in August 2019. The trust holding Evergy Kansas Central's 50% interest in La Cygne Unit 2 is a VIE and Evergy Kansas Central remains the primary beneficiary of the trust.</w:t>
      </w:r>
    </w:p>
    <w:p>
      <w:pPr>
        <w:spacing w:after="0" w:line="183"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All involvement with entities by the Evergy Companies is assessed to determine whether such entities are VIEs and, if so, whether or not the Evergy Companies are the primary beneficiaries of the entities. The Evergy Companies also continuously assess whether they are the primary beneficiary of the VIE with which they are involved. Prospective changes in facts and circumstances may cause identification of the primary beneficiary to be reconsidered.</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Interest in JEC</w:t>
      </w:r>
    </w:p>
    <w:p>
      <w:pPr>
        <w:spacing w:after="0" w:line="2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an agreement that expired in August 2019, Evergy Kansas Central leased an 8% interest in JEC from a trust. The trust was financed with an equity contribution from an owner participant and debt issued by the trust. The trust was created specifically to purchase the 8% interest in JEC and lease it to a third party and did not hold any other assets. Evergy Kansas Central met the requirements to be considered the primary beneficiary of the trust until July 2017, when a contractual option to purchase the 8% interest in the plant covered by the lease expired. Accordingly, Evergy Kansas Central deconsolidated the trust in 2017. Evergy Kansas Central then reconsolidated the trust as a VIE in the first quarter of 2019 following an agreement with the owner to purchase the 8% interest in JEC from the trust in August 2019. Evergy Kansas Central deconsolidated the trust for the final time following the closing of this purchase in August 2019.</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50% Interest in La Cygne Unit 2</w:t>
      </w:r>
    </w:p>
    <w:p>
      <w:pPr>
        <w:spacing w:after="0" w:line="23" w:lineRule="exact"/>
        <w:rPr>
          <w:sz w:val="20"/>
          <w:szCs w:val="20"/>
          <w:color w:val="auto"/>
        </w:rPr>
      </w:pPr>
    </w:p>
    <w:p>
      <w:pPr>
        <w:ind w:right="160"/>
        <w:spacing w:after="0" w:line="241" w:lineRule="auto"/>
        <w:rPr>
          <w:sz w:val="20"/>
          <w:szCs w:val="20"/>
          <w:color w:val="auto"/>
        </w:rPr>
      </w:pPr>
      <w:r>
        <w:rPr>
          <w:rFonts w:ascii="Arial" w:cs="Arial" w:eastAsia="Arial" w:hAnsi="Arial"/>
          <w:sz w:val="19"/>
          <w:szCs w:val="19"/>
          <w:color w:val="auto"/>
        </w:rPr>
        <w:t>Under an agreement that expires in September 2029, Evergy Kansas Central entered into a sale-leaseback transaction with a trust under which the trust purchased Evergy Kansas Central's 50% interest in La Cygne Unit 2 and subsequently leased it back to Evergy Kansas Central. The trust was financed with an equity contribution from an owner participant and debt issued by the trust. The trust was created specifically to purchase the 50% interest in La Cygne Unit 2 and lease it back to Evergy Kansas Central and does not hold any other assets. Evergy Kansas Central meets the requirements to be considered the primary beneficiary of the trust. In determining the primary beneficiary of the trust, Evergy Kansas Central concluded that the activities of the trust that most significantly impact its economic performance and that Evergy Kansas Central has the power to direct include (1) the operation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5" w:name="page146"/>
    <w:bookmarkEnd w:id="14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460"/>
        <w:spacing w:after="0" w:line="296" w:lineRule="auto"/>
        <w:rPr>
          <w:sz w:val="20"/>
          <w:szCs w:val="20"/>
          <w:color w:val="auto"/>
        </w:rPr>
      </w:pPr>
      <w:r>
        <w:rPr>
          <w:rFonts w:ascii="Arial" w:cs="Arial" w:eastAsia="Arial" w:hAnsi="Arial"/>
          <w:sz w:val="17"/>
          <w:szCs w:val="17"/>
          <w:color w:val="auto"/>
        </w:rPr>
        <w:t>and maintenance of the 50% interest in La Cygne Unit 2 and (2) Evergy Kansas Central's ability to exercise a purchase option at the end of the agreement at the lesser of fair value or a fixed amount. Evergy Kansas Central has the potential to receive benefits from the trust that could potentially be significant if the fair value of the 50% interest in La Cygne Unit 2 at the end of the agreement is greater than the fixed amount.</w:t>
      </w:r>
    </w:p>
    <w:p>
      <w:pPr>
        <w:spacing w:after="0" w:line="141" w:lineRule="exact"/>
        <w:rPr>
          <w:sz w:val="20"/>
          <w:szCs w:val="20"/>
          <w:color w:val="auto"/>
        </w:rPr>
      </w:pPr>
    </w:p>
    <w:p>
      <w:pPr>
        <w:ind w:right="540"/>
        <w:spacing w:after="0" w:line="264" w:lineRule="auto"/>
        <w:rPr>
          <w:sz w:val="20"/>
          <w:szCs w:val="20"/>
          <w:color w:val="auto"/>
        </w:rPr>
      </w:pPr>
      <w:r>
        <w:rPr>
          <w:rFonts w:ascii="Arial" w:cs="Arial" w:eastAsia="Arial" w:hAnsi="Arial"/>
          <w:sz w:val="19"/>
          <w:szCs w:val="19"/>
          <w:color w:val="auto"/>
        </w:rPr>
        <w:t>The following table summarizes the assets and liabilities related to the VIE described above that are recorded on Evergy's and Evergy Kansas Central's consolidated balance sheets.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636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2021</w:t>
            </w:r>
          </w:p>
        </w:tc>
        <w:tc>
          <w:tcPr>
            <w:tcW w:w="1180" w:type="dxa"/>
            <w:vAlign w:val="bottom"/>
            <w:tcBorders>
              <w:top w:val="single" w:sz="8" w:color="auto"/>
            </w:tcBorders>
            <w:gridSpan w:val="2"/>
          </w:tcPr>
          <w:p>
            <w:pPr>
              <w:jc w:val="right"/>
              <w:ind w:right="14"/>
              <w:spacing w:after="0"/>
              <w:rPr>
                <w:sz w:val="20"/>
                <w:szCs w:val="20"/>
                <w:color w:val="auto"/>
              </w:rPr>
            </w:pPr>
            <w:r>
              <w:rPr>
                <w:rFonts w:ascii="Arial" w:cs="Arial" w:eastAsia="Arial" w:hAnsi="Arial"/>
                <w:sz w:val="17"/>
                <w:szCs w:val="17"/>
                <w:b w:val="1"/>
                <w:bCs w:val="1"/>
                <w:color w:val="auto"/>
              </w:rPr>
              <w:t>December 31</w:t>
            </w:r>
          </w:p>
        </w:tc>
        <w:tc>
          <w:tcPr>
            <w:tcW w:w="98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2700" w:type="dxa"/>
            <w:vAlign w:val="bottom"/>
          </w:tcPr>
          <w:p>
            <w:pPr>
              <w:spacing w:after="0"/>
              <w:rPr>
                <w:sz w:val="18"/>
                <w:szCs w:val="18"/>
                <w:color w:val="auto"/>
              </w:rPr>
            </w:pPr>
          </w:p>
        </w:tc>
        <w:tc>
          <w:tcPr>
            <w:tcW w:w="1180" w:type="dxa"/>
            <w:vAlign w:val="bottom"/>
            <w:gridSpan w:val="2"/>
          </w:tcPr>
          <w:p>
            <w:pPr>
              <w:jc w:val="right"/>
              <w:ind w:right="174"/>
              <w:spacing w:after="0"/>
              <w:rPr>
                <w:sz w:val="20"/>
                <w:szCs w:val="20"/>
                <w:color w:val="auto"/>
              </w:rPr>
            </w:pPr>
            <w:r>
              <w:rPr>
                <w:rFonts w:ascii="Arial" w:cs="Arial" w:eastAsia="Arial" w:hAnsi="Arial"/>
                <w:sz w:val="15"/>
                <w:szCs w:val="15"/>
                <w:color w:val="auto"/>
              </w:rPr>
              <w:t>(millions)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plant and equipment of variable interest entities, net</w:t>
            </w:r>
          </w:p>
        </w:tc>
        <w:tc>
          <w:tcPr>
            <w:tcW w:w="270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147.8</w:t>
            </w:r>
          </w:p>
        </w:tc>
        <w:tc>
          <w:tcPr>
            <w:tcW w:w="60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Current maturities of long-term debt of variable interest entities</w:t>
            </w:r>
          </w:p>
        </w:tc>
        <w:tc>
          <w:tcPr>
            <w:tcW w:w="270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auto"/>
            </w:tcBorders>
          </w:tcPr>
          <w:p>
            <w:pPr>
              <w:ind w:left="200"/>
              <w:spacing w:after="0" w:line="219" w:lineRule="exact"/>
              <w:rPr>
                <w:sz w:val="20"/>
                <w:szCs w:val="20"/>
                <w:color w:val="auto"/>
              </w:rPr>
            </w:pPr>
            <w:r>
              <w:rPr>
                <w:rFonts w:ascii="Arial" w:cs="Arial" w:eastAsia="Arial" w:hAnsi="Arial"/>
                <w:sz w:val="17"/>
                <w:szCs w:val="17"/>
                <w:color w:val="auto"/>
              </w:rPr>
              <w:t>Accrued interest</w:t>
            </w:r>
            <w:r>
              <w:rPr>
                <w:rFonts w:ascii="Arial" w:cs="Arial" w:eastAsia="Arial" w:hAnsi="Arial"/>
                <w:sz w:val="22"/>
                <w:szCs w:val="22"/>
                <w:color w:val="auto"/>
                <w:vertAlign w:val="superscript"/>
              </w:rPr>
              <w:t>(a)</w:t>
            </w:r>
          </w:p>
        </w:tc>
        <w:tc>
          <w:tcPr>
            <w:tcW w:w="2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60" w:hanging="157"/>
        <w:spacing w:after="0"/>
        <w:tabs>
          <w:tab w:leader="none" w:pos="160"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color w:val="auto"/>
        </w:rPr>
        <w:t>Included in accrued interest on Evergy's and Evergy Kansas Central's consolidated balance sheets.</w:t>
      </w:r>
    </w:p>
    <w:p>
      <w:pPr>
        <w:spacing w:after="0" w:line="18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All of the liabilities noted in the table above relate to the purchase of the property, plant and equipment of the VIE. The assets of the VIE can be used only to settle obligations of the VIE and the VIE's debt holders have no recourse to the general credit of Evergy and Evergy Kansas Central. Evergy and Evergy Kansas Central have not provided financial or other support to the VIE and are not required to provide such support. Evergy and Evergy Kansas Central did not record any gain or loss upon the initial consolidation of the VIE.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19. TAXES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Components of income tax expense are detailed in the following tables.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w:t>
            </w: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2019</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color w:val="auto"/>
              </w:rPr>
              <w:t>Current income taxes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5"/>
              <w:spacing w:after="0"/>
              <w:rPr>
                <w:sz w:val="20"/>
                <w:szCs w:val="20"/>
                <w:color w:val="auto"/>
              </w:rPr>
            </w:pPr>
            <w:r>
              <w:rPr>
                <w:rFonts w:ascii="Arial" w:cs="Arial" w:eastAsia="Arial" w:hAnsi="Arial"/>
                <w:sz w:val="15"/>
                <w:szCs w:val="15"/>
                <w:color w:val="auto"/>
              </w:rPr>
              <w:t>(millions)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15.6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(26.8)</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r>
      <w:tr>
        <w:trPr>
          <w:trHeight w:val="218"/>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State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r>
      <w:tr>
        <w:trPr>
          <w:trHeight w:val="212"/>
        </w:trPr>
        <w:tc>
          <w:tcPr>
            <w:tcW w:w="7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15.2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(24.7)</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12"/>
        </w:trPr>
        <w:tc>
          <w:tcPr>
            <w:tcW w:w="784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92.8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73.1</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w:t>
            </w:r>
          </w:p>
        </w:tc>
      </w:tr>
      <w:tr>
        <w:trPr>
          <w:trHeight w:val="218"/>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State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14.7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59.8</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r>
      <w:tr>
        <w:trPr>
          <w:trHeight w:val="212"/>
        </w:trPr>
        <w:tc>
          <w:tcPr>
            <w:tcW w:w="7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107.5</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132.9</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120.7</w:t>
            </w:r>
          </w:p>
        </w:tc>
      </w:tr>
      <w:tr>
        <w:trPr>
          <w:trHeight w:val="212"/>
        </w:trPr>
        <w:tc>
          <w:tcPr>
            <w:tcW w:w="7840" w:type="dxa"/>
            <w:vAlign w:val="bottom"/>
          </w:tcPr>
          <w:p>
            <w:pPr>
              <w:ind w:left="20"/>
              <w:spacing w:after="0"/>
              <w:rPr>
                <w:sz w:val="20"/>
                <w:szCs w:val="20"/>
                <w:color w:val="auto"/>
              </w:rPr>
            </w:pPr>
            <w:r>
              <w:rPr>
                <w:rFonts w:ascii="Arial" w:cs="Arial" w:eastAsia="Arial" w:hAnsi="Arial"/>
                <w:sz w:val="17"/>
                <w:szCs w:val="17"/>
                <w:color w:val="auto"/>
              </w:rPr>
              <w:t>Investment tax credit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Deferral</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8"/>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Amortization</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r>
      <w:tr>
        <w:trPr>
          <w:trHeight w:val="212"/>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(6.0)</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19"/>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117.4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102.2</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6" w:name="page147"/>
    <w:bookmarkEnd w:id="14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2019</w:t>
            </w:r>
          </w:p>
        </w:tc>
      </w:tr>
      <w:tr>
        <w:trPr>
          <w:trHeight w:val="211"/>
        </w:trPr>
        <w:tc>
          <w:tcPr>
            <w:tcW w:w="7860" w:type="dxa"/>
            <w:vAlign w:val="bottom"/>
          </w:tcPr>
          <w:p>
            <w:pPr>
              <w:ind w:left="20"/>
              <w:spacing w:after="0"/>
              <w:rPr>
                <w:sz w:val="20"/>
                <w:szCs w:val="20"/>
                <w:color w:val="auto"/>
              </w:rPr>
            </w:pPr>
            <w:r>
              <w:rPr>
                <w:rFonts w:ascii="Arial" w:cs="Arial" w:eastAsia="Arial" w:hAnsi="Arial"/>
                <w:sz w:val="17"/>
                <w:szCs w:val="17"/>
                <w:color w:val="auto"/>
              </w:rPr>
              <w:t>Current income taxes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15"/>
              <w:spacing w:after="0"/>
              <w:rPr>
                <w:sz w:val="20"/>
                <w:szCs w:val="20"/>
                <w:color w:val="auto"/>
              </w:rPr>
            </w:pPr>
            <w:r>
              <w:rPr>
                <w:rFonts w:ascii="Arial" w:cs="Arial" w:eastAsia="Arial" w:hAnsi="Arial"/>
                <w:sz w:val="15"/>
                <w:szCs w:val="15"/>
                <w:color w:val="auto"/>
              </w:rPr>
              <w:t>(millions)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0"/>
        </w:trPr>
        <w:tc>
          <w:tcPr>
            <w:tcW w:w="7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53.3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14.5</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r>
      <w:tr>
        <w:trPr>
          <w:trHeight w:val="218"/>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State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(0.2)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12"/>
        </w:trPr>
        <w:tc>
          <w:tcPr>
            <w:tcW w:w="78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53.1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9.2</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r>
      <w:tr>
        <w:trPr>
          <w:trHeight w:val="212"/>
        </w:trPr>
        <w:tc>
          <w:tcPr>
            <w:tcW w:w="78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0"/>
        </w:trPr>
        <w:tc>
          <w:tcPr>
            <w:tcW w:w="7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(16.7)</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18"/>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State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168.1</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r>
      <w:tr>
        <w:trPr>
          <w:trHeight w:val="212"/>
        </w:trPr>
        <w:tc>
          <w:tcPr>
            <w:tcW w:w="78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2.6</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151.4</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12"/>
        </w:trPr>
        <w:tc>
          <w:tcPr>
            <w:tcW w:w="7860" w:type="dxa"/>
            <w:vAlign w:val="bottom"/>
          </w:tcPr>
          <w:p>
            <w:pPr>
              <w:ind w:left="20"/>
              <w:spacing w:after="0"/>
              <w:rPr>
                <w:sz w:val="20"/>
                <w:szCs w:val="20"/>
                <w:color w:val="auto"/>
              </w:rPr>
            </w:pPr>
            <w:r>
              <w:rPr>
                <w:rFonts w:ascii="Arial" w:cs="Arial" w:eastAsia="Arial" w:hAnsi="Arial"/>
                <w:sz w:val="17"/>
                <w:szCs w:val="17"/>
                <w:color w:val="auto"/>
              </w:rPr>
              <w:t>Investment tax credit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0"/>
        </w:trPr>
        <w:tc>
          <w:tcPr>
            <w:tcW w:w="7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Deferral</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0.3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8"/>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Amortization</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(4.3)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(4.8)</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12"/>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(4.0)</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(4.8)</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9"/>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51.7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155.8</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w:t>
            </w: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Metro</w:t>
            </w: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2019</w:t>
            </w:r>
          </w:p>
        </w:tc>
      </w:tr>
      <w:tr>
        <w:trPr>
          <w:trHeight w:val="211"/>
        </w:trPr>
        <w:tc>
          <w:tcPr>
            <w:tcW w:w="7860" w:type="dxa"/>
            <w:vAlign w:val="bottom"/>
          </w:tcPr>
          <w:p>
            <w:pPr>
              <w:ind w:left="20"/>
              <w:spacing w:after="0"/>
              <w:rPr>
                <w:sz w:val="20"/>
                <w:szCs w:val="20"/>
                <w:color w:val="auto"/>
              </w:rPr>
            </w:pPr>
            <w:r>
              <w:rPr>
                <w:rFonts w:ascii="Arial" w:cs="Arial" w:eastAsia="Arial" w:hAnsi="Arial"/>
                <w:sz w:val="17"/>
                <w:szCs w:val="17"/>
                <w:color w:val="auto"/>
              </w:rPr>
              <w:t>Current income taxes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15"/>
              <w:spacing w:after="0"/>
              <w:rPr>
                <w:sz w:val="20"/>
                <w:szCs w:val="20"/>
                <w:color w:val="auto"/>
              </w:rPr>
            </w:pPr>
            <w:r>
              <w:rPr>
                <w:rFonts w:ascii="Arial" w:cs="Arial" w:eastAsia="Arial" w:hAnsi="Arial"/>
                <w:sz w:val="15"/>
                <w:szCs w:val="15"/>
                <w:color w:val="auto"/>
              </w:rPr>
              <w:t>(millions)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0"/>
        </w:trPr>
        <w:tc>
          <w:tcPr>
            <w:tcW w:w="7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39.2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(0.2)</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r>
      <w:tr>
        <w:trPr>
          <w:trHeight w:val="218"/>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State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10.8</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r>
      <w:tr>
        <w:trPr>
          <w:trHeight w:val="212"/>
        </w:trPr>
        <w:tc>
          <w:tcPr>
            <w:tcW w:w="78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42.4</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10.6</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w:t>
            </w:r>
          </w:p>
        </w:tc>
      </w:tr>
      <w:tr>
        <w:trPr>
          <w:trHeight w:val="212"/>
        </w:trPr>
        <w:tc>
          <w:tcPr>
            <w:tcW w:w="78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0"/>
        </w:trPr>
        <w:tc>
          <w:tcPr>
            <w:tcW w:w="7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29.8</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18"/>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State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4.8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(32.2)</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r>
      <w:tr>
        <w:trPr>
          <w:trHeight w:val="212"/>
        </w:trPr>
        <w:tc>
          <w:tcPr>
            <w:tcW w:w="78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11.3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(2.4)</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w:t>
            </w:r>
          </w:p>
        </w:tc>
      </w:tr>
      <w:tr>
        <w:trPr>
          <w:trHeight w:val="212"/>
        </w:trPr>
        <w:tc>
          <w:tcPr>
            <w:tcW w:w="7860" w:type="dxa"/>
            <w:vAlign w:val="bottom"/>
          </w:tcPr>
          <w:p>
            <w:pPr>
              <w:ind w:left="20"/>
              <w:spacing w:after="0"/>
              <w:rPr>
                <w:sz w:val="20"/>
                <w:szCs w:val="20"/>
                <w:color w:val="auto"/>
              </w:rPr>
            </w:pPr>
            <w:r>
              <w:rPr>
                <w:rFonts w:ascii="Arial" w:cs="Arial" w:eastAsia="Arial" w:hAnsi="Arial"/>
                <w:sz w:val="17"/>
                <w:szCs w:val="17"/>
                <w:color w:val="auto"/>
              </w:rPr>
              <w:t>Investment tax credit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0"/>
        </w:trPr>
        <w:tc>
          <w:tcPr>
            <w:tcW w:w="7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(1.3)</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1"/>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(1.1)</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19"/>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52.4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7.1</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Effective Income Tax Rates</w:t>
      </w:r>
    </w:p>
    <w:p>
      <w:pPr>
        <w:spacing w:after="0" w:line="23"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Effective income tax rates reflected in the financial statements and the reasons for their differences from the statutory federal rates are detailed in the following tables.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w:t>
            </w:r>
          </w:p>
        </w:tc>
        <w:tc>
          <w:tcPr>
            <w:tcW w:w="30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2020</w:t>
            </w:r>
          </w:p>
        </w:tc>
        <w:tc>
          <w:tcPr>
            <w:tcW w:w="10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2019</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statutory income tax</w:t>
            </w:r>
          </w:p>
        </w:tc>
        <w:tc>
          <w:tcPr>
            <w:tcW w:w="30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21.0 %</w:t>
            </w:r>
          </w:p>
        </w:tc>
        <w:tc>
          <w:tcPr>
            <w:tcW w:w="13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21.0 %</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COLI policies</w:t>
            </w:r>
          </w:p>
        </w:tc>
        <w:tc>
          <w:tcPr>
            <w:tcW w:w="3060" w:type="dxa"/>
            <w:vAlign w:val="bottom"/>
          </w:tcPr>
          <w:p>
            <w:pPr>
              <w:jc w:val="right"/>
              <w:ind w:right="374"/>
              <w:spacing w:after="0"/>
              <w:rPr>
                <w:sz w:val="20"/>
                <w:szCs w:val="20"/>
                <w:color w:val="auto"/>
              </w:rPr>
            </w:pPr>
            <w:r>
              <w:rPr>
                <w:rFonts w:ascii="Arial" w:cs="Arial" w:eastAsia="Arial" w:hAnsi="Arial"/>
                <w:sz w:val="17"/>
                <w:szCs w:val="17"/>
                <w:color w:val="auto"/>
              </w:rPr>
              <w:t>(1.0)</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(1.6)</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(1.8)</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income taxes</w:t>
            </w:r>
          </w:p>
        </w:tc>
        <w:tc>
          <w:tcPr>
            <w:tcW w:w="30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1.0</w:t>
            </w:r>
          </w:p>
        </w:tc>
        <w:tc>
          <w:tcPr>
            <w:tcW w:w="13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4.3</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5.0</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Flow through depreciation for plant-related differences</w:t>
            </w:r>
          </w:p>
        </w:tc>
        <w:tc>
          <w:tcPr>
            <w:tcW w:w="3060" w:type="dxa"/>
            <w:vAlign w:val="bottom"/>
          </w:tcPr>
          <w:p>
            <w:pPr>
              <w:jc w:val="right"/>
              <w:ind w:right="374"/>
              <w:spacing w:after="0"/>
              <w:rPr>
                <w:sz w:val="20"/>
                <w:szCs w:val="20"/>
                <w:color w:val="auto"/>
              </w:rPr>
            </w:pPr>
            <w:r>
              <w:rPr>
                <w:rFonts w:ascii="Arial" w:cs="Arial" w:eastAsia="Arial" w:hAnsi="Arial"/>
                <w:sz w:val="17"/>
                <w:szCs w:val="17"/>
                <w:color w:val="auto"/>
              </w:rPr>
              <w:t>(5.4)</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(5.3)</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(4.5)</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tax credits</w:t>
            </w:r>
          </w:p>
        </w:tc>
        <w:tc>
          <w:tcPr>
            <w:tcW w:w="30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(2.8)</w:t>
            </w:r>
          </w:p>
        </w:tc>
        <w:tc>
          <w:tcPr>
            <w:tcW w:w="13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(4.6)</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(4.9)</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Non-controlling interest</w:t>
            </w:r>
          </w:p>
        </w:tc>
        <w:tc>
          <w:tcPr>
            <w:tcW w:w="3060" w:type="dxa"/>
            <w:vAlign w:val="bottom"/>
          </w:tcPr>
          <w:p>
            <w:pPr>
              <w:jc w:val="right"/>
              <w:ind w:right="374"/>
              <w:spacing w:after="0"/>
              <w:rPr>
                <w:sz w:val="20"/>
                <w:szCs w:val="20"/>
                <w:color w:val="auto"/>
              </w:rPr>
            </w:pPr>
            <w:r>
              <w:rPr>
                <w:rFonts w:ascii="Arial" w:cs="Arial" w:eastAsia="Arial" w:hAnsi="Arial"/>
                <w:sz w:val="17"/>
                <w:szCs w:val="17"/>
                <w:color w:val="auto"/>
              </w:rPr>
              <w:t>(0.3)</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(0.3)</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(0.4)</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AFUDC equity</w:t>
            </w:r>
          </w:p>
        </w:tc>
        <w:tc>
          <w:tcPr>
            <w:tcW w:w="30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(0.6)</w:t>
            </w:r>
          </w:p>
        </w:tc>
        <w:tc>
          <w:tcPr>
            <w:tcW w:w="13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(0.5)</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(0.1)</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Amortization of federal investment tax credits</w:t>
            </w:r>
          </w:p>
        </w:tc>
        <w:tc>
          <w:tcPr>
            <w:tcW w:w="3060" w:type="dxa"/>
            <w:vAlign w:val="bottom"/>
          </w:tcPr>
          <w:p>
            <w:pPr>
              <w:jc w:val="right"/>
              <w:ind w:right="374"/>
              <w:spacing w:after="0"/>
              <w:rPr>
                <w:sz w:val="20"/>
                <w:szCs w:val="20"/>
                <w:color w:val="auto"/>
              </w:rPr>
            </w:pPr>
            <w:r>
              <w:rPr>
                <w:rFonts w:ascii="Arial" w:cs="Arial" w:eastAsia="Arial" w:hAnsi="Arial"/>
                <w:sz w:val="17"/>
                <w:szCs w:val="17"/>
                <w:color w:val="auto"/>
              </w:rPr>
              <w:t>(0.4)</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(0.6)</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(0.5)</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uncertain tax positions, net</w:t>
            </w:r>
          </w:p>
        </w:tc>
        <w:tc>
          <w:tcPr>
            <w:tcW w:w="30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(0.2)</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Federal or state tax rate change</w:t>
            </w:r>
          </w:p>
        </w:tc>
        <w:tc>
          <w:tcPr>
            <w:tcW w:w="3060" w:type="dxa"/>
            <w:vAlign w:val="bottom"/>
          </w:tcPr>
          <w:p>
            <w:pPr>
              <w:jc w:val="right"/>
              <w:ind w:right="414"/>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14"/>
              <w:spacing w:after="0"/>
              <w:rPr>
                <w:sz w:val="20"/>
                <w:szCs w:val="20"/>
                <w:color w:val="auto"/>
              </w:rPr>
            </w:pPr>
            <w:r>
              <w:rPr>
                <w:rFonts w:ascii="Arial" w:cs="Arial" w:eastAsia="Arial" w:hAnsi="Arial"/>
                <w:sz w:val="17"/>
                <w:szCs w:val="17"/>
                <w:color w:val="auto"/>
              </w:rPr>
              <w:t>1.9</w:t>
            </w: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30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(0.2)</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Stock compensation</w:t>
            </w:r>
          </w:p>
        </w:tc>
        <w:tc>
          <w:tcPr>
            <w:tcW w:w="3060" w:type="dxa"/>
            <w:vAlign w:val="bottom"/>
          </w:tcPr>
          <w:p>
            <w:pPr>
              <w:jc w:val="right"/>
              <w:ind w:right="414"/>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(0.1)</w:t>
            </w: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0.1</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Officer compensation limitation</w:t>
            </w:r>
          </w:p>
        </w:tc>
        <w:tc>
          <w:tcPr>
            <w:tcW w:w="30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0.5</w:t>
            </w:r>
          </w:p>
        </w:tc>
        <w:tc>
          <w:tcPr>
            <w:tcW w:w="13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0.2</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0.1</w:t>
            </w:r>
          </w:p>
        </w:tc>
      </w:tr>
      <w:tr>
        <w:trPr>
          <w:trHeight w:val="218"/>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0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(0.4)</w:t>
            </w:r>
          </w:p>
        </w:tc>
        <w:tc>
          <w:tcPr>
            <w:tcW w:w="13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(0.2)</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(0.4)</w:t>
            </w:r>
          </w:p>
        </w:tc>
      </w:tr>
      <w:tr>
        <w:trPr>
          <w:trHeight w:val="219"/>
        </w:trPr>
        <w:tc>
          <w:tcPr>
            <w:tcW w:w="5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Effective income tax rate</w:t>
            </w:r>
          </w:p>
        </w:tc>
        <w:tc>
          <w:tcPr>
            <w:tcW w:w="30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11.6 %</w:t>
            </w:r>
          </w:p>
        </w:tc>
        <w:tc>
          <w:tcPr>
            <w:tcW w:w="13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14.0 %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7" w:name="page148"/>
    <w:bookmarkEnd w:id="14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30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2020</w:t>
            </w:r>
          </w:p>
        </w:tc>
        <w:tc>
          <w:tcPr>
            <w:tcW w:w="10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2019</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statutory income tax</w:t>
            </w:r>
          </w:p>
        </w:tc>
        <w:tc>
          <w:tcPr>
            <w:tcW w:w="30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21.0 %</w:t>
            </w:r>
          </w:p>
        </w:tc>
        <w:tc>
          <w:tcPr>
            <w:tcW w:w="13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21.0 %</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COLI policies</w:t>
            </w:r>
          </w:p>
        </w:tc>
        <w:tc>
          <w:tcPr>
            <w:tcW w:w="3060" w:type="dxa"/>
            <w:vAlign w:val="bottom"/>
          </w:tcPr>
          <w:p>
            <w:pPr>
              <w:jc w:val="right"/>
              <w:ind w:right="374"/>
              <w:spacing w:after="0"/>
              <w:rPr>
                <w:sz w:val="20"/>
                <w:szCs w:val="20"/>
                <w:color w:val="auto"/>
              </w:rPr>
            </w:pPr>
            <w:r>
              <w:rPr>
                <w:rFonts w:ascii="Arial" w:cs="Arial" w:eastAsia="Arial" w:hAnsi="Arial"/>
                <w:sz w:val="17"/>
                <w:szCs w:val="17"/>
                <w:color w:val="auto"/>
              </w:rPr>
              <w:t>(1.7)</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(2.8)</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(3.3)</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income taxes</w:t>
            </w:r>
          </w:p>
        </w:tc>
        <w:tc>
          <w:tcPr>
            <w:tcW w:w="30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(0.4)</w:t>
            </w:r>
          </w:p>
        </w:tc>
        <w:tc>
          <w:tcPr>
            <w:tcW w:w="13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3.8</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5.3</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Flow through depreciation for plant-related differences</w:t>
            </w:r>
          </w:p>
        </w:tc>
        <w:tc>
          <w:tcPr>
            <w:tcW w:w="3060" w:type="dxa"/>
            <w:vAlign w:val="bottom"/>
          </w:tcPr>
          <w:p>
            <w:pPr>
              <w:jc w:val="right"/>
              <w:ind w:right="374"/>
              <w:spacing w:after="0"/>
              <w:rPr>
                <w:sz w:val="20"/>
                <w:szCs w:val="20"/>
                <w:color w:val="auto"/>
              </w:rPr>
            </w:pPr>
            <w:r>
              <w:rPr>
                <w:rFonts w:ascii="Arial" w:cs="Arial" w:eastAsia="Arial" w:hAnsi="Arial"/>
                <w:sz w:val="17"/>
                <w:szCs w:val="17"/>
                <w:color w:val="auto"/>
              </w:rPr>
              <w:t>(3.0)</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(0.1)</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(0.1)</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tax credits</w:t>
            </w:r>
          </w:p>
        </w:tc>
        <w:tc>
          <w:tcPr>
            <w:tcW w:w="30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(5.0)</w:t>
            </w:r>
          </w:p>
        </w:tc>
        <w:tc>
          <w:tcPr>
            <w:tcW w:w="13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(7.1)</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(7.4)</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Non-controlling interest</w:t>
            </w:r>
          </w:p>
        </w:tc>
        <w:tc>
          <w:tcPr>
            <w:tcW w:w="3060" w:type="dxa"/>
            <w:vAlign w:val="bottom"/>
          </w:tcPr>
          <w:p>
            <w:pPr>
              <w:jc w:val="right"/>
              <w:ind w:right="374"/>
              <w:spacing w:after="0"/>
              <w:rPr>
                <w:sz w:val="20"/>
                <w:szCs w:val="20"/>
                <w:color w:val="auto"/>
              </w:rPr>
            </w:pPr>
            <w:r>
              <w:rPr>
                <w:rFonts w:ascii="Arial" w:cs="Arial" w:eastAsia="Arial" w:hAnsi="Arial"/>
                <w:sz w:val="17"/>
                <w:szCs w:val="17"/>
                <w:color w:val="auto"/>
              </w:rPr>
              <w:t>(0.5)</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(0.6)</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(0.8)</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AFUDC equity</w:t>
            </w:r>
          </w:p>
        </w:tc>
        <w:tc>
          <w:tcPr>
            <w:tcW w:w="30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(0.6)</w:t>
            </w:r>
          </w:p>
        </w:tc>
        <w:tc>
          <w:tcPr>
            <w:tcW w:w="13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(0.5)</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(0.1)</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Amortization of federal investment tax credits</w:t>
            </w:r>
          </w:p>
        </w:tc>
        <w:tc>
          <w:tcPr>
            <w:tcW w:w="3060" w:type="dxa"/>
            <w:vAlign w:val="bottom"/>
          </w:tcPr>
          <w:p>
            <w:pPr>
              <w:jc w:val="right"/>
              <w:ind w:right="374"/>
              <w:spacing w:after="0"/>
              <w:rPr>
                <w:sz w:val="20"/>
                <w:szCs w:val="20"/>
                <w:color w:val="auto"/>
              </w:rPr>
            </w:pPr>
            <w:r>
              <w:rPr>
                <w:rFonts w:ascii="Arial" w:cs="Arial" w:eastAsia="Arial" w:hAnsi="Arial"/>
                <w:sz w:val="17"/>
                <w:szCs w:val="17"/>
                <w:color w:val="auto"/>
              </w:rPr>
              <w:t>(0.5)</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(0.7)</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(0.7)</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uncertain tax positions, net</w:t>
            </w:r>
          </w:p>
        </w:tc>
        <w:tc>
          <w:tcPr>
            <w:tcW w:w="30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(0.4)</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Federal or state tax rate change</w:t>
            </w:r>
          </w:p>
        </w:tc>
        <w:tc>
          <w:tcPr>
            <w:tcW w:w="3060" w:type="dxa"/>
            <w:vAlign w:val="bottom"/>
          </w:tcPr>
          <w:p>
            <w:pPr>
              <w:jc w:val="right"/>
              <w:ind w:right="414"/>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14"/>
              <w:spacing w:after="0"/>
              <w:rPr>
                <w:sz w:val="20"/>
                <w:szCs w:val="20"/>
                <w:color w:val="auto"/>
              </w:rPr>
            </w:pPr>
            <w:r>
              <w:rPr>
                <w:rFonts w:ascii="Arial" w:cs="Arial" w:eastAsia="Arial" w:hAnsi="Arial"/>
                <w:sz w:val="17"/>
                <w:szCs w:val="17"/>
                <w:color w:val="auto"/>
              </w:rPr>
              <w:t>27.8</w:t>
            </w: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30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(0.4)</w:t>
            </w:r>
          </w:p>
        </w:tc>
      </w:tr>
      <w:tr>
        <w:trPr>
          <w:trHeight w:val="218"/>
        </w:trPr>
        <w:tc>
          <w:tcPr>
            <w:tcW w:w="5840" w:type="dxa"/>
            <w:vAlign w:val="bottom"/>
          </w:tcPr>
          <w:p>
            <w:pPr>
              <w:ind w:left="20"/>
              <w:spacing w:after="0"/>
              <w:rPr>
                <w:sz w:val="20"/>
                <w:szCs w:val="20"/>
                <w:color w:val="auto"/>
              </w:rPr>
            </w:pPr>
            <w:r>
              <w:rPr>
                <w:rFonts w:ascii="Arial" w:cs="Arial" w:eastAsia="Arial" w:hAnsi="Arial"/>
                <w:sz w:val="17"/>
                <w:szCs w:val="17"/>
                <w:color w:val="auto"/>
              </w:rPr>
              <w:t>Stock compensation</w:t>
            </w:r>
          </w:p>
        </w:tc>
        <w:tc>
          <w:tcPr>
            <w:tcW w:w="3060" w:type="dxa"/>
            <w:vAlign w:val="bottom"/>
          </w:tcPr>
          <w:p>
            <w:pPr>
              <w:jc w:val="right"/>
              <w:ind w:right="374"/>
              <w:spacing w:after="0"/>
              <w:rPr>
                <w:sz w:val="20"/>
                <w:szCs w:val="20"/>
                <w:color w:val="auto"/>
              </w:rPr>
            </w:pPr>
            <w:r>
              <w:rPr>
                <w:rFonts w:ascii="Arial" w:cs="Arial" w:eastAsia="Arial" w:hAnsi="Arial"/>
                <w:sz w:val="17"/>
                <w:szCs w:val="17"/>
                <w:color w:val="auto"/>
              </w:rPr>
              <w:t>(0.1)</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(0.1)</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(0.1)</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Officer compensation limitation</w:t>
            </w:r>
          </w:p>
        </w:tc>
        <w:tc>
          <w:tcPr>
            <w:tcW w:w="30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0.3</w:t>
            </w:r>
          </w:p>
        </w:tc>
        <w:tc>
          <w:tcPr>
            <w:tcW w:w="13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8"/>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0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(0.1)</w:t>
            </w:r>
          </w:p>
        </w:tc>
        <w:tc>
          <w:tcPr>
            <w:tcW w:w="13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(0.9)</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(0.3)</w:t>
            </w:r>
          </w:p>
        </w:tc>
      </w:tr>
      <w:tr>
        <w:trPr>
          <w:trHeight w:val="219"/>
        </w:trPr>
        <w:tc>
          <w:tcPr>
            <w:tcW w:w="5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Effective income tax rate</w:t>
            </w:r>
          </w:p>
        </w:tc>
        <w:tc>
          <w:tcPr>
            <w:tcW w:w="30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9.4 %</w:t>
            </w:r>
          </w:p>
        </w:tc>
        <w:tc>
          <w:tcPr>
            <w:tcW w:w="13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39.8 %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12.7 %</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Metro</w:t>
            </w:r>
          </w:p>
        </w:tc>
        <w:tc>
          <w:tcPr>
            <w:tcW w:w="4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2020</w:t>
            </w:r>
          </w:p>
        </w:tc>
        <w:tc>
          <w:tcPr>
            <w:tcW w:w="10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2019</w:t>
            </w:r>
          </w:p>
        </w:tc>
      </w:tr>
      <w:tr>
        <w:trPr>
          <w:trHeight w:val="212"/>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statutory income tax</w:t>
            </w:r>
          </w:p>
        </w:tc>
        <w:tc>
          <w:tcPr>
            <w:tcW w:w="42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21.0 %</w:t>
            </w:r>
          </w:p>
        </w:tc>
        <w:tc>
          <w:tcPr>
            <w:tcW w:w="13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21.0 %</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rPr>
              <w:t>COLI policies</w:t>
            </w:r>
          </w:p>
        </w:tc>
        <w:tc>
          <w:tcPr>
            <w:tcW w:w="4260" w:type="dxa"/>
            <w:vAlign w:val="bottom"/>
          </w:tcPr>
          <w:p>
            <w:pPr>
              <w:jc w:val="right"/>
              <w:ind w:right="374"/>
              <w:spacing w:after="0"/>
              <w:rPr>
                <w:sz w:val="20"/>
                <w:szCs w:val="20"/>
                <w:color w:val="auto"/>
              </w:rPr>
            </w:pPr>
            <w:r>
              <w:rPr>
                <w:rFonts w:ascii="Arial" w:cs="Arial" w:eastAsia="Arial" w:hAnsi="Arial"/>
                <w:sz w:val="17"/>
                <w:szCs w:val="17"/>
                <w:color w:val="auto"/>
              </w:rPr>
              <w:t>(0.2)</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(0.3)</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(0.2)</w:t>
            </w: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income taxes</w:t>
            </w:r>
          </w:p>
        </w:tc>
        <w:tc>
          <w:tcPr>
            <w:tcW w:w="42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1.7</w:t>
            </w:r>
          </w:p>
        </w:tc>
        <w:tc>
          <w:tcPr>
            <w:tcW w:w="13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4.9</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4.7</w:t>
            </w: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rPr>
              <w:t>Flow through depreciation for plant-related differences</w:t>
            </w:r>
          </w:p>
        </w:tc>
        <w:tc>
          <w:tcPr>
            <w:tcW w:w="4260" w:type="dxa"/>
            <w:vAlign w:val="bottom"/>
          </w:tcPr>
          <w:p>
            <w:pPr>
              <w:jc w:val="right"/>
              <w:ind w:right="374"/>
              <w:spacing w:after="0"/>
              <w:rPr>
                <w:sz w:val="20"/>
                <w:szCs w:val="20"/>
                <w:color w:val="auto"/>
              </w:rPr>
            </w:pPr>
            <w:r>
              <w:rPr>
                <w:rFonts w:ascii="Arial" w:cs="Arial" w:eastAsia="Arial" w:hAnsi="Arial"/>
                <w:sz w:val="17"/>
                <w:szCs w:val="17"/>
                <w:color w:val="auto"/>
              </w:rPr>
              <w:t>(7.8)</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(10.0)</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(9.4)</w:t>
            </w: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tax credits</w:t>
            </w:r>
          </w:p>
        </w:tc>
        <w:tc>
          <w:tcPr>
            <w:tcW w:w="42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(0.2)</w:t>
            </w:r>
          </w:p>
        </w:tc>
        <w:tc>
          <w:tcPr>
            <w:tcW w:w="13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(1.9)</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(2.5)</w:t>
            </w: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rPr>
              <w:t>AFUDC equity</w:t>
            </w:r>
          </w:p>
        </w:tc>
        <w:tc>
          <w:tcPr>
            <w:tcW w:w="4260" w:type="dxa"/>
            <w:vAlign w:val="bottom"/>
          </w:tcPr>
          <w:p>
            <w:pPr>
              <w:jc w:val="right"/>
              <w:ind w:right="374"/>
              <w:spacing w:after="0"/>
              <w:rPr>
                <w:sz w:val="20"/>
                <w:szCs w:val="20"/>
                <w:color w:val="auto"/>
              </w:rPr>
            </w:pPr>
            <w:r>
              <w:rPr>
                <w:rFonts w:ascii="Arial" w:cs="Arial" w:eastAsia="Arial" w:hAnsi="Arial"/>
                <w:sz w:val="17"/>
                <w:szCs w:val="17"/>
                <w:color w:val="auto"/>
              </w:rPr>
              <w:t>(0.7)</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(0.5)</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(0.2)</w:t>
            </w: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federal investment tax credits</w:t>
            </w:r>
          </w:p>
        </w:tc>
        <w:tc>
          <w:tcPr>
            <w:tcW w:w="42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(0.4)</w:t>
            </w:r>
          </w:p>
        </w:tc>
        <w:tc>
          <w:tcPr>
            <w:tcW w:w="13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(0.4)</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(0.4)</w:t>
            </w: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rPr>
              <w:t>Federal or state tax rate change</w:t>
            </w:r>
          </w:p>
        </w:tc>
        <w:tc>
          <w:tcPr>
            <w:tcW w:w="4260" w:type="dxa"/>
            <w:vAlign w:val="bottom"/>
          </w:tcPr>
          <w:p>
            <w:pPr>
              <w:jc w:val="right"/>
              <w:ind w:right="414"/>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74"/>
              <w:spacing w:after="0"/>
              <w:rPr>
                <w:sz w:val="20"/>
                <w:szCs w:val="20"/>
                <w:color w:val="auto"/>
              </w:rPr>
            </w:pPr>
            <w:r>
              <w:rPr>
                <w:rFonts w:ascii="Arial" w:cs="Arial" w:eastAsia="Arial" w:hAnsi="Arial"/>
                <w:sz w:val="17"/>
                <w:szCs w:val="17"/>
                <w:color w:val="auto"/>
              </w:rPr>
              <w:t>(10.5)</w:t>
            </w: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compensation</w:t>
            </w:r>
          </w:p>
        </w:tc>
        <w:tc>
          <w:tcPr>
            <w:tcW w:w="42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(0.4)</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rPr>
              <w:t>Officer compensation limitation</w:t>
            </w:r>
          </w:p>
        </w:tc>
        <w:tc>
          <w:tcPr>
            <w:tcW w:w="4260" w:type="dxa"/>
            <w:vAlign w:val="bottom"/>
          </w:tcPr>
          <w:p>
            <w:pPr>
              <w:jc w:val="right"/>
              <w:ind w:right="414"/>
              <w:spacing w:after="0"/>
              <w:rPr>
                <w:sz w:val="20"/>
                <w:szCs w:val="20"/>
                <w:color w:val="auto"/>
              </w:rPr>
            </w:pPr>
            <w:r>
              <w:rPr>
                <w:rFonts w:ascii="Arial" w:cs="Arial" w:eastAsia="Arial" w:hAnsi="Arial"/>
                <w:sz w:val="17"/>
                <w:szCs w:val="17"/>
                <w:color w:val="auto"/>
              </w:rPr>
              <w:t>0.9</w:t>
            </w:r>
          </w:p>
        </w:tc>
        <w:tc>
          <w:tcPr>
            <w:tcW w:w="1320" w:type="dxa"/>
            <w:vAlign w:val="bottom"/>
          </w:tcPr>
          <w:p>
            <w:pPr>
              <w:jc w:val="right"/>
              <w:ind w:right="414"/>
              <w:spacing w:after="0"/>
              <w:rPr>
                <w:sz w:val="20"/>
                <w:szCs w:val="20"/>
                <w:color w:val="auto"/>
              </w:rPr>
            </w:pPr>
            <w:r>
              <w:rPr>
                <w:rFonts w:ascii="Arial" w:cs="Arial" w:eastAsia="Arial" w:hAnsi="Arial"/>
                <w:sz w:val="17"/>
                <w:szCs w:val="17"/>
                <w:color w:val="auto"/>
              </w:rPr>
              <w:t>0.4</w:t>
            </w: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0.3</w:t>
            </w:r>
          </w:p>
        </w:tc>
      </w:tr>
      <w:tr>
        <w:trPr>
          <w:trHeight w:val="219"/>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2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rPr>
              <w:t>0.1</w:t>
            </w:r>
          </w:p>
        </w:tc>
        <w:tc>
          <w:tcPr>
            <w:tcW w:w="13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(1.0)</w:t>
            </w:r>
          </w:p>
        </w:tc>
      </w:tr>
      <w:tr>
        <w:trPr>
          <w:trHeight w:val="219"/>
        </w:trPr>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Effective income tax rate</w:t>
            </w:r>
          </w:p>
        </w:tc>
        <w:tc>
          <w:tcPr>
            <w:tcW w:w="42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14.4 %</w:t>
            </w: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2.3 %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12.3 %</w:t>
            </w:r>
          </w:p>
        </w:tc>
      </w:tr>
      <w:tr>
        <w:trPr>
          <w:trHeight w:val="824"/>
        </w:trPr>
        <w:tc>
          <w:tcPr>
            <w:tcW w:w="4640" w:type="dxa"/>
            <w:vAlign w:val="bottom"/>
          </w:tcPr>
          <w:p>
            <w:pPr>
              <w:spacing w:after="0"/>
              <w:rPr>
                <w:sz w:val="24"/>
                <w:szCs w:val="24"/>
                <w:color w:val="auto"/>
              </w:rPr>
            </w:pPr>
          </w:p>
        </w:tc>
        <w:tc>
          <w:tcPr>
            <w:tcW w:w="4260" w:type="dxa"/>
            <w:vAlign w:val="bottom"/>
          </w:tcPr>
          <w:p>
            <w:pPr>
              <w:jc w:val="right"/>
              <w:ind w:right="3054"/>
              <w:spacing w:after="0"/>
              <w:rPr>
                <w:sz w:val="20"/>
                <w:szCs w:val="20"/>
                <w:color w:val="auto"/>
              </w:rPr>
            </w:pPr>
            <w:r>
              <w:rPr>
                <w:rFonts w:ascii="Arial" w:cs="Arial" w:eastAsia="Arial" w:hAnsi="Arial"/>
                <w:sz w:val="17"/>
                <w:szCs w:val="17"/>
                <w:color w:val="auto"/>
              </w:rPr>
              <w:t>146</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0"/>
        </w:trPr>
        <w:tc>
          <w:tcPr>
            <w:tcW w:w="464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8" w:name="page149"/>
    <w:bookmarkEnd w:id="14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Income Taxes</w:t>
      </w:r>
    </w:p>
    <w:p>
      <w:pPr>
        <w:spacing w:after="0" w:line="23" w:lineRule="exact"/>
        <w:rPr>
          <w:sz w:val="20"/>
          <w:szCs w:val="20"/>
          <w:color w:val="auto"/>
        </w:rPr>
      </w:pPr>
    </w:p>
    <w:p>
      <w:pPr>
        <w:ind w:right="640"/>
        <w:spacing w:after="0" w:line="247" w:lineRule="auto"/>
        <w:rPr>
          <w:sz w:val="20"/>
          <w:szCs w:val="20"/>
          <w:color w:val="auto"/>
        </w:rPr>
      </w:pPr>
      <w:r>
        <w:rPr>
          <w:rFonts w:ascii="Arial" w:cs="Arial" w:eastAsia="Arial" w:hAnsi="Arial"/>
          <w:sz w:val="19"/>
          <w:szCs w:val="19"/>
          <w:color w:val="auto"/>
        </w:rPr>
        <w:t>The tax effects of major temporary differences resulting in deferred income tax assets (liabilities) in the consolidated balance sheets is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center"/>
              <w:ind w:right="154"/>
              <w:spacing w:after="0"/>
              <w:rPr>
                <w:sz w:val="20"/>
                <w:szCs w:val="20"/>
                <w:color w:val="auto"/>
              </w:rPr>
            </w:pPr>
            <w:r>
              <w:rPr>
                <w:rFonts w:ascii="Arial" w:cs="Arial" w:eastAsia="Arial" w:hAnsi="Arial"/>
                <w:sz w:val="17"/>
                <w:szCs w:val="17"/>
                <w:b w:val="1"/>
                <w:bCs w:val="1"/>
                <w:color w:val="auto"/>
                <w:w w:val="89"/>
              </w:rPr>
              <w:t>2021</w:t>
            </w:r>
          </w:p>
        </w:tc>
        <w:tc>
          <w:tcPr>
            <w:tcW w:w="2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4"/>
          </w:tcPr>
          <w:p>
            <w:pPr>
              <w:jc w:val="right"/>
              <w:ind w:right="554"/>
              <w:spacing w:after="0"/>
              <w:rPr>
                <w:sz w:val="20"/>
                <w:szCs w:val="20"/>
                <w:color w:val="auto"/>
              </w:rPr>
            </w:pPr>
            <w:r>
              <w:rPr>
                <w:rFonts w:ascii="Arial" w:cs="Arial" w:eastAsia="Arial" w:hAnsi="Arial"/>
                <w:sz w:val="17"/>
                <w:szCs w:val="17"/>
                <w:b w:val="1"/>
                <w:bCs w:val="1"/>
                <w:color w:val="auto"/>
              </w:rPr>
              <w:t>December 31</w:t>
            </w: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vMerge w:val="restart"/>
          </w:tcPr>
          <w:p>
            <w:pPr>
              <w:jc w:val="right"/>
              <w:ind w:right="274"/>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74"/>
              <w:spacing w:after="0" w:line="162" w:lineRule="exact"/>
              <w:rPr>
                <w:sz w:val="20"/>
                <w:szCs w:val="20"/>
                <w:color w:val="auto"/>
              </w:rPr>
            </w:pPr>
            <w:r>
              <w:rPr>
                <w:rFonts w:ascii="Arial" w:cs="Arial" w:eastAsia="Arial" w:hAnsi="Arial"/>
                <w:sz w:val="17"/>
                <w:szCs w:val="17"/>
                <w:b w:val="1"/>
                <w:bCs w:val="1"/>
                <w:color w:val="auto"/>
                <w:w w:val="91"/>
              </w:rPr>
              <w:t>Evergy</w:t>
            </w:r>
          </w:p>
        </w:tc>
        <w:tc>
          <w:tcPr>
            <w:tcW w:w="260" w:type="dxa"/>
            <w:vAlign w:val="bottom"/>
          </w:tcPr>
          <w:p>
            <w:pPr>
              <w:spacing w:after="0"/>
              <w:rPr>
                <w:sz w:val="14"/>
                <w:szCs w:val="14"/>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95"/>
              </w:rPr>
              <w:t>Evergy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ind w:left="80"/>
              <w:spacing w:after="0" w:line="162" w:lineRule="exact"/>
              <w:rPr>
                <w:sz w:val="20"/>
                <w:szCs w:val="20"/>
                <w:color w:val="auto"/>
              </w:rPr>
            </w:pPr>
            <w:r>
              <w:rPr>
                <w:rFonts w:ascii="Arial" w:cs="Arial" w:eastAsia="Arial" w:hAnsi="Arial"/>
                <w:sz w:val="17"/>
                <w:szCs w:val="17"/>
                <w:b w:val="1"/>
                <w:bCs w:val="1"/>
                <w:color w:val="auto"/>
              </w:rPr>
              <w:t>Evergy</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Evergy</w:t>
            </w:r>
          </w:p>
        </w:tc>
        <w:tc>
          <w:tcPr>
            <w:tcW w:w="260" w:type="dxa"/>
            <w:vAlign w:val="bottom"/>
          </w:tcPr>
          <w:p>
            <w:pPr>
              <w:spacing w:after="0"/>
              <w:rPr>
                <w:sz w:val="14"/>
                <w:szCs w:val="14"/>
                <w:color w:val="auto"/>
              </w:rPr>
            </w:pPr>
          </w:p>
        </w:tc>
        <w:tc>
          <w:tcPr>
            <w:tcW w:w="940" w:type="dxa"/>
            <w:vAlign w:val="bottom"/>
          </w:tcPr>
          <w:p>
            <w:pPr>
              <w:jc w:val="center"/>
              <w:ind w:right="174"/>
              <w:spacing w:after="0" w:line="167" w:lineRule="exact"/>
              <w:rPr>
                <w:sz w:val="20"/>
                <w:szCs w:val="20"/>
                <w:color w:val="auto"/>
              </w:rPr>
            </w:pPr>
            <w:r>
              <w:rPr>
                <w:rFonts w:ascii="Arial" w:cs="Arial" w:eastAsia="Arial" w:hAnsi="Arial"/>
                <w:sz w:val="17"/>
                <w:szCs w:val="17"/>
                <w:b w:val="1"/>
                <w:bCs w:val="1"/>
                <w:color w:val="auto"/>
                <w:w w:val="85"/>
              </w:rPr>
              <w:t>Kansas</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Evergy</w:t>
            </w:r>
          </w:p>
        </w:tc>
        <w:tc>
          <w:tcPr>
            <w:tcW w:w="260" w:type="dxa"/>
            <w:vAlign w:val="bottom"/>
          </w:tcPr>
          <w:p>
            <w:pPr>
              <w:spacing w:after="0"/>
              <w:rPr>
                <w:sz w:val="14"/>
                <w:szCs w:val="14"/>
                <w:color w:val="auto"/>
              </w:rPr>
            </w:pPr>
          </w:p>
        </w:tc>
        <w:tc>
          <w:tcPr>
            <w:tcW w:w="920" w:type="dxa"/>
            <w:vAlign w:val="bottom"/>
          </w:tcPr>
          <w:p>
            <w:pPr>
              <w:ind w:left="80"/>
              <w:spacing w:after="0" w:line="167" w:lineRule="exact"/>
              <w:rPr>
                <w:sz w:val="20"/>
                <w:szCs w:val="20"/>
                <w:color w:val="auto"/>
              </w:rPr>
            </w:pPr>
            <w:r>
              <w:rPr>
                <w:rFonts w:ascii="Arial" w:cs="Arial" w:eastAsia="Arial" w:hAnsi="Arial"/>
                <w:sz w:val="17"/>
                <w:szCs w:val="17"/>
                <w:b w:val="1"/>
                <w:bCs w:val="1"/>
                <w:color w:val="auto"/>
              </w:rPr>
              <w:t>Kansas</w:t>
            </w:r>
          </w:p>
        </w:tc>
        <w:tc>
          <w:tcPr>
            <w:tcW w:w="12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Evergy Metro</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95"/>
              </w:rPr>
              <w:t>Central</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7"/>
                <w:szCs w:val="17"/>
                <w:b w:val="1"/>
                <w:bCs w:val="1"/>
                <w:color w:val="auto"/>
                <w:w w:val="99"/>
              </w:rPr>
              <w:t>Metro</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Central</w:t>
            </w:r>
          </w:p>
        </w:tc>
        <w:tc>
          <w:tcPr>
            <w:tcW w:w="12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4"/>
          </w:tcPr>
          <w:p>
            <w:pPr>
              <w:jc w:val="right"/>
              <w:ind w:right="734"/>
              <w:spacing w:after="0"/>
              <w:rPr>
                <w:sz w:val="20"/>
                <w:szCs w:val="20"/>
                <w:color w:val="auto"/>
              </w:rPr>
            </w:pPr>
            <w:r>
              <w:rPr>
                <w:rFonts w:ascii="Arial" w:cs="Arial" w:eastAsia="Arial" w:hAnsi="Arial"/>
                <w:sz w:val="15"/>
                <w:szCs w:val="15"/>
                <w:color w:val="auto"/>
              </w:rPr>
              <w:t>(millions)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credit carryforward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375.2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206.3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379.6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176.5</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w:t>
            </w:r>
          </w:p>
        </w:tc>
        <w:tc>
          <w:tcPr>
            <w:tcW w:w="0" w:type="dxa"/>
            <w:vAlign w:val="bottom"/>
          </w:tcPr>
          <w:p>
            <w:pPr>
              <w:spacing w:after="0"/>
              <w:rPr>
                <w:sz w:val="1"/>
                <w:szCs w:val="1"/>
                <w:color w:val="auto"/>
              </w:rPr>
            </w:pPr>
          </w:p>
        </w:tc>
      </w:tr>
      <w:tr>
        <w:trPr>
          <w:trHeight w:val="218"/>
        </w:trPr>
        <w:tc>
          <w:tcPr>
            <w:tcW w:w="4180" w:type="dxa"/>
            <w:vAlign w:val="bottom"/>
          </w:tcPr>
          <w:p>
            <w:pPr>
              <w:ind w:left="220"/>
              <w:spacing w:after="0"/>
              <w:rPr>
                <w:sz w:val="20"/>
                <w:szCs w:val="20"/>
                <w:color w:val="auto"/>
              </w:rPr>
            </w:pPr>
            <w:r>
              <w:rPr>
                <w:rFonts w:ascii="Arial" w:cs="Arial" w:eastAsia="Arial" w:hAnsi="Arial"/>
                <w:sz w:val="17"/>
                <w:szCs w:val="17"/>
                <w:color w:val="auto"/>
              </w:rPr>
              <w:t>Income taxes refundable to customers, net</w:t>
            </w:r>
          </w:p>
        </w:tc>
        <w:tc>
          <w:tcPr>
            <w:tcW w:w="1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336.6</w:t>
            </w:r>
          </w:p>
        </w:tc>
        <w:tc>
          <w:tcPr>
            <w:tcW w:w="26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color w:val="auto"/>
              </w:rPr>
              <w:t>168.5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418.2</w:t>
            </w:r>
          </w:p>
        </w:tc>
        <w:tc>
          <w:tcPr>
            <w:tcW w:w="2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237.5</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employee benefit costs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158.3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84.8</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227.6</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105.4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0" w:type="dxa"/>
            <w:vAlign w:val="bottom"/>
          </w:tcPr>
          <w:p>
            <w:pPr>
              <w:spacing w:after="0"/>
              <w:rPr>
                <w:sz w:val="1"/>
                <w:szCs w:val="1"/>
                <w:color w:val="auto"/>
              </w:rPr>
            </w:pPr>
          </w:p>
        </w:tc>
      </w:tr>
      <w:tr>
        <w:trPr>
          <w:trHeight w:val="218"/>
        </w:trPr>
        <w:tc>
          <w:tcPr>
            <w:tcW w:w="4180" w:type="dxa"/>
            <w:vAlign w:val="bottom"/>
          </w:tcPr>
          <w:p>
            <w:pPr>
              <w:ind w:left="220"/>
              <w:spacing w:after="0"/>
              <w:rPr>
                <w:sz w:val="20"/>
                <w:szCs w:val="20"/>
                <w:color w:val="auto"/>
              </w:rPr>
            </w:pPr>
            <w:r>
              <w:rPr>
                <w:rFonts w:ascii="Arial" w:cs="Arial" w:eastAsia="Arial" w:hAnsi="Arial"/>
                <w:sz w:val="17"/>
                <w:szCs w:val="17"/>
                <w:color w:val="auto"/>
              </w:rPr>
              <w:t>Net operating loss carryforward</w:t>
            </w:r>
          </w:p>
        </w:tc>
        <w:tc>
          <w:tcPr>
            <w:tcW w:w="1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40.2</w:t>
            </w:r>
          </w:p>
        </w:tc>
        <w:tc>
          <w:tcPr>
            <w:tcW w:w="26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51.0</w:t>
            </w:r>
          </w:p>
        </w:tc>
        <w:tc>
          <w:tcPr>
            <w:tcW w:w="2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state income taxes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146.9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101.0</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145.9</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101.7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18"/>
        </w:trPr>
        <w:tc>
          <w:tcPr>
            <w:tcW w:w="418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157.6</w:t>
            </w:r>
          </w:p>
        </w:tc>
        <w:tc>
          <w:tcPr>
            <w:tcW w:w="26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color w:val="auto"/>
              </w:rPr>
              <w:t>71.3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152.7</w:t>
            </w:r>
          </w:p>
        </w:tc>
        <w:tc>
          <w:tcPr>
            <w:tcW w:w="2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61.8</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200.0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100.6</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181.0</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91.4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148"/>
        </w:trPr>
        <w:tc>
          <w:tcPr>
            <w:tcW w:w="4180" w:type="dxa"/>
            <w:vAlign w:val="bottom"/>
          </w:tcPr>
          <w:p>
            <w:pPr>
              <w:ind w:left="440"/>
              <w:spacing w:after="0" w:line="148" w:lineRule="exact"/>
              <w:rPr>
                <w:sz w:val="20"/>
                <w:szCs w:val="20"/>
                <w:color w:val="auto"/>
              </w:rPr>
            </w:pPr>
            <w:r>
              <w:rPr>
                <w:rFonts w:ascii="Arial" w:cs="Arial" w:eastAsia="Arial" w:hAnsi="Arial"/>
                <w:sz w:val="17"/>
                <w:szCs w:val="17"/>
                <w:color w:val="auto"/>
              </w:rPr>
              <w:t>Total deferred tax assets before</w:t>
            </w:r>
          </w:p>
        </w:tc>
        <w:tc>
          <w:tcPr>
            <w:tcW w:w="180" w:type="dxa"/>
            <w:vAlign w:val="bottom"/>
          </w:tcPr>
          <w:p>
            <w:pPr>
              <w:spacing w:after="0"/>
              <w:rPr>
                <w:sz w:val="12"/>
                <w:szCs w:val="12"/>
                <w:color w:val="auto"/>
              </w:rPr>
            </w:pPr>
          </w:p>
        </w:tc>
        <w:tc>
          <w:tcPr>
            <w:tcW w:w="920" w:type="dxa"/>
            <w:vAlign w:val="bottom"/>
            <w:vMerge w:val="restart"/>
          </w:tcPr>
          <w:p>
            <w:pPr>
              <w:jc w:val="right"/>
              <w:ind w:right="54"/>
              <w:spacing w:after="0"/>
              <w:rPr>
                <w:sz w:val="20"/>
                <w:szCs w:val="20"/>
                <w:color w:val="auto"/>
              </w:rPr>
            </w:pPr>
            <w:r>
              <w:rPr>
                <w:rFonts w:ascii="Arial" w:cs="Arial" w:eastAsia="Arial" w:hAnsi="Arial"/>
                <w:sz w:val="17"/>
                <w:szCs w:val="17"/>
                <w:color w:val="auto"/>
              </w:rPr>
              <w:t>1,414.8</w:t>
            </w:r>
          </w:p>
        </w:tc>
        <w:tc>
          <w:tcPr>
            <w:tcW w:w="260" w:type="dxa"/>
            <w:vAlign w:val="bottom"/>
          </w:tcPr>
          <w:p>
            <w:pPr>
              <w:spacing w:after="0"/>
              <w:rPr>
                <w:sz w:val="12"/>
                <w:szCs w:val="12"/>
                <w:color w:val="auto"/>
              </w:rPr>
            </w:pPr>
          </w:p>
        </w:tc>
        <w:tc>
          <w:tcPr>
            <w:tcW w:w="940" w:type="dxa"/>
            <w:vAlign w:val="bottom"/>
            <w:vMerge w:val="restart"/>
          </w:tcPr>
          <w:p>
            <w:pPr>
              <w:jc w:val="right"/>
              <w:ind w:right="74"/>
              <w:spacing w:after="0"/>
              <w:rPr>
                <w:sz w:val="20"/>
                <w:szCs w:val="20"/>
                <w:color w:val="auto"/>
              </w:rPr>
            </w:pPr>
            <w:r>
              <w:rPr>
                <w:rFonts w:ascii="Arial" w:cs="Arial" w:eastAsia="Arial" w:hAnsi="Arial"/>
                <w:sz w:val="17"/>
                <w:szCs w:val="17"/>
                <w:color w:val="auto"/>
              </w:rPr>
              <w:t>732.5</w:t>
            </w: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527.3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54"/>
              <w:spacing w:after="0"/>
              <w:rPr>
                <w:sz w:val="20"/>
                <w:szCs w:val="20"/>
                <w:color w:val="auto"/>
              </w:rPr>
            </w:pPr>
            <w:r>
              <w:rPr>
                <w:rFonts w:ascii="Arial" w:cs="Arial" w:eastAsia="Arial" w:hAnsi="Arial"/>
                <w:sz w:val="17"/>
                <w:szCs w:val="17"/>
                <w:color w:val="auto"/>
              </w:rPr>
              <w:t>1,556.0</w:t>
            </w:r>
          </w:p>
        </w:tc>
        <w:tc>
          <w:tcPr>
            <w:tcW w:w="260" w:type="dxa"/>
            <w:vAlign w:val="bottom"/>
          </w:tcPr>
          <w:p>
            <w:pPr>
              <w:spacing w:after="0"/>
              <w:rPr>
                <w:sz w:val="12"/>
                <w:szCs w:val="12"/>
                <w:color w:val="auto"/>
              </w:rPr>
            </w:pPr>
          </w:p>
        </w:tc>
        <w:tc>
          <w:tcPr>
            <w:tcW w:w="920" w:type="dxa"/>
            <w:vAlign w:val="bottom"/>
            <w:vMerge w:val="restart"/>
          </w:tcPr>
          <w:p>
            <w:pPr>
              <w:jc w:val="right"/>
              <w:ind w:right="54"/>
              <w:spacing w:after="0"/>
              <w:rPr>
                <w:sz w:val="20"/>
                <w:szCs w:val="20"/>
                <w:color w:val="auto"/>
              </w:rPr>
            </w:pPr>
            <w:r>
              <w:rPr>
                <w:rFonts w:ascii="Arial" w:cs="Arial" w:eastAsia="Arial" w:hAnsi="Arial"/>
                <w:sz w:val="17"/>
                <w:szCs w:val="17"/>
                <w:color w:val="auto"/>
              </w:rPr>
              <w:t>774.3</w:t>
            </w:r>
          </w:p>
        </w:tc>
        <w:tc>
          <w:tcPr>
            <w:tcW w:w="3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590.4</w:t>
            </w:r>
          </w:p>
        </w:tc>
        <w:tc>
          <w:tcPr>
            <w:tcW w:w="0" w:type="dxa"/>
            <w:vAlign w:val="bottom"/>
          </w:tcPr>
          <w:p>
            <w:pPr>
              <w:spacing w:after="0"/>
              <w:rPr>
                <w:sz w:val="1"/>
                <w:szCs w:val="1"/>
                <w:color w:val="auto"/>
              </w:rPr>
            </w:pPr>
          </w:p>
        </w:tc>
      </w:tr>
      <w:tr>
        <w:trPr>
          <w:trHeight w:val="218"/>
        </w:trPr>
        <w:tc>
          <w:tcPr>
            <w:tcW w:w="4180" w:type="dxa"/>
            <w:vAlign w:val="bottom"/>
          </w:tcPr>
          <w:p>
            <w:pPr>
              <w:ind w:left="540"/>
              <w:spacing w:after="0"/>
              <w:rPr>
                <w:sz w:val="20"/>
                <w:szCs w:val="20"/>
                <w:color w:val="auto"/>
              </w:rPr>
            </w:pPr>
            <w:r>
              <w:rPr>
                <w:rFonts w:ascii="Arial" w:cs="Arial" w:eastAsia="Arial" w:hAnsi="Arial"/>
                <w:sz w:val="17"/>
                <w:szCs w:val="17"/>
                <w:color w:val="auto"/>
              </w:rPr>
              <w:t>valuation allowance</w:t>
            </w: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Valuation allowances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(12.8)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(14.4)</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180" w:type="dxa"/>
            <w:vAlign w:val="bottom"/>
            <w:tcBorders>
              <w:bottom w:val="single" w:sz="8" w:color="CCEEFF"/>
            </w:tcBorders>
          </w:tcPr>
          <w:p>
            <w:pPr>
              <w:ind w:left="760"/>
              <w:spacing w:after="0"/>
              <w:rPr>
                <w:sz w:val="20"/>
                <w:szCs w:val="20"/>
                <w:color w:val="auto"/>
              </w:rPr>
            </w:pPr>
            <w:r>
              <w:rPr>
                <w:rFonts w:ascii="Arial" w:cs="Arial" w:eastAsia="Arial" w:hAnsi="Arial"/>
                <w:sz w:val="17"/>
                <w:szCs w:val="17"/>
                <w:color w:val="auto"/>
              </w:rPr>
              <w:t>Total deferred tax assets, net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1,402.0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732.5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527.3</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1,541.6</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774.3</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590.4</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180" w:type="dxa"/>
            <w:vAlign w:val="bottom"/>
          </w:tcPr>
          <w:p>
            <w:pPr>
              <w:ind w:left="220"/>
              <w:spacing w:after="0"/>
              <w:rPr>
                <w:sz w:val="20"/>
                <w:szCs w:val="20"/>
                <w:color w:val="auto"/>
              </w:rPr>
            </w:pPr>
            <w:r>
              <w:rPr>
                <w:rFonts w:ascii="Arial" w:cs="Arial" w:eastAsia="Arial" w:hAnsi="Arial"/>
                <w:sz w:val="17"/>
                <w:szCs w:val="17"/>
                <w:color w:val="auto"/>
              </w:rPr>
              <w:t>Plant-related</w:t>
            </w:r>
          </w:p>
        </w:tc>
        <w:tc>
          <w:tcPr>
            <w:tcW w:w="1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(2,701.1)</w:t>
            </w:r>
          </w:p>
        </w:tc>
        <w:tc>
          <w:tcPr>
            <w:tcW w:w="26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(1,308.7)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(996.7)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(2,693.7)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(1,341.2)</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(972.1)</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employee benefit costs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(96.8)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(52.9)</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(171.4)</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218"/>
        </w:trPr>
        <w:tc>
          <w:tcPr>
            <w:tcW w:w="4180" w:type="dxa"/>
            <w:vAlign w:val="bottom"/>
          </w:tcPr>
          <w:p>
            <w:pPr>
              <w:ind w:left="220"/>
              <w:spacing w:after="0"/>
              <w:rPr>
                <w:sz w:val="20"/>
                <w:szCs w:val="20"/>
                <w:color w:val="auto"/>
              </w:rPr>
            </w:pPr>
            <w:r>
              <w:rPr>
                <w:rFonts w:ascii="Arial" w:cs="Arial" w:eastAsia="Arial" w:hAnsi="Arial"/>
                <w:sz w:val="17"/>
                <w:szCs w:val="17"/>
                <w:color w:val="auto"/>
              </w:rPr>
              <w:t>ARO regulatory assets</w:t>
            </w:r>
          </w:p>
        </w:tc>
        <w:tc>
          <w:tcPr>
            <w:tcW w:w="1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(133.7)</w:t>
            </w:r>
          </w:p>
        </w:tc>
        <w:tc>
          <w:tcPr>
            <w:tcW w:w="26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(53.9)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(136.7)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(49.9)</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premium</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(43.9)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(43.9)</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(46.9)</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180" w:type="dxa"/>
            <w:vAlign w:val="bottom"/>
          </w:tcPr>
          <w:p>
            <w:pPr>
              <w:ind w:left="220"/>
              <w:spacing w:after="0"/>
              <w:rPr>
                <w:sz w:val="20"/>
                <w:szCs w:val="20"/>
                <w:color w:val="auto"/>
              </w:rPr>
            </w:pPr>
            <w:r>
              <w:rPr>
                <w:rFonts w:ascii="Arial" w:cs="Arial" w:eastAsia="Arial" w:hAnsi="Arial"/>
                <w:sz w:val="17"/>
                <w:szCs w:val="17"/>
                <w:color w:val="auto"/>
              </w:rPr>
              <w:t>Other regulatory assets</w:t>
            </w:r>
          </w:p>
        </w:tc>
        <w:tc>
          <w:tcPr>
            <w:tcW w:w="1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(152.1)</w:t>
            </w:r>
          </w:p>
        </w:tc>
        <w:tc>
          <w:tcPr>
            <w:tcW w:w="26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(53.3)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(28.8)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(136.3)</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(87.7)</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(128.9)</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11"/>
        </w:trPr>
        <w:tc>
          <w:tcPr>
            <w:tcW w:w="418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deferred tax liabilities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(3,263.9)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(1,600.4)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(1,133.4)</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(3,206.4)</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(1,598.8)</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(1,149.2)</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deferred income tax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(1,861.9)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(867.9)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(606.1)</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(1,664.8)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(824.5)</w:t>
            </w:r>
          </w:p>
        </w:tc>
        <w:tc>
          <w:tcPr>
            <w:tcW w:w="3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(558.8)</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Credit Carryforwards</w:t>
      </w:r>
    </w:p>
    <w:p>
      <w:pPr>
        <w:spacing w:after="0" w:line="2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At December 31, 2021 and 2020, Evergy had $373.6 million and $379.6 million, respectively, of federal general business income tax credit carryforwards. At December 31, 2021 and 2020, Evergy Kansas Central had $204.7 million and $176.5 million, respectively, of federal general business income tax credit carryforwards. At December 31, 2021 and 2020, Evergy Metro had $162.1 million and $195.9 million, respectively, of federal general business income tax credit carryforwards. The carryforwards for Evergy, Evergy Kansas Central and Evergy Metro relate primarily to wind production tax credits and advanced coal investment tax credits and expire in the years 2022 to 2041. Approximately $0.1 million of Evergy's credits are related to Low Income Housing credits that were acquired in Great Plains Energy's acquisition of Evergy Missouri West. Due to federal limitations on the utilization of income tax attributes acquired in the Evergy Missouri West acquisition, Evergy expects a portion of these credits to expire unutilized and has provided a valuation allowance against $0.1 million of the federal income tax benefit.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9" w:name="page150"/>
    <w:bookmarkEnd w:id="14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280"/>
        <w:spacing w:after="0" w:line="264" w:lineRule="auto"/>
        <w:rPr>
          <w:sz w:val="20"/>
          <w:szCs w:val="20"/>
          <w:color w:val="auto"/>
        </w:rPr>
      </w:pPr>
      <w:r>
        <w:rPr>
          <w:rFonts w:ascii="Arial" w:cs="Arial" w:eastAsia="Arial" w:hAnsi="Arial"/>
          <w:sz w:val="19"/>
          <w:szCs w:val="19"/>
          <w:color w:val="auto"/>
        </w:rPr>
        <w:t>The year of origin of Evergy's, Evergy Kansas Central's and Evergy Metro's related tax benefit amounts for federal tax credit carryforwards as of December 31, 2021 are detailed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2"/>
              </w:rPr>
              <w:t>Amount of Benefit</w:t>
            </w:r>
          </w:p>
        </w:tc>
        <w:tc>
          <w:tcPr>
            <w:tcW w:w="3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860" w:type="dxa"/>
            <w:vAlign w:val="bottom"/>
            <w:gridSpan w:val="2"/>
            <w:vMerge w:val="restart"/>
          </w:tcPr>
          <w:p>
            <w:pPr>
              <w:jc w:val="center"/>
              <w:ind w:right="4280"/>
              <w:spacing w:after="0"/>
              <w:rPr>
                <w:sz w:val="20"/>
                <w:szCs w:val="20"/>
                <w:color w:val="auto"/>
              </w:rPr>
            </w:pPr>
            <w:r>
              <w:rPr>
                <w:rFonts w:ascii="Arial" w:cs="Arial" w:eastAsia="Arial" w:hAnsi="Arial"/>
                <w:sz w:val="17"/>
                <w:szCs w:val="17"/>
                <w:b w:val="1"/>
                <w:bCs w:val="1"/>
                <w:color w:val="auto"/>
                <w:w w:val="94"/>
              </w:rPr>
              <w:t>Year of Origin</w:t>
            </w:r>
          </w:p>
        </w:tc>
        <w:tc>
          <w:tcPr>
            <w:tcW w:w="1440" w:type="dxa"/>
            <w:vAlign w:val="bottom"/>
            <w:vMerge w:val="restart"/>
          </w:tcPr>
          <w:p>
            <w:pPr>
              <w:jc w:val="right"/>
              <w:ind w:right="574"/>
              <w:spacing w:after="0"/>
              <w:rPr>
                <w:sz w:val="20"/>
                <w:szCs w:val="20"/>
                <w:color w:val="auto"/>
              </w:rPr>
            </w:pPr>
            <w:r>
              <w:rPr>
                <w:rFonts w:ascii="Arial" w:cs="Arial" w:eastAsia="Arial" w:hAnsi="Arial"/>
                <w:sz w:val="17"/>
                <w:szCs w:val="17"/>
                <w:b w:val="1"/>
                <w:bCs w:val="1"/>
                <w:color w:val="auto"/>
              </w:rPr>
              <w:t>Evergy</w:t>
            </w:r>
          </w:p>
        </w:tc>
        <w:tc>
          <w:tcPr>
            <w:tcW w:w="260" w:type="dxa"/>
            <w:vAlign w:val="bottom"/>
          </w:tcPr>
          <w:p>
            <w:pPr>
              <w:spacing w:after="0"/>
              <w:rPr>
                <w:sz w:val="15"/>
                <w:szCs w:val="15"/>
                <w:color w:val="auto"/>
              </w:rPr>
            </w:pPr>
          </w:p>
        </w:tc>
        <w:tc>
          <w:tcPr>
            <w:tcW w:w="1640" w:type="dxa"/>
            <w:vAlign w:val="bottom"/>
          </w:tcPr>
          <w:p>
            <w:pPr>
              <w:jc w:val="center"/>
              <w:ind w:right="114"/>
              <w:spacing w:after="0" w:line="173" w:lineRule="exact"/>
              <w:rPr>
                <w:sz w:val="20"/>
                <w:szCs w:val="20"/>
                <w:color w:val="auto"/>
              </w:rPr>
            </w:pPr>
            <w:r>
              <w:rPr>
                <w:rFonts w:ascii="Arial" w:cs="Arial" w:eastAsia="Arial" w:hAnsi="Arial"/>
                <w:sz w:val="17"/>
                <w:szCs w:val="17"/>
                <w:b w:val="1"/>
                <w:bCs w:val="1"/>
                <w:color w:val="auto"/>
                <w:w w:val="91"/>
              </w:rPr>
              <w:t>Evergy Kansas</w:t>
            </w:r>
          </w:p>
        </w:tc>
        <w:tc>
          <w:tcPr>
            <w:tcW w:w="360" w:type="dxa"/>
            <w:vAlign w:val="bottom"/>
          </w:tcPr>
          <w:p>
            <w:pPr>
              <w:spacing w:after="0"/>
              <w:rPr>
                <w:sz w:val="15"/>
                <w:szCs w:val="15"/>
                <w:color w:val="auto"/>
              </w:rPr>
            </w:pPr>
          </w:p>
        </w:tc>
        <w:tc>
          <w:tcPr>
            <w:tcW w:w="168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Evergy Metro</w:t>
            </w:r>
          </w:p>
        </w:tc>
        <w:tc>
          <w:tcPr>
            <w:tcW w:w="0" w:type="dxa"/>
            <w:vAlign w:val="bottom"/>
          </w:tcPr>
          <w:p>
            <w:pPr>
              <w:spacing w:after="0"/>
              <w:rPr>
                <w:sz w:val="1"/>
                <w:szCs w:val="1"/>
                <w:color w:val="auto"/>
              </w:rPr>
            </w:pPr>
          </w:p>
        </w:tc>
      </w:tr>
      <w:tr>
        <w:trPr>
          <w:trHeight w:val="219"/>
        </w:trPr>
        <w:tc>
          <w:tcPr>
            <w:tcW w:w="58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5"/>
              </w:rPr>
              <w:t>Central</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center"/>
              <w:ind w:right="114"/>
              <w:spacing w:after="0"/>
              <w:rPr>
                <w:sz w:val="20"/>
                <w:szCs w:val="20"/>
                <w:color w:val="auto"/>
              </w:rPr>
            </w:pPr>
            <w:r>
              <w:rPr>
                <w:rFonts w:ascii="Arial" w:cs="Arial" w:eastAsia="Arial" w:hAnsi="Arial"/>
                <w:sz w:val="15"/>
                <w:szCs w:val="15"/>
                <w:color w:val="auto"/>
                <w:w w:val="99"/>
              </w:rPr>
              <w:t>(millions)</w:t>
            </w: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jc w:val="center"/>
              <w:ind w:right="3854"/>
              <w:spacing w:after="0"/>
              <w:rPr>
                <w:sz w:val="20"/>
                <w:szCs w:val="20"/>
                <w:color w:val="auto"/>
              </w:rPr>
            </w:pPr>
            <w:r>
              <w:rPr>
                <w:rFonts w:ascii="Arial" w:cs="Arial" w:eastAsia="Arial" w:hAnsi="Arial"/>
                <w:sz w:val="17"/>
                <w:szCs w:val="17"/>
                <w:color w:val="auto"/>
                <w:w w:val="89"/>
              </w:rPr>
              <w:t>2004</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520" w:type="dxa"/>
            <w:vAlign w:val="bottom"/>
          </w:tcPr>
          <w:p>
            <w:pPr>
              <w:jc w:val="center"/>
              <w:ind w:right="3854"/>
              <w:spacing w:after="0"/>
              <w:rPr>
                <w:sz w:val="20"/>
                <w:szCs w:val="20"/>
                <w:color w:val="auto"/>
              </w:rPr>
            </w:pPr>
            <w:r>
              <w:rPr>
                <w:rFonts w:ascii="Arial" w:cs="Arial" w:eastAsia="Arial" w:hAnsi="Arial"/>
                <w:sz w:val="17"/>
                <w:szCs w:val="17"/>
                <w:color w:val="auto"/>
                <w:w w:val="89"/>
              </w:rPr>
              <w:t>2005</w:t>
            </w:r>
          </w:p>
        </w:tc>
        <w:tc>
          <w:tcPr>
            <w:tcW w:w="34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0.1</w:t>
            </w:r>
          </w:p>
        </w:tc>
        <w:tc>
          <w:tcPr>
            <w:tcW w:w="26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6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jc w:val="center"/>
              <w:ind w:right="3854"/>
              <w:spacing w:after="0"/>
              <w:rPr>
                <w:sz w:val="20"/>
                <w:szCs w:val="20"/>
                <w:color w:val="auto"/>
              </w:rPr>
            </w:pPr>
            <w:r>
              <w:rPr>
                <w:rFonts w:ascii="Arial" w:cs="Arial" w:eastAsia="Arial" w:hAnsi="Arial"/>
                <w:sz w:val="17"/>
                <w:szCs w:val="17"/>
                <w:color w:val="auto"/>
                <w:w w:val="89"/>
              </w:rPr>
              <w:t>2006</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520" w:type="dxa"/>
            <w:vAlign w:val="bottom"/>
          </w:tcPr>
          <w:p>
            <w:pPr>
              <w:jc w:val="center"/>
              <w:ind w:right="3854"/>
              <w:spacing w:after="0"/>
              <w:rPr>
                <w:sz w:val="20"/>
                <w:szCs w:val="20"/>
                <w:color w:val="auto"/>
              </w:rPr>
            </w:pPr>
            <w:r>
              <w:rPr>
                <w:rFonts w:ascii="Arial" w:cs="Arial" w:eastAsia="Arial" w:hAnsi="Arial"/>
                <w:sz w:val="17"/>
                <w:szCs w:val="17"/>
                <w:color w:val="auto"/>
                <w:w w:val="89"/>
              </w:rPr>
              <w:t>2007</w:t>
            </w:r>
          </w:p>
        </w:tc>
        <w:tc>
          <w:tcPr>
            <w:tcW w:w="34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0.1</w:t>
            </w:r>
          </w:p>
        </w:tc>
        <w:tc>
          <w:tcPr>
            <w:tcW w:w="26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6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jc w:val="center"/>
              <w:ind w:right="3854"/>
              <w:spacing w:after="0"/>
              <w:rPr>
                <w:sz w:val="20"/>
                <w:szCs w:val="20"/>
                <w:color w:val="auto"/>
              </w:rPr>
            </w:pPr>
            <w:r>
              <w:rPr>
                <w:rFonts w:ascii="Arial" w:cs="Arial" w:eastAsia="Arial" w:hAnsi="Arial"/>
                <w:sz w:val="17"/>
                <w:szCs w:val="17"/>
                <w:color w:val="auto"/>
                <w:w w:val="89"/>
              </w:rPr>
              <w:t>2009</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38.2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0.2</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18"/>
        </w:trPr>
        <w:tc>
          <w:tcPr>
            <w:tcW w:w="5520" w:type="dxa"/>
            <w:vAlign w:val="bottom"/>
          </w:tcPr>
          <w:p>
            <w:pPr>
              <w:jc w:val="center"/>
              <w:ind w:right="3854"/>
              <w:spacing w:after="0"/>
              <w:rPr>
                <w:sz w:val="20"/>
                <w:szCs w:val="20"/>
                <w:color w:val="auto"/>
              </w:rPr>
            </w:pPr>
            <w:r>
              <w:rPr>
                <w:rFonts w:ascii="Arial" w:cs="Arial" w:eastAsia="Arial" w:hAnsi="Arial"/>
                <w:sz w:val="17"/>
                <w:szCs w:val="17"/>
                <w:color w:val="auto"/>
                <w:w w:val="89"/>
              </w:rPr>
              <w:t>2010</w:t>
            </w:r>
          </w:p>
        </w:tc>
        <w:tc>
          <w:tcPr>
            <w:tcW w:w="34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18.3</w:t>
            </w:r>
          </w:p>
        </w:tc>
        <w:tc>
          <w:tcPr>
            <w:tcW w:w="26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680" w:type="dxa"/>
            <w:vAlign w:val="bottom"/>
          </w:tcPr>
          <w:p>
            <w:pPr>
              <w:jc w:val="right"/>
              <w:ind w:right="194"/>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jc w:val="center"/>
              <w:ind w:right="3854"/>
              <w:spacing w:after="0"/>
              <w:rPr>
                <w:sz w:val="20"/>
                <w:szCs w:val="20"/>
                <w:color w:val="auto"/>
              </w:rPr>
            </w:pPr>
            <w:r>
              <w:rPr>
                <w:rFonts w:ascii="Arial" w:cs="Arial" w:eastAsia="Arial" w:hAnsi="Arial"/>
                <w:sz w:val="17"/>
                <w:szCs w:val="17"/>
                <w:color w:val="auto"/>
                <w:w w:val="89"/>
              </w:rPr>
              <w:t>2011</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13.3</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8"/>
        </w:trPr>
        <w:tc>
          <w:tcPr>
            <w:tcW w:w="5520" w:type="dxa"/>
            <w:vAlign w:val="bottom"/>
          </w:tcPr>
          <w:p>
            <w:pPr>
              <w:jc w:val="center"/>
              <w:ind w:right="3854"/>
              <w:spacing w:after="0"/>
              <w:rPr>
                <w:sz w:val="20"/>
                <w:szCs w:val="20"/>
                <w:color w:val="auto"/>
              </w:rPr>
            </w:pPr>
            <w:r>
              <w:rPr>
                <w:rFonts w:ascii="Arial" w:cs="Arial" w:eastAsia="Arial" w:hAnsi="Arial"/>
                <w:sz w:val="17"/>
                <w:szCs w:val="17"/>
                <w:color w:val="auto"/>
                <w:w w:val="89"/>
              </w:rPr>
              <w:t>2012</w:t>
            </w:r>
          </w:p>
        </w:tc>
        <w:tc>
          <w:tcPr>
            <w:tcW w:w="34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12.8</w:t>
            </w:r>
          </w:p>
        </w:tc>
        <w:tc>
          <w:tcPr>
            <w:tcW w:w="26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7"/>
                <w:szCs w:val="17"/>
                <w:color w:val="auto"/>
              </w:rPr>
              <w:t>2.0</w:t>
            </w:r>
          </w:p>
        </w:tc>
        <w:tc>
          <w:tcPr>
            <w:tcW w:w="360" w:type="dxa"/>
            <w:vAlign w:val="bottom"/>
          </w:tcPr>
          <w:p>
            <w:pPr>
              <w:spacing w:after="0"/>
              <w:rPr>
                <w:sz w:val="18"/>
                <w:szCs w:val="18"/>
                <w:color w:val="auto"/>
              </w:rPr>
            </w:pPr>
          </w:p>
        </w:tc>
        <w:tc>
          <w:tcPr>
            <w:tcW w:w="1680" w:type="dxa"/>
            <w:vAlign w:val="bottom"/>
          </w:tcPr>
          <w:p>
            <w:pPr>
              <w:jc w:val="right"/>
              <w:ind w:right="194"/>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jc w:val="center"/>
              <w:ind w:right="3854"/>
              <w:spacing w:after="0"/>
              <w:rPr>
                <w:sz w:val="20"/>
                <w:szCs w:val="20"/>
                <w:color w:val="auto"/>
              </w:rPr>
            </w:pPr>
            <w:r>
              <w:rPr>
                <w:rFonts w:ascii="Arial" w:cs="Arial" w:eastAsia="Arial" w:hAnsi="Arial"/>
                <w:sz w:val="17"/>
                <w:szCs w:val="17"/>
                <w:color w:val="auto"/>
                <w:w w:val="89"/>
              </w:rPr>
              <w:t>2013</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24.3</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11.3</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8"/>
        </w:trPr>
        <w:tc>
          <w:tcPr>
            <w:tcW w:w="5520" w:type="dxa"/>
            <w:vAlign w:val="bottom"/>
          </w:tcPr>
          <w:p>
            <w:pPr>
              <w:jc w:val="center"/>
              <w:ind w:right="3854"/>
              <w:spacing w:after="0"/>
              <w:rPr>
                <w:sz w:val="20"/>
                <w:szCs w:val="20"/>
                <w:color w:val="auto"/>
              </w:rPr>
            </w:pPr>
            <w:r>
              <w:rPr>
                <w:rFonts w:ascii="Arial" w:cs="Arial" w:eastAsia="Arial" w:hAnsi="Arial"/>
                <w:sz w:val="17"/>
                <w:szCs w:val="17"/>
                <w:color w:val="auto"/>
                <w:w w:val="89"/>
              </w:rPr>
              <w:t>2014</w:t>
            </w:r>
          </w:p>
        </w:tc>
        <w:tc>
          <w:tcPr>
            <w:tcW w:w="34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24.1</w:t>
            </w:r>
          </w:p>
        </w:tc>
        <w:tc>
          <w:tcPr>
            <w:tcW w:w="26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7"/>
                <w:szCs w:val="17"/>
                <w:color w:val="auto"/>
              </w:rPr>
              <w:t>10.7</w:t>
            </w:r>
          </w:p>
        </w:tc>
        <w:tc>
          <w:tcPr>
            <w:tcW w:w="360" w:type="dxa"/>
            <w:vAlign w:val="bottom"/>
          </w:tcPr>
          <w:p>
            <w:pPr>
              <w:spacing w:after="0"/>
              <w:rPr>
                <w:sz w:val="18"/>
                <w:szCs w:val="18"/>
                <w:color w:val="auto"/>
              </w:rPr>
            </w:pPr>
          </w:p>
        </w:tc>
        <w:tc>
          <w:tcPr>
            <w:tcW w:w="1680" w:type="dxa"/>
            <w:vAlign w:val="bottom"/>
          </w:tcPr>
          <w:p>
            <w:pPr>
              <w:jc w:val="right"/>
              <w:ind w:right="194"/>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jc w:val="center"/>
              <w:ind w:right="3854"/>
              <w:spacing w:after="0"/>
              <w:rPr>
                <w:sz w:val="20"/>
                <w:szCs w:val="20"/>
                <w:color w:val="auto"/>
              </w:rPr>
            </w:pPr>
            <w:r>
              <w:rPr>
                <w:rFonts w:ascii="Arial" w:cs="Arial" w:eastAsia="Arial" w:hAnsi="Arial"/>
                <w:sz w:val="17"/>
                <w:szCs w:val="17"/>
                <w:color w:val="auto"/>
                <w:w w:val="89"/>
              </w:rPr>
              <w:t>2015</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24.7</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10.9</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8"/>
        </w:trPr>
        <w:tc>
          <w:tcPr>
            <w:tcW w:w="5520" w:type="dxa"/>
            <w:vAlign w:val="bottom"/>
          </w:tcPr>
          <w:p>
            <w:pPr>
              <w:jc w:val="center"/>
              <w:ind w:right="3854"/>
              <w:spacing w:after="0"/>
              <w:rPr>
                <w:sz w:val="20"/>
                <w:szCs w:val="20"/>
                <w:color w:val="auto"/>
              </w:rPr>
            </w:pPr>
            <w:r>
              <w:rPr>
                <w:rFonts w:ascii="Arial" w:cs="Arial" w:eastAsia="Arial" w:hAnsi="Arial"/>
                <w:sz w:val="17"/>
                <w:szCs w:val="17"/>
                <w:color w:val="auto"/>
                <w:w w:val="89"/>
              </w:rPr>
              <w:t>2016</w:t>
            </w:r>
          </w:p>
        </w:tc>
        <w:tc>
          <w:tcPr>
            <w:tcW w:w="34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27.1</w:t>
            </w:r>
          </w:p>
        </w:tc>
        <w:tc>
          <w:tcPr>
            <w:tcW w:w="26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7"/>
                <w:szCs w:val="17"/>
                <w:color w:val="auto"/>
              </w:rPr>
              <w:t>11.0</w:t>
            </w:r>
          </w:p>
        </w:tc>
        <w:tc>
          <w:tcPr>
            <w:tcW w:w="360" w:type="dxa"/>
            <w:vAlign w:val="bottom"/>
          </w:tcPr>
          <w:p>
            <w:pPr>
              <w:spacing w:after="0"/>
              <w:rPr>
                <w:sz w:val="18"/>
                <w:szCs w:val="18"/>
                <w:color w:val="auto"/>
              </w:rPr>
            </w:pPr>
          </w:p>
        </w:tc>
        <w:tc>
          <w:tcPr>
            <w:tcW w:w="1680" w:type="dxa"/>
            <w:vAlign w:val="bottom"/>
          </w:tcPr>
          <w:p>
            <w:pPr>
              <w:jc w:val="right"/>
              <w:ind w:right="194"/>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jc w:val="center"/>
              <w:ind w:right="3854"/>
              <w:spacing w:after="0"/>
              <w:rPr>
                <w:sz w:val="20"/>
                <w:szCs w:val="20"/>
                <w:color w:val="auto"/>
              </w:rPr>
            </w:pPr>
            <w:r>
              <w:rPr>
                <w:rFonts w:ascii="Arial" w:cs="Arial" w:eastAsia="Arial" w:hAnsi="Arial"/>
                <w:sz w:val="17"/>
                <w:szCs w:val="17"/>
                <w:color w:val="auto"/>
                <w:w w:val="89"/>
              </w:rPr>
              <w:t>2017</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43.9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35.1</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8"/>
        </w:trPr>
        <w:tc>
          <w:tcPr>
            <w:tcW w:w="5520" w:type="dxa"/>
            <w:vAlign w:val="bottom"/>
          </w:tcPr>
          <w:p>
            <w:pPr>
              <w:jc w:val="center"/>
              <w:ind w:right="3854"/>
              <w:spacing w:after="0"/>
              <w:rPr>
                <w:sz w:val="20"/>
                <w:szCs w:val="20"/>
                <w:color w:val="auto"/>
              </w:rPr>
            </w:pPr>
            <w:r>
              <w:rPr>
                <w:rFonts w:ascii="Arial" w:cs="Arial" w:eastAsia="Arial" w:hAnsi="Arial"/>
                <w:sz w:val="17"/>
                <w:szCs w:val="17"/>
                <w:color w:val="auto"/>
                <w:w w:val="89"/>
              </w:rPr>
              <w:t>2018</w:t>
            </w:r>
          </w:p>
        </w:tc>
        <w:tc>
          <w:tcPr>
            <w:tcW w:w="34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43.9</w:t>
            </w:r>
          </w:p>
        </w:tc>
        <w:tc>
          <w:tcPr>
            <w:tcW w:w="26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7"/>
                <w:szCs w:val="17"/>
                <w:color w:val="auto"/>
              </w:rPr>
              <w:t>36.3</w:t>
            </w:r>
          </w:p>
        </w:tc>
        <w:tc>
          <w:tcPr>
            <w:tcW w:w="360" w:type="dxa"/>
            <w:vAlign w:val="bottom"/>
          </w:tcPr>
          <w:p>
            <w:pPr>
              <w:spacing w:after="0"/>
              <w:rPr>
                <w:sz w:val="18"/>
                <w:szCs w:val="18"/>
                <w:color w:val="auto"/>
              </w:rPr>
            </w:pPr>
          </w:p>
        </w:tc>
        <w:tc>
          <w:tcPr>
            <w:tcW w:w="1680" w:type="dxa"/>
            <w:vAlign w:val="bottom"/>
          </w:tcPr>
          <w:p>
            <w:pPr>
              <w:jc w:val="right"/>
              <w:ind w:right="174"/>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jc w:val="center"/>
              <w:ind w:right="3854"/>
              <w:spacing w:after="0"/>
              <w:rPr>
                <w:sz w:val="20"/>
                <w:szCs w:val="20"/>
                <w:color w:val="auto"/>
              </w:rPr>
            </w:pPr>
            <w:r>
              <w:rPr>
                <w:rFonts w:ascii="Arial" w:cs="Arial" w:eastAsia="Arial" w:hAnsi="Arial"/>
                <w:sz w:val="17"/>
                <w:szCs w:val="17"/>
                <w:color w:val="auto"/>
                <w:w w:val="89"/>
              </w:rPr>
              <w:t>2019</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37.7</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30.9</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8"/>
        </w:trPr>
        <w:tc>
          <w:tcPr>
            <w:tcW w:w="5520" w:type="dxa"/>
            <w:vAlign w:val="bottom"/>
          </w:tcPr>
          <w:p>
            <w:pPr>
              <w:jc w:val="center"/>
              <w:ind w:right="3854"/>
              <w:spacing w:after="0"/>
              <w:rPr>
                <w:sz w:val="20"/>
                <w:szCs w:val="20"/>
                <w:color w:val="auto"/>
              </w:rPr>
            </w:pPr>
            <w:r>
              <w:rPr>
                <w:rFonts w:ascii="Arial" w:cs="Arial" w:eastAsia="Arial" w:hAnsi="Arial"/>
                <w:sz w:val="17"/>
                <w:szCs w:val="17"/>
                <w:color w:val="auto"/>
                <w:w w:val="89"/>
              </w:rPr>
              <w:t>2020</w:t>
            </w:r>
          </w:p>
        </w:tc>
        <w:tc>
          <w:tcPr>
            <w:tcW w:w="34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35.9</w:t>
            </w:r>
          </w:p>
        </w:tc>
        <w:tc>
          <w:tcPr>
            <w:tcW w:w="26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7"/>
                <w:szCs w:val="17"/>
                <w:color w:val="auto"/>
              </w:rPr>
              <w:t>28.3</w:t>
            </w:r>
          </w:p>
        </w:tc>
        <w:tc>
          <w:tcPr>
            <w:tcW w:w="360" w:type="dxa"/>
            <w:vAlign w:val="bottom"/>
          </w:tcPr>
          <w:p>
            <w:pPr>
              <w:spacing w:after="0"/>
              <w:rPr>
                <w:sz w:val="18"/>
                <w:szCs w:val="18"/>
                <w:color w:val="auto"/>
              </w:rPr>
            </w:pPr>
          </w:p>
        </w:tc>
        <w:tc>
          <w:tcPr>
            <w:tcW w:w="1680" w:type="dxa"/>
            <w:vAlign w:val="bottom"/>
          </w:tcPr>
          <w:p>
            <w:pPr>
              <w:jc w:val="right"/>
              <w:ind w:right="174"/>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jc w:val="center"/>
              <w:ind w:right="3854"/>
              <w:spacing w:after="0"/>
              <w:rPr>
                <w:sz w:val="20"/>
                <w:szCs w:val="20"/>
                <w:color w:val="auto"/>
              </w:rPr>
            </w:pPr>
            <w:r>
              <w:rPr>
                <w:rFonts w:ascii="Arial" w:cs="Arial" w:eastAsia="Arial" w:hAnsi="Arial"/>
                <w:sz w:val="17"/>
                <w:szCs w:val="17"/>
                <w:color w:val="auto"/>
                <w:w w:val="89"/>
              </w:rPr>
              <w:t>2021</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29.0</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28.0</w:t>
            </w:r>
          </w:p>
        </w:tc>
        <w:tc>
          <w:tcPr>
            <w:tcW w:w="3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9"/>
        </w:trPr>
        <w:tc>
          <w:tcPr>
            <w:tcW w:w="5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373.6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204.7</w:t>
            </w:r>
          </w:p>
        </w:tc>
        <w:tc>
          <w:tcPr>
            <w:tcW w:w="3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162.1</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Net Operating Loss Carryforwards</w:t>
      </w:r>
    </w:p>
    <w:p>
      <w:pPr>
        <w:spacing w:after="0" w:line="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At December 31, 2021 and 2020, Evergy had $33.6 million and $42.2 million, respectively, of tax benefits related to federal net operating loss (NOL) carryforwards. Approximately $7.1 million of Evergy's tax benefits at December 31, 2021 </w:t>
      </w:r>
      <w:r>
        <w:rPr>
          <w:rFonts w:ascii="Arial" w:cs="Arial" w:eastAsia="Arial" w:hAnsi="Arial"/>
          <w:sz w:val="16"/>
          <w:szCs w:val="16"/>
          <w:color w:val="auto"/>
        </w:rPr>
        <w:t>are</w:t>
      </w:r>
      <w:r>
        <w:rPr>
          <w:rFonts w:ascii="Arial" w:cs="Arial" w:eastAsia="Arial" w:hAnsi="Arial"/>
          <w:sz w:val="18"/>
          <w:szCs w:val="18"/>
          <w:color w:val="auto"/>
        </w:rPr>
        <w:t xml:space="preserve"> related to NOLs that were acquired in the Evergy Missouri West acquisition. Due to federal limitations on the utilization of income tax attributes acquired in the Evergy Missouri West acquisition, Evergy expects a portion of these federal NOL carryforwards to expire unutilized and has provided a valuation allowance against $7.1 million of the federal income tax benefit. The federal NOL carryforwards expire in years 2023 to 2024.</w:t>
      </w:r>
    </w:p>
    <w:p>
      <w:pPr>
        <w:spacing w:after="0" w:line="169" w:lineRule="exact"/>
        <w:rPr>
          <w:sz w:val="20"/>
          <w:szCs w:val="20"/>
          <w:color w:val="auto"/>
        </w:rPr>
      </w:pPr>
    </w:p>
    <w:p>
      <w:pPr>
        <w:ind w:right="360"/>
        <w:spacing w:after="0" w:line="264" w:lineRule="auto"/>
        <w:rPr>
          <w:sz w:val="20"/>
          <w:szCs w:val="20"/>
          <w:color w:val="auto"/>
        </w:rPr>
      </w:pPr>
      <w:r>
        <w:rPr>
          <w:rFonts w:ascii="Arial" w:cs="Arial" w:eastAsia="Arial" w:hAnsi="Arial"/>
          <w:sz w:val="19"/>
          <w:szCs w:val="19"/>
          <w:color w:val="auto"/>
        </w:rPr>
        <w:t>The year of origin of Evergy's related tax benefit amounts for federal NOL carryforwards as of December 31, 2021 are detailed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340" w:type="dxa"/>
            <w:vAlign w:val="bottom"/>
            <w:tcBorders>
              <w:top w:val="single" w:sz="8" w:color="auto"/>
              <w:bottom w:val="single" w:sz="8" w:color="auto"/>
            </w:tcBorders>
          </w:tcPr>
          <w:p>
            <w:pPr>
              <w:jc w:val="center"/>
              <w:ind w:right="7674"/>
              <w:spacing w:after="0"/>
              <w:rPr>
                <w:sz w:val="20"/>
                <w:szCs w:val="20"/>
                <w:color w:val="auto"/>
              </w:rPr>
            </w:pPr>
            <w:r>
              <w:rPr>
                <w:rFonts w:ascii="Arial" w:cs="Arial" w:eastAsia="Arial" w:hAnsi="Arial"/>
                <w:sz w:val="17"/>
                <w:szCs w:val="17"/>
                <w:b w:val="1"/>
                <w:bCs w:val="1"/>
                <w:color w:val="auto"/>
                <w:w w:val="94"/>
              </w:rPr>
              <w:t>Year of Origin</w:t>
            </w:r>
          </w:p>
        </w:tc>
        <w:tc>
          <w:tcPr>
            <w:tcW w:w="14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92"/>
              </w:rPr>
              <w:t>Amount of Benefit</w:t>
            </w:r>
          </w:p>
        </w:tc>
      </w:tr>
      <w:tr>
        <w:trPr>
          <w:trHeight w:val="196"/>
        </w:trPr>
        <w:tc>
          <w:tcPr>
            <w:tcW w:w="9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right"/>
              <w:ind w:right="556"/>
              <w:spacing w:after="0"/>
              <w:rPr>
                <w:sz w:val="20"/>
                <w:szCs w:val="20"/>
                <w:color w:val="auto"/>
              </w:rPr>
            </w:pPr>
            <w:r>
              <w:rPr>
                <w:rFonts w:ascii="Arial" w:cs="Arial" w:eastAsia="Arial" w:hAnsi="Arial"/>
                <w:sz w:val="15"/>
                <w:szCs w:val="15"/>
                <w:color w:val="auto"/>
              </w:rPr>
              <w:t>(millions)</w:t>
            </w:r>
          </w:p>
        </w:tc>
      </w:tr>
      <w:tr>
        <w:trPr>
          <w:trHeight w:val="222"/>
        </w:trPr>
        <w:tc>
          <w:tcPr>
            <w:tcW w:w="9340" w:type="dxa"/>
            <w:vAlign w:val="bottom"/>
            <w:shd w:val="clear" w:color="auto" w:fill="CCEEFF"/>
          </w:tcPr>
          <w:p>
            <w:pPr>
              <w:jc w:val="center"/>
              <w:ind w:right="7674"/>
              <w:spacing w:after="0"/>
              <w:rPr>
                <w:sz w:val="20"/>
                <w:szCs w:val="20"/>
                <w:color w:val="auto"/>
              </w:rPr>
            </w:pPr>
            <w:r>
              <w:rPr>
                <w:rFonts w:ascii="Arial" w:cs="Arial" w:eastAsia="Arial" w:hAnsi="Arial"/>
                <w:sz w:val="17"/>
                <w:szCs w:val="17"/>
                <w:color w:val="auto"/>
                <w:w w:val="89"/>
              </w:rPr>
              <w:t>2005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1.9</w:t>
            </w:r>
          </w:p>
        </w:tc>
      </w:tr>
      <w:tr>
        <w:trPr>
          <w:trHeight w:val="218"/>
        </w:trPr>
        <w:tc>
          <w:tcPr>
            <w:tcW w:w="9340" w:type="dxa"/>
            <w:vAlign w:val="bottom"/>
            <w:tcBorders>
              <w:bottom w:val="single" w:sz="8" w:color="CCEEFF"/>
            </w:tcBorders>
          </w:tcPr>
          <w:p>
            <w:pPr>
              <w:jc w:val="center"/>
              <w:ind w:right="7674"/>
              <w:spacing w:after="0"/>
              <w:rPr>
                <w:sz w:val="20"/>
                <w:szCs w:val="20"/>
                <w:color w:val="auto"/>
              </w:rPr>
            </w:pPr>
            <w:r>
              <w:rPr>
                <w:rFonts w:ascii="Arial" w:cs="Arial" w:eastAsia="Arial" w:hAnsi="Arial"/>
                <w:sz w:val="17"/>
                <w:szCs w:val="17"/>
                <w:color w:val="auto"/>
                <w:w w:val="89"/>
              </w:rPr>
              <w:t>2006</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31.7</w:t>
            </w:r>
          </w:p>
        </w:tc>
      </w:tr>
      <w:tr>
        <w:trPr>
          <w:trHeight w:val="219"/>
        </w:trPr>
        <w:tc>
          <w:tcPr>
            <w:tcW w:w="93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33.6</w:t>
            </w:r>
          </w:p>
        </w:tc>
      </w:tr>
    </w:tbl>
    <w:p>
      <w:pPr>
        <w:spacing w:after="0" w:line="267"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In addition, Evergy also had deferred tax benefits of $6.6 million and $8.8 million related to state NOLs as of December 31, 2021 and 2020, respectively. Evergy Metro had deferred tax benefits of $0.2 million related to state NOLs as of 2020. The state NOL carryforwards expire in years 2022 to 2038. Evergy does not expect to utilize $5.6 million of NOLs before the expiration date of the carryforwards of NOLs in certain states. Therefore, a valuation allowance has been provided against $5.6 million of state tax benefits.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0" w:name="page151"/>
    <w:bookmarkEnd w:id="15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Alternative Minimum Tax (AMT) Carryforwards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2021, Evergy and Evergy Kansas Central had $1.6 million of federal AMT carryforwards.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Valuation Allowances</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Evergy is required to assess the ultimate realization of deferred tax assets using a "more likely than not" assessment threshold. This assessment takes into consideration tax planning strategies within Evergy's control. As a result of this assessment, Evergy has established a partial valuation allowance for federal and state tax NOL carryforwards and tax credit carryforwards. During 2021, $1.5 million of tax benefit was recorded in continuing operations primarily related to utilization or expiration of certain state NOL carryforwards.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Uncertain Tax Positions</w:t>
      </w:r>
    </w:p>
    <w:p>
      <w:pPr>
        <w:spacing w:after="0" w:line="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Evergy is considered open to U.S. federal examination for years after 2009 due to the carryforward of net operating losses and general business income tax credits. With few exceptions, Evergy is no longer subject to state and local tax examinations by tax authorities for years before 2016. As of December 31, 2021, Evergy does not have any significant income tax issues under examination.</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Kansas Tax Reform</w:t>
      </w:r>
    </w:p>
    <w:p>
      <w:pPr>
        <w:spacing w:after="0" w:line="23" w:lineRule="exact"/>
        <w:rPr>
          <w:sz w:val="20"/>
          <w:szCs w:val="20"/>
          <w:color w:val="auto"/>
        </w:rPr>
      </w:pPr>
    </w:p>
    <w:p>
      <w:pPr>
        <w:ind w:right="220"/>
        <w:spacing w:after="0" w:line="243" w:lineRule="auto"/>
        <w:rPr>
          <w:sz w:val="20"/>
          <w:szCs w:val="20"/>
          <w:color w:val="auto"/>
        </w:rPr>
      </w:pPr>
      <w:r>
        <w:rPr>
          <w:rFonts w:ascii="Arial" w:cs="Arial" w:eastAsia="Arial" w:hAnsi="Arial"/>
          <w:sz w:val="19"/>
          <w:szCs w:val="19"/>
          <w:color w:val="auto"/>
        </w:rPr>
        <w:t>In May 2020, the state of Kansas exempted certain public utilities, including Evergy Kansas Central and Evergy Metro, from Kansas corporate income tax beginning in 2021 and authorized the KCC to approve changes in rates related to increases or decreases in federal or state income tax rates.</w:t>
      </w:r>
    </w:p>
    <w:p>
      <w:pPr>
        <w:spacing w:after="0" w:line="184"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As a result of the exemption from Kansas corporate income tax, the Evergy Companies revalued their deferred income tax assets and liabilities in May 2020. Evergy decreased its net deferred income tax liabilities by $233.8 million, primarily consisting of a $400.4 million adjustment for the revaluation of deferred income tax assets and liabilities included in rate base and a $31.7 million tax gross-up adjustment on this amount for ratemaking purposes and $13.8 million of income tax expense primarily related to the revaluation of deferred income taxes that will not be recovered from customers in future rates; partially offset by a decrease to unamortized investment tax credits of $183.6 million due to the revaluation of certain Kansas income tax credits and a $16.9 million tax gross-up adjustment on this amount for ratemaking purposes.</w:t>
      </w:r>
    </w:p>
    <w:p>
      <w:pPr>
        <w:spacing w:after="0" w:line="15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Evergy Kansas Central decreased its net deferred income tax liabilities by $17.6 million, primarily consisting of a $293.7 million adjustment for the revaluation of deferred income tax assets and liabilities included in rate base and a $17.3 million tax gross-up adjustment on this amount for ratemaking purposes; partially offset by a decrease to unamortized investment tax credits of $183.6 million due to the revaluation of certain Kansas income tax credits and a $16.9 million tax gross-up adjustment on this amount for ratemaking purposes and $109.0 million of income tax expense primarily related to the revaluation of deferred income taxes that will not be recovered from customers in future rates.</w:t>
      </w:r>
    </w:p>
    <w:p>
      <w:pPr>
        <w:spacing w:after="0" w:line="168"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Evergy Metro decreased its net deferred income tax liabilities by $152.9 million, primarily consisting of a $106.7 million adjustment for the revaluation of deferred income tax assets and liabilities included in rate base and a $14.4 million tax gross-up adjustment on this amount for ratemaking purposes and $32.2 million of income tax benefit primarily related to the revaluation of deferred income taxes that will not be refunded to customers in future rates.</w:t>
      </w:r>
    </w:p>
    <w:p>
      <w:pPr>
        <w:spacing w:after="0" w:line="18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changes to the Evergy Companies' net deferred income tax liabilities included in rate base were offset by corresponding changes in regulatory liabilities. The net regulatory liabilities will be refunded to customers in future rates by amortizing the amounts related to plant assets over the remaining useful life of the assets, and amortizing the amounts related to other items over a period to be determined in a future rate case. The changes to the Evergy Companies' unamortized investment tax credits were related to the portion of certain Kansas income tax credits that are not expected to be used after December 31, 2020. The amounts of income tax expense (benefit) recognized by the Evergy Companies related to the revaluation of deferred income taxes that will not be recovered from or refunded to customers in future rates primarily pertain to deferred tax adjustments related to the difference between Evergy's consolidated tax rate and the statutory tax rates used for setting rates at Evergy Kansas Central, Evergy Metro and Evergy Missouri West as well as deferred income tax adjustments related to non-regulated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51" w:name="page152"/>
    <w:bookmarkEnd w:id="15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Prior to 2021, Evergy Kansas Central and Evergy Metro recovered the cost of Kansas corporate income taxes in rates from their customers at the statutory rate of 7%. In accordance with the provisions of the income tax exemption, Evergy Metro and Evergy Kansas Central filed a joint application with the KCC in July 2020 to reduce their retail rates to reflect their exemption from Kansas corporate income taxes beginning in 2021. In the joint application, Evergy Metro requested to implement its rate reduction in one phase, effective January 1, 2021, and Evergy Kansas Central requested to implement its rate reduction in three phases, effective January 1 in each of 2021, 2022 and 2023. In November 2020, the KCC approved Evergy Kansas Central's and Evergy Metro's joint application.</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 LEASES</w:t>
      </w:r>
    </w:p>
    <w:p>
      <w:pPr>
        <w:spacing w:after="0" w:line="110"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The Evergy Companies lease office buildings, computer equipment, vehicles, rail cars, generating plant and other property and equipment, including rail cars to serve jointly-owned generating units where Evergy Kansas Central or Evergy Metro is the managing partner and is reimbursed by other joint-owners for the other owners' proportionate share of the costs. Under GAAP, a contract is or contains a lease if the contract conveys the right to control the use of identified property, plant or equipment for a period of time in exchange for consideration. The Evergy Companies assess a contract as being or containing a lease if the contract identifies property, plant and equipment, provides the lessee the right to obtain substantially all of the economic benefits from use of the property, plant and equipment and provides the lessee the right to direct the use of the property, plant and equipment.</w:t>
      </w:r>
    </w:p>
    <w:p>
      <w:pPr>
        <w:spacing w:after="0" w:line="18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The Evergy Companies have entered into several agreements to purchase energy through renewable purchase power agreements that are accounted for as leases that commenced prior to the application of </w:t>
      </w:r>
      <w:r>
        <w:rPr>
          <w:rFonts w:ascii="Arial" w:cs="Arial" w:eastAsia="Arial" w:hAnsi="Arial"/>
          <w:sz w:val="18"/>
          <w:szCs w:val="18"/>
          <w:i w:val="1"/>
          <w:iCs w:val="1"/>
          <w:color w:val="auto"/>
        </w:rPr>
        <w:t>Topic 842-Leases</w:t>
      </w:r>
      <w:r>
        <w:rPr>
          <w:rFonts w:ascii="Arial" w:cs="Arial" w:eastAsia="Arial" w:hAnsi="Arial"/>
          <w:sz w:val="18"/>
          <w:szCs w:val="18"/>
          <w:color w:val="auto"/>
        </w:rPr>
        <w:t>. Due to the intermittent nature of renewable generation, these leases have significant variable lease payments not included in the initial and subsequent measurement of the lease liability. Variable lease payments are expensed as incurred. In addition, certain other contracts contain payment for activity that transfers a separate good or service such as utilities or common area maintenance. The Evergy Companies have elected a practical expedient permitted by GAAP to not separate such components of the lease from other lease components for all leases.</w:t>
      </w:r>
    </w:p>
    <w:p>
      <w:pPr>
        <w:spacing w:after="0" w:line="171"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The Evergy, Evergy Kansas Central and Evergy Metro leases have remaining terms ranging from 1 to 17 years, 1 to 17 years and 1 to 11 years, respectively. Leases that have original lease terms of twelve months or less are not recognized on the Evergy Companies’ balance sheets. Some leases have options to renew the lease or terminate early at the election of the Evergy Companies. Judgment is applied at lease commencement to determine the reasonably certain lease term based on then-current assumptions about use of the leased asset, market conditions and terms in the contract. The judgment applied to determine the lease term can significantly impact the measurement of the lease liability and right-of-use asset and lease classification.</w:t>
      </w:r>
    </w:p>
    <w:p>
      <w:pPr>
        <w:spacing w:after="0" w:line="183"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The Evergy Companies typically discount lease payments over the term of the lease using their incremental borrowing rates at lease commencement to measure its initial and subsequent lease liability. For leases that existed at the initial application of Topic 842, the Evergy Companies used the incremental borrowing rates that corresponded to the remaining lease term as of January 1, 2019.</w:t>
      </w:r>
    </w:p>
    <w:p>
      <w:pPr>
        <w:spacing w:after="0" w:line="176"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Leases may be classified as either operating leases or finance leases. The lease classification is based on assumptions of the lease term and discount rate, as discussed above, and the fair market value and economic life of the leased asset. Operating leases recognize a consistent expense each period over the lease term, while finance leases will result in the separate presentation of interest expense on the lease liability and amortization of the right-of-use asset. Finance leases are treated as operating leases for rate-making purposes and as such, the Evergy Companies defer to a regulatory asset or liability any material differences between expense recognition and the timing of payments in order to match what is being recovered in customer rates.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2" w:name="page153"/>
    <w:bookmarkEnd w:id="15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The Evergy Companies’ lease expense is detailed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r>
      <w:tr>
        <w:trPr>
          <w:trHeight w:val="211"/>
        </w:trPr>
        <w:tc>
          <w:tcPr>
            <w:tcW w:w="6760" w:type="dxa"/>
            <w:vAlign w:val="bottom"/>
          </w:tcPr>
          <w:p>
            <w:pPr>
              <w:ind w:left="20"/>
              <w:spacing w:after="0"/>
              <w:rPr>
                <w:sz w:val="20"/>
                <w:szCs w:val="20"/>
                <w:color w:val="auto"/>
              </w:rPr>
            </w:pPr>
            <w:r>
              <w:rPr>
                <w:rFonts w:ascii="Arial" w:cs="Arial" w:eastAsia="Arial" w:hAnsi="Arial"/>
                <w:sz w:val="17"/>
                <w:szCs w:val="17"/>
                <w:color w:val="auto"/>
              </w:rPr>
              <w:t>Finance lease costs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Arial" w:cs="Arial" w:eastAsia="Arial" w:hAnsi="Arial"/>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6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right-of-use assets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7.7</w:t>
            </w:r>
          </w:p>
        </w:tc>
        <w:tc>
          <w:tcPr>
            <w:tcW w:w="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8"/>
        </w:trPr>
        <w:tc>
          <w:tcPr>
            <w:tcW w:w="6760" w:type="dxa"/>
            <w:vAlign w:val="bottom"/>
          </w:tcPr>
          <w:p>
            <w:pPr>
              <w:ind w:left="140"/>
              <w:spacing w:after="0"/>
              <w:rPr>
                <w:sz w:val="20"/>
                <w:szCs w:val="20"/>
                <w:color w:val="auto"/>
              </w:rPr>
            </w:pPr>
            <w:r>
              <w:rPr>
                <w:rFonts w:ascii="Arial" w:cs="Arial" w:eastAsia="Arial" w:hAnsi="Arial"/>
                <w:sz w:val="17"/>
                <w:szCs w:val="17"/>
                <w:color w:val="auto"/>
              </w:rPr>
              <w:t>Interest on lease liabilities</w:t>
            </w:r>
          </w:p>
        </w:tc>
        <w:tc>
          <w:tcPr>
            <w:tcW w:w="3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2.5</w:t>
            </w:r>
          </w:p>
        </w:tc>
        <w:tc>
          <w:tcPr>
            <w:tcW w:w="3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3.1</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21.8</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22.9</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218"/>
        </w:trPr>
        <w:tc>
          <w:tcPr>
            <w:tcW w:w="6760" w:type="dxa"/>
            <w:vAlign w:val="bottom"/>
          </w:tcPr>
          <w:p>
            <w:pPr>
              <w:ind w:left="20"/>
              <w:spacing w:after="0"/>
              <w:rPr>
                <w:sz w:val="20"/>
                <w:szCs w:val="20"/>
                <w:color w:val="auto"/>
              </w:rPr>
            </w:pPr>
            <w:r>
              <w:rPr>
                <w:rFonts w:ascii="Arial" w:cs="Arial" w:eastAsia="Arial" w:hAnsi="Arial"/>
                <w:sz w:val="17"/>
                <w:szCs w:val="17"/>
                <w:color w:val="auto"/>
              </w:rPr>
              <w:t>Short-term lease costs</w:t>
            </w:r>
          </w:p>
        </w:tc>
        <w:tc>
          <w:tcPr>
            <w:tcW w:w="3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5.9</w:t>
            </w:r>
          </w:p>
        </w:tc>
        <w:tc>
          <w:tcPr>
            <w:tcW w:w="3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2.1</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costs for renewable purchase power agreements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280.3</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296.6</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313.0</w:t>
            </w:r>
          </w:p>
        </w:tc>
      </w:tr>
      <w:tr>
        <w:trPr>
          <w:trHeight w:val="218"/>
        </w:trPr>
        <w:tc>
          <w:tcPr>
            <w:tcW w:w="67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lease costs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315.6</w:t>
            </w:r>
          </w:p>
        </w:tc>
        <w:tc>
          <w:tcPr>
            <w:tcW w:w="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332.4</w:t>
            </w:r>
          </w:p>
        </w:tc>
        <w:tc>
          <w:tcPr>
            <w:tcW w:w="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348.9</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r>
      <w:tr>
        <w:trPr>
          <w:trHeight w:val="211"/>
        </w:trPr>
        <w:tc>
          <w:tcPr>
            <w:tcW w:w="6760" w:type="dxa"/>
            <w:vAlign w:val="bottom"/>
          </w:tcPr>
          <w:p>
            <w:pPr>
              <w:ind w:left="20"/>
              <w:spacing w:after="0"/>
              <w:rPr>
                <w:sz w:val="20"/>
                <w:szCs w:val="20"/>
                <w:color w:val="auto"/>
              </w:rPr>
            </w:pPr>
            <w:r>
              <w:rPr>
                <w:rFonts w:ascii="Arial" w:cs="Arial" w:eastAsia="Arial" w:hAnsi="Arial"/>
                <w:sz w:val="17"/>
                <w:szCs w:val="17"/>
                <w:color w:val="auto"/>
              </w:rPr>
              <w:t>Finance lease costs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Arial" w:cs="Arial" w:eastAsia="Arial" w:hAnsi="Arial"/>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6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right-of-use assets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4.5</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7.2</w:t>
            </w:r>
          </w:p>
        </w:tc>
        <w:tc>
          <w:tcPr>
            <w:tcW w:w="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8"/>
        </w:trPr>
        <w:tc>
          <w:tcPr>
            <w:tcW w:w="6760" w:type="dxa"/>
            <w:vAlign w:val="bottom"/>
          </w:tcPr>
          <w:p>
            <w:pPr>
              <w:ind w:left="140"/>
              <w:spacing w:after="0"/>
              <w:rPr>
                <w:sz w:val="20"/>
                <w:szCs w:val="20"/>
                <w:color w:val="auto"/>
              </w:rPr>
            </w:pPr>
            <w:r>
              <w:rPr>
                <w:rFonts w:ascii="Arial" w:cs="Arial" w:eastAsia="Arial" w:hAnsi="Arial"/>
                <w:sz w:val="17"/>
                <w:szCs w:val="17"/>
                <w:color w:val="auto"/>
              </w:rPr>
              <w:t>Interest on lease liabilities</w:t>
            </w:r>
          </w:p>
        </w:tc>
        <w:tc>
          <w:tcPr>
            <w:tcW w:w="3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2.4</w:t>
            </w:r>
          </w:p>
        </w:tc>
        <w:tc>
          <w:tcPr>
            <w:tcW w:w="3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2.8</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12.9</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11.9</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18"/>
        </w:trPr>
        <w:tc>
          <w:tcPr>
            <w:tcW w:w="6760" w:type="dxa"/>
            <w:vAlign w:val="bottom"/>
          </w:tcPr>
          <w:p>
            <w:pPr>
              <w:ind w:left="20"/>
              <w:spacing w:after="0"/>
              <w:rPr>
                <w:sz w:val="20"/>
                <w:szCs w:val="20"/>
                <w:color w:val="auto"/>
              </w:rPr>
            </w:pPr>
            <w:r>
              <w:rPr>
                <w:rFonts w:ascii="Arial" w:cs="Arial" w:eastAsia="Arial" w:hAnsi="Arial"/>
                <w:sz w:val="17"/>
                <w:szCs w:val="17"/>
                <w:color w:val="auto"/>
              </w:rPr>
              <w:t>Short-term lease costs</w:t>
            </w:r>
          </w:p>
        </w:tc>
        <w:tc>
          <w:tcPr>
            <w:tcW w:w="3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1.8</w:t>
            </w:r>
          </w:p>
        </w:tc>
        <w:tc>
          <w:tcPr>
            <w:tcW w:w="3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0.5</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costs for renewable purchase power agreements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145.8</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135.6</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w:t>
            </w:r>
          </w:p>
        </w:tc>
      </w:tr>
      <w:tr>
        <w:trPr>
          <w:trHeight w:val="218"/>
        </w:trPr>
        <w:tc>
          <w:tcPr>
            <w:tcW w:w="67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lease costs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167.4</w:t>
            </w:r>
          </w:p>
        </w:tc>
        <w:tc>
          <w:tcPr>
            <w:tcW w:w="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158.0</w:t>
            </w:r>
          </w:p>
        </w:tc>
        <w:tc>
          <w:tcPr>
            <w:tcW w:w="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152.9</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Metro</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r>
      <w:tr>
        <w:trPr>
          <w:trHeight w:val="211"/>
        </w:trPr>
        <w:tc>
          <w:tcPr>
            <w:tcW w:w="6760" w:type="dxa"/>
            <w:vAlign w:val="bottom"/>
          </w:tcPr>
          <w:p>
            <w:pPr>
              <w:ind w:left="20"/>
              <w:spacing w:after="0"/>
              <w:rPr>
                <w:sz w:val="20"/>
                <w:szCs w:val="20"/>
                <w:color w:val="auto"/>
              </w:rPr>
            </w:pPr>
            <w:r>
              <w:rPr>
                <w:rFonts w:ascii="Arial" w:cs="Arial" w:eastAsia="Arial" w:hAnsi="Arial"/>
                <w:sz w:val="17"/>
                <w:szCs w:val="17"/>
                <w:color w:val="auto"/>
              </w:rPr>
              <w:t>Finance lease costs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Arial" w:cs="Arial" w:eastAsia="Arial" w:hAnsi="Arial"/>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6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right-of-use assets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0.4</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0.3</w:t>
            </w:r>
          </w:p>
        </w:tc>
        <w:tc>
          <w:tcPr>
            <w:tcW w:w="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8"/>
        </w:trPr>
        <w:tc>
          <w:tcPr>
            <w:tcW w:w="6760" w:type="dxa"/>
            <w:vAlign w:val="bottom"/>
          </w:tcPr>
          <w:p>
            <w:pPr>
              <w:ind w:left="140"/>
              <w:spacing w:after="0"/>
              <w:rPr>
                <w:sz w:val="20"/>
                <w:szCs w:val="20"/>
                <w:color w:val="auto"/>
              </w:rPr>
            </w:pPr>
            <w:r>
              <w:rPr>
                <w:rFonts w:ascii="Arial" w:cs="Arial" w:eastAsia="Arial" w:hAnsi="Arial"/>
                <w:sz w:val="17"/>
                <w:szCs w:val="17"/>
                <w:color w:val="auto"/>
              </w:rPr>
              <w:t>Interest on lease liabilities</w:t>
            </w:r>
          </w:p>
        </w:tc>
        <w:tc>
          <w:tcPr>
            <w:tcW w:w="3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0.1</w:t>
            </w:r>
          </w:p>
        </w:tc>
        <w:tc>
          <w:tcPr>
            <w:tcW w:w="3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0.1</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9.3</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18"/>
        </w:trPr>
        <w:tc>
          <w:tcPr>
            <w:tcW w:w="6760" w:type="dxa"/>
            <w:vAlign w:val="bottom"/>
          </w:tcPr>
          <w:p>
            <w:pPr>
              <w:ind w:left="20"/>
              <w:spacing w:after="0"/>
              <w:rPr>
                <w:sz w:val="20"/>
                <w:szCs w:val="20"/>
                <w:color w:val="auto"/>
              </w:rPr>
            </w:pPr>
            <w:r>
              <w:rPr>
                <w:rFonts w:ascii="Arial" w:cs="Arial" w:eastAsia="Arial" w:hAnsi="Arial"/>
                <w:sz w:val="17"/>
                <w:szCs w:val="17"/>
                <w:color w:val="auto"/>
              </w:rPr>
              <w:t>Short-term lease costs</w:t>
            </w:r>
          </w:p>
        </w:tc>
        <w:tc>
          <w:tcPr>
            <w:tcW w:w="3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3.0</w:t>
            </w:r>
          </w:p>
        </w:tc>
        <w:tc>
          <w:tcPr>
            <w:tcW w:w="3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1.5</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costs for renewable purchase power agreements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101.0</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112.2</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129.2</w:t>
            </w:r>
          </w:p>
        </w:tc>
      </w:tr>
      <w:tr>
        <w:trPr>
          <w:trHeight w:val="218"/>
        </w:trPr>
        <w:tc>
          <w:tcPr>
            <w:tcW w:w="67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lease costs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113.5</w:t>
            </w:r>
          </w:p>
        </w:tc>
        <w:tc>
          <w:tcPr>
            <w:tcW w:w="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123.4</w:t>
            </w:r>
          </w:p>
        </w:tc>
        <w:tc>
          <w:tcPr>
            <w:tcW w:w="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Supplemental cash flow information related to the Evergy Companies' leases is detailed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w:t>
            </w:r>
          </w:p>
        </w:tc>
        <w:tc>
          <w:tcPr>
            <w:tcW w:w="11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r>
      <w:tr>
        <w:trPr>
          <w:trHeight w:val="211"/>
        </w:trPr>
        <w:tc>
          <w:tcPr>
            <w:tcW w:w="598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Arial" w:cs="Arial" w:eastAsia="Arial" w:hAnsi="Arial"/>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5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20.7</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22.2</w:t>
            </w:r>
          </w:p>
        </w:tc>
        <w:tc>
          <w:tcPr>
            <w:tcW w:w="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r>
      <w:tr>
        <w:trPr>
          <w:trHeight w:val="218"/>
        </w:trPr>
        <w:tc>
          <w:tcPr>
            <w:tcW w:w="5980" w:type="dxa"/>
            <w:vAlign w:val="bottom"/>
          </w:tcPr>
          <w:p>
            <w:pPr>
              <w:ind w:left="220"/>
              <w:spacing w:after="0"/>
              <w:rPr>
                <w:sz w:val="20"/>
                <w:szCs w:val="20"/>
                <w:color w:val="auto"/>
              </w:rPr>
            </w:pPr>
            <w:r>
              <w:rPr>
                <w:rFonts w:ascii="Arial" w:cs="Arial" w:eastAsia="Arial" w:hAnsi="Arial"/>
                <w:sz w:val="17"/>
                <w:szCs w:val="17"/>
                <w:color w:val="auto"/>
              </w:rPr>
              <w:t>Operating cash flows from finance leases</w:t>
            </w:r>
          </w:p>
        </w:tc>
        <w:tc>
          <w:tcPr>
            <w:tcW w:w="110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2.6</w:t>
            </w:r>
          </w:p>
        </w:tc>
        <w:tc>
          <w:tcPr>
            <w:tcW w:w="3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2.8</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5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cash flows from finance leases</w:t>
            </w: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5.3</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5.6</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8"/>
        </w:trPr>
        <w:tc>
          <w:tcPr>
            <w:tcW w:w="598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110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16.4</w:t>
            </w:r>
          </w:p>
        </w:tc>
        <w:tc>
          <w:tcPr>
            <w:tcW w:w="3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6.9</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26"/>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5.6</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10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r>
      <w:tr>
        <w:trPr>
          <w:trHeight w:val="211"/>
        </w:trPr>
        <w:tc>
          <w:tcPr>
            <w:tcW w:w="594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Arial" w:cs="Arial" w:eastAsia="Arial" w:hAnsi="Arial"/>
                <w:sz w:val="15"/>
                <w:szCs w:val="15"/>
                <w:color w:val="auto"/>
              </w:rPr>
              <w:t>(millions)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11.8</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12.9</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218"/>
        </w:trPr>
        <w:tc>
          <w:tcPr>
            <w:tcW w:w="5940" w:type="dxa"/>
            <w:vAlign w:val="bottom"/>
          </w:tcPr>
          <w:p>
            <w:pPr>
              <w:ind w:left="220"/>
              <w:spacing w:after="0"/>
              <w:rPr>
                <w:sz w:val="20"/>
                <w:szCs w:val="20"/>
                <w:color w:val="auto"/>
              </w:rPr>
            </w:pPr>
            <w:r>
              <w:rPr>
                <w:rFonts w:ascii="Arial" w:cs="Arial" w:eastAsia="Arial" w:hAnsi="Arial"/>
                <w:sz w:val="17"/>
                <w:szCs w:val="17"/>
                <w:color w:val="auto"/>
              </w:rPr>
              <w:t>Operating cash flows from finance leases</w:t>
            </w:r>
          </w:p>
        </w:tc>
        <w:tc>
          <w:tcPr>
            <w:tcW w:w="108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2.4</w:t>
            </w:r>
          </w:p>
        </w:tc>
        <w:tc>
          <w:tcPr>
            <w:tcW w:w="36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2.5</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0"/>
        </w:trPr>
        <w:tc>
          <w:tcPr>
            <w:tcW w:w="5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cash flows from finance leases</w:t>
            </w: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5.1</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18"/>
        </w:trPr>
        <w:tc>
          <w:tcPr>
            <w:tcW w:w="594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108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7.1</w:t>
            </w:r>
          </w:p>
        </w:tc>
        <w:tc>
          <w:tcPr>
            <w:tcW w:w="36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6.6</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26"/>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4.0</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3" w:name="page154"/>
    <w:bookmarkEnd w:id="15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Metro</w:t>
            </w:r>
          </w:p>
        </w:tc>
        <w:tc>
          <w:tcPr>
            <w:tcW w:w="10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r>
      <w:tr>
        <w:trPr>
          <w:trHeight w:val="211"/>
        </w:trPr>
        <w:tc>
          <w:tcPr>
            <w:tcW w:w="594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Arial" w:cs="Arial" w:eastAsia="Arial" w:hAnsi="Arial"/>
                <w:sz w:val="15"/>
                <w:szCs w:val="15"/>
                <w:color w:val="auto"/>
              </w:rPr>
              <w:t>(millions)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10.4</w:t>
            </w:r>
          </w:p>
        </w:tc>
        <w:tc>
          <w:tcPr>
            <w:tcW w:w="3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10.8</w:t>
            </w:r>
          </w:p>
        </w:tc>
        <w:tc>
          <w:tcPr>
            <w:tcW w:w="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18"/>
        </w:trPr>
        <w:tc>
          <w:tcPr>
            <w:tcW w:w="5940" w:type="dxa"/>
            <w:vAlign w:val="bottom"/>
          </w:tcPr>
          <w:p>
            <w:pPr>
              <w:ind w:left="220"/>
              <w:spacing w:after="0"/>
              <w:rPr>
                <w:sz w:val="20"/>
                <w:szCs w:val="20"/>
                <w:color w:val="auto"/>
              </w:rPr>
            </w:pPr>
            <w:r>
              <w:rPr>
                <w:rFonts w:ascii="Arial" w:cs="Arial" w:eastAsia="Arial" w:hAnsi="Arial"/>
                <w:sz w:val="17"/>
                <w:szCs w:val="17"/>
                <w:color w:val="auto"/>
              </w:rPr>
              <w:t>Operating cash flows from finance leases</w:t>
            </w:r>
          </w:p>
        </w:tc>
        <w:tc>
          <w:tcPr>
            <w:tcW w:w="108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0.1</w:t>
            </w:r>
          </w:p>
        </w:tc>
        <w:tc>
          <w:tcPr>
            <w:tcW w:w="36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0.1</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5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cash flows from finance leases</w:t>
            </w: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0.4</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8"/>
        </w:trPr>
        <w:tc>
          <w:tcPr>
            <w:tcW w:w="594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108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9.3</w:t>
            </w:r>
          </w:p>
        </w:tc>
        <w:tc>
          <w:tcPr>
            <w:tcW w:w="36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0.3</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6"/>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1.6</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Finance Leases</w:t>
      </w:r>
    </w:p>
    <w:p>
      <w:pPr>
        <w:spacing w:after="0" w:line="23" w:lineRule="exact"/>
        <w:rPr>
          <w:sz w:val="20"/>
          <w:szCs w:val="20"/>
          <w:color w:val="auto"/>
        </w:rPr>
      </w:pPr>
    </w:p>
    <w:p>
      <w:pPr>
        <w:ind w:right="200"/>
        <w:spacing w:after="0" w:line="243" w:lineRule="auto"/>
        <w:rPr>
          <w:sz w:val="20"/>
          <w:szCs w:val="20"/>
          <w:color w:val="auto"/>
        </w:rPr>
      </w:pPr>
      <w:r>
        <w:rPr>
          <w:rFonts w:ascii="Arial" w:cs="Arial" w:eastAsia="Arial" w:hAnsi="Arial"/>
          <w:sz w:val="19"/>
          <w:szCs w:val="19"/>
          <w:color w:val="auto"/>
        </w:rPr>
        <w:t>Right-of-use assets for finance leases are included in property, plant and equipment on the Evergy Companies’ balance sheets. Lease liabilities for finance leases are included in other current and other long-term liabilities. Payments and other supplemental information for finance leases as of December 31, 2021, are detailed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7"/>
                <w:szCs w:val="17"/>
                <w:b w:val="1"/>
                <w:bCs w:val="1"/>
                <w:color w:val="auto"/>
              </w:rPr>
              <w:t>Evergy</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55"/>
              <w:spacing w:after="0" w:line="194" w:lineRule="exact"/>
              <w:rPr>
                <w:sz w:val="20"/>
                <w:szCs w:val="20"/>
                <w:color w:val="auto"/>
              </w:rPr>
            </w:pPr>
            <w:r>
              <w:rPr>
                <w:rFonts w:ascii="Arial" w:cs="Arial" w:eastAsia="Arial" w:hAnsi="Arial"/>
                <w:sz w:val="17"/>
                <w:szCs w:val="17"/>
                <w:b w:val="1"/>
                <w:bCs w:val="1"/>
                <w:color w:val="auto"/>
                <w:w w:val="90"/>
              </w:rPr>
              <w:t>Evergy Kansas</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ind w:left="60"/>
              <w:spacing w:after="0"/>
              <w:rPr>
                <w:sz w:val="20"/>
                <w:szCs w:val="20"/>
                <w:color w:val="auto"/>
              </w:rPr>
            </w:pPr>
            <w:r>
              <w:rPr>
                <w:rFonts w:ascii="Arial" w:cs="Arial" w:eastAsia="Arial" w:hAnsi="Arial"/>
                <w:sz w:val="17"/>
                <w:szCs w:val="17"/>
                <w:b w:val="1"/>
                <w:bCs w:val="1"/>
                <w:color w:val="auto"/>
              </w:rPr>
              <w:t>Evergy Metro</w:t>
            </w:r>
          </w:p>
        </w:tc>
        <w:tc>
          <w:tcPr>
            <w:tcW w:w="0" w:type="dxa"/>
            <w:vAlign w:val="bottom"/>
          </w:tcPr>
          <w:p>
            <w:pPr>
              <w:spacing w:after="0"/>
              <w:rPr>
                <w:sz w:val="1"/>
                <w:szCs w:val="1"/>
                <w:color w:val="auto"/>
              </w:rPr>
            </w:pPr>
          </w:p>
        </w:tc>
      </w:tr>
      <w:tr>
        <w:trPr>
          <w:trHeight w:val="219"/>
        </w:trPr>
        <w:tc>
          <w:tcPr>
            <w:tcW w:w="6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5"/>
              </w:rPr>
              <w:t>Central</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55"/>
              <w:spacing w:after="0"/>
              <w:rPr>
                <w:sz w:val="20"/>
                <w:szCs w:val="20"/>
                <w:color w:val="auto"/>
              </w:rPr>
            </w:pPr>
            <w:r>
              <w:rPr>
                <w:rFonts w:ascii="Arial" w:cs="Arial" w:eastAsia="Arial" w:hAnsi="Arial"/>
                <w:sz w:val="15"/>
                <w:szCs w:val="15"/>
                <w:color w:val="auto"/>
              </w:rPr>
              <w:t>(millions)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7.8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2023</w:t>
            </w:r>
          </w:p>
        </w:tc>
        <w:tc>
          <w:tcPr>
            <w:tcW w:w="300" w:type="dxa"/>
            <w:vAlign w:val="bottom"/>
          </w:tcPr>
          <w:p>
            <w:pPr>
              <w:spacing w:after="0"/>
              <w:rPr>
                <w:sz w:val="18"/>
                <w:szCs w:val="18"/>
                <w:color w:val="auto"/>
              </w:rPr>
            </w:pPr>
          </w:p>
        </w:tc>
        <w:tc>
          <w:tcPr>
            <w:tcW w:w="1280" w:type="dxa"/>
            <w:vAlign w:val="bottom"/>
          </w:tcPr>
          <w:p>
            <w:pPr>
              <w:jc w:val="right"/>
              <w:ind w:right="214"/>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8"/>
                <w:szCs w:val="18"/>
                <w:color w:val="auto"/>
              </w:rPr>
            </w:pPr>
          </w:p>
        </w:tc>
        <w:tc>
          <w:tcPr>
            <w:tcW w:w="1420" w:type="dxa"/>
            <w:vAlign w:val="bottom"/>
          </w:tcPr>
          <w:p>
            <w:pPr>
              <w:jc w:val="right"/>
              <w:ind w:right="215"/>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8"/>
                <w:szCs w:val="18"/>
                <w:color w:val="auto"/>
              </w:rPr>
            </w:pPr>
          </w:p>
        </w:tc>
        <w:tc>
          <w:tcPr>
            <w:tcW w:w="1320" w:type="dxa"/>
            <w:vAlign w:val="bottom"/>
          </w:tcPr>
          <w:p>
            <w:pPr>
              <w:ind w:left="90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5.5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4.7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2025</w:t>
            </w:r>
          </w:p>
        </w:tc>
        <w:tc>
          <w:tcPr>
            <w:tcW w:w="300" w:type="dxa"/>
            <w:vAlign w:val="bottom"/>
          </w:tcPr>
          <w:p>
            <w:pPr>
              <w:spacing w:after="0"/>
              <w:rPr>
                <w:sz w:val="18"/>
                <w:szCs w:val="18"/>
                <w:color w:val="auto"/>
              </w:rPr>
            </w:pPr>
          </w:p>
        </w:tc>
        <w:tc>
          <w:tcPr>
            <w:tcW w:w="1280" w:type="dxa"/>
            <w:vAlign w:val="bottom"/>
          </w:tcPr>
          <w:p>
            <w:pPr>
              <w:jc w:val="right"/>
              <w:ind w:right="214"/>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8"/>
                <w:szCs w:val="18"/>
                <w:color w:val="auto"/>
              </w:rPr>
            </w:pPr>
          </w:p>
        </w:tc>
        <w:tc>
          <w:tcPr>
            <w:tcW w:w="1420" w:type="dxa"/>
            <w:vAlign w:val="bottom"/>
          </w:tcPr>
          <w:p>
            <w:pPr>
              <w:jc w:val="right"/>
              <w:ind w:right="215"/>
              <w:spacing w:after="0"/>
              <w:rPr>
                <w:sz w:val="20"/>
                <w:szCs w:val="20"/>
                <w:color w:val="auto"/>
              </w:rPr>
            </w:pPr>
            <w:r>
              <w:rPr>
                <w:rFonts w:ascii="Arial" w:cs="Arial" w:eastAsia="Arial" w:hAnsi="Arial"/>
                <w:sz w:val="17"/>
                <w:szCs w:val="17"/>
                <w:color w:val="auto"/>
              </w:rPr>
              <w:t>4.2</w:t>
            </w:r>
          </w:p>
        </w:tc>
        <w:tc>
          <w:tcPr>
            <w:tcW w:w="240" w:type="dxa"/>
            <w:vAlign w:val="bottom"/>
          </w:tcPr>
          <w:p>
            <w:pPr>
              <w:spacing w:after="0"/>
              <w:rPr>
                <w:sz w:val="18"/>
                <w:szCs w:val="18"/>
                <w:color w:val="auto"/>
              </w:rPr>
            </w:pPr>
          </w:p>
        </w:tc>
        <w:tc>
          <w:tcPr>
            <w:tcW w:w="1320" w:type="dxa"/>
            <w:vAlign w:val="bottom"/>
          </w:tcPr>
          <w:p>
            <w:pPr>
              <w:ind w:left="90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After 2026</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38.5</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37.8</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finance lease payments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67.6</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63.6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Amounts representing imputed interest</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(21.3)</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(20.6)</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Present value of lease payments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46.3</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43.0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(5.4)</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(4.9)</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long-term obligations under finance leases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40.9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38.1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9"/>
        </w:trPr>
        <w:tc>
          <w:tcPr>
            <w:tcW w:w="6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64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4"/>
              </w:rPr>
              <w:t>Right-of-use assets under finance leases included in property, plant and equipment, net on</w:t>
            </w: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rPr>
              <w:t>310.3</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vMerge w:val="restart"/>
            <w:shd w:val="clear" w:color="auto" w:fill="CCEEFF"/>
          </w:tcPr>
          <w:p>
            <w:pPr>
              <w:jc w:val="right"/>
              <w:ind w:right="215"/>
              <w:spacing w:after="0"/>
              <w:rPr>
                <w:sz w:val="20"/>
                <w:szCs w:val="20"/>
                <w:color w:val="auto"/>
              </w:rPr>
            </w:pPr>
            <w:r>
              <w:rPr>
                <w:rFonts w:ascii="Arial" w:cs="Arial" w:eastAsia="Arial" w:hAnsi="Arial"/>
                <w:sz w:val="17"/>
                <w:szCs w:val="17"/>
                <w:color w:val="auto"/>
              </w:rPr>
              <w:t>50.6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vMerge w:val="restart"/>
            <w:shd w:val="clear" w:color="auto" w:fill="CCEEFF"/>
          </w:tcPr>
          <w:p>
            <w:pPr>
              <w:ind w:left="9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the consolidated balance sheets</w:t>
            </w:r>
          </w:p>
        </w:tc>
        <w:tc>
          <w:tcPr>
            <w:tcW w:w="30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13.3</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ind w:left="1100"/>
              <w:spacing w:after="0"/>
              <w:rPr>
                <w:sz w:val="20"/>
                <w:szCs w:val="20"/>
                <w:color w:val="auto"/>
              </w:rPr>
            </w:pPr>
            <w:r>
              <w:rPr>
                <w:rFonts w:ascii="Arial" w:cs="Arial" w:eastAsia="Arial" w:hAnsi="Arial"/>
                <w:sz w:val="17"/>
                <w:szCs w:val="17"/>
                <w:color w:val="auto"/>
                <w:w w:val="84"/>
              </w:rPr>
              <w:t>5.0</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Weighted-average discount rate</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5.6 %</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5.6 %</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w w:val="91"/>
              </w:rPr>
              <w:t>5.1 %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4" w:name="page155"/>
    <w:bookmarkEnd w:id="15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Leases</w:t>
      </w:r>
    </w:p>
    <w:p>
      <w:pPr>
        <w:spacing w:after="0" w:line="23" w:lineRule="exact"/>
        <w:rPr>
          <w:sz w:val="20"/>
          <w:szCs w:val="20"/>
          <w:color w:val="auto"/>
        </w:rPr>
      </w:pPr>
    </w:p>
    <w:p>
      <w:pPr>
        <w:ind w:right="460"/>
        <w:spacing w:after="0" w:line="243" w:lineRule="auto"/>
        <w:rPr>
          <w:sz w:val="20"/>
          <w:szCs w:val="20"/>
          <w:color w:val="auto"/>
        </w:rPr>
      </w:pPr>
      <w:r>
        <w:rPr>
          <w:rFonts w:ascii="Arial" w:cs="Arial" w:eastAsia="Arial" w:hAnsi="Arial"/>
          <w:sz w:val="19"/>
          <w:szCs w:val="19"/>
          <w:color w:val="auto"/>
        </w:rPr>
        <w:t>Right-of-use assets for operating leases are included in other long-term assets on the Evergy Companies’ balance sheets. Lease liabilities for operating leases are included in other current and other long-term liabilities. Lease payments and other supplemental information for operating leases as of December 31, 2021, are detailed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7"/>
                <w:szCs w:val="17"/>
                <w:b w:val="1"/>
                <w:bCs w:val="1"/>
                <w:color w:val="auto"/>
              </w:rPr>
              <w:t>Evergy</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55"/>
              <w:spacing w:after="0" w:line="194" w:lineRule="exact"/>
              <w:rPr>
                <w:sz w:val="20"/>
                <w:szCs w:val="20"/>
                <w:color w:val="auto"/>
              </w:rPr>
            </w:pPr>
            <w:r>
              <w:rPr>
                <w:rFonts w:ascii="Arial" w:cs="Arial" w:eastAsia="Arial" w:hAnsi="Arial"/>
                <w:sz w:val="17"/>
                <w:szCs w:val="17"/>
                <w:b w:val="1"/>
                <w:bCs w:val="1"/>
                <w:color w:val="auto"/>
                <w:w w:val="90"/>
              </w:rPr>
              <w:t>Evergy Kansas</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7"/>
                <w:szCs w:val="17"/>
                <w:b w:val="1"/>
                <w:bCs w:val="1"/>
                <w:color w:val="auto"/>
                <w:w w:val="98"/>
              </w:rPr>
              <w:t>Evergy Metro</w:t>
            </w:r>
          </w:p>
        </w:tc>
        <w:tc>
          <w:tcPr>
            <w:tcW w:w="0" w:type="dxa"/>
            <w:vAlign w:val="bottom"/>
          </w:tcPr>
          <w:p>
            <w:pPr>
              <w:spacing w:after="0"/>
              <w:rPr>
                <w:sz w:val="1"/>
                <w:szCs w:val="1"/>
                <w:color w:val="auto"/>
              </w:rPr>
            </w:pPr>
          </w:p>
        </w:tc>
      </w:tr>
      <w:tr>
        <w:trPr>
          <w:trHeight w:val="219"/>
        </w:trPr>
        <w:tc>
          <w:tcPr>
            <w:tcW w:w="6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5"/>
              </w:rPr>
              <w:t>Central</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35"/>
              <w:spacing w:after="0"/>
              <w:rPr>
                <w:sz w:val="20"/>
                <w:szCs w:val="20"/>
                <w:color w:val="auto"/>
              </w:rPr>
            </w:pPr>
            <w:r>
              <w:rPr>
                <w:rFonts w:ascii="Arial" w:cs="Arial" w:eastAsia="Arial" w:hAnsi="Arial"/>
                <w:sz w:val="15"/>
                <w:szCs w:val="15"/>
                <w:color w:val="auto"/>
                <w:w w:val="99"/>
              </w:rPr>
              <w:t>(millions)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18.8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9.4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Arial" w:cs="Arial" w:eastAsia="Arial" w:hAnsi="Arial"/>
                <w:sz w:val="17"/>
                <w:szCs w:val="17"/>
                <w:color w:val="auto"/>
              </w:rPr>
              <w:t>2023</w:t>
            </w:r>
          </w:p>
        </w:tc>
        <w:tc>
          <w:tcPr>
            <w:tcW w:w="280" w:type="dxa"/>
            <w:vAlign w:val="bottom"/>
          </w:tcPr>
          <w:p>
            <w:pPr>
              <w:spacing w:after="0"/>
              <w:rPr>
                <w:sz w:val="18"/>
                <w:szCs w:val="18"/>
                <w:color w:val="auto"/>
              </w:rPr>
            </w:pPr>
          </w:p>
        </w:tc>
        <w:tc>
          <w:tcPr>
            <w:tcW w:w="1280" w:type="dxa"/>
            <w:vAlign w:val="bottom"/>
          </w:tcPr>
          <w:p>
            <w:pPr>
              <w:jc w:val="right"/>
              <w:ind w:right="214"/>
              <w:spacing w:after="0"/>
              <w:rPr>
                <w:sz w:val="20"/>
                <w:szCs w:val="20"/>
                <w:color w:val="auto"/>
              </w:rPr>
            </w:pPr>
            <w:r>
              <w:rPr>
                <w:rFonts w:ascii="Arial" w:cs="Arial" w:eastAsia="Arial" w:hAnsi="Arial"/>
                <w:sz w:val="17"/>
                <w:szCs w:val="17"/>
                <w:color w:val="auto"/>
              </w:rPr>
              <w:t>15.3</w:t>
            </w:r>
          </w:p>
        </w:tc>
        <w:tc>
          <w:tcPr>
            <w:tcW w:w="220" w:type="dxa"/>
            <w:vAlign w:val="bottom"/>
          </w:tcPr>
          <w:p>
            <w:pPr>
              <w:spacing w:after="0"/>
              <w:rPr>
                <w:sz w:val="18"/>
                <w:szCs w:val="18"/>
                <w:color w:val="auto"/>
              </w:rPr>
            </w:pPr>
          </w:p>
        </w:tc>
        <w:tc>
          <w:tcPr>
            <w:tcW w:w="1420" w:type="dxa"/>
            <w:vAlign w:val="bottom"/>
          </w:tcPr>
          <w:p>
            <w:pPr>
              <w:jc w:val="right"/>
              <w:ind w:right="215"/>
              <w:spacing w:after="0"/>
              <w:rPr>
                <w:sz w:val="20"/>
                <w:szCs w:val="20"/>
                <w:color w:val="auto"/>
              </w:rPr>
            </w:pPr>
            <w:r>
              <w:rPr>
                <w:rFonts w:ascii="Arial" w:cs="Arial" w:eastAsia="Arial" w:hAnsi="Arial"/>
                <w:sz w:val="17"/>
                <w:szCs w:val="17"/>
                <w:color w:val="auto"/>
              </w:rPr>
              <w:t>6.5</w:t>
            </w:r>
          </w:p>
        </w:tc>
        <w:tc>
          <w:tcPr>
            <w:tcW w:w="240" w:type="dxa"/>
            <w:vAlign w:val="bottom"/>
          </w:tcPr>
          <w:p>
            <w:pPr>
              <w:spacing w:after="0"/>
              <w:rPr>
                <w:sz w:val="18"/>
                <w:szCs w:val="18"/>
                <w:color w:val="auto"/>
              </w:rPr>
            </w:pPr>
          </w:p>
        </w:tc>
        <w:tc>
          <w:tcPr>
            <w:tcW w:w="1320" w:type="dxa"/>
            <w:vAlign w:val="bottom"/>
          </w:tcPr>
          <w:p>
            <w:pPr>
              <w:jc w:val="right"/>
              <w:ind w:right="114"/>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12.5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Arial" w:cs="Arial" w:eastAsia="Arial" w:hAnsi="Arial"/>
                <w:sz w:val="17"/>
                <w:szCs w:val="17"/>
                <w:color w:val="auto"/>
              </w:rPr>
              <w:t>2025</w:t>
            </w:r>
          </w:p>
        </w:tc>
        <w:tc>
          <w:tcPr>
            <w:tcW w:w="280" w:type="dxa"/>
            <w:vAlign w:val="bottom"/>
          </w:tcPr>
          <w:p>
            <w:pPr>
              <w:spacing w:after="0"/>
              <w:rPr>
                <w:sz w:val="18"/>
                <w:szCs w:val="18"/>
                <w:color w:val="auto"/>
              </w:rPr>
            </w:pPr>
          </w:p>
        </w:tc>
        <w:tc>
          <w:tcPr>
            <w:tcW w:w="1280" w:type="dxa"/>
            <w:vAlign w:val="bottom"/>
          </w:tcPr>
          <w:p>
            <w:pPr>
              <w:jc w:val="right"/>
              <w:ind w:right="214"/>
              <w:spacing w:after="0"/>
              <w:rPr>
                <w:sz w:val="20"/>
                <w:szCs w:val="20"/>
                <w:color w:val="auto"/>
              </w:rPr>
            </w:pPr>
            <w:r>
              <w:rPr>
                <w:rFonts w:ascii="Arial" w:cs="Arial" w:eastAsia="Arial" w:hAnsi="Arial"/>
                <w:sz w:val="17"/>
                <w:szCs w:val="17"/>
                <w:color w:val="auto"/>
              </w:rPr>
              <w:t>8.5</w:t>
            </w:r>
          </w:p>
        </w:tc>
        <w:tc>
          <w:tcPr>
            <w:tcW w:w="220" w:type="dxa"/>
            <w:vAlign w:val="bottom"/>
          </w:tcPr>
          <w:p>
            <w:pPr>
              <w:spacing w:after="0"/>
              <w:rPr>
                <w:sz w:val="18"/>
                <w:szCs w:val="18"/>
                <w:color w:val="auto"/>
              </w:rPr>
            </w:pPr>
          </w:p>
        </w:tc>
        <w:tc>
          <w:tcPr>
            <w:tcW w:w="1420" w:type="dxa"/>
            <w:vAlign w:val="bottom"/>
          </w:tcPr>
          <w:p>
            <w:pPr>
              <w:jc w:val="right"/>
              <w:ind w:right="215"/>
              <w:spacing w:after="0"/>
              <w:rPr>
                <w:sz w:val="20"/>
                <w:szCs w:val="20"/>
                <w:color w:val="auto"/>
              </w:rPr>
            </w:pPr>
            <w:r>
              <w:rPr>
                <w:rFonts w:ascii="Arial" w:cs="Arial" w:eastAsia="Arial" w:hAnsi="Arial"/>
                <w:sz w:val="17"/>
                <w:szCs w:val="17"/>
                <w:color w:val="auto"/>
              </w:rPr>
              <w:t>2.2</w:t>
            </w:r>
          </w:p>
        </w:tc>
        <w:tc>
          <w:tcPr>
            <w:tcW w:w="240" w:type="dxa"/>
            <w:vAlign w:val="bottom"/>
          </w:tcPr>
          <w:p>
            <w:pPr>
              <w:spacing w:after="0"/>
              <w:rPr>
                <w:sz w:val="18"/>
                <w:szCs w:val="18"/>
                <w:color w:val="auto"/>
              </w:rPr>
            </w:pPr>
          </w:p>
        </w:tc>
        <w:tc>
          <w:tcPr>
            <w:tcW w:w="1320" w:type="dxa"/>
            <w:vAlign w:val="bottom"/>
          </w:tcPr>
          <w:p>
            <w:pPr>
              <w:jc w:val="right"/>
              <w:ind w:right="114"/>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5.9</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0.7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After 2026</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30.3</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0.1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operating lease payments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91.3</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23.2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1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Amounts representing imputed interest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(7.3)</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(1.0)</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Present value of lease payments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84.0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22.2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1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(17.1)</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(9.0)</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long-term obligations under operating leases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66.9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13.2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39"/>
        </w:trPr>
        <w:tc>
          <w:tcPr>
            <w:tcW w:w="6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64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7"/>
              </w:rPr>
              <w:t>Right-of-use assets under operating leases included in other assets on the consolidated</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rPr>
              <w:t>90.7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vMerge w:val="restart"/>
            <w:shd w:val="clear" w:color="auto" w:fill="CCEEFF"/>
          </w:tcPr>
          <w:p>
            <w:pPr>
              <w:jc w:val="right"/>
              <w:ind w:right="215"/>
              <w:spacing w:after="0"/>
              <w:rPr>
                <w:sz w:val="20"/>
                <w:szCs w:val="20"/>
                <w:color w:val="auto"/>
              </w:rPr>
            </w:pPr>
            <w:r>
              <w:rPr>
                <w:rFonts w:ascii="Arial" w:cs="Arial" w:eastAsia="Arial" w:hAnsi="Arial"/>
                <w:sz w:val="17"/>
                <w:szCs w:val="17"/>
                <w:color w:val="auto"/>
              </w:rPr>
              <w:t>29.0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sheets</w:t>
            </w:r>
          </w:p>
        </w:tc>
        <w:tc>
          <w:tcPr>
            <w:tcW w:w="2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Weighted-average discount rate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2.2 %</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2.4 %</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Disclosure Controls and Procedures</w:t>
      </w:r>
    </w:p>
    <w:p>
      <w:pPr>
        <w:spacing w:after="0" w:line="23" w:lineRule="exact"/>
        <w:rPr>
          <w:sz w:val="20"/>
          <w:szCs w:val="20"/>
          <w:color w:val="auto"/>
        </w:rPr>
      </w:pPr>
    </w:p>
    <w:p>
      <w:pPr>
        <w:ind w:right="320"/>
        <w:spacing w:after="0" w:line="242" w:lineRule="auto"/>
        <w:rPr>
          <w:sz w:val="20"/>
          <w:szCs w:val="20"/>
          <w:color w:val="auto"/>
        </w:rPr>
      </w:pPr>
      <w:r>
        <w:rPr>
          <w:rFonts w:ascii="Arial" w:cs="Arial" w:eastAsia="Arial" w:hAnsi="Arial"/>
          <w:sz w:val="19"/>
          <w:szCs w:val="19"/>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3" w:lineRule="exact"/>
        <w:rPr>
          <w:sz w:val="20"/>
          <w:szCs w:val="20"/>
          <w:color w:val="auto"/>
        </w:rPr>
      </w:pPr>
    </w:p>
    <w:p>
      <w:pPr>
        <w:ind w:right="260"/>
        <w:spacing w:after="0" w:line="233" w:lineRule="auto"/>
        <w:rPr>
          <w:sz w:val="20"/>
          <w:szCs w:val="20"/>
          <w:color w:val="auto"/>
        </w:rPr>
      </w:pPr>
      <w:r>
        <w:rPr>
          <w:rFonts w:ascii="Arial" w:cs="Arial" w:eastAsia="Arial" w:hAnsi="Arial"/>
          <w:sz w:val="19"/>
          <w:szCs w:val="19"/>
          <w:color w:val="auto"/>
        </w:rPr>
        <w:t>There has been no change in Evergy’s internal control over financial reporting (as defined in Rules 13a-15(f) and 15d-15(f) of the Exchange Act) that occurred during the quarterly period ended December 31, 2021, that has materially affected, or is reasonably likely to materially affect, its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23" w:lineRule="exact"/>
        <w:rPr>
          <w:sz w:val="20"/>
          <w:szCs w:val="20"/>
          <w:color w:val="auto"/>
        </w:rPr>
      </w:pPr>
    </w:p>
    <w:p>
      <w:pPr>
        <w:ind w:right="300"/>
        <w:spacing w:after="0" w:line="247" w:lineRule="auto"/>
        <w:rPr>
          <w:sz w:val="20"/>
          <w:szCs w:val="20"/>
          <w:color w:val="auto"/>
        </w:rPr>
      </w:pPr>
      <w:r>
        <w:rPr>
          <w:rFonts w:ascii="Arial" w:cs="Arial" w:eastAsia="Arial" w:hAnsi="Arial"/>
          <w:sz w:val="19"/>
          <w:szCs w:val="19"/>
          <w:color w:val="auto"/>
        </w:rPr>
        <w:t>Management is responsible for establishing and maintaining adequate internal control over financial reporting (as defined in Rules 13a-15(f) and 15d-15(f) under the Exchange Act) for Evergy. Under the supervision and with the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5" w:name="page156"/>
    <w:bookmarkEnd w:id="15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 xml:space="preserve">participation of Evergy’s chief executive officer and chief financial officer, management evaluated the effectiveness of Evergy’s internal control over financial reporting as of December 31, 2021. Management used for this evaluation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(2013) </w:t>
      </w:r>
      <w:r>
        <w:rPr>
          <w:rFonts w:ascii="Arial" w:cs="Arial" w:eastAsia="Arial" w:hAnsi="Arial"/>
          <w:sz w:val="19"/>
          <w:szCs w:val="19"/>
          <w:color w:val="auto"/>
        </w:rPr>
        <w:t>issued by the Committee of Sponsoring Organizations (COSO) of the Treadway Commission.</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Management has concluded that, as of December 31, 2021, Evergy’s internal control over financial reporting is effective based on the criteria set forth in the COSO framework. Deloitte &amp; Touche LLP, the independent registered public accounting firm that audited the financial statements included in this annual report on Form 10-K, has issued its attestation report on Evergy’s internal control over financial reporting, which is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56" w:name="page157"/>
    <w:bookmarkEnd w:id="15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ind w:right="4760"/>
        <w:spacing w:after="0" w:line="412"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shareholders and the Board of Directors of Evergy, Inc. </w:t>
      </w:r>
      <w:r>
        <w:rPr>
          <w:rFonts w:ascii="Arial" w:cs="Arial" w:eastAsia="Arial" w:hAnsi="Arial"/>
          <w:sz w:val="19"/>
          <w:szCs w:val="19"/>
          <w:b w:val="1"/>
          <w:bCs w:val="1"/>
          <w:color w:val="auto"/>
        </w:rPr>
        <w:t>Opinion on Internal Control over Financial Reporting</w:t>
      </w:r>
    </w:p>
    <w:p>
      <w:pPr>
        <w:spacing w:after="0" w:line="2"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 xml:space="preserve">We have audited the internal control over financial reporting of Evergy,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96"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schedules as of and for the year ended December 31, 2021, of the Company and our report dated February 24, 2022, expressed an unqualified opinion on those financial statements and financial statement schedules.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6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/s/DELOITTE &amp; TOUCHE LLP</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Kansas City, Missouri</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February 24, 2022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7" w:name="page158"/>
    <w:bookmarkEnd w:id="15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Disclosure Controls and Procedures</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3" w:lineRule="exact"/>
        <w:rPr>
          <w:sz w:val="20"/>
          <w:szCs w:val="20"/>
          <w:color w:val="auto"/>
        </w:rPr>
      </w:pPr>
    </w:p>
    <w:p>
      <w:pPr>
        <w:ind w:right="20"/>
        <w:spacing w:after="0" w:line="233" w:lineRule="auto"/>
        <w:rPr>
          <w:sz w:val="20"/>
          <w:szCs w:val="20"/>
          <w:color w:val="auto"/>
        </w:rPr>
      </w:pPr>
      <w:r>
        <w:rPr>
          <w:rFonts w:ascii="Arial" w:cs="Arial" w:eastAsia="Arial" w:hAnsi="Arial"/>
          <w:sz w:val="19"/>
          <w:szCs w:val="19"/>
          <w:color w:val="auto"/>
        </w:rPr>
        <w:t>There has been no change in Evergy Kansas Central’s internal control over financial reporting (as defined in Rules 13a-15(f) and 15d-15(f) of the Exchange Act) that occurred during the quarterly period ended December 31, 2021, that has materially affected, or is reasonably likely to materially affect, its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23"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color w:val="auto"/>
        </w:rPr>
        <w:t xml:space="preserve">Management is responsible for establishing and maintaining adequate internal control over financial reporting (as defined in Rules 13a-15(f) and 15d-15(f) under the Exchange Act) for Evergy Kansas Central. Under the supervision and with the participation of Evergy Kansas Central’s chief executive officer and chief financial officer, management evaluated the effectiveness of Evergy Kansas Central’s internal control over financial reporting as of December 31, 2021. Management used for this evaluation the framework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xml:space="preserve"> issued by the COSO of the Treadway Commission.</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9"/>
          <w:szCs w:val="19"/>
          <w:color w:val="auto"/>
        </w:rPr>
        <w:t>Management has concluded that, as of December 31, 2021, Evergy Kansas Central’s internal control over financial reporting is effective based on the criteria set forth in the COSO framework.</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METRO</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Disclosure Controls and Procedures</w:t>
      </w:r>
    </w:p>
    <w:p>
      <w:pPr>
        <w:spacing w:after="0" w:line="23"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3" w:lineRule="exact"/>
        <w:rPr>
          <w:sz w:val="20"/>
          <w:szCs w:val="20"/>
          <w:color w:val="auto"/>
        </w:rPr>
      </w:pPr>
    </w:p>
    <w:p>
      <w:pPr>
        <w:jc w:val="both"/>
        <w:ind w:right="60"/>
        <w:spacing w:after="0" w:line="233" w:lineRule="auto"/>
        <w:rPr>
          <w:sz w:val="20"/>
          <w:szCs w:val="20"/>
          <w:color w:val="auto"/>
        </w:rPr>
      </w:pPr>
      <w:r>
        <w:rPr>
          <w:rFonts w:ascii="Arial" w:cs="Arial" w:eastAsia="Arial" w:hAnsi="Arial"/>
          <w:sz w:val="19"/>
          <w:szCs w:val="19"/>
          <w:color w:val="auto"/>
        </w:rPr>
        <w:t>There has been no change in Evergy Metro’s internal control over financial reporting (as defined in Rules 13a-15(f) and 15d-15(f) of the Exchange Act) that occurred during the quarterly period ended December 31, 2021, that has materially affected, or is reasonably likely to materially affect, its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23" w:lineRule="exact"/>
        <w:rPr>
          <w:sz w:val="20"/>
          <w:szCs w:val="20"/>
          <w:color w:val="auto"/>
        </w:rPr>
      </w:pPr>
    </w:p>
    <w:p>
      <w:pPr>
        <w:jc w:val="both"/>
        <w:ind w:right="140"/>
        <w:spacing w:after="0" w:line="242" w:lineRule="auto"/>
        <w:rPr>
          <w:sz w:val="20"/>
          <w:szCs w:val="20"/>
          <w:color w:val="auto"/>
        </w:rPr>
      </w:pPr>
      <w:r>
        <w:rPr>
          <w:rFonts w:ascii="Arial" w:cs="Arial" w:eastAsia="Arial" w:hAnsi="Arial"/>
          <w:sz w:val="19"/>
          <w:szCs w:val="19"/>
          <w:color w:val="auto"/>
        </w:rPr>
        <w:t>Management is responsible for establishing and maintaining adequate internal control over financial reporting (as defined in Rules 13a-15(f) and 15d-15(f) under the Exchange Act) for Evergy Metro. Under the supervision and with the participation of Evergy Metro’s chief executive officer and chief financial officer, management evaluated the effectiveness of Evergy Metro’s internal control over financial reporting as of December 31, 2021. Management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58" w:name="page159"/>
    <w:bookmarkEnd w:id="15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used for this evaluation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COSO of the Treadway Commission.</w:t>
      </w:r>
    </w:p>
    <w:p>
      <w:pPr>
        <w:spacing w:after="0" w:line="21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Management has concluded that, as of December 31, 2021, Evergy Metro’s internal control over financial reporting is effective based on the criteria set forth in the COSO framework.</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9B. OTHER INFORMATION</w:t>
      </w:r>
    </w:p>
    <w:p>
      <w:pPr>
        <w:spacing w:after="0" w:line="213"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Investors should note that the Evergy Companies announce material financial information in SEC filings, press releases and public conference calls. In accordance with SEC guidelines, the Evergy Companies also use the Investor Relations tab on their website, http://investors.evergy.com, to communicate with investors. It is possible that the financial and other information posted there could be deemed to be material information. The information on Evergy's website is not part of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9C. DISCLOSURE REGARDING FOREIGN JURISDICTIONS THAT PREVENT INSPECTIONS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III</w:t>
      </w:r>
    </w:p>
    <w:p>
      <w:pPr>
        <w:spacing w:after="0" w:line="213" w:lineRule="exact"/>
        <w:rPr>
          <w:sz w:val="20"/>
          <w:szCs w:val="20"/>
          <w:color w:val="auto"/>
        </w:rPr>
      </w:pPr>
    </w:p>
    <w:p>
      <w:pPr>
        <w:jc w:val="both"/>
        <w:ind w:right="160"/>
        <w:spacing w:after="0" w:line="252" w:lineRule="auto"/>
        <w:rPr>
          <w:sz w:val="20"/>
          <w:szCs w:val="20"/>
          <w:color w:val="auto"/>
        </w:rPr>
      </w:pPr>
      <w:r>
        <w:rPr>
          <w:rFonts w:ascii="Arial" w:cs="Arial" w:eastAsia="Arial" w:hAnsi="Arial"/>
          <w:sz w:val="19"/>
          <w:szCs w:val="19"/>
          <w:color w:val="auto"/>
        </w:rPr>
        <w:t>Information required by Items 10-14 of Part III of this Form 10-K with respect to Evergy will be included in an amendment to this Form 10-K, or incorporated by reference to Evergy's definitive proxy statement with respect to its 2022 Annual Meeting of Shareholders (Proxy Statement) on or before April 29, 2022.</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w:t>
      </w:r>
    </w:p>
    <w:p>
      <w:pPr>
        <w:spacing w:after="0" w:line="23" w:lineRule="exact"/>
        <w:rPr>
          <w:sz w:val="20"/>
          <w:szCs w:val="20"/>
          <w:color w:val="auto"/>
        </w:rPr>
      </w:pPr>
    </w:p>
    <w:p>
      <w:pPr>
        <w:ind w:right="120"/>
        <w:spacing w:after="0" w:line="247" w:lineRule="auto"/>
        <w:rPr>
          <w:sz w:val="20"/>
          <w:szCs w:val="20"/>
          <w:color w:val="auto"/>
        </w:rPr>
      </w:pPr>
      <w:r>
        <w:rPr>
          <w:rFonts w:ascii="Arial" w:cs="Arial" w:eastAsia="Arial" w:hAnsi="Arial"/>
          <w:sz w:val="19"/>
          <w:szCs w:val="19"/>
          <w:color w:val="auto"/>
        </w:rPr>
        <w:t>The information required by this item will be included in an amendment to this Form 10-K or will be incorporated by reference from the following sections of the Proxy Statement:</w:t>
      </w:r>
    </w:p>
    <w:p>
      <w:pPr>
        <w:spacing w:after="0" w:line="179" w:lineRule="exact"/>
        <w:rPr>
          <w:sz w:val="20"/>
          <w:szCs w:val="20"/>
          <w:color w:val="auto"/>
        </w:rPr>
      </w:pPr>
    </w:p>
    <w:p>
      <w:pPr>
        <w:ind w:left="620" w:hanging="307"/>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9"/>
          <w:szCs w:val="19"/>
          <w:color w:val="auto"/>
        </w:rPr>
        <w:t>Information regarding the directors of Evergy will be contained in the Proxy Statement section titled "Election of Directors."</w:t>
      </w:r>
    </w:p>
    <w:p>
      <w:pPr>
        <w:spacing w:after="0" w:line="206" w:lineRule="exact"/>
        <w:rPr>
          <w:rFonts w:ascii="Arial" w:cs="Arial" w:eastAsia="Arial" w:hAnsi="Arial"/>
          <w:sz w:val="17"/>
          <w:szCs w:val="17"/>
          <w:color w:val="auto"/>
        </w:rPr>
      </w:pPr>
    </w:p>
    <w:p>
      <w:pPr>
        <w:ind w:left="620" w:right="240" w:hanging="307"/>
        <w:spacing w:after="0" w:line="264" w:lineRule="auto"/>
        <w:tabs>
          <w:tab w:leader="none" w:pos="616" w:val="left"/>
        </w:tabs>
        <w:numPr>
          <w:ilvl w:val="0"/>
          <w:numId w:val="70"/>
        </w:numPr>
        <w:rPr>
          <w:rFonts w:ascii="Arial" w:cs="Arial" w:eastAsia="Arial" w:hAnsi="Arial"/>
          <w:sz w:val="17"/>
          <w:szCs w:val="17"/>
          <w:color w:val="auto"/>
        </w:rPr>
      </w:pPr>
      <w:r>
        <w:rPr>
          <w:rFonts w:ascii="Arial" w:cs="Arial" w:eastAsia="Arial" w:hAnsi="Arial"/>
          <w:sz w:val="19"/>
          <w:szCs w:val="19"/>
          <w:color w:val="auto"/>
        </w:rPr>
        <w:t>If applicable, information regarding compliance with Section 16(a) of the Exchange Act will be contained in the Proxy Statement section titled "Security Ownership of Directors, Management and Beneficial Owners."</w:t>
      </w:r>
    </w:p>
    <w:p>
      <w:pPr>
        <w:spacing w:after="0" w:line="163" w:lineRule="exact"/>
        <w:rPr>
          <w:rFonts w:ascii="Arial" w:cs="Arial" w:eastAsia="Arial" w:hAnsi="Arial"/>
          <w:sz w:val="17"/>
          <w:szCs w:val="17"/>
          <w:color w:val="auto"/>
        </w:rPr>
      </w:pPr>
    </w:p>
    <w:p>
      <w:pPr>
        <w:ind w:left="620" w:right="520" w:hanging="307"/>
        <w:spacing w:after="0" w:line="264" w:lineRule="auto"/>
        <w:tabs>
          <w:tab w:leader="none" w:pos="616" w:val="left"/>
        </w:tabs>
        <w:numPr>
          <w:ilvl w:val="0"/>
          <w:numId w:val="70"/>
        </w:numPr>
        <w:rPr>
          <w:rFonts w:ascii="Arial" w:cs="Arial" w:eastAsia="Arial" w:hAnsi="Arial"/>
          <w:sz w:val="17"/>
          <w:szCs w:val="17"/>
          <w:color w:val="auto"/>
        </w:rPr>
      </w:pPr>
      <w:r>
        <w:rPr>
          <w:rFonts w:ascii="Arial" w:cs="Arial" w:eastAsia="Arial" w:hAnsi="Arial"/>
          <w:sz w:val="19"/>
          <w:szCs w:val="19"/>
          <w:color w:val="auto"/>
        </w:rPr>
        <w:t>Information regarding the Audit Committee of Evergy will be contained in the Proxy Statement section titled "Corporate Governance Matters - Board Structure - Audit Committee."</w:t>
      </w:r>
    </w:p>
    <w:p>
      <w:pPr>
        <w:spacing w:after="0" w:line="163" w:lineRule="exact"/>
        <w:rPr>
          <w:rFonts w:ascii="Arial" w:cs="Arial" w:eastAsia="Arial" w:hAnsi="Arial"/>
          <w:sz w:val="17"/>
          <w:szCs w:val="17"/>
          <w:color w:val="auto"/>
        </w:rPr>
      </w:pPr>
    </w:p>
    <w:p>
      <w:pPr>
        <w:ind w:left="620" w:right="240" w:hanging="307"/>
        <w:spacing w:after="0" w:line="264" w:lineRule="auto"/>
        <w:tabs>
          <w:tab w:leader="none" w:pos="609"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Information regarding Evergy's Code of Ethics will be contained in the Proxy Statement section titled "Corporate Governance Practices - Code of Ethics."</w:t>
      </w:r>
    </w:p>
    <w:p>
      <w:pPr>
        <w:spacing w:after="0" w:line="164" w:lineRule="exact"/>
        <w:rPr>
          <w:sz w:val="20"/>
          <w:szCs w:val="20"/>
          <w:color w:val="auto"/>
        </w:rPr>
      </w:pPr>
    </w:p>
    <w:p>
      <w:pPr>
        <w:ind w:right="200"/>
        <w:spacing w:after="0" w:line="264" w:lineRule="auto"/>
        <w:rPr>
          <w:sz w:val="20"/>
          <w:szCs w:val="20"/>
          <w:color w:val="auto"/>
        </w:rPr>
      </w:pPr>
      <w:r>
        <w:rPr>
          <w:rFonts w:ascii="Arial" w:cs="Arial" w:eastAsia="Arial" w:hAnsi="Arial"/>
          <w:sz w:val="19"/>
          <w:szCs w:val="19"/>
          <w:color w:val="auto"/>
        </w:rPr>
        <w:t>Information required by this item regarding Evergy's executive officers is contained in this report in Part I, Item 1 in "Information About Evergy's Executive Officers."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59" w:name="page160"/>
    <w:bookmarkEnd w:id="15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and Evergy Metro</w:t>
      </w:r>
    </w:p>
    <w:p>
      <w:pPr>
        <w:spacing w:after="0" w:line="23" w:lineRule="exact"/>
        <w:rPr>
          <w:sz w:val="20"/>
          <w:szCs w:val="20"/>
          <w:color w:val="auto"/>
        </w:rPr>
      </w:pPr>
    </w:p>
    <w:p>
      <w:pPr>
        <w:ind w:right="100"/>
        <w:spacing w:after="0" w:line="247" w:lineRule="auto"/>
        <w:rPr>
          <w:sz w:val="20"/>
          <w:szCs w:val="20"/>
          <w:color w:val="auto"/>
        </w:rPr>
      </w:pPr>
      <w:r>
        <w:rPr>
          <w:rFonts w:ascii="Arial" w:cs="Arial" w:eastAsia="Arial" w:hAnsi="Arial"/>
          <w:sz w:val="19"/>
          <w:szCs w:val="19"/>
          <w:color w:val="auto"/>
        </w:rPr>
        <w:t>Other information required by this item regarding Evergy Kansas Central and Evergy Metro has been omitted in reliance on General Instruction (I) to Form 10-K.</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EXECUTIVE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w:t>
      </w:r>
    </w:p>
    <w:p>
      <w:pPr>
        <w:spacing w:after="0" w:line="23"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color w:val="auto"/>
        </w:rPr>
        <w:t>The information required by this item will be included in an amendment to this Form 10-K or will be incorporated by reference to the following sections of the Proxy Statement: "Proxy Statement Summary and Highlights - Executive Compensation Highlights," "Director Compensation," "Executive Summary of Compensation Matters," "Compensation Discussion and Analysis," "Compensation Committee Report," "Executive Compensation Tables," "Director Independence" and "Other Matters - Compensation Committee Interlocks and Insider Participation."</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and Evergy Metro</w:t>
      </w:r>
    </w:p>
    <w:p>
      <w:pPr>
        <w:spacing w:after="0" w:line="23" w:lineRule="exact"/>
        <w:rPr>
          <w:sz w:val="20"/>
          <w:szCs w:val="20"/>
          <w:color w:val="auto"/>
        </w:rPr>
      </w:pPr>
    </w:p>
    <w:p>
      <w:pPr>
        <w:ind w:right="100"/>
        <w:spacing w:after="0" w:line="247" w:lineRule="auto"/>
        <w:rPr>
          <w:sz w:val="20"/>
          <w:szCs w:val="20"/>
          <w:color w:val="auto"/>
        </w:rPr>
      </w:pPr>
      <w:r>
        <w:rPr>
          <w:rFonts w:ascii="Arial" w:cs="Arial" w:eastAsia="Arial" w:hAnsi="Arial"/>
          <w:sz w:val="19"/>
          <w:szCs w:val="19"/>
          <w:color w:val="auto"/>
        </w:rPr>
        <w:t>Other information required by this item regarding Evergy Kansas Central and Evergy Metro has been omitted in reliance on General Instruction (I) to Form 10-K.</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w:t>
      </w:r>
    </w:p>
    <w:p>
      <w:pPr>
        <w:spacing w:after="0" w:line="23" w:lineRule="exact"/>
        <w:rPr>
          <w:sz w:val="20"/>
          <w:szCs w:val="20"/>
          <w:color w:val="auto"/>
        </w:rPr>
      </w:pPr>
    </w:p>
    <w:p>
      <w:pPr>
        <w:ind w:right="180"/>
        <w:spacing w:after="0" w:line="243" w:lineRule="auto"/>
        <w:rPr>
          <w:sz w:val="20"/>
          <w:szCs w:val="20"/>
          <w:color w:val="auto"/>
        </w:rPr>
      </w:pPr>
      <w:r>
        <w:rPr>
          <w:rFonts w:ascii="Arial" w:cs="Arial" w:eastAsia="Arial" w:hAnsi="Arial"/>
          <w:sz w:val="19"/>
          <w:szCs w:val="19"/>
          <w:color w:val="auto"/>
        </w:rPr>
        <w:t>The information required by this item regarding security ownership of the directors and executive officers of Evergy will be included in an amendment to this Form 10-K or will be incorporated by reference to the "Security Ownership of Directors, Management and Beneficial Owners" section of the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and Evergy Metro</w:t>
      </w:r>
    </w:p>
    <w:p>
      <w:pPr>
        <w:spacing w:after="0" w:line="23"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The information required by this item regarding Evergy Kansas Central and Evergy Metro has been omitted in reliance on General Instruction (I) to Form 10-K.</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Compensation Plans</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Upon the consummation of the merger, Evergy assumed both Evergy Kansas Central's LTISA and Great Plains Energy's Amended Long-Term Incentive Plan, which was renamed the Evergy, Inc. Long-Term Incentive Plan. The renamed Evergy Long-Term Incentive Plan permits the grant of restricted stock, restricted stock units, bonus shares, stock options, stock appreciation rights, director shares, director deferred share units, performance shares and other stock-based awards to directors, officers and other employees of Evergy.</w:t>
      </w:r>
    </w:p>
    <w:p>
      <w:pPr>
        <w:spacing w:after="0" w:line="170"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In connection with the 2022 annual meeting of shareholders, Evergy is seeking shareholder approval to amend and restate the Evergy, Inc. Long-Term Incentive Plan, and increase the number of shares of common stock available for future issuance, among other things. Additional information required by this item can be found in "Proposal 3: Approval of the Amended and Restated Evergy Long-Term Incentive Plan" and "Appendix C" of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60" w:name="page161"/>
    <w:bookmarkEnd w:id="16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The following table provides information, as of December 31, 2021, regarding the number of common shares to be issued upon exercise of outstanding options, warrants and rights, their weighted average exercise price, and the number of shares of common stock remaining available for future issuance. The table excludes shares issued or issuable under any defined contribution savings plans.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Number of securities</w:t>
            </w:r>
          </w:p>
        </w:tc>
      </w:tr>
      <w:tr>
        <w:trPr>
          <w:trHeight w:val="205"/>
        </w:trPr>
        <w:tc>
          <w:tcPr>
            <w:tcW w:w="4580" w:type="dxa"/>
            <w:vAlign w:val="bottom"/>
          </w:tcPr>
          <w:p>
            <w:pPr>
              <w:spacing w:after="0"/>
              <w:rPr>
                <w:sz w:val="17"/>
                <w:szCs w:val="17"/>
                <w:color w:val="auto"/>
              </w:rPr>
            </w:pPr>
          </w:p>
        </w:tc>
        <w:tc>
          <w:tcPr>
            <w:tcW w:w="1940" w:type="dxa"/>
            <w:vAlign w:val="bottom"/>
          </w:tcPr>
          <w:p>
            <w:pPr>
              <w:jc w:val="center"/>
              <w:ind w:left="943"/>
              <w:spacing w:after="0"/>
              <w:rPr>
                <w:sz w:val="20"/>
                <w:szCs w:val="20"/>
                <w:color w:val="auto"/>
              </w:rPr>
            </w:pPr>
            <w:r>
              <w:rPr>
                <w:rFonts w:ascii="Arial" w:cs="Arial" w:eastAsia="Arial" w:hAnsi="Arial"/>
                <w:sz w:val="15"/>
                <w:szCs w:val="15"/>
                <w:b w:val="1"/>
                <w:bCs w:val="1"/>
                <w:color w:val="auto"/>
                <w:w w:val="95"/>
              </w:rPr>
              <w:t>Number of</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5"/>
                <w:szCs w:val="15"/>
                <w:b w:val="1"/>
                <w:bCs w:val="1"/>
                <w:color w:val="auto"/>
                <w:w w:val="93"/>
              </w:rPr>
              <w:t>remaining available</w:t>
            </w:r>
          </w:p>
        </w:tc>
      </w:tr>
      <w:tr>
        <w:trPr>
          <w:trHeight w:val="206"/>
        </w:trPr>
        <w:tc>
          <w:tcPr>
            <w:tcW w:w="4580" w:type="dxa"/>
            <w:vAlign w:val="bottom"/>
          </w:tcPr>
          <w:p>
            <w:pPr>
              <w:spacing w:after="0"/>
              <w:rPr>
                <w:sz w:val="17"/>
                <w:szCs w:val="17"/>
                <w:color w:val="auto"/>
              </w:rPr>
            </w:pPr>
          </w:p>
        </w:tc>
        <w:tc>
          <w:tcPr>
            <w:tcW w:w="1940" w:type="dxa"/>
            <w:vAlign w:val="bottom"/>
          </w:tcPr>
          <w:p>
            <w:pPr>
              <w:jc w:val="center"/>
              <w:ind w:left="963"/>
              <w:spacing w:after="0"/>
              <w:rPr>
                <w:sz w:val="20"/>
                <w:szCs w:val="20"/>
                <w:color w:val="auto"/>
              </w:rPr>
            </w:pPr>
            <w:r>
              <w:rPr>
                <w:rFonts w:ascii="Arial" w:cs="Arial" w:eastAsia="Arial" w:hAnsi="Arial"/>
                <w:sz w:val="15"/>
                <w:szCs w:val="15"/>
                <w:b w:val="1"/>
                <w:bCs w:val="1"/>
                <w:color w:val="auto"/>
                <w:w w:val="88"/>
              </w:rPr>
              <w:t>securities</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5"/>
                <w:szCs w:val="15"/>
                <w:b w:val="1"/>
                <w:bCs w:val="1"/>
                <w:color w:val="auto"/>
                <w:w w:val="90"/>
              </w:rPr>
              <w:t>for future issuance</w:t>
            </w:r>
          </w:p>
        </w:tc>
      </w:tr>
      <w:tr>
        <w:trPr>
          <w:trHeight w:val="206"/>
        </w:trPr>
        <w:tc>
          <w:tcPr>
            <w:tcW w:w="4580" w:type="dxa"/>
            <w:vAlign w:val="bottom"/>
          </w:tcPr>
          <w:p>
            <w:pPr>
              <w:spacing w:after="0"/>
              <w:rPr>
                <w:sz w:val="17"/>
                <w:szCs w:val="17"/>
                <w:color w:val="auto"/>
              </w:rPr>
            </w:pPr>
          </w:p>
        </w:tc>
        <w:tc>
          <w:tcPr>
            <w:tcW w:w="2480" w:type="dxa"/>
            <w:vAlign w:val="bottom"/>
            <w:gridSpan w:val="2"/>
          </w:tcPr>
          <w:p>
            <w:pPr>
              <w:jc w:val="center"/>
              <w:ind w:left="423"/>
              <w:spacing w:after="0"/>
              <w:rPr>
                <w:sz w:val="20"/>
                <w:szCs w:val="20"/>
                <w:color w:val="auto"/>
              </w:rPr>
            </w:pPr>
            <w:r>
              <w:rPr>
                <w:rFonts w:ascii="Arial" w:cs="Arial" w:eastAsia="Arial" w:hAnsi="Arial"/>
                <w:sz w:val="15"/>
                <w:szCs w:val="15"/>
                <w:b w:val="1"/>
                <w:bCs w:val="1"/>
                <w:color w:val="auto"/>
                <w:w w:val="88"/>
              </w:rPr>
              <w:t>to be issued upon</w:t>
            </w:r>
          </w:p>
        </w:tc>
        <w:tc>
          <w:tcPr>
            <w:tcW w:w="19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2"/>
              </w:rPr>
              <w:t>Weighted-average</w:t>
            </w:r>
          </w:p>
        </w:tc>
        <w:tc>
          <w:tcPr>
            <w:tcW w:w="2200" w:type="dxa"/>
            <w:vAlign w:val="bottom"/>
          </w:tcPr>
          <w:p>
            <w:pPr>
              <w:jc w:val="center"/>
              <w:spacing w:after="0"/>
              <w:rPr>
                <w:sz w:val="20"/>
                <w:szCs w:val="20"/>
                <w:color w:val="auto"/>
              </w:rPr>
            </w:pPr>
            <w:r>
              <w:rPr>
                <w:rFonts w:ascii="Arial" w:cs="Arial" w:eastAsia="Arial" w:hAnsi="Arial"/>
                <w:sz w:val="15"/>
                <w:szCs w:val="15"/>
                <w:b w:val="1"/>
                <w:bCs w:val="1"/>
                <w:color w:val="auto"/>
                <w:w w:val="95"/>
              </w:rPr>
              <w:t>under equity</w:t>
            </w:r>
          </w:p>
        </w:tc>
      </w:tr>
      <w:tr>
        <w:trPr>
          <w:trHeight w:val="206"/>
        </w:trPr>
        <w:tc>
          <w:tcPr>
            <w:tcW w:w="4580" w:type="dxa"/>
            <w:vAlign w:val="bottom"/>
          </w:tcPr>
          <w:p>
            <w:pPr>
              <w:spacing w:after="0"/>
              <w:rPr>
                <w:sz w:val="17"/>
                <w:szCs w:val="17"/>
                <w:color w:val="auto"/>
              </w:rPr>
            </w:pPr>
          </w:p>
        </w:tc>
        <w:tc>
          <w:tcPr>
            <w:tcW w:w="1940" w:type="dxa"/>
            <w:vAlign w:val="bottom"/>
          </w:tcPr>
          <w:p>
            <w:pPr>
              <w:jc w:val="center"/>
              <w:ind w:left="943"/>
              <w:spacing w:after="0"/>
              <w:rPr>
                <w:sz w:val="20"/>
                <w:szCs w:val="20"/>
                <w:color w:val="auto"/>
              </w:rPr>
            </w:pPr>
            <w:r>
              <w:rPr>
                <w:rFonts w:ascii="Arial" w:cs="Arial" w:eastAsia="Arial" w:hAnsi="Arial"/>
                <w:sz w:val="15"/>
                <w:szCs w:val="15"/>
                <w:b w:val="1"/>
                <w:bCs w:val="1"/>
                <w:color w:val="auto"/>
                <w:w w:val="86"/>
              </w:rPr>
              <w:t>exercise of</w:t>
            </w:r>
          </w:p>
        </w:tc>
        <w:tc>
          <w:tcPr>
            <w:tcW w:w="54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exercise price of</w:t>
            </w:r>
          </w:p>
        </w:tc>
        <w:tc>
          <w:tcPr>
            <w:tcW w:w="2200" w:type="dxa"/>
            <w:vAlign w:val="bottom"/>
          </w:tcPr>
          <w:p>
            <w:pPr>
              <w:jc w:val="center"/>
              <w:spacing w:after="0"/>
              <w:rPr>
                <w:sz w:val="20"/>
                <w:szCs w:val="20"/>
                <w:color w:val="auto"/>
              </w:rPr>
            </w:pPr>
            <w:r>
              <w:rPr>
                <w:rFonts w:ascii="Arial" w:cs="Arial" w:eastAsia="Arial" w:hAnsi="Arial"/>
                <w:sz w:val="15"/>
                <w:szCs w:val="15"/>
                <w:b w:val="1"/>
                <w:bCs w:val="1"/>
                <w:color w:val="auto"/>
                <w:w w:val="89"/>
              </w:rPr>
              <w:t>compensation plans</w:t>
            </w:r>
          </w:p>
        </w:tc>
      </w:tr>
      <w:tr>
        <w:trPr>
          <w:trHeight w:val="206"/>
        </w:trPr>
        <w:tc>
          <w:tcPr>
            <w:tcW w:w="4580" w:type="dxa"/>
            <w:vAlign w:val="bottom"/>
          </w:tcPr>
          <w:p>
            <w:pPr>
              <w:spacing w:after="0"/>
              <w:rPr>
                <w:sz w:val="17"/>
                <w:szCs w:val="17"/>
                <w:color w:val="auto"/>
              </w:rPr>
            </w:pPr>
          </w:p>
        </w:tc>
        <w:tc>
          <w:tcPr>
            <w:tcW w:w="2480" w:type="dxa"/>
            <w:vAlign w:val="bottom"/>
            <w:gridSpan w:val="2"/>
          </w:tcPr>
          <w:p>
            <w:pPr>
              <w:jc w:val="center"/>
              <w:ind w:left="423"/>
              <w:spacing w:after="0"/>
              <w:rPr>
                <w:sz w:val="20"/>
                <w:szCs w:val="20"/>
                <w:color w:val="auto"/>
              </w:rPr>
            </w:pPr>
            <w:r>
              <w:rPr>
                <w:rFonts w:ascii="Arial" w:cs="Arial" w:eastAsia="Arial" w:hAnsi="Arial"/>
                <w:sz w:val="15"/>
                <w:szCs w:val="15"/>
                <w:b w:val="1"/>
                <w:bCs w:val="1"/>
                <w:color w:val="auto"/>
                <w:w w:val="90"/>
              </w:rPr>
              <w:t>outstanding options,</w:t>
            </w:r>
          </w:p>
        </w:tc>
        <w:tc>
          <w:tcPr>
            <w:tcW w:w="19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0"/>
              </w:rPr>
              <w:t>outstanding options,</w:t>
            </w:r>
          </w:p>
        </w:tc>
        <w:tc>
          <w:tcPr>
            <w:tcW w:w="2200" w:type="dxa"/>
            <w:vAlign w:val="bottom"/>
          </w:tcPr>
          <w:p>
            <w:pPr>
              <w:jc w:val="center"/>
              <w:spacing w:after="0"/>
              <w:rPr>
                <w:sz w:val="20"/>
                <w:szCs w:val="20"/>
                <w:color w:val="auto"/>
              </w:rPr>
            </w:pPr>
            <w:r>
              <w:rPr>
                <w:rFonts w:ascii="Arial" w:cs="Arial" w:eastAsia="Arial" w:hAnsi="Arial"/>
                <w:sz w:val="15"/>
                <w:szCs w:val="15"/>
                <w:b w:val="1"/>
                <w:bCs w:val="1"/>
                <w:color w:val="auto"/>
                <w:w w:val="89"/>
              </w:rPr>
              <w:t>(excluding securities</w:t>
            </w:r>
          </w:p>
        </w:tc>
      </w:tr>
      <w:tr>
        <w:trPr>
          <w:trHeight w:val="206"/>
        </w:trPr>
        <w:tc>
          <w:tcPr>
            <w:tcW w:w="4580" w:type="dxa"/>
            <w:vAlign w:val="bottom"/>
          </w:tcPr>
          <w:p>
            <w:pPr>
              <w:spacing w:after="0"/>
              <w:rPr>
                <w:sz w:val="17"/>
                <w:szCs w:val="17"/>
                <w:color w:val="auto"/>
              </w:rPr>
            </w:pPr>
          </w:p>
        </w:tc>
        <w:tc>
          <w:tcPr>
            <w:tcW w:w="2480" w:type="dxa"/>
            <w:vAlign w:val="bottom"/>
            <w:gridSpan w:val="2"/>
          </w:tcPr>
          <w:p>
            <w:pPr>
              <w:jc w:val="center"/>
              <w:ind w:left="403"/>
              <w:spacing w:after="0"/>
              <w:rPr>
                <w:sz w:val="20"/>
                <w:szCs w:val="20"/>
                <w:color w:val="auto"/>
              </w:rPr>
            </w:pPr>
            <w:r>
              <w:rPr>
                <w:rFonts w:ascii="Arial" w:cs="Arial" w:eastAsia="Arial" w:hAnsi="Arial"/>
                <w:sz w:val="15"/>
                <w:szCs w:val="15"/>
                <w:b w:val="1"/>
                <w:bCs w:val="1"/>
                <w:color w:val="auto"/>
                <w:w w:val="94"/>
              </w:rPr>
              <w:t>warrants and rights</w:t>
            </w:r>
          </w:p>
        </w:tc>
        <w:tc>
          <w:tcPr>
            <w:tcW w:w="19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4"/>
              </w:rPr>
              <w:t>warrants and rights</w:t>
            </w:r>
          </w:p>
        </w:tc>
        <w:tc>
          <w:tcPr>
            <w:tcW w:w="2200" w:type="dxa"/>
            <w:vAlign w:val="bottom"/>
          </w:tcPr>
          <w:p>
            <w:pPr>
              <w:jc w:val="center"/>
              <w:spacing w:after="0"/>
              <w:rPr>
                <w:sz w:val="20"/>
                <w:szCs w:val="20"/>
                <w:color w:val="auto"/>
              </w:rPr>
            </w:pPr>
            <w:r>
              <w:rPr>
                <w:rFonts w:ascii="Arial" w:cs="Arial" w:eastAsia="Arial" w:hAnsi="Arial"/>
                <w:sz w:val="15"/>
                <w:szCs w:val="15"/>
                <w:b w:val="1"/>
                <w:bCs w:val="1"/>
                <w:color w:val="auto"/>
                <w:w w:val="93"/>
              </w:rPr>
              <w:t>reflected in column (a))</w:t>
            </w: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Plan Category</w:t>
            </w:r>
          </w:p>
        </w:tc>
        <w:tc>
          <w:tcPr>
            <w:tcW w:w="1940" w:type="dxa"/>
            <w:vAlign w:val="bottom"/>
            <w:tcBorders>
              <w:bottom w:val="single" w:sz="8" w:color="auto"/>
            </w:tcBorders>
          </w:tcPr>
          <w:p>
            <w:pPr>
              <w:jc w:val="center"/>
              <w:ind w:left="963"/>
              <w:spacing w:after="0"/>
              <w:rPr>
                <w:sz w:val="20"/>
                <w:szCs w:val="20"/>
                <w:color w:val="auto"/>
              </w:rPr>
            </w:pPr>
            <w:r>
              <w:rPr>
                <w:rFonts w:ascii="Arial" w:cs="Arial" w:eastAsia="Arial" w:hAnsi="Arial"/>
                <w:sz w:val="15"/>
                <w:szCs w:val="15"/>
                <w:b w:val="1"/>
                <w:bCs w:val="1"/>
                <w:color w:val="auto"/>
                <w:w w:val="97"/>
              </w:rPr>
              <w:t>(a)</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(b)</w:t>
            </w:r>
          </w:p>
        </w:tc>
        <w:tc>
          <w:tcPr>
            <w:tcW w:w="5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w:t>
            </w:r>
          </w:p>
        </w:tc>
      </w:tr>
      <w:tr>
        <w:trPr>
          <w:trHeight w:val="202"/>
        </w:trPr>
        <w:tc>
          <w:tcPr>
            <w:tcW w:w="4580" w:type="dxa"/>
            <w:vAlign w:val="bottom"/>
          </w:tcPr>
          <w:p>
            <w:pPr>
              <w:ind w:left="20"/>
              <w:spacing w:after="0" w:line="202" w:lineRule="exact"/>
              <w:rPr>
                <w:sz w:val="20"/>
                <w:szCs w:val="20"/>
                <w:color w:val="auto"/>
              </w:rPr>
            </w:pPr>
            <w:r>
              <w:rPr>
                <w:rFonts w:ascii="Arial" w:cs="Arial" w:eastAsia="Arial" w:hAnsi="Arial"/>
                <w:sz w:val="15"/>
                <w:szCs w:val="15"/>
                <w:color w:val="auto"/>
              </w:rPr>
              <w:t xml:space="preserve">Equity compensation plans approved by security holders </w:t>
            </w:r>
            <w:r>
              <w:rPr>
                <w:rFonts w:ascii="Arial" w:cs="Arial" w:eastAsia="Arial" w:hAnsi="Arial"/>
                <w:sz w:val="20"/>
                <w:szCs w:val="20"/>
                <w:color w:val="auto"/>
                <w:vertAlign w:val="superscript"/>
              </w:rPr>
              <w:t>(3)</w:t>
            </w: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6"/>
        </w:trPr>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Evergy Long-Term Incentive Plan</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930,845</w:t>
            </w:r>
          </w:p>
        </w:tc>
        <w:tc>
          <w:tcPr>
            <w:tcW w:w="5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(1)</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(2)</w:t>
            </w:r>
          </w:p>
        </w:tc>
        <w:tc>
          <w:tcPr>
            <w:tcW w:w="220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1,296,632</w:t>
            </w:r>
          </w:p>
        </w:tc>
      </w:tr>
      <w:tr>
        <w:trPr>
          <w:trHeight w:val="20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Equity compensation plans not approved by security holders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r>
      <w:tr>
        <w:trPr>
          <w:trHeight w:val="208"/>
        </w:trPr>
        <w:tc>
          <w:tcPr>
            <w:tcW w:w="4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930,845</w:t>
            </w:r>
          </w:p>
        </w:tc>
        <w:tc>
          <w:tcPr>
            <w:tcW w:w="5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(1)</w:t>
            </w: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(2)</w:t>
            </w:r>
          </w:p>
        </w:tc>
        <w:tc>
          <w:tcPr>
            <w:tcW w:w="220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1,296,632</w:t>
            </w:r>
          </w:p>
        </w:tc>
      </w:tr>
    </w:tbl>
    <w:p>
      <w:pPr>
        <w:spacing w:after="0" w:line="122" w:lineRule="exact"/>
        <w:rPr>
          <w:sz w:val="20"/>
          <w:szCs w:val="20"/>
          <w:color w:val="auto"/>
        </w:rPr>
      </w:pPr>
    </w:p>
    <w:p>
      <w:pPr>
        <w:jc w:val="both"/>
        <w:ind w:left="160" w:hanging="154"/>
        <w:spacing w:after="0" w:line="220"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5"/>
          <w:szCs w:val="15"/>
          <w:color w:val="auto"/>
        </w:rPr>
        <w:t>Includes 253,046 RSUs with time-based requirements, 513,715 RSUs with performance measures at target performance levels, 36,036 restricted share awards and director deferred share units for 128,048 shares of Evergy common stock outstanding at December 31, 2021.</w:t>
      </w:r>
    </w:p>
    <w:p>
      <w:pPr>
        <w:spacing w:after="0" w:line="188" w:lineRule="auto"/>
        <w:rPr>
          <w:sz w:val="20"/>
          <w:szCs w:val="20"/>
          <w:color w:val="auto"/>
        </w:rPr>
      </w:pPr>
      <w:r>
        <w:rPr>
          <w:rFonts w:ascii="Arial" w:cs="Arial" w:eastAsia="Arial" w:hAnsi="Arial"/>
          <w:sz w:val="20"/>
          <w:szCs w:val="20"/>
          <w:color w:val="auto"/>
          <w:vertAlign w:val="superscript"/>
        </w:rPr>
        <w:t>(2)</w:t>
      </w:r>
      <w:r>
        <w:rPr>
          <w:rFonts w:ascii="Arial" w:cs="Arial" w:eastAsia="Arial" w:hAnsi="Arial"/>
          <w:sz w:val="15"/>
          <w:szCs w:val="15"/>
          <w:color w:val="auto"/>
        </w:rPr>
        <w:t>The RSUs, RSAs and director deferred share units have no exercise price and therefore are not reflected in the weighted-average exercise price.</w:t>
      </w:r>
    </w:p>
    <w:p>
      <w:pPr>
        <w:spacing w:after="0" w:line="5" w:lineRule="exact"/>
        <w:rPr>
          <w:sz w:val="20"/>
          <w:szCs w:val="20"/>
          <w:color w:val="auto"/>
        </w:rPr>
      </w:pPr>
    </w:p>
    <w:p>
      <w:pPr>
        <w:ind w:left="160" w:right="220" w:hanging="157"/>
        <w:spacing w:after="0" w:line="283" w:lineRule="auto"/>
        <w:tabs>
          <w:tab w:leader="none" w:pos="148" w:val="left"/>
        </w:tabs>
        <w:numPr>
          <w:ilvl w:val="0"/>
          <w:numId w:val="71"/>
        </w:numPr>
        <w:rPr>
          <w:rFonts w:ascii="Arial" w:cs="Arial" w:eastAsia="Arial" w:hAnsi="Arial"/>
          <w:sz w:val="17"/>
          <w:szCs w:val="17"/>
          <w:color w:val="auto"/>
          <w:vertAlign w:val="superscript"/>
        </w:rPr>
      </w:pPr>
      <w:r>
        <w:rPr>
          <w:rFonts w:ascii="Arial" w:cs="Arial" w:eastAsia="Arial" w:hAnsi="Arial"/>
          <w:sz w:val="13"/>
          <w:szCs w:val="13"/>
          <w:color w:val="auto"/>
        </w:rPr>
        <w:t>The Evergy Kansas Central, Inc. LTISA will not be used for future awards. As of December 31, 2021, there were approximately 312,568 units outstanding that were deferred pursuant to the Evergy Kansas Central, Inc. non-employee deferred compensation program. Deferred units will continue to receive deferred dividend equivalents in the form of additional deferred units until payouts pursuant to elections begin.</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w:t>
      </w:r>
    </w:p>
    <w:p>
      <w:pPr>
        <w:spacing w:after="0" w:line="23" w:lineRule="exact"/>
        <w:rPr>
          <w:sz w:val="20"/>
          <w:szCs w:val="20"/>
          <w:color w:val="auto"/>
        </w:rPr>
      </w:pPr>
    </w:p>
    <w:p>
      <w:pPr>
        <w:ind w:right="380"/>
        <w:spacing w:after="0" w:line="247" w:lineRule="auto"/>
        <w:rPr>
          <w:sz w:val="20"/>
          <w:szCs w:val="20"/>
          <w:color w:val="auto"/>
        </w:rPr>
      </w:pPr>
      <w:r>
        <w:rPr>
          <w:rFonts w:ascii="Arial" w:cs="Arial" w:eastAsia="Arial" w:hAnsi="Arial"/>
          <w:sz w:val="19"/>
          <w:szCs w:val="19"/>
          <w:color w:val="auto"/>
        </w:rPr>
        <w:t>The information required by this item will be included in an amendment to this Form 10-K or will be incorporated by reference to the "Director Independence" and "Other Matters - Related Party Transactions" sections of the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and Evergy Metro</w:t>
      </w:r>
    </w:p>
    <w:p>
      <w:pPr>
        <w:spacing w:after="0" w:line="23" w:lineRule="exact"/>
        <w:rPr>
          <w:sz w:val="20"/>
          <w:szCs w:val="20"/>
          <w:color w:val="auto"/>
        </w:rPr>
      </w:pPr>
    </w:p>
    <w:p>
      <w:pPr>
        <w:ind w:right="60"/>
        <w:spacing w:after="0" w:line="247" w:lineRule="auto"/>
        <w:rPr>
          <w:sz w:val="20"/>
          <w:szCs w:val="20"/>
          <w:color w:val="auto"/>
        </w:rPr>
      </w:pPr>
      <w:r>
        <w:rPr>
          <w:rFonts w:ascii="Arial" w:cs="Arial" w:eastAsia="Arial" w:hAnsi="Arial"/>
          <w:sz w:val="19"/>
          <w:szCs w:val="19"/>
          <w:color w:val="auto"/>
        </w:rPr>
        <w:t>The information required by this item regarding Evergy Kansas Central and Evergy Metro has been omitted in reliance on General Instruction (I) to Form 10-K.</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ACCOUNTING FEES AND SERVICES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w:t>
      </w:r>
    </w:p>
    <w:p>
      <w:pPr>
        <w:spacing w:after="0" w:line="23" w:lineRule="exact"/>
        <w:rPr>
          <w:sz w:val="20"/>
          <w:szCs w:val="20"/>
          <w:color w:val="auto"/>
        </w:rPr>
      </w:pPr>
    </w:p>
    <w:p>
      <w:pPr>
        <w:ind w:right="100"/>
        <w:spacing w:after="0" w:line="243" w:lineRule="auto"/>
        <w:rPr>
          <w:sz w:val="20"/>
          <w:szCs w:val="20"/>
          <w:color w:val="auto"/>
        </w:rPr>
      </w:pPr>
      <w:r>
        <w:rPr>
          <w:rFonts w:ascii="Arial" w:cs="Arial" w:eastAsia="Arial" w:hAnsi="Arial"/>
          <w:sz w:val="19"/>
          <w:szCs w:val="19"/>
          <w:color w:val="auto"/>
        </w:rPr>
        <w:t>The information required by this item regarding the independent auditors of Evergy and its subsidiaries will be included in an amendment to this Form 10-K or will be incorporated by reference to the "Ratification of Appointment of Deloitte &amp; Touche LLP" (PCAOB ID No. 34) section of the Proxy Statement.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1" w:name="page162"/>
    <w:bookmarkEnd w:id="16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Evergy Kansas Central and Evergy Metro</w:t>
      </w:r>
    </w:p>
    <w:p>
      <w:pPr>
        <w:spacing w:after="0" w:line="23"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color w:val="auto"/>
        </w:rPr>
        <w:t>The Audit Committee of the Evergy Board functions as the Audit Committee of Evergy Kansas Central and Evergy Metro. The following tables set forth the aggregate fees billed by Deloitte &amp; Touche LLP for audit services rendered in connection with the consolidated financial statements and reports for 2021 and 2020 and for other services rendered during 2021 and 2020 on behalf of Evergy Kansas Central and Evergy Metro, as well as all out-of-pocket costs incurred in connection with these services: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5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Kansas Central</w:t>
            </w:r>
          </w:p>
        </w:tc>
        <w:tc>
          <w:tcPr>
            <w:tcW w:w="37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r>
      <w:tr>
        <w:trPr>
          <w:trHeight w:val="212"/>
        </w:trPr>
        <w:tc>
          <w:tcPr>
            <w:tcW w:w="5160" w:type="dxa"/>
            <w:vAlign w:val="bottom"/>
          </w:tcPr>
          <w:p>
            <w:pPr>
              <w:ind w:left="20"/>
              <w:spacing w:after="0"/>
              <w:rPr>
                <w:sz w:val="20"/>
                <w:szCs w:val="20"/>
                <w:color w:val="auto"/>
              </w:rPr>
            </w:pPr>
            <w:r>
              <w:rPr>
                <w:rFonts w:ascii="Arial" w:cs="Arial" w:eastAsia="Arial" w:hAnsi="Arial"/>
                <w:sz w:val="17"/>
                <w:szCs w:val="17"/>
                <w:b w:val="1"/>
                <w:bCs w:val="1"/>
                <w:color w:val="auto"/>
              </w:rPr>
              <w:t>Fee Category</w:t>
            </w:r>
          </w:p>
        </w:tc>
        <w:tc>
          <w:tcPr>
            <w:tcW w:w="3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Audit Fees</w:t>
            </w:r>
          </w:p>
        </w:tc>
        <w:tc>
          <w:tcPr>
            <w:tcW w:w="37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1,852,798</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2,025,969</w:t>
            </w:r>
          </w:p>
        </w:tc>
      </w:tr>
      <w:tr>
        <w:trPr>
          <w:trHeight w:val="218"/>
        </w:trPr>
        <w:tc>
          <w:tcPr>
            <w:tcW w:w="5160" w:type="dxa"/>
            <w:vAlign w:val="bottom"/>
          </w:tcPr>
          <w:p>
            <w:pPr>
              <w:ind w:left="120"/>
              <w:spacing w:after="0"/>
              <w:rPr>
                <w:sz w:val="20"/>
                <w:szCs w:val="20"/>
                <w:color w:val="auto"/>
              </w:rPr>
            </w:pPr>
            <w:r>
              <w:rPr>
                <w:rFonts w:ascii="Arial" w:cs="Arial" w:eastAsia="Arial" w:hAnsi="Arial"/>
                <w:sz w:val="17"/>
                <w:szCs w:val="17"/>
                <w:color w:val="auto"/>
              </w:rPr>
              <w:t>Audit-Related Fees</w:t>
            </w:r>
          </w:p>
        </w:tc>
        <w:tc>
          <w:tcPr>
            <w:tcW w:w="37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50,734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Fees</w:t>
            </w:r>
          </w:p>
        </w:tc>
        <w:tc>
          <w:tcPr>
            <w:tcW w:w="3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86,098</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51,385</w:t>
            </w:r>
          </w:p>
        </w:tc>
      </w:tr>
      <w:tr>
        <w:trPr>
          <w:trHeight w:val="218"/>
        </w:trPr>
        <w:tc>
          <w:tcPr>
            <w:tcW w:w="51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All Other Fees</w:t>
            </w:r>
          </w:p>
        </w:tc>
        <w:tc>
          <w:tcPr>
            <w:tcW w:w="3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51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Total Fees</w:t>
            </w:r>
          </w:p>
        </w:tc>
        <w:tc>
          <w:tcPr>
            <w:tcW w:w="3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1,989,630</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2,077,354</w:t>
            </w:r>
          </w:p>
        </w:tc>
      </w:tr>
    </w:tbl>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5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Evergy Metro</w:t>
            </w:r>
          </w:p>
        </w:tc>
        <w:tc>
          <w:tcPr>
            <w:tcW w:w="38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r>
      <w:tr>
        <w:trPr>
          <w:trHeight w:val="212"/>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Fee Category</w:t>
            </w:r>
          </w:p>
        </w:tc>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Audit Fees</w:t>
            </w:r>
          </w:p>
        </w:tc>
        <w:tc>
          <w:tcPr>
            <w:tcW w:w="38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1,293,049</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1,412,546</w:t>
            </w:r>
          </w:p>
        </w:tc>
      </w:tr>
      <w:tr>
        <w:trPr>
          <w:trHeight w:val="218"/>
        </w:trPr>
        <w:tc>
          <w:tcPr>
            <w:tcW w:w="5020" w:type="dxa"/>
            <w:vAlign w:val="bottom"/>
          </w:tcPr>
          <w:p>
            <w:pPr>
              <w:ind w:left="120"/>
              <w:spacing w:after="0"/>
              <w:rPr>
                <w:sz w:val="20"/>
                <w:szCs w:val="20"/>
                <w:color w:val="auto"/>
              </w:rPr>
            </w:pPr>
            <w:r>
              <w:rPr>
                <w:rFonts w:ascii="Arial" w:cs="Arial" w:eastAsia="Arial" w:hAnsi="Arial"/>
                <w:sz w:val="17"/>
                <w:szCs w:val="17"/>
                <w:color w:val="auto"/>
              </w:rPr>
              <w:t>Audit-Related Fees</w:t>
            </w:r>
          </w:p>
        </w:tc>
        <w:tc>
          <w:tcPr>
            <w:tcW w:w="38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50,734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Fees</w:t>
            </w:r>
          </w:p>
        </w:tc>
        <w:tc>
          <w:tcPr>
            <w:tcW w:w="3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29,219</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40,799</w:t>
            </w:r>
          </w:p>
        </w:tc>
      </w:tr>
      <w:tr>
        <w:trPr>
          <w:trHeight w:val="218"/>
        </w:trPr>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All Other Fees</w:t>
            </w:r>
          </w:p>
        </w:tc>
        <w:tc>
          <w:tcPr>
            <w:tcW w:w="3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5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Total Fees</w:t>
            </w:r>
          </w:p>
        </w:tc>
        <w:tc>
          <w:tcPr>
            <w:tcW w:w="38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1,373,002</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1,453,345</w:t>
            </w:r>
          </w:p>
        </w:tc>
      </w:tr>
    </w:tbl>
    <w:p>
      <w:pPr>
        <w:spacing w:after="0" w:line="183" w:lineRule="exact"/>
        <w:rPr>
          <w:sz w:val="20"/>
          <w:szCs w:val="20"/>
          <w:color w:val="auto"/>
        </w:rPr>
      </w:pPr>
    </w:p>
    <w:p>
      <w:pPr>
        <w:ind w:right="160"/>
        <w:spacing w:after="0" w:line="246" w:lineRule="auto"/>
        <w:rPr>
          <w:sz w:val="20"/>
          <w:szCs w:val="20"/>
          <w:color w:val="auto"/>
        </w:rPr>
      </w:pPr>
      <w:r>
        <w:rPr>
          <w:rFonts w:ascii="Arial" w:cs="Arial" w:eastAsia="Arial" w:hAnsi="Arial"/>
          <w:sz w:val="19"/>
          <w:szCs w:val="19"/>
          <w:b w:val="1"/>
          <w:bCs w:val="1"/>
          <w:color w:val="auto"/>
        </w:rPr>
        <w:t xml:space="preserve">Audit Fees: </w:t>
      </w:r>
      <w:r>
        <w:rPr>
          <w:rFonts w:ascii="Arial" w:cs="Arial" w:eastAsia="Arial" w:hAnsi="Arial"/>
          <w:sz w:val="19"/>
          <w:szCs w:val="19"/>
          <w:color w:val="auto"/>
        </w:rPr>
        <w:t>Consists of fees billed for professional services rendered for the audits of the annual consolidated financial statements of Evergy</w:t>
      </w:r>
      <w:r>
        <w:rPr>
          <w:rFonts w:ascii="Arial" w:cs="Arial" w:eastAsia="Arial" w:hAnsi="Arial"/>
          <w:sz w:val="19"/>
          <w:szCs w:val="19"/>
          <w:b w:val="1"/>
          <w:bCs w:val="1"/>
          <w:color w:val="auto"/>
        </w:rPr>
        <w:t xml:space="preserve"> </w:t>
      </w:r>
      <w:r>
        <w:rPr>
          <w:rFonts w:ascii="Arial" w:cs="Arial" w:eastAsia="Arial" w:hAnsi="Arial"/>
          <w:sz w:val="19"/>
          <w:szCs w:val="19"/>
          <w:color w:val="auto"/>
        </w:rPr>
        <w:t>Kansas Central and Evergy Metro and reviews of the interim condensed consolidated financial statements included in quarterly reports. Audit fees also include: services provided by Deloitte &amp; Touche LLP in connection with statutory and regulatory filings or engagements; audit reports on audits of the effectiveness of internal control over financial reporting and other attest services, except those not required by statute or regulation; services related to filings with the SEC, including comfort letters, consents and assistance with and review of documents filed with the SEC; and accounting research in support of the audit.</w:t>
      </w:r>
    </w:p>
    <w:p>
      <w:pPr>
        <w:spacing w:after="0" w:line="178"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b w:val="1"/>
          <w:bCs w:val="1"/>
          <w:color w:val="auto"/>
        </w:rPr>
        <w:t xml:space="preserve">Audit-Related Fees: </w:t>
      </w:r>
      <w:r>
        <w:rPr>
          <w:rFonts w:ascii="Arial" w:cs="Arial" w:eastAsia="Arial" w:hAnsi="Arial"/>
          <w:sz w:val="19"/>
          <w:szCs w:val="19"/>
          <w:color w:val="auto"/>
        </w:rPr>
        <w:t>Consists of fees billed for assurance and related services that are reasonably related to the performance of the audit or review</w:t>
      </w:r>
      <w:r>
        <w:rPr>
          <w:rFonts w:ascii="Arial" w:cs="Arial" w:eastAsia="Arial" w:hAnsi="Arial"/>
          <w:sz w:val="19"/>
          <w:szCs w:val="19"/>
          <w:b w:val="1"/>
          <w:bCs w:val="1"/>
          <w:color w:val="auto"/>
        </w:rPr>
        <w:t xml:space="preserve"> </w:t>
      </w:r>
      <w:r>
        <w:rPr>
          <w:rFonts w:ascii="Arial" w:cs="Arial" w:eastAsia="Arial" w:hAnsi="Arial"/>
          <w:sz w:val="19"/>
          <w:szCs w:val="19"/>
          <w:color w:val="auto"/>
        </w:rPr>
        <w:t>of consolidated financial statements of Evergy Kansas Central and Evergy Metro and are not reported under "Audit Fees." These services include consultation concerning financial accounting and reporting standards.</w:t>
      </w:r>
    </w:p>
    <w:p>
      <w:pPr>
        <w:spacing w:after="0" w:line="165"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b w:val="1"/>
          <w:bCs w:val="1"/>
          <w:color w:val="auto"/>
        </w:rPr>
        <w:t xml:space="preserve">Tax Fees: </w:t>
      </w:r>
      <w:r>
        <w:rPr>
          <w:rFonts w:ascii="Arial" w:cs="Arial" w:eastAsia="Arial" w:hAnsi="Arial"/>
          <w:sz w:val="19"/>
          <w:szCs w:val="19"/>
          <w:color w:val="auto"/>
        </w:rPr>
        <w:t>Consists of fees billed for tax compliance and related support of tax returns and other tax services, including assistance with tax audits,</w:t>
      </w:r>
      <w:r>
        <w:rPr>
          <w:rFonts w:ascii="Arial" w:cs="Arial" w:eastAsia="Arial" w:hAnsi="Arial"/>
          <w:sz w:val="19"/>
          <w:szCs w:val="19"/>
          <w:b w:val="1"/>
          <w:bCs w:val="1"/>
          <w:color w:val="auto"/>
        </w:rPr>
        <w:t xml:space="preserve"> </w:t>
      </w:r>
      <w:r>
        <w:rPr>
          <w:rFonts w:ascii="Arial" w:cs="Arial" w:eastAsia="Arial" w:hAnsi="Arial"/>
          <w:sz w:val="19"/>
          <w:szCs w:val="19"/>
          <w:color w:val="auto"/>
        </w:rPr>
        <w:t>and tax research and planning.</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All Other Fees: </w:t>
      </w:r>
      <w:r>
        <w:rPr>
          <w:rFonts w:ascii="Arial" w:cs="Arial" w:eastAsia="Arial" w:hAnsi="Arial"/>
          <w:sz w:val="19"/>
          <w:szCs w:val="19"/>
          <w:color w:val="auto"/>
        </w:rPr>
        <w:t>Consists of fees for all other services other than those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 Pre-Approval of Audit and Permissible Non-Audit Services</w:t>
      </w:r>
    </w:p>
    <w:p>
      <w:pPr>
        <w:spacing w:after="0" w:line="2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Audit Committee has adopted policies and procedures for the pre-approval of all audit services, audit-related services, tax services and other services to be provided by the independent registered public accounting firm for Evergy Kansas Central and Evergy Metro. Under these policies and procedures, the Audit Committee may pre-approve certain types of services, up to the aggregate fee levels it sets. Any proposed service within a pre-approved type of service that would cause the applicable fee level to be exceeded cannot be provided unless the Audit Committee either amends the applicable fee level or specifically approves the proposed service. The Audit Committee, as well, may specifically approve audit, audit-related, tax or other services on a case-by-case basis. Pre-approval is generally provided for up to one year, unless the Audit Committee specifically provides for a different period. Management provides quarterly updates to the Audit Committee regarding actual fees spent with respect to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2" w:name="page163"/>
    <w:bookmarkEnd w:id="16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pre-approved services. The Chair of the Audit Committee may pre-approve audit, audit-related, tax and other services provided by the independent registered public accounting firm as required between meetings and report such pre-approval at the next Audit Committee meeting.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340" w:type="dxa"/>
            <w:vAlign w:val="bottom"/>
            <w:gridSpan w:val="6"/>
          </w:tcPr>
          <w:p>
            <w:pPr>
              <w:ind w:left="120"/>
              <w:spacing w:after="0"/>
              <w:rPr>
                <w:sz w:val="20"/>
                <w:szCs w:val="20"/>
                <w:color w:val="auto"/>
              </w:rPr>
            </w:pPr>
            <w:r>
              <w:rPr>
                <w:rFonts w:ascii="Arial" w:cs="Arial" w:eastAsia="Arial" w:hAnsi="Arial"/>
                <w:sz w:val="19"/>
                <w:szCs w:val="19"/>
                <w:b w:val="1"/>
                <w:bCs w:val="1"/>
                <w:color w:val="auto"/>
              </w:rPr>
              <w:t>PART IV</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25"/>
        </w:trPr>
        <w:tc>
          <w:tcPr>
            <w:tcW w:w="9460" w:type="dxa"/>
            <w:vAlign w:val="bottom"/>
            <w:gridSpan w:val="9"/>
          </w:tcPr>
          <w:p>
            <w:pPr>
              <w:spacing w:after="0"/>
              <w:rPr>
                <w:sz w:val="20"/>
                <w:szCs w:val="20"/>
                <w:color w:val="auto"/>
              </w:rPr>
            </w:pPr>
            <w:r>
              <w:rPr>
                <w:rFonts w:ascii="Arial" w:cs="Arial" w:eastAsia="Arial" w:hAnsi="Arial"/>
                <w:sz w:val="19"/>
                <w:szCs w:val="19"/>
                <w:b w:val="1"/>
                <w:bCs w:val="1"/>
                <w:color w:val="auto"/>
              </w:rPr>
              <w:t>ITEM 15. EXHIBITS AND FINANCIAL STATEMENT SCHEDULES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25"/>
        </w:trPr>
        <w:tc>
          <w:tcPr>
            <w:tcW w:w="9460" w:type="dxa"/>
            <w:vAlign w:val="bottom"/>
            <w:gridSpan w:val="9"/>
          </w:tcPr>
          <w:p>
            <w:pPr>
              <w:spacing w:after="0"/>
              <w:rPr>
                <w:sz w:val="20"/>
                <w:szCs w:val="20"/>
                <w:color w:val="auto"/>
              </w:rPr>
            </w:pPr>
            <w:r>
              <w:rPr>
                <w:rFonts w:ascii="Arial" w:cs="Arial" w:eastAsia="Arial" w:hAnsi="Arial"/>
                <w:sz w:val="19"/>
                <w:szCs w:val="19"/>
                <w:b w:val="1"/>
                <w:bCs w:val="1"/>
                <w:color w:val="auto"/>
              </w:rPr>
              <w:t>Financial Statements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18"/>
        </w:trPr>
        <w:tc>
          <w:tcPr>
            <w:tcW w:w="9460" w:type="dxa"/>
            <w:vAlign w:val="bottom"/>
            <w:gridSpan w:val="9"/>
          </w:tcPr>
          <w:p>
            <w:pPr>
              <w:ind w:left="40"/>
              <w:spacing w:after="0"/>
              <w:rPr>
                <w:sz w:val="20"/>
                <w:szCs w:val="20"/>
                <w:color w:val="auto"/>
              </w:rPr>
            </w:pPr>
            <w:r>
              <w:rPr>
                <w:rFonts w:ascii="Arial" w:cs="Arial" w:eastAsia="Arial" w:hAnsi="Arial"/>
                <w:sz w:val="19"/>
                <w:szCs w:val="19"/>
                <w:b w:val="1"/>
                <w:bCs w:val="1"/>
                <w:color w:val="auto"/>
              </w:rPr>
              <w:t>Evergy, Inc.</w:t>
            </w:r>
          </w:p>
        </w:tc>
        <w:tc>
          <w:tcPr>
            <w:tcW w:w="600" w:type="dxa"/>
            <w:vAlign w:val="bottom"/>
          </w:tcPr>
          <w:p>
            <w:pPr>
              <w:spacing w:after="0"/>
              <w:rPr>
                <w:sz w:val="24"/>
                <w:szCs w:val="2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88"/>
              </w:rPr>
              <w:t>Page No.</w:t>
            </w: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a.</w:t>
            </w:r>
          </w:p>
        </w:tc>
        <w:tc>
          <w:tcPr>
            <w:tcW w:w="8760" w:type="dxa"/>
            <w:vAlign w:val="bottom"/>
            <w:gridSpan w:val="8"/>
          </w:tcPr>
          <w:p>
            <w:pPr>
              <w:spacing w:after="0"/>
              <w:rPr>
                <w:rFonts w:ascii="Arial" w:cs="Arial" w:eastAsia="Arial" w:hAnsi="Arial"/>
                <w:sz w:val="19"/>
                <w:szCs w:val="19"/>
                <w:color w:val="0000FF"/>
                <w:w w:val="95"/>
              </w:rPr>
            </w:pPr>
            <w:hyperlink w:anchor="page73">
              <w:r>
                <w:rPr>
                  <w:rFonts w:ascii="Arial" w:cs="Arial" w:eastAsia="Arial" w:hAnsi="Arial"/>
                  <w:sz w:val="19"/>
                  <w:szCs w:val="19"/>
                  <w:color w:val="0000FF"/>
                  <w:w w:val="95"/>
                </w:rPr>
                <w:t>Consolidated Statements of Comprehensive Income for the years ended December 31, 2021, 2020 and 2019</w:t>
              </w:r>
            </w:hyperlink>
          </w:p>
        </w:tc>
        <w:tc>
          <w:tcPr>
            <w:tcW w:w="1320" w:type="dxa"/>
            <w:vAlign w:val="bottom"/>
            <w:gridSpan w:val="4"/>
          </w:tcPr>
          <w:p>
            <w:pPr>
              <w:jc w:val="center"/>
              <w:ind w:left="526"/>
              <w:spacing w:after="0"/>
              <w:rPr>
                <w:rFonts w:ascii="Arial" w:cs="Arial" w:eastAsia="Arial" w:hAnsi="Arial"/>
                <w:sz w:val="19"/>
                <w:szCs w:val="19"/>
                <w:color w:val="0000FF"/>
                <w:w w:val="84"/>
              </w:rPr>
            </w:pPr>
            <w:hyperlink w:anchor="page73">
              <w:r>
                <w:rPr>
                  <w:rFonts w:ascii="Arial" w:cs="Arial" w:eastAsia="Arial" w:hAnsi="Arial"/>
                  <w:sz w:val="19"/>
                  <w:szCs w:val="19"/>
                  <w:color w:val="0000FF"/>
                  <w:w w:val="84"/>
                </w:rPr>
                <w:t>72</w:t>
              </w:r>
            </w:hyperlink>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b.</w:t>
            </w:r>
          </w:p>
        </w:tc>
        <w:tc>
          <w:tcPr>
            <w:tcW w:w="6920" w:type="dxa"/>
            <w:vAlign w:val="bottom"/>
            <w:gridSpan w:val="4"/>
          </w:tcPr>
          <w:p>
            <w:pPr>
              <w:spacing w:after="0"/>
              <w:rPr>
                <w:rFonts w:ascii="Arial" w:cs="Arial" w:eastAsia="Arial" w:hAnsi="Arial"/>
                <w:sz w:val="19"/>
                <w:szCs w:val="19"/>
                <w:color w:val="0000FF"/>
              </w:rPr>
            </w:pPr>
            <w:hyperlink w:anchor="page74">
              <w:r>
                <w:rPr>
                  <w:rFonts w:ascii="Arial" w:cs="Arial" w:eastAsia="Arial" w:hAnsi="Arial"/>
                  <w:sz w:val="19"/>
                  <w:szCs w:val="19"/>
                  <w:color w:val="0000FF"/>
                </w:rPr>
                <w:t>Consolidated Balance Sheets - December 31, 2021 and 2020</w:t>
              </w:r>
            </w:hyperlink>
          </w:p>
        </w:tc>
        <w:tc>
          <w:tcPr>
            <w:tcW w:w="124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gridSpan w:val="4"/>
          </w:tcPr>
          <w:p>
            <w:pPr>
              <w:jc w:val="center"/>
              <w:ind w:left="526"/>
              <w:spacing w:after="0"/>
              <w:rPr>
                <w:rFonts w:ascii="Arial" w:cs="Arial" w:eastAsia="Arial" w:hAnsi="Arial"/>
                <w:sz w:val="19"/>
                <w:szCs w:val="19"/>
                <w:color w:val="0000FF"/>
                <w:w w:val="84"/>
              </w:rPr>
            </w:pPr>
            <w:hyperlink w:anchor="page74">
              <w:r>
                <w:rPr>
                  <w:rFonts w:ascii="Arial" w:cs="Arial" w:eastAsia="Arial" w:hAnsi="Arial"/>
                  <w:sz w:val="19"/>
                  <w:szCs w:val="19"/>
                  <w:color w:val="0000FF"/>
                  <w:w w:val="84"/>
                </w:rPr>
                <w:t>73</w:t>
              </w:r>
            </w:hyperlink>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c.</w:t>
            </w:r>
          </w:p>
        </w:tc>
        <w:tc>
          <w:tcPr>
            <w:tcW w:w="8760" w:type="dxa"/>
            <w:vAlign w:val="bottom"/>
            <w:gridSpan w:val="8"/>
          </w:tcPr>
          <w:p>
            <w:pPr>
              <w:spacing w:after="0"/>
              <w:rPr>
                <w:rFonts w:ascii="Arial" w:cs="Arial" w:eastAsia="Arial" w:hAnsi="Arial"/>
                <w:sz w:val="19"/>
                <w:szCs w:val="19"/>
                <w:color w:val="0000FF"/>
              </w:rPr>
            </w:pPr>
            <w:hyperlink w:anchor="page76">
              <w:r>
                <w:rPr>
                  <w:rFonts w:ascii="Arial" w:cs="Arial" w:eastAsia="Arial" w:hAnsi="Arial"/>
                  <w:sz w:val="19"/>
                  <w:szCs w:val="19"/>
                  <w:color w:val="0000FF"/>
                </w:rPr>
                <w:t>Consolidated Statements of Cash Flows for the years ended December 31, 2021, 2020 and 2019</w:t>
              </w:r>
            </w:hyperlink>
          </w:p>
        </w:tc>
        <w:tc>
          <w:tcPr>
            <w:tcW w:w="1320" w:type="dxa"/>
            <w:vAlign w:val="bottom"/>
            <w:gridSpan w:val="4"/>
          </w:tcPr>
          <w:p>
            <w:pPr>
              <w:jc w:val="center"/>
              <w:ind w:left="526"/>
              <w:spacing w:after="0"/>
              <w:rPr>
                <w:rFonts w:ascii="Arial" w:cs="Arial" w:eastAsia="Arial" w:hAnsi="Arial"/>
                <w:sz w:val="19"/>
                <w:szCs w:val="19"/>
                <w:color w:val="0000FF"/>
                <w:w w:val="84"/>
              </w:rPr>
            </w:pPr>
            <w:hyperlink w:anchor="page76">
              <w:r>
                <w:rPr>
                  <w:rFonts w:ascii="Arial" w:cs="Arial" w:eastAsia="Arial" w:hAnsi="Arial"/>
                  <w:sz w:val="19"/>
                  <w:szCs w:val="19"/>
                  <w:color w:val="0000FF"/>
                  <w:w w:val="84"/>
                </w:rPr>
                <w:t>75</w:t>
              </w:r>
            </w:hyperlink>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d.</w:t>
            </w:r>
          </w:p>
        </w:tc>
        <w:tc>
          <w:tcPr>
            <w:tcW w:w="7760" w:type="dxa"/>
            <w:vAlign w:val="bottom"/>
            <w:gridSpan w:val="6"/>
          </w:tcPr>
          <w:p>
            <w:pPr>
              <w:spacing w:after="0"/>
              <w:rPr>
                <w:rFonts w:ascii="Arial" w:cs="Arial" w:eastAsia="Arial" w:hAnsi="Arial"/>
                <w:sz w:val="19"/>
                <w:szCs w:val="19"/>
                <w:color w:val="0000FF"/>
                <w:w w:val="88"/>
              </w:rPr>
            </w:pPr>
            <w:hyperlink w:anchor="page77">
              <w:r>
                <w:rPr>
                  <w:rFonts w:ascii="Arial" w:cs="Arial" w:eastAsia="Arial" w:hAnsi="Arial"/>
                  <w:sz w:val="19"/>
                  <w:szCs w:val="19"/>
                  <w:color w:val="0000FF"/>
                  <w:w w:val="88"/>
                </w:rPr>
                <w:t>Consolidated Statements of Changes in Equity for the years ended December 31, 2021, 2020 and 2019</w:t>
              </w:r>
            </w:hyperlink>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rFonts w:ascii="Arial" w:cs="Arial" w:eastAsia="Arial" w:hAnsi="Arial"/>
                <w:sz w:val="19"/>
                <w:szCs w:val="19"/>
                <w:color w:val="0000FF"/>
                <w:w w:val="84"/>
              </w:rPr>
            </w:pPr>
            <w:hyperlink w:anchor="page77">
              <w:r>
                <w:rPr>
                  <w:rFonts w:ascii="Arial" w:cs="Arial" w:eastAsia="Arial" w:hAnsi="Arial"/>
                  <w:sz w:val="19"/>
                  <w:szCs w:val="19"/>
                  <w:color w:val="0000FF"/>
                  <w:w w:val="84"/>
                </w:rPr>
                <w:t>76</w:t>
              </w:r>
            </w:hyperlink>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e.</w:t>
            </w:r>
          </w:p>
        </w:tc>
        <w:tc>
          <w:tcPr>
            <w:tcW w:w="7760" w:type="dxa"/>
            <w:vAlign w:val="bottom"/>
            <w:gridSpan w:val="6"/>
          </w:tcPr>
          <w:p>
            <w:pPr>
              <w:spacing w:after="0"/>
              <w:rPr>
                <w:rFonts w:ascii="Arial" w:cs="Arial" w:eastAsia="Arial" w:hAnsi="Arial"/>
                <w:sz w:val="19"/>
                <w:szCs w:val="19"/>
                <w:color w:val="0000FF"/>
              </w:rPr>
            </w:pPr>
            <w:hyperlink w:anchor="page88">
              <w:r>
                <w:rPr>
                  <w:rFonts w:ascii="Arial" w:cs="Arial" w:eastAsia="Arial" w:hAnsi="Arial"/>
                  <w:sz w:val="19"/>
                  <w:szCs w:val="19"/>
                  <w:color w:val="0000FF"/>
                </w:rPr>
                <w:t>Notes to Consolidated Financial Statements</w:t>
              </w:r>
            </w:hyperlink>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rFonts w:ascii="Arial" w:cs="Arial" w:eastAsia="Arial" w:hAnsi="Arial"/>
                <w:sz w:val="19"/>
                <w:szCs w:val="19"/>
                <w:color w:val="0000FF"/>
                <w:w w:val="84"/>
              </w:rPr>
            </w:pPr>
            <w:hyperlink w:anchor="page88">
              <w:r>
                <w:rPr>
                  <w:rFonts w:ascii="Arial" w:cs="Arial" w:eastAsia="Arial" w:hAnsi="Arial"/>
                  <w:sz w:val="19"/>
                  <w:szCs w:val="19"/>
                  <w:color w:val="0000FF"/>
                  <w:w w:val="84"/>
                </w:rPr>
                <w:t>87</w:t>
              </w:r>
            </w:hyperlink>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f.</w:t>
            </w:r>
          </w:p>
        </w:tc>
        <w:tc>
          <w:tcPr>
            <w:tcW w:w="8760" w:type="dxa"/>
            <w:vAlign w:val="bottom"/>
            <w:gridSpan w:val="8"/>
          </w:tcPr>
          <w:p>
            <w:pPr>
              <w:spacing w:after="0"/>
              <w:rPr>
                <w:rFonts w:ascii="Arial" w:cs="Arial" w:eastAsia="Arial" w:hAnsi="Arial"/>
                <w:sz w:val="19"/>
                <w:szCs w:val="19"/>
                <w:color w:val="0000FF"/>
              </w:rPr>
            </w:pPr>
            <w:hyperlink w:anchor="page64">
              <w:r>
                <w:rPr>
                  <w:rFonts w:ascii="Arial" w:cs="Arial" w:eastAsia="Arial" w:hAnsi="Arial"/>
                  <w:sz w:val="19"/>
                  <w:szCs w:val="19"/>
                  <w:color w:val="0000FF"/>
                </w:rPr>
                <w:t>Report of Independent Registered Public Accounting Firm</w:t>
              </w:r>
            </w:hyperlink>
          </w:p>
        </w:tc>
        <w:tc>
          <w:tcPr>
            <w:tcW w:w="1320" w:type="dxa"/>
            <w:vAlign w:val="bottom"/>
            <w:gridSpan w:val="4"/>
          </w:tcPr>
          <w:p>
            <w:pPr>
              <w:jc w:val="center"/>
              <w:ind w:left="526"/>
              <w:spacing w:after="0"/>
              <w:rPr>
                <w:rFonts w:ascii="Arial" w:cs="Arial" w:eastAsia="Arial" w:hAnsi="Arial"/>
                <w:sz w:val="19"/>
                <w:szCs w:val="19"/>
                <w:color w:val="0000FF"/>
                <w:w w:val="84"/>
              </w:rPr>
            </w:pPr>
            <w:hyperlink w:anchor="page64">
              <w:r>
                <w:rPr>
                  <w:rFonts w:ascii="Arial" w:cs="Arial" w:eastAsia="Arial" w:hAnsi="Arial"/>
                  <w:sz w:val="19"/>
                  <w:szCs w:val="19"/>
                  <w:color w:val="0000FF"/>
                  <w:w w:val="84"/>
                </w:rPr>
                <w:t>63</w:t>
              </w:r>
            </w:hyperlink>
          </w:p>
        </w:tc>
      </w:tr>
      <w:tr>
        <w:trPr>
          <w:trHeight w:val="20"/>
        </w:trPr>
        <w:tc>
          <w:tcPr>
            <w:tcW w:w="700" w:type="dxa"/>
            <w:vAlign w:val="bottom"/>
          </w:tcPr>
          <w:p>
            <w:pPr>
              <w:spacing w:after="0" w:line="20" w:lineRule="exact"/>
              <w:rPr>
                <w:sz w:val="1"/>
                <w:szCs w:val="1"/>
                <w:color w:val="auto"/>
              </w:rPr>
            </w:pPr>
          </w:p>
        </w:tc>
        <w:tc>
          <w:tcPr>
            <w:tcW w:w="4420" w:type="dxa"/>
            <w:vAlign w:val="bottom"/>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13"/>
        </w:trPr>
        <w:tc>
          <w:tcPr>
            <w:tcW w:w="9460" w:type="dxa"/>
            <w:vAlign w:val="bottom"/>
            <w:gridSpan w:val="9"/>
          </w:tcPr>
          <w:p>
            <w:pPr>
              <w:ind w:left="40"/>
              <w:spacing w:after="0"/>
              <w:rPr>
                <w:sz w:val="20"/>
                <w:szCs w:val="20"/>
                <w:color w:val="auto"/>
              </w:rPr>
            </w:pPr>
            <w:r>
              <w:rPr>
                <w:rFonts w:ascii="Arial" w:cs="Arial" w:eastAsia="Arial" w:hAnsi="Arial"/>
                <w:sz w:val="19"/>
                <w:szCs w:val="19"/>
                <w:b w:val="1"/>
                <w:bCs w:val="1"/>
                <w:color w:val="auto"/>
              </w:rPr>
              <w:t>Evergy Kansas Central, Inc.</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4"/>
        </w:trPr>
        <w:tc>
          <w:tcPr>
            <w:tcW w:w="700" w:type="dxa"/>
            <w:vAlign w:val="bottom"/>
          </w:tcPr>
          <w:p>
            <w:pPr>
              <w:ind w:left="40"/>
              <w:spacing w:after="0"/>
              <w:rPr>
                <w:sz w:val="20"/>
                <w:szCs w:val="20"/>
                <w:color w:val="auto"/>
              </w:rPr>
            </w:pPr>
            <w:r>
              <w:rPr>
                <w:rFonts w:ascii="Arial" w:cs="Arial" w:eastAsia="Arial" w:hAnsi="Arial"/>
                <w:sz w:val="19"/>
                <w:szCs w:val="19"/>
                <w:color w:val="auto"/>
              </w:rPr>
              <w:t>g.</w:t>
            </w:r>
          </w:p>
        </w:tc>
        <w:tc>
          <w:tcPr>
            <w:tcW w:w="8760" w:type="dxa"/>
            <w:vAlign w:val="bottom"/>
            <w:gridSpan w:val="8"/>
          </w:tcPr>
          <w:p>
            <w:pPr>
              <w:spacing w:after="0"/>
              <w:rPr>
                <w:rFonts w:ascii="Arial" w:cs="Arial" w:eastAsia="Arial" w:hAnsi="Arial"/>
                <w:sz w:val="19"/>
                <w:szCs w:val="19"/>
                <w:color w:val="0000FF"/>
              </w:rPr>
            </w:pPr>
            <w:hyperlink w:anchor="page78">
              <w:r>
                <w:rPr>
                  <w:rFonts w:ascii="Arial" w:cs="Arial" w:eastAsia="Arial" w:hAnsi="Arial"/>
                  <w:sz w:val="19"/>
                  <w:szCs w:val="19"/>
                  <w:color w:val="0000FF"/>
                </w:rPr>
                <w:t>Consolidated Statements of Income for the years ended December 31, 2021, 2020 and 2019</w:t>
              </w:r>
            </w:hyperlink>
          </w:p>
        </w:tc>
        <w:tc>
          <w:tcPr>
            <w:tcW w:w="1320" w:type="dxa"/>
            <w:vAlign w:val="bottom"/>
            <w:gridSpan w:val="4"/>
          </w:tcPr>
          <w:p>
            <w:pPr>
              <w:jc w:val="center"/>
              <w:ind w:left="526"/>
              <w:spacing w:after="0"/>
              <w:rPr>
                <w:rFonts w:ascii="Arial" w:cs="Arial" w:eastAsia="Arial" w:hAnsi="Arial"/>
                <w:sz w:val="19"/>
                <w:szCs w:val="19"/>
                <w:color w:val="0000FF"/>
                <w:w w:val="84"/>
              </w:rPr>
            </w:pPr>
            <w:hyperlink w:anchor="page78">
              <w:r>
                <w:rPr>
                  <w:rFonts w:ascii="Arial" w:cs="Arial" w:eastAsia="Arial" w:hAnsi="Arial"/>
                  <w:sz w:val="19"/>
                  <w:szCs w:val="19"/>
                  <w:color w:val="0000FF"/>
                  <w:w w:val="84"/>
                </w:rPr>
                <w:t>77</w:t>
              </w:r>
            </w:hyperlink>
          </w:p>
        </w:tc>
      </w:tr>
      <w:tr>
        <w:trPr>
          <w:trHeight w:val="20"/>
        </w:trPr>
        <w:tc>
          <w:tcPr>
            <w:tcW w:w="700" w:type="dxa"/>
            <w:vAlign w:val="bottom"/>
          </w:tcPr>
          <w:p>
            <w:pPr>
              <w:spacing w:after="0" w:line="20" w:lineRule="exact"/>
              <w:rPr>
                <w:sz w:val="1"/>
                <w:szCs w:val="1"/>
                <w:color w:val="auto"/>
              </w:rPr>
            </w:pPr>
          </w:p>
        </w:tc>
        <w:tc>
          <w:tcPr>
            <w:tcW w:w="6920" w:type="dxa"/>
            <w:vAlign w:val="bottom"/>
            <w:gridSpan w:val="4"/>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h.</w:t>
            </w:r>
          </w:p>
        </w:tc>
        <w:tc>
          <w:tcPr>
            <w:tcW w:w="6920" w:type="dxa"/>
            <w:vAlign w:val="bottom"/>
            <w:gridSpan w:val="4"/>
          </w:tcPr>
          <w:p>
            <w:pPr>
              <w:spacing w:after="0"/>
              <w:rPr>
                <w:rFonts w:ascii="Arial" w:cs="Arial" w:eastAsia="Arial" w:hAnsi="Arial"/>
                <w:sz w:val="19"/>
                <w:szCs w:val="19"/>
                <w:color w:val="0000FF"/>
              </w:rPr>
            </w:pPr>
            <w:hyperlink w:anchor="page79">
              <w:r>
                <w:rPr>
                  <w:rFonts w:ascii="Arial" w:cs="Arial" w:eastAsia="Arial" w:hAnsi="Arial"/>
                  <w:sz w:val="19"/>
                  <w:szCs w:val="19"/>
                  <w:color w:val="0000FF"/>
                </w:rPr>
                <w:t>Consolidated Balance Sheets - December 31, 2021 and 2020</w:t>
              </w:r>
            </w:hyperlink>
          </w:p>
        </w:tc>
        <w:tc>
          <w:tcPr>
            <w:tcW w:w="840" w:type="dxa"/>
            <w:vAlign w:val="bottom"/>
            <w:gridSpan w:val="2"/>
          </w:tcPr>
          <w:p>
            <w:pPr>
              <w:spacing w:after="0"/>
              <w:rPr>
                <w:sz w:val="24"/>
                <w:szCs w:val="24"/>
                <w:color w:val="auto"/>
              </w:rPr>
            </w:pP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rFonts w:ascii="Arial" w:cs="Arial" w:eastAsia="Arial" w:hAnsi="Arial"/>
                <w:sz w:val="19"/>
                <w:szCs w:val="19"/>
                <w:color w:val="0000FF"/>
                <w:w w:val="84"/>
              </w:rPr>
            </w:pPr>
            <w:hyperlink w:anchor="page79">
              <w:r>
                <w:rPr>
                  <w:rFonts w:ascii="Arial" w:cs="Arial" w:eastAsia="Arial" w:hAnsi="Arial"/>
                  <w:sz w:val="19"/>
                  <w:szCs w:val="19"/>
                  <w:color w:val="0000FF"/>
                  <w:w w:val="84"/>
                </w:rPr>
                <w:t>78</w:t>
              </w:r>
            </w:hyperlink>
          </w:p>
        </w:tc>
      </w:tr>
      <w:tr>
        <w:trPr>
          <w:trHeight w:val="20"/>
        </w:trPr>
        <w:tc>
          <w:tcPr>
            <w:tcW w:w="700" w:type="dxa"/>
            <w:vAlign w:val="bottom"/>
          </w:tcPr>
          <w:p>
            <w:pPr>
              <w:spacing w:after="0" w:line="20" w:lineRule="exact"/>
              <w:rPr>
                <w:sz w:val="1"/>
                <w:szCs w:val="1"/>
                <w:color w:val="auto"/>
              </w:rPr>
            </w:pPr>
          </w:p>
        </w:tc>
        <w:tc>
          <w:tcPr>
            <w:tcW w:w="7760" w:type="dxa"/>
            <w:vAlign w:val="bottom"/>
            <w:gridSpan w:val="6"/>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i.</w:t>
            </w:r>
          </w:p>
        </w:tc>
        <w:tc>
          <w:tcPr>
            <w:tcW w:w="7760" w:type="dxa"/>
            <w:vAlign w:val="bottom"/>
            <w:gridSpan w:val="6"/>
          </w:tcPr>
          <w:p>
            <w:pPr>
              <w:spacing w:after="0"/>
              <w:rPr>
                <w:rFonts w:ascii="Arial" w:cs="Arial" w:eastAsia="Arial" w:hAnsi="Arial"/>
                <w:sz w:val="19"/>
                <w:szCs w:val="19"/>
                <w:color w:val="0000FF"/>
                <w:w w:val="94"/>
              </w:rPr>
            </w:pPr>
            <w:hyperlink w:anchor="page81">
              <w:r>
                <w:rPr>
                  <w:rFonts w:ascii="Arial" w:cs="Arial" w:eastAsia="Arial" w:hAnsi="Arial"/>
                  <w:sz w:val="19"/>
                  <w:szCs w:val="19"/>
                  <w:color w:val="0000FF"/>
                  <w:w w:val="94"/>
                </w:rPr>
                <w:t>Consolidated Statements of Cash Flows for the years ended December 31, 2021, 2020 and 2019</w:t>
              </w:r>
            </w:hyperlink>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rFonts w:ascii="Arial" w:cs="Arial" w:eastAsia="Arial" w:hAnsi="Arial"/>
                <w:sz w:val="19"/>
                <w:szCs w:val="19"/>
                <w:color w:val="0000FF"/>
                <w:w w:val="84"/>
              </w:rPr>
            </w:pPr>
            <w:hyperlink w:anchor="page81">
              <w:r>
                <w:rPr>
                  <w:rFonts w:ascii="Arial" w:cs="Arial" w:eastAsia="Arial" w:hAnsi="Arial"/>
                  <w:sz w:val="19"/>
                  <w:szCs w:val="19"/>
                  <w:color w:val="0000FF"/>
                  <w:w w:val="84"/>
                </w:rPr>
                <w:t>80</w:t>
              </w:r>
            </w:hyperlink>
          </w:p>
        </w:tc>
      </w:tr>
      <w:tr>
        <w:trPr>
          <w:trHeight w:val="20"/>
        </w:trPr>
        <w:tc>
          <w:tcPr>
            <w:tcW w:w="700" w:type="dxa"/>
            <w:vAlign w:val="bottom"/>
          </w:tcPr>
          <w:p>
            <w:pPr>
              <w:spacing w:after="0" w:line="20" w:lineRule="exact"/>
              <w:rPr>
                <w:sz w:val="1"/>
                <w:szCs w:val="1"/>
                <w:color w:val="auto"/>
              </w:rPr>
            </w:pPr>
          </w:p>
        </w:tc>
        <w:tc>
          <w:tcPr>
            <w:tcW w:w="724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j.</w:t>
            </w:r>
          </w:p>
        </w:tc>
        <w:tc>
          <w:tcPr>
            <w:tcW w:w="7760" w:type="dxa"/>
            <w:vAlign w:val="bottom"/>
            <w:gridSpan w:val="6"/>
          </w:tcPr>
          <w:p>
            <w:pPr>
              <w:spacing w:after="0"/>
              <w:rPr>
                <w:rFonts w:ascii="Arial" w:cs="Arial" w:eastAsia="Arial" w:hAnsi="Arial"/>
                <w:sz w:val="19"/>
                <w:szCs w:val="19"/>
                <w:color w:val="0000FF"/>
                <w:w w:val="88"/>
              </w:rPr>
            </w:pPr>
            <w:hyperlink w:anchor="page82">
              <w:r>
                <w:rPr>
                  <w:rFonts w:ascii="Arial" w:cs="Arial" w:eastAsia="Arial" w:hAnsi="Arial"/>
                  <w:sz w:val="19"/>
                  <w:szCs w:val="19"/>
                  <w:color w:val="0000FF"/>
                  <w:w w:val="88"/>
                </w:rPr>
                <w:t>Consolidated Statements of Changes in Equity for the years ended December 31, 2021, 2020 and 2019</w:t>
              </w:r>
            </w:hyperlink>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rFonts w:ascii="Arial" w:cs="Arial" w:eastAsia="Arial" w:hAnsi="Arial"/>
                <w:sz w:val="19"/>
                <w:szCs w:val="19"/>
                <w:color w:val="0000FF"/>
                <w:w w:val="84"/>
              </w:rPr>
            </w:pPr>
            <w:hyperlink w:anchor="page82">
              <w:r>
                <w:rPr>
                  <w:rFonts w:ascii="Arial" w:cs="Arial" w:eastAsia="Arial" w:hAnsi="Arial"/>
                  <w:sz w:val="19"/>
                  <w:szCs w:val="19"/>
                  <w:color w:val="0000FF"/>
                  <w:w w:val="84"/>
                </w:rPr>
                <w:t>81</w:t>
              </w:r>
            </w:hyperlink>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k.</w:t>
            </w:r>
          </w:p>
        </w:tc>
        <w:tc>
          <w:tcPr>
            <w:tcW w:w="7760" w:type="dxa"/>
            <w:vAlign w:val="bottom"/>
            <w:gridSpan w:val="6"/>
          </w:tcPr>
          <w:p>
            <w:pPr>
              <w:spacing w:after="0"/>
              <w:rPr>
                <w:rFonts w:ascii="Arial" w:cs="Arial" w:eastAsia="Arial" w:hAnsi="Arial"/>
                <w:sz w:val="19"/>
                <w:szCs w:val="19"/>
                <w:color w:val="0000FF"/>
              </w:rPr>
            </w:pPr>
            <w:hyperlink w:anchor="page88">
              <w:r>
                <w:rPr>
                  <w:rFonts w:ascii="Arial" w:cs="Arial" w:eastAsia="Arial" w:hAnsi="Arial"/>
                  <w:sz w:val="19"/>
                  <w:szCs w:val="19"/>
                  <w:color w:val="0000FF"/>
                </w:rPr>
                <w:t>Notes to Consolidated Financial Statements</w:t>
              </w:r>
            </w:hyperlink>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rFonts w:ascii="Arial" w:cs="Arial" w:eastAsia="Arial" w:hAnsi="Arial"/>
                <w:sz w:val="19"/>
                <w:szCs w:val="19"/>
                <w:color w:val="0000FF"/>
                <w:w w:val="84"/>
              </w:rPr>
            </w:pPr>
            <w:hyperlink w:anchor="page88">
              <w:r>
                <w:rPr>
                  <w:rFonts w:ascii="Arial" w:cs="Arial" w:eastAsia="Arial" w:hAnsi="Arial"/>
                  <w:sz w:val="19"/>
                  <w:szCs w:val="19"/>
                  <w:color w:val="0000FF"/>
                  <w:w w:val="84"/>
                </w:rPr>
                <w:t>87</w:t>
              </w:r>
            </w:hyperlink>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l.</w:t>
            </w:r>
          </w:p>
        </w:tc>
        <w:tc>
          <w:tcPr>
            <w:tcW w:w="8760" w:type="dxa"/>
            <w:vAlign w:val="bottom"/>
            <w:gridSpan w:val="8"/>
          </w:tcPr>
          <w:p>
            <w:pPr>
              <w:spacing w:after="0"/>
              <w:rPr>
                <w:rFonts w:ascii="Arial" w:cs="Arial" w:eastAsia="Arial" w:hAnsi="Arial"/>
                <w:sz w:val="19"/>
                <w:szCs w:val="19"/>
                <w:color w:val="0000FF"/>
              </w:rPr>
            </w:pPr>
            <w:hyperlink w:anchor="page67">
              <w:r>
                <w:rPr>
                  <w:rFonts w:ascii="Arial" w:cs="Arial" w:eastAsia="Arial" w:hAnsi="Arial"/>
                  <w:sz w:val="19"/>
                  <w:szCs w:val="19"/>
                  <w:color w:val="0000FF"/>
                </w:rPr>
                <w:t>Report of Independent Registered Public Accounting Firm</w:t>
              </w:r>
            </w:hyperlink>
          </w:p>
        </w:tc>
        <w:tc>
          <w:tcPr>
            <w:tcW w:w="1320" w:type="dxa"/>
            <w:vAlign w:val="bottom"/>
            <w:gridSpan w:val="4"/>
          </w:tcPr>
          <w:p>
            <w:pPr>
              <w:jc w:val="center"/>
              <w:ind w:left="526"/>
              <w:spacing w:after="0"/>
              <w:rPr>
                <w:rFonts w:ascii="Arial" w:cs="Arial" w:eastAsia="Arial" w:hAnsi="Arial"/>
                <w:sz w:val="19"/>
                <w:szCs w:val="19"/>
                <w:color w:val="0000FF"/>
                <w:w w:val="84"/>
              </w:rPr>
            </w:pPr>
            <w:hyperlink w:anchor="page67">
              <w:r>
                <w:rPr>
                  <w:rFonts w:ascii="Arial" w:cs="Arial" w:eastAsia="Arial" w:hAnsi="Arial"/>
                  <w:sz w:val="19"/>
                  <w:szCs w:val="19"/>
                  <w:color w:val="0000FF"/>
                  <w:w w:val="84"/>
                </w:rPr>
                <w:t>66</w:t>
              </w:r>
            </w:hyperlink>
          </w:p>
        </w:tc>
      </w:tr>
      <w:tr>
        <w:trPr>
          <w:trHeight w:val="20"/>
        </w:trPr>
        <w:tc>
          <w:tcPr>
            <w:tcW w:w="700" w:type="dxa"/>
            <w:vAlign w:val="bottom"/>
          </w:tcPr>
          <w:p>
            <w:pPr>
              <w:spacing w:after="0" w:line="20" w:lineRule="exact"/>
              <w:rPr>
                <w:sz w:val="1"/>
                <w:szCs w:val="1"/>
                <w:color w:val="auto"/>
              </w:rPr>
            </w:pPr>
          </w:p>
        </w:tc>
        <w:tc>
          <w:tcPr>
            <w:tcW w:w="4420" w:type="dxa"/>
            <w:vAlign w:val="bottom"/>
            <w:gridSpan w:val="2"/>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13"/>
        </w:trPr>
        <w:tc>
          <w:tcPr>
            <w:tcW w:w="9460" w:type="dxa"/>
            <w:vAlign w:val="bottom"/>
            <w:gridSpan w:val="9"/>
          </w:tcPr>
          <w:p>
            <w:pPr>
              <w:ind w:left="40"/>
              <w:spacing w:after="0"/>
              <w:rPr>
                <w:sz w:val="20"/>
                <w:szCs w:val="20"/>
                <w:color w:val="auto"/>
              </w:rPr>
            </w:pPr>
            <w:r>
              <w:rPr>
                <w:rFonts w:ascii="Arial" w:cs="Arial" w:eastAsia="Arial" w:hAnsi="Arial"/>
                <w:sz w:val="19"/>
                <w:szCs w:val="19"/>
                <w:b w:val="1"/>
                <w:bCs w:val="1"/>
                <w:color w:val="auto"/>
              </w:rPr>
              <w:t>Evergy Metro, Inc.</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4"/>
        </w:trPr>
        <w:tc>
          <w:tcPr>
            <w:tcW w:w="700" w:type="dxa"/>
            <w:vAlign w:val="bottom"/>
          </w:tcPr>
          <w:p>
            <w:pPr>
              <w:ind w:left="40"/>
              <w:spacing w:after="0"/>
              <w:rPr>
                <w:sz w:val="20"/>
                <w:szCs w:val="20"/>
                <w:color w:val="auto"/>
              </w:rPr>
            </w:pPr>
            <w:r>
              <w:rPr>
                <w:rFonts w:ascii="Arial" w:cs="Arial" w:eastAsia="Arial" w:hAnsi="Arial"/>
                <w:sz w:val="19"/>
                <w:szCs w:val="19"/>
                <w:color w:val="auto"/>
              </w:rPr>
              <w:t>m.</w:t>
            </w:r>
          </w:p>
        </w:tc>
        <w:tc>
          <w:tcPr>
            <w:tcW w:w="8760" w:type="dxa"/>
            <w:vAlign w:val="bottom"/>
            <w:gridSpan w:val="8"/>
          </w:tcPr>
          <w:p>
            <w:pPr>
              <w:spacing w:after="0"/>
              <w:rPr>
                <w:rFonts w:ascii="Arial" w:cs="Arial" w:eastAsia="Arial" w:hAnsi="Arial"/>
                <w:sz w:val="19"/>
                <w:szCs w:val="19"/>
                <w:color w:val="0000FF"/>
                <w:w w:val="95"/>
              </w:rPr>
            </w:pPr>
            <w:hyperlink w:anchor="page83">
              <w:r>
                <w:rPr>
                  <w:rFonts w:ascii="Arial" w:cs="Arial" w:eastAsia="Arial" w:hAnsi="Arial"/>
                  <w:sz w:val="19"/>
                  <w:szCs w:val="19"/>
                  <w:color w:val="0000FF"/>
                  <w:w w:val="95"/>
                </w:rPr>
                <w:t>Consolidated Statements of Comprehensive Income for the years ended December 31, 2021, 2020 and 2019</w:t>
              </w:r>
            </w:hyperlink>
          </w:p>
        </w:tc>
        <w:tc>
          <w:tcPr>
            <w:tcW w:w="1320" w:type="dxa"/>
            <w:vAlign w:val="bottom"/>
            <w:gridSpan w:val="4"/>
          </w:tcPr>
          <w:p>
            <w:pPr>
              <w:jc w:val="center"/>
              <w:ind w:left="526"/>
              <w:spacing w:after="0"/>
              <w:rPr>
                <w:rFonts w:ascii="Arial" w:cs="Arial" w:eastAsia="Arial" w:hAnsi="Arial"/>
                <w:sz w:val="19"/>
                <w:szCs w:val="19"/>
                <w:color w:val="0000FF"/>
                <w:w w:val="84"/>
              </w:rPr>
            </w:pPr>
            <w:hyperlink w:anchor="page83">
              <w:r>
                <w:rPr>
                  <w:rFonts w:ascii="Arial" w:cs="Arial" w:eastAsia="Arial" w:hAnsi="Arial"/>
                  <w:sz w:val="19"/>
                  <w:szCs w:val="19"/>
                  <w:color w:val="0000FF"/>
                  <w:w w:val="84"/>
                </w:rPr>
                <w:t>82</w:t>
              </w:r>
            </w:hyperlink>
          </w:p>
        </w:tc>
      </w:tr>
      <w:tr>
        <w:trPr>
          <w:trHeight w:val="20"/>
        </w:trPr>
        <w:tc>
          <w:tcPr>
            <w:tcW w:w="700" w:type="dxa"/>
            <w:vAlign w:val="bottom"/>
          </w:tcPr>
          <w:p>
            <w:pPr>
              <w:spacing w:after="0" w:line="20" w:lineRule="exact"/>
              <w:rPr>
                <w:sz w:val="1"/>
                <w:szCs w:val="1"/>
                <w:color w:val="auto"/>
              </w:rPr>
            </w:pPr>
          </w:p>
        </w:tc>
        <w:tc>
          <w:tcPr>
            <w:tcW w:w="776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n.</w:t>
            </w:r>
          </w:p>
        </w:tc>
        <w:tc>
          <w:tcPr>
            <w:tcW w:w="4580" w:type="dxa"/>
            <w:vAlign w:val="bottom"/>
            <w:gridSpan w:val="3"/>
          </w:tcPr>
          <w:p>
            <w:pPr>
              <w:spacing w:after="0"/>
              <w:rPr>
                <w:rFonts w:ascii="Arial" w:cs="Arial" w:eastAsia="Arial" w:hAnsi="Arial"/>
                <w:sz w:val="19"/>
                <w:szCs w:val="19"/>
                <w:color w:val="0000FF"/>
                <w:w w:val="88"/>
              </w:rPr>
            </w:pPr>
            <w:hyperlink w:anchor="page84">
              <w:r>
                <w:rPr>
                  <w:rFonts w:ascii="Arial" w:cs="Arial" w:eastAsia="Arial" w:hAnsi="Arial"/>
                  <w:sz w:val="19"/>
                  <w:szCs w:val="19"/>
                  <w:color w:val="0000FF"/>
                  <w:w w:val="88"/>
                </w:rPr>
                <w:t>Consolidated Balance Sheets - December 31, 2021 and 2020</w:t>
              </w:r>
            </w:hyperlink>
          </w:p>
        </w:tc>
        <w:tc>
          <w:tcPr>
            <w:tcW w:w="358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gridSpan w:val="4"/>
          </w:tcPr>
          <w:p>
            <w:pPr>
              <w:jc w:val="center"/>
              <w:ind w:left="526"/>
              <w:spacing w:after="0"/>
              <w:rPr>
                <w:rFonts w:ascii="Arial" w:cs="Arial" w:eastAsia="Arial" w:hAnsi="Arial"/>
                <w:sz w:val="19"/>
                <w:szCs w:val="19"/>
                <w:color w:val="0000FF"/>
                <w:w w:val="84"/>
              </w:rPr>
            </w:pPr>
            <w:hyperlink w:anchor="page84">
              <w:r>
                <w:rPr>
                  <w:rFonts w:ascii="Arial" w:cs="Arial" w:eastAsia="Arial" w:hAnsi="Arial"/>
                  <w:sz w:val="19"/>
                  <w:szCs w:val="19"/>
                  <w:color w:val="0000FF"/>
                  <w:w w:val="84"/>
                </w:rPr>
                <w:t>83</w:t>
              </w:r>
            </w:hyperlink>
          </w:p>
        </w:tc>
      </w:tr>
      <w:tr>
        <w:trPr>
          <w:trHeight w:val="20"/>
        </w:trPr>
        <w:tc>
          <w:tcPr>
            <w:tcW w:w="700" w:type="dxa"/>
            <w:vAlign w:val="bottom"/>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o.</w:t>
            </w:r>
          </w:p>
        </w:tc>
        <w:tc>
          <w:tcPr>
            <w:tcW w:w="8760" w:type="dxa"/>
            <w:vAlign w:val="bottom"/>
            <w:gridSpan w:val="8"/>
          </w:tcPr>
          <w:p>
            <w:pPr>
              <w:spacing w:after="0"/>
              <w:rPr>
                <w:rFonts w:ascii="Arial" w:cs="Arial" w:eastAsia="Arial" w:hAnsi="Arial"/>
                <w:sz w:val="19"/>
                <w:szCs w:val="19"/>
                <w:color w:val="0000FF"/>
              </w:rPr>
            </w:pPr>
            <w:hyperlink w:anchor="page86">
              <w:r>
                <w:rPr>
                  <w:rFonts w:ascii="Arial" w:cs="Arial" w:eastAsia="Arial" w:hAnsi="Arial"/>
                  <w:sz w:val="19"/>
                  <w:szCs w:val="19"/>
                  <w:color w:val="0000FF"/>
                </w:rPr>
                <w:t>Consolidated Statements of Cash Flows for the years ended December 31, 2021, 2020 and 2019</w:t>
              </w:r>
            </w:hyperlink>
          </w:p>
        </w:tc>
        <w:tc>
          <w:tcPr>
            <w:tcW w:w="1320" w:type="dxa"/>
            <w:vAlign w:val="bottom"/>
            <w:gridSpan w:val="4"/>
          </w:tcPr>
          <w:p>
            <w:pPr>
              <w:jc w:val="center"/>
              <w:ind w:left="526"/>
              <w:spacing w:after="0"/>
              <w:rPr>
                <w:rFonts w:ascii="Arial" w:cs="Arial" w:eastAsia="Arial" w:hAnsi="Arial"/>
                <w:sz w:val="19"/>
                <w:szCs w:val="19"/>
                <w:color w:val="0000FF"/>
                <w:w w:val="84"/>
              </w:rPr>
            </w:pPr>
            <w:hyperlink w:anchor="page86">
              <w:r>
                <w:rPr>
                  <w:rFonts w:ascii="Arial" w:cs="Arial" w:eastAsia="Arial" w:hAnsi="Arial"/>
                  <w:sz w:val="19"/>
                  <w:szCs w:val="19"/>
                  <w:color w:val="0000FF"/>
                  <w:w w:val="84"/>
                </w:rPr>
                <w:t>85</w:t>
              </w:r>
            </w:hyperlink>
          </w:p>
        </w:tc>
      </w:tr>
      <w:tr>
        <w:trPr>
          <w:trHeight w:val="20"/>
        </w:trPr>
        <w:tc>
          <w:tcPr>
            <w:tcW w:w="700" w:type="dxa"/>
            <w:vAlign w:val="bottom"/>
          </w:tcPr>
          <w:p>
            <w:pPr>
              <w:spacing w:after="0" w:line="20" w:lineRule="exact"/>
              <w:rPr>
                <w:sz w:val="1"/>
                <w:szCs w:val="1"/>
                <w:color w:val="auto"/>
              </w:rPr>
            </w:pPr>
          </w:p>
        </w:tc>
        <w:tc>
          <w:tcPr>
            <w:tcW w:w="724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p.</w:t>
            </w:r>
          </w:p>
        </w:tc>
        <w:tc>
          <w:tcPr>
            <w:tcW w:w="7760" w:type="dxa"/>
            <w:vAlign w:val="bottom"/>
            <w:gridSpan w:val="6"/>
          </w:tcPr>
          <w:p>
            <w:pPr>
              <w:spacing w:after="0"/>
              <w:rPr>
                <w:rFonts w:ascii="Arial" w:cs="Arial" w:eastAsia="Arial" w:hAnsi="Arial"/>
                <w:sz w:val="19"/>
                <w:szCs w:val="19"/>
                <w:color w:val="0000FF"/>
                <w:w w:val="88"/>
              </w:rPr>
            </w:pPr>
            <w:hyperlink w:anchor="page87">
              <w:r>
                <w:rPr>
                  <w:rFonts w:ascii="Arial" w:cs="Arial" w:eastAsia="Arial" w:hAnsi="Arial"/>
                  <w:sz w:val="19"/>
                  <w:szCs w:val="19"/>
                  <w:color w:val="0000FF"/>
                  <w:w w:val="88"/>
                </w:rPr>
                <w:t>Consolidated Statements of Changes in Equity for the years ended December 31, 2021, 2020 and 2019</w:t>
              </w:r>
            </w:hyperlink>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rFonts w:ascii="Arial" w:cs="Arial" w:eastAsia="Arial" w:hAnsi="Arial"/>
                <w:sz w:val="19"/>
                <w:szCs w:val="19"/>
                <w:color w:val="0000FF"/>
                <w:w w:val="84"/>
              </w:rPr>
            </w:pPr>
            <w:hyperlink w:anchor="page87">
              <w:r>
                <w:rPr>
                  <w:rFonts w:ascii="Arial" w:cs="Arial" w:eastAsia="Arial" w:hAnsi="Arial"/>
                  <w:sz w:val="19"/>
                  <w:szCs w:val="19"/>
                  <w:color w:val="0000FF"/>
                  <w:w w:val="84"/>
                </w:rPr>
                <w:t>86</w:t>
              </w:r>
            </w:hyperlink>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18"/>
        </w:trPr>
        <w:tc>
          <w:tcPr>
            <w:tcW w:w="5440" w:type="dxa"/>
            <w:vAlign w:val="bottom"/>
            <w:gridSpan w:val="6"/>
          </w:tcPr>
          <w:p>
            <w:pPr>
              <w:spacing w:after="0"/>
              <w:rPr>
                <w:rFonts w:ascii="Arial" w:cs="Arial" w:eastAsia="Arial" w:hAnsi="Arial"/>
                <w:sz w:val="19"/>
                <w:szCs w:val="19"/>
                <w:color w:val="0000FF"/>
              </w:rPr>
            </w:pPr>
            <w:hyperlink w:anchor="page3">
              <w:r>
                <w:rPr>
                  <w:rFonts w:ascii="Arial" w:cs="Arial" w:eastAsia="Arial" w:hAnsi="Arial"/>
                  <w:sz w:val="19"/>
                  <w:szCs w:val="19"/>
                  <w:color w:val="0000FF"/>
                </w:rPr>
                <w:t>Table of Contents</w:t>
              </w:r>
            </w:hyperlink>
          </w:p>
        </w:tc>
        <w:tc>
          <w:tcPr>
            <w:tcW w:w="4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4"/>
        </w:trPr>
        <w:tc>
          <w:tcPr>
            <w:tcW w:w="700" w:type="dxa"/>
            <w:vAlign w:val="bottom"/>
          </w:tcPr>
          <w:p>
            <w:pPr>
              <w:ind w:left="40"/>
              <w:spacing w:after="0"/>
              <w:rPr>
                <w:sz w:val="20"/>
                <w:szCs w:val="20"/>
                <w:color w:val="auto"/>
              </w:rPr>
            </w:pPr>
            <w:r>
              <w:rPr>
                <w:rFonts w:ascii="Arial" w:cs="Arial" w:eastAsia="Arial" w:hAnsi="Arial"/>
                <w:sz w:val="19"/>
                <w:szCs w:val="19"/>
                <w:color w:val="auto"/>
              </w:rPr>
              <w:t>q.</w:t>
            </w:r>
          </w:p>
        </w:tc>
        <w:tc>
          <w:tcPr>
            <w:tcW w:w="4740" w:type="dxa"/>
            <w:vAlign w:val="bottom"/>
            <w:gridSpan w:val="5"/>
          </w:tcPr>
          <w:p>
            <w:pPr>
              <w:spacing w:after="0"/>
              <w:rPr>
                <w:rFonts w:ascii="Arial" w:cs="Arial" w:eastAsia="Arial" w:hAnsi="Arial"/>
                <w:sz w:val="19"/>
                <w:szCs w:val="19"/>
                <w:color w:val="0000FF"/>
              </w:rPr>
            </w:pPr>
            <w:hyperlink w:anchor="page88">
              <w:r>
                <w:rPr>
                  <w:rFonts w:ascii="Arial" w:cs="Arial" w:eastAsia="Arial" w:hAnsi="Arial"/>
                  <w:sz w:val="19"/>
                  <w:szCs w:val="19"/>
                  <w:color w:val="0000FF"/>
                </w:rPr>
                <w:t>Notes to Consolidated Financial Statements</w:t>
              </w:r>
            </w:hyperlink>
          </w:p>
        </w:tc>
        <w:tc>
          <w:tcPr>
            <w:tcW w:w="5120" w:type="dxa"/>
            <w:vAlign w:val="bottom"/>
            <w:gridSpan w:val="4"/>
          </w:tcPr>
          <w:p>
            <w:pPr>
              <w:jc w:val="center"/>
              <w:ind w:left="4766"/>
              <w:spacing w:after="0"/>
              <w:rPr>
                <w:rFonts w:ascii="Arial" w:cs="Arial" w:eastAsia="Arial" w:hAnsi="Arial"/>
                <w:sz w:val="19"/>
                <w:szCs w:val="19"/>
                <w:color w:val="0000FF"/>
                <w:w w:val="84"/>
              </w:rPr>
            </w:pPr>
            <w:hyperlink w:anchor="page88">
              <w:r>
                <w:rPr>
                  <w:rFonts w:ascii="Arial" w:cs="Arial" w:eastAsia="Arial" w:hAnsi="Arial"/>
                  <w:sz w:val="19"/>
                  <w:szCs w:val="19"/>
                  <w:color w:val="0000FF"/>
                  <w:w w:val="84"/>
                </w:rPr>
                <w:t>87</w:t>
              </w:r>
            </w:hyperlink>
          </w:p>
        </w:tc>
      </w:tr>
      <w:tr>
        <w:trPr>
          <w:trHeight w:val="20"/>
        </w:trPr>
        <w:tc>
          <w:tcPr>
            <w:tcW w:w="700" w:type="dxa"/>
            <w:vAlign w:val="bottom"/>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7"/>
        </w:trPr>
        <w:tc>
          <w:tcPr>
            <w:tcW w:w="700" w:type="dxa"/>
            <w:vAlign w:val="bottom"/>
          </w:tcPr>
          <w:p>
            <w:pPr>
              <w:ind w:left="40"/>
              <w:spacing w:after="0"/>
              <w:rPr>
                <w:sz w:val="20"/>
                <w:szCs w:val="20"/>
                <w:color w:val="auto"/>
              </w:rPr>
            </w:pPr>
            <w:r>
              <w:rPr>
                <w:rFonts w:ascii="Arial" w:cs="Arial" w:eastAsia="Arial" w:hAnsi="Arial"/>
                <w:sz w:val="19"/>
                <w:szCs w:val="19"/>
                <w:color w:val="auto"/>
              </w:rPr>
              <w:t>r.</w:t>
            </w:r>
          </w:p>
        </w:tc>
        <w:tc>
          <w:tcPr>
            <w:tcW w:w="4740" w:type="dxa"/>
            <w:vAlign w:val="bottom"/>
            <w:gridSpan w:val="5"/>
          </w:tcPr>
          <w:p>
            <w:pPr>
              <w:spacing w:after="0"/>
              <w:rPr>
                <w:rFonts w:ascii="Arial" w:cs="Arial" w:eastAsia="Arial" w:hAnsi="Arial"/>
                <w:sz w:val="19"/>
                <w:szCs w:val="19"/>
                <w:color w:val="0000FF"/>
                <w:w w:val="97"/>
              </w:rPr>
            </w:pPr>
            <w:hyperlink w:anchor="page70">
              <w:r>
                <w:rPr>
                  <w:rFonts w:ascii="Arial" w:cs="Arial" w:eastAsia="Arial" w:hAnsi="Arial"/>
                  <w:sz w:val="19"/>
                  <w:szCs w:val="19"/>
                  <w:color w:val="0000FF"/>
                  <w:w w:val="97"/>
                </w:rPr>
                <w:t>Report of Independent Registered Public Accounting Firm</w:t>
              </w:r>
            </w:hyperlink>
          </w:p>
        </w:tc>
        <w:tc>
          <w:tcPr>
            <w:tcW w:w="5120" w:type="dxa"/>
            <w:vAlign w:val="bottom"/>
            <w:gridSpan w:val="4"/>
          </w:tcPr>
          <w:p>
            <w:pPr>
              <w:jc w:val="center"/>
              <w:ind w:left="4766"/>
              <w:spacing w:after="0"/>
              <w:rPr>
                <w:rFonts w:ascii="Arial" w:cs="Arial" w:eastAsia="Arial" w:hAnsi="Arial"/>
                <w:sz w:val="19"/>
                <w:szCs w:val="19"/>
                <w:color w:val="0000FF"/>
                <w:w w:val="84"/>
              </w:rPr>
            </w:pPr>
            <w:hyperlink w:anchor="page70">
              <w:r>
                <w:rPr>
                  <w:rFonts w:ascii="Arial" w:cs="Arial" w:eastAsia="Arial" w:hAnsi="Arial"/>
                  <w:sz w:val="19"/>
                  <w:szCs w:val="19"/>
                  <w:color w:val="0000FF"/>
                  <w:w w:val="84"/>
                </w:rPr>
                <w:t>69</w:t>
              </w:r>
            </w:hyperlink>
          </w:p>
        </w:tc>
      </w:tr>
      <w:tr>
        <w:trPr>
          <w:trHeight w:val="20"/>
        </w:trPr>
        <w:tc>
          <w:tcPr>
            <w:tcW w:w="70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1"/>
        </w:trPr>
        <w:tc>
          <w:tcPr>
            <w:tcW w:w="5440" w:type="dxa"/>
            <w:vAlign w:val="bottom"/>
            <w:gridSpan w:val="6"/>
          </w:tcPr>
          <w:p>
            <w:pPr>
              <w:spacing w:after="0"/>
              <w:rPr>
                <w:sz w:val="20"/>
                <w:szCs w:val="20"/>
                <w:color w:val="auto"/>
              </w:rPr>
            </w:pPr>
            <w:r>
              <w:rPr>
                <w:rFonts w:ascii="Arial" w:cs="Arial" w:eastAsia="Arial" w:hAnsi="Arial"/>
                <w:sz w:val="19"/>
                <w:szCs w:val="19"/>
                <w:b w:val="1"/>
                <w:bCs w:val="1"/>
                <w:color w:val="auto"/>
              </w:rPr>
              <w:t>Financial Statement Schedules</w:t>
            </w: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1"/>
        </w:trPr>
        <w:tc>
          <w:tcPr>
            <w:tcW w:w="70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Arial" w:cs="Arial" w:eastAsia="Arial" w:hAnsi="Arial"/>
                <w:sz w:val="19"/>
                <w:szCs w:val="19"/>
                <w:b w:val="1"/>
                <w:bCs w:val="1"/>
                <w:color w:val="auto"/>
              </w:rPr>
              <w:t>Evergy, Inc.</w:t>
            </w: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700" w:type="dxa"/>
            <w:vAlign w:val="bottom"/>
          </w:tcPr>
          <w:p>
            <w:pPr>
              <w:ind w:left="40"/>
              <w:spacing w:after="0"/>
              <w:rPr>
                <w:sz w:val="20"/>
                <w:szCs w:val="20"/>
                <w:color w:val="auto"/>
              </w:rPr>
            </w:pPr>
            <w:r>
              <w:rPr>
                <w:rFonts w:ascii="Arial" w:cs="Arial" w:eastAsia="Arial" w:hAnsi="Arial"/>
                <w:sz w:val="19"/>
                <w:szCs w:val="19"/>
                <w:color w:val="auto"/>
              </w:rPr>
              <w:t>a.</w:t>
            </w:r>
          </w:p>
        </w:tc>
        <w:tc>
          <w:tcPr>
            <w:tcW w:w="4740" w:type="dxa"/>
            <w:vAlign w:val="bottom"/>
            <w:tcBorders>
              <w:bottom w:val="single" w:sz="8" w:color="0000FF"/>
            </w:tcBorders>
            <w:gridSpan w:val="5"/>
          </w:tcPr>
          <w:p>
            <w:pPr>
              <w:spacing w:after="0"/>
              <w:rPr>
                <w:rFonts w:ascii="Arial" w:cs="Arial" w:eastAsia="Arial" w:hAnsi="Arial"/>
                <w:sz w:val="19"/>
                <w:szCs w:val="19"/>
                <w:color w:val="0000FF"/>
              </w:rPr>
            </w:pPr>
            <w:hyperlink w:anchor="page179">
              <w:r>
                <w:rPr>
                  <w:rFonts w:ascii="Arial" w:cs="Arial" w:eastAsia="Arial" w:hAnsi="Arial"/>
                  <w:sz w:val="19"/>
                  <w:szCs w:val="19"/>
                  <w:color w:val="0000FF"/>
                </w:rPr>
                <w:t>Schedule I - Parent Company Financial Statements</w:t>
              </w:r>
            </w:hyperlink>
          </w:p>
        </w:tc>
        <w:tc>
          <w:tcPr>
            <w:tcW w:w="4840" w:type="dxa"/>
            <w:vAlign w:val="bottom"/>
          </w:tcPr>
          <w:p>
            <w:pPr>
              <w:spacing w:after="0"/>
              <w:rPr>
                <w:sz w:val="20"/>
                <w:szCs w:val="20"/>
                <w:color w:val="auto"/>
              </w:rPr>
            </w:pPr>
          </w:p>
        </w:tc>
        <w:tc>
          <w:tcPr>
            <w:tcW w:w="280" w:type="dxa"/>
            <w:vAlign w:val="bottom"/>
            <w:tcBorders>
              <w:bottom w:val="single" w:sz="8" w:color="0000FF"/>
            </w:tcBorders>
            <w:gridSpan w:val="3"/>
          </w:tcPr>
          <w:p>
            <w:pPr>
              <w:jc w:val="center"/>
              <w:spacing w:after="0"/>
              <w:rPr>
                <w:rFonts w:ascii="Arial" w:cs="Arial" w:eastAsia="Arial" w:hAnsi="Arial"/>
                <w:sz w:val="19"/>
                <w:szCs w:val="19"/>
                <w:color w:val="0000FF"/>
                <w:w w:val="88"/>
              </w:rPr>
            </w:pPr>
            <w:hyperlink w:anchor="page179">
              <w:r>
                <w:rPr>
                  <w:rFonts w:ascii="Arial" w:cs="Arial" w:eastAsia="Arial" w:hAnsi="Arial"/>
                  <w:sz w:val="19"/>
                  <w:szCs w:val="19"/>
                  <w:color w:val="0000FF"/>
                  <w:w w:val="88"/>
                </w:rPr>
                <w:t>178</w:t>
              </w:r>
            </w:hyperlink>
          </w:p>
        </w:tc>
      </w:tr>
      <w:tr>
        <w:trPr>
          <w:trHeight w:val="264"/>
        </w:trPr>
        <w:tc>
          <w:tcPr>
            <w:tcW w:w="700" w:type="dxa"/>
            <w:vAlign w:val="bottom"/>
          </w:tcPr>
          <w:p>
            <w:pPr>
              <w:ind w:left="40"/>
              <w:spacing w:after="0"/>
              <w:rPr>
                <w:sz w:val="20"/>
                <w:szCs w:val="20"/>
                <w:color w:val="auto"/>
              </w:rPr>
            </w:pPr>
            <w:r>
              <w:rPr>
                <w:rFonts w:ascii="Arial" w:cs="Arial" w:eastAsia="Arial" w:hAnsi="Arial"/>
                <w:sz w:val="19"/>
                <w:szCs w:val="19"/>
                <w:color w:val="auto"/>
              </w:rPr>
              <w:t>b.</w:t>
            </w:r>
          </w:p>
        </w:tc>
        <w:tc>
          <w:tcPr>
            <w:tcW w:w="4740" w:type="dxa"/>
            <w:vAlign w:val="bottom"/>
            <w:gridSpan w:val="5"/>
          </w:tcPr>
          <w:p>
            <w:pPr>
              <w:spacing w:after="0"/>
              <w:rPr>
                <w:rFonts w:ascii="Arial" w:cs="Arial" w:eastAsia="Arial" w:hAnsi="Arial"/>
                <w:sz w:val="19"/>
                <w:szCs w:val="19"/>
                <w:color w:val="0000FF"/>
                <w:w w:val="90"/>
              </w:rPr>
            </w:pPr>
            <w:hyperlink w:anchor="page184">
              <w:r>
                <w:rPr>
                  <w:rFonts w:ascii="Arial" w:cs="Arial" w:eastAsia="Arial" w:hAnsi="Arial"/>
                  <w:sz w:val="19"/>
                  <w:szCs w:val="19"/>
                  <w:color w:val="0000FF"/>
                  <w:w w:val="90"/>
                </w:rPr>
                <w:t>Schedule II - Valuation and Qualifying Accounts and Reserves</w:t>
              </w:r>
            </w:hyperlink>
          </w:p>
        </w:tc>
        <w:tc>
          <w:tcPr>
            <w:tcW w:w="5120" w:type="dxa"/>
            <w:vAlign w:val="bottom"/>
            <w:gridSpan w:val="4"/>
          </w:tcPr>
          <w:p>
            <w:pPr>
              <w:jc w:val="center"/>
              <w:ind w:left="4746"/>
              <w:spacing w:after="0"/>
              <w:rPr>
                <w:rFonts w:ascii="Arial" w:cs="Arial" w:eastAsia="Arial" w:hAnsi="Arial"/>
                <w:sz w:val="19"/>
                <w:szCs w:val="19"/>
                <w:color w:val="0000FF"/>
                <w:w w:val="88"/>
              </w:rPr>
            </w:pPr>
            <w:hyperlink w:anchor="page184">
              <w:r>
                <w:rPr>
                  <w:rFonts w:ascii="Arial" w:cs="Arial" w:eastAsia="Arial" w:hAnsi="Arial"/>
                  <w:sz w:val="19"/>
                  <w:szCs w:val="19"/>
                  <w:color w:val="0000FF"/>
                  <w:w w:val="88"/>
                </w:rPr>
                <w:t>182</w:t>
              </w:r>
            </w:hyperlink>
          </w:p>
        </w:tc>
      </w:tr>
      <w:tr>
        <w:trPr>
          <w:trHeight w:val="402"/>
        </w:trPr>
        <w:tc>
          <w:tcPr>
            <w:tcW w:w="700" w:type="dxa"/>
            <w:vAlign w:val="bottom"/>
          </w:tcPr>
          <w:p>
            <w:pPr>
              <w:spacing w:after="0"/>
              <w:rPr>
                <w:sz w:val="24"/>
                <w:szCs w:val="24"/>
                <w:color w:val="auto"/>
              </w:rPr>
            </w:pPr>
          </w:p>
        </w:tc>
        <w:tc>
          <w:tcPr>
            <w:tcW w:w="4740" w:type="dxa"/>
            <w:vAlign w:val="bottom"/>
            <w:tcBorders>
              <w:top w:val="single" w:sz="8" w:color="0000FF"/>
            </w:tcBorders>
            <w:gridSpan w:val="5"/>
          </w:tcPr>
          <w:p>
            <w:pPr>
              <w:spacing w:after="0"/>
              <w:rPr>
                <w:sz w:val="20"/>
                <w:szCs w:val="20"/>
                <w:color w:val="auto"/>
              </w:rPr>
            </w:pPr>
            <w:r>
              <w:rPr>
                <w:rFonts w:ascii="Arial" w:cs="Arial" w:eastAsia="Arial" w:hAnsi="Arial"/>
                <w:sz w:val="19"/>
                <w:szCs w:val="19"/>
                <w:b w:val="1"/>
                <w:bCs w:val="1"/>
                <w:color w:val="auto"/>
              </w:rPr>
              <w:t>Evergy Kansas Central, Inc.</w:t>
            </w:r>
          </w:p>
        </w:tc>
        <w:tc>
          <w:tcPr>
            <w:tcW w:w="48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197"/>
        </w:trPr>
        <w:tc>
          <w:tcPr>
            <w:tcW w:w="700" w:type="dxa"/>
            <w:vAlign w:val="bottom"/>
          </w:tcPr>
          <w:p>
            <w:pPr>
              <w:ind w:left="40"/>
              <w:spacing w:after="0" w:line="197" w:lineRule="exact"/>
              <w:rPr>
                <w:sz w:val="20"/>
                <w:szCs w:val="20"/>
                <w:color w:val="auto"/>
              </w:rPr>
            </w:pPr>
            <w:r>
              <w:rPr>
                <w:rFonts w:ascii="Arial" w:cs="Arial" w:eastAsia="Arial" w:hAnsi="Arial"/>
                <w:sz w:val="19"/>
                <w:szCs w:val="19"/>
                <w:color w:val="auto"/>
              </w:rPr>
              <w:t>c.</w:t>
            </w:r>
          </w:p>
        </w:tc>
        <w:tc>
          <w:tcPr>
            <w:tcW w:w="4740" w:type="dxa"/>
            <w:vAlign w:val="bottom"/>
            <w:gridSpan w:val="5"/>
          </w:tcPr>
          <w:p>
            <w:pPr>
              <w:spacing w:after="0" w:line="197" w:lineRule="exact"/>
              <w:rPr>
                <w:rFonts w:ascii="Arial" w:cs="Arial" w:eastAsia="Arial" w:hAnsi="Arial"/>
                <w:sz w:val="19"/>
                <w:szCs w:val="19"/>
                <w:color w:val="0000FF"/>
                <w:w w:val="90"/>
              </w:rPr>
            </w:pPr>
            <w:hyperlink w:anchor="page184">
              <w:r>
                <w:rPr>
                  <w:rFonts w:ascii="Arial" w:cs="Arial" w:eastAsia="Arial" w:hAnsi="Arial"/>
                  <w:sz w:val="19"/>
                  <w:szCs w:val="19"/>
                  <w:color w:val="0000FF"/>
                  <w:w w:val="90"/>
                </w:rPr>
                <w:t>Schedule II - Valuation and Qualifying Accounts and Reserves</w:t>
              </w:r>
            </w:hyperlink>
          </w:p>
        </w:tc>
        <w:tc>
          <w:tcPr>
            <w:tcW w:w="5120" w:type="dxa"/>
            <w:vAlign w:val="bottom"/>
            <w:gridSpan w:val="4"/>
          </w:tcPr>
          <w:p>
            <w:pPr>
              <w:jc w:val="center"/>
              <w:ind w:left="4746"/>
              <w:spacing w:after="0" w:line="197" w:lineRule="exact"/>
              <w:rPr>
                <w:rFonts w:ascii="Arial" w:cs="Arial" w:eastAsia="Arial" w:hAnsi="Arial"/>
                <w:sz w:val="19"/>
                <w:szCs w:val="19"/>
                <w:color w:val="0000FF"/>
                <w:w w:val="88"/>
              </w:rPr>
            </w:pPr>
            <w:hyperlink w:anchor="page184">
              <w:r>
                <w:rPr>
                  <w:rFonts w:ascii="Arial" w:cs="Arial" w:eastAsia="Arial" w:hAnsi="Arial"/>
                  <w:sz w:val="19"/>
                  <w:szCs w:val="19"/>
                  <w:color w:val="0000FF"/>
                  <w:w w:val="88"/>
                </w:rPr>
                <w:t>182</w:t>
              </w:r>
            </w:hyperlink>
          </w:p>
        </w:tc>
      </w:tr>
      <w:tr>
        <w:trPr>
          <w:trHeight w:val="410"/>
        </w:trPr>
        <w:tc>
          <w:tcPr>
            <w:tcW w:w="700" w:type="dxa"/>
            <w:vAlign w:val="bottom"/>
          </w:tcPr>
          <w:p>
            <w:pPr>
              <w:spacing w:after="0"/>
              <w:rPr>
                <w:sz w:val="24"/>
                <w:szCs w:val="24"/>
                <w:color w:val="auto"/>
              </w:rPr>
            </w:pPr>
          </w:p>
        </w:tc>
        <w:tc>
          <w:tcPr>
            <w:tcW w:w="4740" w:type="dxa"/>
            <w:vAlign w:val="bottom"/>
            <w:tcBorders>
              <w:top w:val="single" w:sz="8" w:color="0000FF"/>
            </w:tcBorders>
            <w:gridSpan w:val="5"/>
          </w:tcPr>
          <w:p>
            <w:pPr>
              <w:spacing w:after="0"/>
              <w:rPr>
                <w:sz w:val="20"/>
                <w:szCs w:val="20"/>
                <w:color w:val="auto"/>
              </w:rPr>
            </w:pPr>
            <w:r>
              <w:rPr>
                <w:rFonts w:ascii="Arial" w:cs="Arial" w:eastAsia="Arial" w:hAnsi="Arial"/>
                <w:sz w:val="19"/>
                <w:szCs w:val="19"/>
                <w:b w:val="1"/>
                <w:bCs w:val="1"/>
                <w:color w:val="auto"/>
              </w:rPr>
              <w:t>Evergy Metro, Inc.</w:t>
            </w:r>
          </w:p>
        </w:tc>
        <w:tc>
          <w:tcPr>
            <w:tcW w:w="48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241"/>
        </w:trPr>
        <w:tc>
          <w:tcPr>
            <w:tcW w:w="700" w:type="dxa"/>
            <w:vAlign w:val="bottom"/>
          </w:tcPr>
          <w:p>
            <w:pPr>
              <w:ind w:left="40"/>
              <w:spacing w:after="0"/>
              <w:rPr>
                <w:sz w:val="20"/>
                <w:szCs w:val="20"/>
                <w:color w:val="auto"/>
              </w:rPr>
            </w:pPr>
            <w:r>
              <w:rPr>
                <w:rFonts w:ascii="Arial" w:cs="Arial" w:eastAsia="Arial" w:hAnsi="Arial"/>
                <w:sz w:val="19"/>
                <w:szCs w:val="19"/>
                <w:color w:val="auto"/>
              </w:rPr>
              <w:t>d.</w:t>
            </w:r>
          </w:p>
        </w:tc>
        <w:tc>
          <w:tcPr>
            <w:tcW w:w="4740" w:type="dxa"/>
            <w:vAlign w:val="bottom"/>
            <w:tcBorders>
              <w:bottom w:val="single" w:sz="8" w:color="0000FF"/>
            </w:tcBorders>
            <w:gridSpan w:val="5"/>
          </w:tcPr>
          <w:p>
            <w:pPr>
              <w:spacing w:after="0"/>
              <w:rPr>
                <w:rFonts w:ascii="Arial" w:cs="Arial" w:eastAsia="Arial" w:hAnsi="Arial"/>
                <w:sz w:val="19"/>
                <w:szCs w:val="19"/>
                <w:color w:val="0000FF"/>
                <w:w w:val="90"/>
              </w:rPr>
            </w:pPr>
            <w:hyperlink w:anchor="page184">
              <w:r>
                <w:rPr>
                  <w:rFonts w:ascii="Arial" w:cs="Arial" w:eastAsia="Arial" w:hAnsi="Arial"/>
                  <w:sz w:val="19"/>
                  <w:szCs w:val="19"/>
                  <w:color w:val="0000FF"/>
                  <w:w w:val="90"/>
                </w:rPr>
                <w:t>Schedule II - Valuation and Qualifying Accounts and Reserves</w:t>
              </w:r>
            </w:hyperlink>
          </w:p>
        </w:tc>
        <w:tc>
          <w:tcPr>
            <w:tcW w:w="4840" w:type="dxa"/>
            <w:vAlign w:val="bottom"/>
          </w:tcPr>
          <w:p>
            <w:pPr>
              <w:spacing w:after="0"/>
              <w:rPr>
                <w:sz w:val="20"/>
                <w:szCs w:val="20"/>
                <w:color w:val="auto"/>
              </w:rPr>
            </w:pPr>
          </w:p>
        </w:tc>
        <w:tc>
          <w:tcPr>
            <w:tcW w:w="280" w:type="dxa"/>
            <w:vAlign w:val="bottom"/>
            <w:tcBorders>
              <w:bottom w:val="single" w:sz="8" w:color="0000FF"/>
            </w:tcBorders>
            <w:gridSpan w:val="3"/>
          </w:tcPr>
          <w:p>
            <w:pPr>
              <w:jc w:val="center"/>
              <w:spacing w:after="0"/>
              <w:rPr>
                <w:rFonts w:ascii="Arial" w:cs="Arial" w:eastAsia="Arial" w:hAnsi="Arial"/>
                <w:sz w:val="19"/>
                <w:szCs w:val="19"/>
                <w:color w:val="0000FF"/>
                <w:w w:val="88"/>
              </w:rPr>
            </w:pPr>
            <w:hyperlink w:anchor="page184">
              <w:r>
                <w:rPr>
                  <w:rFonts w:ascii="Arial" w:cs="Arial" w:eastAsia="Arial" w:hAnsi="Arial"/>
                  <w:sz w:val="19"/>
                  <w:szCs w:val="19"/>
                  <w:color w:val="0000FF"/>
                  <w:w w:val="88"/>
                </w:rPr>
                <w:t>183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60"/>
          </w:cols>
          <w:pgMar w:left="320" w:top="102" w:right="101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18"/>
        </w:trPr>
        <w:tc>
          <w:tcPr>
            <w:tcW w:w="1400" w:type="dxa"/>
            <w:vAlign w:val="bottom"/>
            <w:gridSpan w:val="4"/>
          </w:tcPr>
          <w:p>
            <w:pPr>
              <w:spacing w:after="0"/>
              <w:rPr>
                <w:rFonts w:ascii="Arial" w:cs="Arial" w:eastAsia="Arial" w:hAnsi="Arial"/>
                <w:sz w:val="19"/>
                <w:szCs w:val="19"/>
                <w:color w:val="0000FF"/>
                <w:w w:val="91"/>
              </w:rPr>
            </w:pPr>
            <w:hyperlink w:anchor="page3">
              <w:r>
                <w:rPr>
                  <w:rFonts w:ascii="Arial" w:cs="Arial" w:eastAsia="Arial" w:hAnsi="Arial"/>
                  <w:sz w:val="19"/>
                  <w:szCs w:val="19"/>
                  <w:color w:val="0000FF"/>
                  <w:w w:val="91"/>
                </w:rPr>
                <w:t>Table of Contents</w:t>
              </w:r>
            </w:hyperlink>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8"/>
        </w:trPr>
        <w:tc>
          <w:tcPr>
            <w:tcW w:w="1340" w:type="dxa"/>
            <w:vAlign w:val="bottom"/>
            <w:tcBorders>
              <w:top w:val="single" w:sz="8" w:color="0000FF"/>
            </w:tcBorders>
            <w:gridSpan w:val="3"/>
          </w:tcPr>
          <w:p>
            <w:pPr>
              <w:spacing w:after="0"/>
              <w:rPr>
                <w:sz w:val="20"/>
                <w:szCs w:val="20"/>
                <w:color w:val="auto"/>
              </w:rPr>
            </w:pPr>
            <w:r>
              <w:rPr>
                <w:rFonts w:ascii="Arial" w:cs="Arial" w:eastAsia="Arial" w:hAnsi="Arial"/>
                <w:sz w:val="19"/>
                <w:szCs w:val="19"/>
                <w:b w:val="1"/>
                <w:bCs w:val="1"/>
                <w:color w:val="auto"/>
              </w:rPr>
              <w:t>Exhibits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spacing w:after="0"/>
              <w:rPr>
                <w:sz w:val="24"/>
                <w:szCs w:val="2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9"/>
                <w:szCs w:val="19"/>
                <w:color w:val="auto"/>
                <w:w w:val="98"/>
              </w:rPr>
              <w:t>Exhibit</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31"/>
            <w:vMerge w:val="restart"/>
          </w:tcPr>
          <w:p>
            <w:pPr>
              <w:spacing w:after="0"/>
              <w:rPr>
                <w:sz w:val="20"/>
                <w:szCs w:val="20"/>
                <w:color w:val="auto"/>
              </w:rPr>
            </w:pPr>
            <w:r>
              <w:rPr>
                <w:rFonts w:ascii="Arial" w:cs="Arial" w:eastAsia="Arial" w:hAnsi="Arial"/>
                <w:sz w:val="19"/>
                <w:szCs w:val="19"/>
                <w:color w:val="auto"/>
              </w:rPr>
              <w:t>Description of Document</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1140" w:type="dxa"/>
            <w:vAlign w:val="bottom"/>
            <w:gridSpan w:val="3"/>
          </w:tcPr>
          <w:p>
            <w:pPr>
              <w:jc w:val="center"/>
              <w:ind w:right="520"/>
              <w:spacing w:after="0" w:line="193" w:lineRule="exact"/>
              <w:rPr>
                <w:sz w:val="20"/>
                <w:szCs w:val="20"/>
                <w:color w:val="auto"/>
              </w:rPr>
            </w:pPr>
            <w:r>
              <w:rPr>
                <w:rFonts w:ascii="Arial" w:cs="Arial" w:eastAsia="Arial" w:hAnsi="Arial"/>
                <w:sz w:val="19"/>
                <w:szCs w:val="19"/>
                <w:color w:val="auto"/>
                <w:w w:val="91"/>
              </w:rPr>
              <w:t>Number</w:t>
            </w:r>
          </w:p>
        </w:tc>
        <w:tc>
          <w:tcPr>
            <w:tcW w:w="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4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60" w:type="dxa"/>
            <w:vAlign w:val="bottom"/>
          </w:tcPr>
          <w:p>
            <w:pPr>
              <w:ind w:left="20"/>
              <w:spacing w:after="0"/>
              <w:rPr>
                <w:sz w:val="20"/>
                <w:szCs w:val="20"/>
                <w:color w:val="auto"/>
              </w:rPr>
            </w:pPr>
            <w:r>
              <w:rPr>
                <w:rFonts w:ascii="Arial" w:cs="Arial" w:eastAsia="Arial" w:hAnsi="Arial"/>
                <w:sz w:val="19"/>
                <w:szCs w:val="19"/>
                <w:color w:val="auto"/>
                <w:w w:val="83"/>
              </w:rPr>
              <w:t>2.1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195">
              <w:r>
                <w:rPr>
                  <w:rFonts w:ascii="Arial" w:cs="Arial" w:eastAsia="Arial" w:hAnsi="Arial"/>
                  <w:sz w:val="19"/>
                  <w:szCs w:val="19"/>
                  <w:color w:val="0000FF"/>
                  <w:w w:val="95"/>
                </w:rPr>
                <w:t>Agreement and Plan of Merger, dated May 29, 2016, by and among Evergy Kansas</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23"/>
          </w:tcPr>
          <w:p>
            <w:pPr>
              <w:spacing w:after="0" w:line="161" w:lineRule="exact"/>
              <w:rPr>
                <w:rFonts w:ascii="Arial" w:cs="Arial" w:eastAsia="Arial" w:hAnsi="Arial"/>
                <w:sz w:val="18"/>
                <w:szCs w:val="18"/>
                <w:color w:val="0000FF"/>
                <w:w w:val="95"/>
              </w:rPr>
            </w:pPr>
            <w:hyperlink r:id="rId195">
              <w:r>
                <w:rPr>
                  <w:rFonts w:ascii="Arial" w:cs="Arial" w:eastAsia="Arial" w:hAnsi="Arial"/>
                  <w:sz w:val="18"/>
                  <w:szCs w:val="18"/>
                  <w:color w:val="0000FF"/>
                  <w:w w:val="95"/>
                </w:rPr>
                <w:t>Central, Inc. (formerly Westar Energy Inc.), Great Plains Energy Incorporated and,</w:t>
              </w:r>
            </w:hyperlink>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35"/>
          </w:tcPr>
          <w:p>
            <w:pPr>
              <w:spacing w:after="0" w:line="161" w:lineRule="exact"/>
              <w:rPr>
                <w:rFonts w:ascii="Arial" w:cs="Arial" w:eastAsia="Arial" w:hAnsi="Arial"/>
                <w:sz w:val="18"/>
                <w:szCs w:val="18"/>
                <w:color w:val="0000FF"/>
                <w:w w:val="99"/>
              </w:rPr>
            </w:pPr>
            <w:hyperlink r:id="rId195">
              <w:r>
                <w:rPr>
                  <w:rFonts w:ascii="Arial" w:cs="Arial" w:eastAsia="Arial" w:hAnsi="Arial"/>
                  <w:sz w:val="18"/>
                  <w:szCs w:val="18"/>
                  <w:color w:val="0000FF"/>
                  <w:w w:val="99"/>
                </w:rPr>
                <w:t>from and after its accession thereto, Merger Sub (as defined therein) (Exhibit 2.1 to</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0"/>
          </w:tcPr>
          <w:p>
            <w:pPr>
              <w:spacing w:after="0" w:line="161" w:lineRule="exact"/>
              <w:rPr>
                <w:rFonts w:ascii="Arial" w:cs="Arial" w:eastAsia="Arial" w:hAnsi="Arial"/>
                <w:sz w:val="18"/>
                <w:szCs w:val="18"/>
                <w:color w:val="0000FF"/>
                <w:w w:val="96"/>
              </w:rPr>
            </w:pPr>
            <w:hyperlink r:id="rId195">
              <w:r>
                <w:rPr>
                  <w:rFonts w:ascii="Arial" w:cs="Arial" w:eastAsia="Arial" w:hAnsi="Arial"/>
                  <w:sz w:val="18"/>
                  <w:szCs w:val="18"/>
                  <w:color w:val="0000FF"/>
                  <w:w w:val="96"/>
                </w:rPr>
                <w:t>Great Plains Energy's Form 8-K filed on May 31, 2016).</w:t>
              </w:r>
            </w:hyperlink>
          </w:p>
        </w:tc>
        <w:tc>
          <w:tcPr>
            <w:tcW w:w="20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260" w:type="dxa"/>
            <w:vAlign w:val="bottom"/>
          </w:tcPr>
          <w:p>
            <w:pPr>
              <w:ind w:left="20"/>
              <w:spacing w:after="0"/>
              <w:rPr>
                <w:sz w:val="20"/>
                <w:szCs w:val="20"/>
                <w:color w:val="auto"/>
              </w:rPr>
            </w:pPr>
            <w:r>
              <w:rPr>
                <w:rFonts w:ascii="Arial" w:cs="Arial" w:eastAsia="Arial" w:hAnsi="Arial"/>
                <w:sz w:val="19"/>
                <w:szCs w:val="19"/>
                <w:color w:val="auto"/>
                <w:w w:val="83"/>
              </w:rPr>
              <w:t>2.2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2"/>
              </w:rPr>
            </w:pPr>
            <w:r>
              <w:rPr>
                <w:rFonts w:ascii="Arial" w:cs="Arial" w:eastAsia="Arial" w:hAnsi="Arial"/>
                <w:sz w:val="19"/>
                <w:szCs w:val="19"/>
                <w:color w:val="auto"/>
                <w:w w:val="92"/>
              </w:rPr>
              <w:t xml:space="preserve">*   </w:t>
            </w:r>
            <w:hyperlink r:id="rId196">
              <w:r>
                <w:rPr>
                  <w:rFonts w:ascii="Arial" w:cs="Arial" w:eastAsia="Arial" w:hAnsi="Arial"/>
                  <w:sz w:val="19"/>
                  <w:szCs w:val="19"/>
                  <w:color w:val="0000FF"/>
                  <w:w w:val="92"/>
                </w:rPr>
                <w:t>Amended and Restated Merger Agreement, dated July 9, 2017, by and among Evergy</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13"/>
          </w:tcPr>
          <w:p>
            <w:pPr>
              <w:spacing w:after="0" w:line="161" w:lineRule="exact"/>
              <w:rPr>
                <w:rFonts w:ascii="Arial" w:cs="Arial" w:eastAsia="Arial" w:hAnsi="Arial"/>
                <w:sz w:val="18"/>
                <w:szCs w:val="18"/>
                <w:color w:val="0000FF"/>
                <w:w w:val="95"/>
              </w:rPr>
            </w:pPr>
            <w:hyperlink r:id="rId196">
              <w:r>
                <w:rPr>
                  <w:rFonts w:ascii="Arial" w:cs="Arial" w:eastAsia="Arial" w:hAnsi="Arial"/>
                  <w:sz w:val="18"/>
                  <w:szCs w:val="18"/>
                  <w:color w:val="0000FF"/>
                  <w:w w:val="95"/>
                </w:rPr>
                <w:t>Kansas Central, Inc. (formerly Westar Energy, Inc.), Great Plains Energy</w:t>
              </w:r>
            </w:hyperlink>
          </w:p>
        </w:tc>
        <w:tc>
          <w:tcPr>
            <w:tcW w:w="96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35"/>
          </w:tcPr>
          <w:p>
            <w:pPr>
              <w:spacing w:after="0" w:line="148" w:lineRule="exact"/>
              <w:rPr>
                <w:rFonts w:ascii="Arial" w:cs="Arial" w:eastAsia="Arial" w:hAnsi="Arial"/>
                <w:sz w:val="17"/>
                <w:szCs w:val="17"/>
                <w:color w:val="0000FF"/>
              </w:rPr>
            </w:pPr>
            <w:hyperlink r:id="rId196">
              <w:r>
                <w:rPr>
                  <w:rFonts w:ascii="Arial" w:cs="Arial" w:eastAsia="Arial" w:hAnsi="Arial"/>
                  <w:sz w:val="17"/>
                  <w:szCs w:val="17"/>
                  <w:color w:val="0000FF"/>
                </w:rPr>
                <w:t>Incorporated, Monarch Energy Holding, Inc., King Energy, Inc. and, solely for the</w:t>
              </w:r>
            </w:hyperlink>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60" w:type="dxa"/>
            <w:vAlign w:val="bottom"/>
            <w:tcBorders>
              <w:top w:val="single" w:sz="8" w:color="0000FF"/>
            </w:tcBorders>
            <w:gridSpan w:val="21"/>
          </w:tcPr>
          <w:p>
            <w:pPr>
              <w:spacing w:after="0" w:line="168" w:lineRule="exact"/>
              <w:rPr>
                <w:rFonts w:ascii="Arial" w:cs="Arial" w:eastAsia="Arial" w:hAnsi="Arial"/>
                <w:sz w:val="19"/>
                <w:szCs w:val="19"/>
                <w:color w:val="0000FF"/>
                <w:w w:val="89"/>
              </w:rPr>
            </w:pPr>
            <w:hyperlink r:id="rId196">
              <w:r>
                <w:rPr>
                  <w:rFonts w:ascii="Arial" w:cs="Arial" w:eastAsia="Arial" w:hAnsi="Arial"/>
                  <w:sz w:val="19"/>
                  <w:szCs w:val="19"/>
                  <w:color w:val="0000FF"/>
                  <w:w w:val="89"/>
                </w:rPr>
                <w:t>purposes set forth therein, GP Star, Inc. (Exhibit 2.1 to Great Plains Energy's Form</w:t>
              </w:r>
            </w:hyperlink>
          </w:p>
        </w:tc>
        <w:tc>
          <w:tcPr>
            <w:tcW w:w="260" w:type="dxa"/>
            <w:vAlign w:val="bottom"/>
            <w:gridSpan w:val="12"/>
          </w:tcPr>
          <w:p>
            <w:pPr>
              <w:jc w:val="center"/>
              <w:ind w:right="40"/>
              <w:spacing w:after="0" w:line="168" w:lineRule="exact"/>
              <w:rPr>
                <w:rFonts w:ascii="Arial" w:cs="Arial" w:eastAsia="Arial" w:hAnsi="Arial"/>
                <w:sz w:val="19"/>
                <w:szCs w:val="19"/>
                <w:color w:val="0000FF"/>
              </w:rPr>
            </w:pPr>
            <w:hyperlink r:id="rId196">
              <w:r>
                <w:rPr>
                  <w:rFonts w:ascii="Arial" w:cs="Arial" w:eastAsia="Arial" w:hAnsi="Arial"/>
                  <w:sz w:val="19"/>
                  <w:szCs w:val="19"/>
                  <w:color w:val="0000FF"/>
                </w:rPr>
                <w:t>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61" w:lineRule="exact"/>
              <w:rPr>
                <w:rFonts w:ascii="Arial" w:cs="Arial" w:eastAsia="Arial" w:hAnsi="Arial"/>
                <w:sz w:val="18"/>
                <w:szCs w:val="18"/>
                <w:color w:val="0000FF"/>
                <w:w w:val="97"/>
              </w:rPr>
            </w:pPr>
            <w:hyperlink r:id="rId196">
              <w:r>
                <w:rPr>
                  <w:rFonts w:ascii="Arial" w:cs="Arial" w:eastAsia="Arial" w:hAnsi="Arial"/>
                  <w:sz w:val="18"/>
                  <w:szCs w:val="18"/>
                  <w:color w:val="0000FF"/>
                  <w:w w:val="97"/>
                </w:rPr>
                <w:t>K filed on July 10, 2017).</w:t>
              </w:r>
            </w:hyperlink>
          </w:p>
        </w:tc>
        <w:tc>
          <w:tcPr>
            <w:tcW w:w="4500" w:type="dxa"/>
            <w:vAlign w:val="bottom"/>
            <w:tcBorders>
              <w:top w:val="single" w:sz="8" w:color="0000FF"/>
            </w:tcBorders>
            <w:gridSpan w:val="28"/>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260" w:type="dxa"/>
            <w:vAlign w:val="bottom"/>
          </w:tcPr>
          <w:p>
            <w:pPr>
              <w:ind w:left="20"/>
              <w:spacing w:after="0"/>
              <w:rPr>
                <w:sz w:val="20"/>
                <w:szCs w:val="20"/>
                <w:color w:val="auto"/>
              </w:rPr>
            </w:pPr>
            <w:r>
              <w:rPr>
                <w:rFonts w:ascii="Arial" w:cs="Arial" w:eastAsia="Arial" w:hAnsi="Arial"/>
                <w:sz w:val="19"/>
                <w:szCs w:val="19"/>
                <w:color w:val="auto"/>
                <w:w w:val="83"/>
              </w:rPr>
              <w:t>3.1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8"/>
              </w:rPr>
            </w:pPr>
            <w:r>
              <w:rPr>
                <w:rFonts w:ascii="Arial" w:cs="Arial" w:eastAsia="Arial" w:hAnsi="Arial"/>
                <w:sz w:val="19"/>
                <w:szCs w:val="19"/>
                <w:color w:val="auto"/>
                <w:w w:val="98"/>
              </w:rPr>
              <w:t xml:space="preserve">*   </w:t>
            </w:r>
            <w:hyperlink r:id="rId197">
              <w:r>
                <w:rPr>
                  <w:rFonts w:ascii="Arial" w:cs="Arial" w:eastAsia="Arial" w:hAnsi="Arial"/>
                  <w:sz w:val="19"/>
                  <w:szCs w:val="19"/>
                  <w:color w:val="0000FF"/>
                  <w:w w:val="98"/>
                </w:rPr>
                <w:t>Amended and Restated Articles of Incorporation of Evergy, Inc., effective June 4,</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7"/>
          </w:tcPr>
          <w:p>
            <w:pPr>
              <w:spacing w:after="0" w:line="161" w:lineRule="exact"/>
              <w:rPr>
                <w:rFonts w:ascii="Arial" w:cs="Arial" w:eastAsia="Arial" w:hAnsi="Arial"/>
                <w:sz w:val="18"/>
                <w:szCs w:val="18"/>
                <w:color w:val="0000FF"/>
                <w:w w:val="97"/>
              </w:rPr>
            </w:pPr>
            <w:hyperlink r:id="rId197">
              <w:r>
                <w:rPr>
                  <w:rFonts w:ascii="Arial" w:cs="Arial" w:eastAsia="Arial" w:hAnsi="Arial"/>
                  <w:sz w:val="18"/>
                  <w:szCs w:val="18"/>
                  <w:color w:val="0000FF"/>
                  <w:w w:val="97"/>
                </w:rPr>
                <w:t>2018 (Exhibit 3.1 to Form 8-K filed on June 4, 2018).</w:t>
              </w:r>
            </w:hyperlink>
          </w:p>
        </w:tc>
        <w:tc>
          <w:tcPr>
            <w:tcW w:w="21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260" w:type="dxa"/>
            <w:vAlign w:val="bottom"/>
          </w:tcPr>
          <w:p>
            <w:pPr>
              <w:ind w:left="20"/>
              <w:spacing w:after="0"/>
              <w:rPr>
                <w:sz w:val="20"/>
                <w:szCs w:val="20"/>
                <w:color w:val="auto"/>
              </w:rPr>
            </w:pPr>
            <w:r>
              <w:rPr>
                <w:rFonts w:ascii="Arial" w:cs="Arial" w:eastAsia="Arial" w:hAnsi="Arial"/>
                <w:sz w:val="19"/>
                <w:szCs w:val="19"/>
                <w:color w:val="auto"/>
                <w:w w:val="83"/>
              </w:rPr>
              <w:t>3.2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7"/>
              </w:rPr>
            </w:pPr>
            <w:r>
              <w:rPr>
                <w:rFonts w:ascii="Arial" w:cs="Arial" w:eastAsia="Arial" w:hAnsi="Arial"/>
                <w:sz w:val="19"/>
                <w:szCs w:val="19"/>
                <w:color w:val="auto"/>
                <w:w w:val="97"/>
              </w:rPr>
              <w:t xml:space="preserve">*   </w:t>
            </w:r>
            <w:hyperlink r:id="rId198">
              <w:r>
                <w:rPr>
                  <w:rFonts w:ascii="Arial" w:cs="Arial" w:eastAsia="Arial" w:hAnsi="Arial"/>
                  <w:sz w:val="19"/>
                  <w:szCs w:val="19"/>
                  <w:color w:val="0000FF"/>
                  <w:w w:val="97"/>
                </w:rPr>
                <w:t xml:space="preserve">Amended and Restated By-laws of Evergy, Inc., effective as of February </w:t>
              </w:r>
            </w:hyperlink>
            <w:r>
              <w:rPr>
                <w:rFonts w:ascii="Arial" w:cs="Arial" w:eastAsia="Arial" w:hAnsi="Arial"/>
                <w:sz w:val="19"/>
                <w:szCs w:val="19"/>
                <w:color w:val="auto"/>
                <w:w w:val="97"/>
              </w:rPr>
              <w:t xml:space="preserve">15, </w:t>
            </w:r>
            <w:r>
              <w:rPr>
                <w:rFonts w:ascii="Arial" w:cs="Arial" w:eastAsia="Arial" w:hAnsi="Arial"/>
                <w:sz w:val="19"/>
                <w:szCs w:val="19"/>
                <w:color w:val="0000FF"/>
                <w:w w:val="97"/>
              </w:rPr>
              <w:t>2022</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11"/>
          </w:tcPr>
          <w:p>
            <w:pPr>
              <w:spacing w:after="0" w:line="161" w:lineRule="exact"/>
              <w:rPr>
                <w:rFonts w:ascii="Arial" w:cs="Arial" w:eastAsia="Arial" w:hAnsi="Arial"/>
                <w:sz w:val="18"/>
                <w:szCs w:val="18"/>
                <w:color w:val="0000FF"/>
                <w:w w:val="97"/>
              </w:rPr>
            </w:pPr>
            <w:hyperlink r:id="rId198">
              <w:r>
                <w:rPr>
                  <w:rFonts w:ascii="Arial" w:cs="Arial" w:eastAsia="Arial" w:hAnsi="Arial"/>
                  <w:sz w:val="18"/>
                  <w:szCs w:val="18"/>
                  <w:color w:val="0000FF"/>
                  <w:w w:val="97"/>
                </w:rPr>
                <w:t xml:space="preserve">(Exhibit 3.1 to Evergy's Form 8-K filed on February </w:t>
              </w:r>
            </w:hyperlink>
            <w:r>
              <w:rPr>
                <w:rFonts w:ascii="Arial" w:cs="Arial" w:eastAsia="Arial" w:hAnsi="Arial"/>
                <w:sz w:val="18"/>
                <w:szCs w:val="18"/>
                <w:color w:val="0000FF"/>
                <w:w w:val="97"/>
              </w:rPr>
              <w:t xml:space="preserve">22, </w:t>
            </w:r>
            <w:hyperlink r:id="rId198">
              <w:r>
                <w:rPr>
                  <w:rFonts w:ascii="Arial" w:cs="Arial" w:eastAsia="Arial" w:hAnsi="Arial"/>
                  <w:sz w:val="18"/>
                  <w:szCs w:val="18"/>
                  <w:color w:val="0000FF"/>
                  <w:w w:val="97"/>
                </w:rPr>
                <w:t>2022).</w:t>
              </w:r>
            </w:hyperlink>
          </w:p>
        </w:tc>
        <w:tc>
          <w:tcPr>
            <w:tcW w:w="14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260" w:type="dxa"/>
            <w:vAlign w:val="bottom"/>
          </w:tcPr>
          <w:p>
            <w:pPr>
              <w:ind w:left="20"/>
              <w:spacing w:after="0"/>
              <w:rPr>
                <w:sz w:val="20"/>
                <w:szCs w:val="20"/>
                <w:color w:val="auto"/>
              </w:rPr>
            </w:pPr>
            <w:r>
              <w:rPr>
                <w:rFonts w:ascii="Arial" w:cs="Arial" w:eastAsia="Arial" w:hAnsi="Arial"/>
                <w:sz w:val="19"/>
                <w:szCs w:val="19"/>
                <w:color w:val="auto"/>
                <w:w w:val="83"/>
              </w:rPr>
              <w:t>3.3</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199">
              <w:r>
                <w:rPr>
                  <w:rFonts w:ascii="Arial" w:cs="Arial" w:eastAsia="Arial" w:hAnsi="Arial"/>
                  <w:sz w:val="19"/>
                  <w:szCs w:val="19"/>
                  <w:color w:val="0000FF"/>
                  <w:w w:val="94"/>
                </w:rPr>
                <w:t>Amended and Restated Articles of Consolidation of Evergy Metro, Inc., as amended</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27"/>
          </w:tcPr>
          <w:p>
            <w:pPr>
              <w:spacing w:after="0" w:line="161" w:lineRule="exact"/>
              <w:rPr>
                <w:rFonts w:ascii="Arial" w:cs="Arial" w:eastAsia="Arial" w:hAnsi="Arial"/>
                <w:sz w:val="18"/>
                <w:szCs w:val="18"/>
                <w:color w:val="0000FF"/>
                <w:w w:val="95"/>
              </w:rPr>
            </w:pPr>
            <w:hyperlink r:id="rId199">
              <w:r>
                <w:rPr>
                  <w:rFonts w:ascii="Arial" w:cs="Arial" w:eastAsia="Arial" w:hAnsi="Arial"/>
                  <w:sz w:val="18"/>
                  <w:szCs w:val="18"/>
                  <w:color w:val="0000FF"/>
                  <w:w w:val="95"/>
                </w:rPr>
                <w:t>September 16, 2019 (Exhibit 3.1 to Evergy Metro's Form 10-Q for the quarter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tcBorders>
              <w:bottom w:val="single" w:sz="8" w:color="0000FF"/>
            </w:tcBorders>
            <w:gridSpan w:val="2"/>
          </w:tcPr>
          <w:p>
            <w:pPr>
              <w:spacing w:after="0" w:line="161" w:lineRule="exact"/>
              <w:rPr>
                <w:rFonts w:ascii="Arial" w:cs="Arial" w:eastAsia="Arial" w:hAnsi="Arial"/>
                <w:sz w:val="18"/>
                <w:szCs w:val="18"/>
                <w:color w:val="0000FF"/>
                <w:w w:val="94"/>
              </w:rPr>
            </w:pPr>
            <w:hyperlink r:id="rId199">
              <w:r>
                <w:rPr>
                  <w:rFonts w:ascii="Arial" w:cs="Arial" w:eastAsia="Arial" w:hAnsi="Arial"/>
                  <w:sz w:val="18"/>
                  <w:szCs w:val="18"/>
                  <w:color w:val="0000FF"/>
                  <w:w w:val="94"/>
                </w:rPr>
                <w:t>September 30, 2019).</w:t>
              </w:r>
            </w:hyperlink>
          </w:p>
        </w:tc>
        <w:tc>
          <w:tcPr>
            <w:tcW w:w="4740" w:type="dxa"/>
            <w:vAlign w:val="bottom"/>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0"/>
        </w:trPr>
        <w:tc>
          <w:tcPr>
            <w:tcW w:w="260" w:type="dxa"/>
            <w:vAlign w:val="bottom"/>
          </w:tcPr>
          <w:p>
            <w:pPr>
              <w:ind w:left="20"/>
              <w:spacing w:after="0"/>
              <w:rPr>
                <w:sz w:val="20"/>
                <w:szCs w:val="20"/>
                <w:color w:val="auto"/>
              </w:rPr>
            </w:pPr>
            <w:r>
              <w:rPr>
                <w:rFonts w:ascii="Arial" w:cs="Arial" w:eastAsia="Arial" w:hAnsi="Arial"/>
                <w:sz w:val="19"/>
                <w:szCs w:val="19"/>
                <w:color w:val="auto"/>
                <w:w w:val="83"/>
              </w:rPr>
              <w:t>3.4</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6"/>
              </w:rPr>
            </w:pPr>
            <w:r>
              <w:rPr>
                <w:rFonts w:ascii="Arial" w:cs="Arial" w:eastAsia="Arial" w:hAnsi="Arial"/>
                <w:sz w:val="19"/>
                <w:szCs w:val="19"/>
                <w:color w:val="auto"/>
                <w:w w:val="96"/>
              </w:rPr>
              <w:t xml:space="preserve">*   </w:t>
            </w:r>
            <w:hyperlink r:id="rId200">
              <w:r>
                <w:rPr>
                  <w:rFonts w:ascii="Arial" w:cs="Arial" w:eastAsia="Arial" w:hAnsi="Arial"/>
                  <w:sz w:val="19"/>
                  <w:szCs w:val="19"/>
                  <w:color w:val="0000FF"/>
                  <w:w w:val="96"/>
                </w:rPr>
                <w:t>Amended and Restated By-laws of Evergy Metro, Inc., effective February 28, 2020</w:t>
              </w:r>
            </w:hyperlink>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8"/>
          </w:tcPr>
          <w:p>
            <w:pPr>
              <w:spacing w:after="0" w:line="141" w:lineRule="exact"/>
              <w:rPr>
                <w:rFonts w:ascii="Arial" w:cs="Arial" w:eastAsia="Arial" w:hAnsi="Arial"/>
                <w:sz w:val="16"/>
                <w:szCs w:val="16"/>
                <w:color w:val="0000FF"/>
              </w:rPr>
            </w:pPr>
            <w:hyperlink r:id="rId200">
              <w:r>
                <w:rPr>
                  <w:rFonts w:ascii="Arial" w:cs="Arial" w:eastAsia="Arial" w:hAnsi="Arial"/>
                  <w:sz w:val="16"/>
                  <w:szCs w:val="16"/>
                  <w:color w:val="0000FF"/>
                </w:rPr>
                <w:t>(Exhibit 3.3 to Evergy Metro's Form 8-K filed on March</w:t>
              </w:r>
            </w:hyperlink>
          </w:p>
        </w:tc>
        <w:tc>
          <w:tcPr>
            <w:tcW w:w="840" w:type="dxa"/>
            <w:vAlign w:val="bottom"/>
            <w:tcBorders>
              <w:top w:val="single" w:sz="8" w:color="0000FF"/>
              <w:bottom w:val="single" w:sz="8" w:color="0000FF"/>
            </w:tcBorders>
            <w:gridSpan w:val="4"/>
          </w:tcPr>
          <w:p>
            <w:pPr>
              <w:jc w:val="right"/>
              <w:spacing w:after="0" w:line="141" w:lineRule="exact"/>
              <w:rPr>
                <w:rFonts w:ascii="Arial" w:cs="Arial" w:eastAsia="Arial" w:hAnsi="Arial"/>
                <w:sz w:val="16"/>
                <w:szCs w:val="16"/>
                <w:color w:val="0000FF"/>
              </w:rPr>
            </w:pPr>
            <w:hyperlink r:id="rId200">
              <w:r>
                <w:rPr>
                  <w:rFonts w:ascii="Arial" w:cs="Arial" w:eastAsia="Arial" w:hAnsi="Arial"/>
                  <w:sz w:val="16"/>
                  <w:szCs w:val="16"/>
                  <w:color w:val="0000FF"/>
                </w:rPr>
                <w:t>2, 2020).</w:t>
              </w:r>
            </w:hyperlink>
          </w:p>
        </w:tc>
        <w:tc>
          <w:tcPr>
            <w:tcW w:w="600" w:type="dxa"/>
            <w:vAlign w:val="bottom"/>
            <w:tcBorders>
              <w:top w:val="single" w:sz="8" w:color="0000FF"/>
            </w:tcBorders>
            <w:gridSpan w:val="2"/>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gridSpan w:val="2"/>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gridSpan w:val="3"/>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260" w:type="dxa"/>
            <w:vAlign w:val="bottom"/>
          </w:tcPr>
          <w:p>
            <w:pPr>
              <w:ind w:left="20"/>
              <w:spacing w:after="0"/>
              <w:rPr>
                <w:sz w:val="20"/>
                <w:szCs w:val="20"/>
                <w:color w:val="auto"/>
              </w:rPr>
            </w:pPr>
            <w:r>
              <w:rPr>
                <w:rFonts w:ascii="Arial" w:cs="Arial" w:eastAsia="Arial" w:hAnsi="Arial"/>
                <w:sz w:val="19"/>
                <w:szCs w:val="19"/>
                <w:color w:val="auto"/>
                <w:w w:val="83"/>
              </w:rPr>
              <w:t>3.5</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201">
              <w:r>
                <w:rPr>
                  <w:rFonts w:ascii="Arial" w:cs="Arial" w:eastAsia="Arial" w:hAnsi="Arial"/>
                  <w:sz w:val="19"/>
                  <w:szCs w:val="19"/>
                  <w:color w:val="0000FF"/>
                  <w:w w:val="95"/>
                </w:rPr>
                <w:t>Amended and Restated Articles of Incorporation of Evergy Kansas Central, Inc., as</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0" w:type="dxa"/>
            <w:vAlign w:val="bottom"/>
            <w:gridSpan w:val="8"/>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35"/>
          </w:tcPr>
          <w:p>
            <w:pPr>
              <w:spacing w:after="0" w:line="161" w:lineRule="exact"/>
              <w:rPr>
                <w:rFonts w:ascii="Arial" w:cs="Arial" w:eastAsia="Arial" w:hAnsi="Arial"/>
                <w:sz w:val="18"/>
                <w:szCs w:val="18"/>
                <w:color w:val="0000FF"/>
                <w:w w:val="96"/>
              </w:rPr>
            </w:pPr>
            <w:hyperlink r:id="rId201">
              <w:r>
                <w:rPr>
                  <w:rFonts w:ascii="Arial" w:cs="Arial" w:eastAsia="Arial" w:hAnsi="Arial"/>
                  <w:sz w:val="18"/>
                  <w:szCs w:val="18"/>
                  <w:color w:val="0000FF"/>
                  <w:w w:val="96"/>
                </w:rPr>
                <w:t>amended September 16, 2019 (Exhibit 3.3 to Evergy Kansas Central's Form 10-Q for</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5"/>
          </w:tcPr>
          <w:p>
            <w:pPr>
              <w:spacing w:after="0" w:line="161" w:lineRule="exact"/>
              <w:rPr>
                <w:rFonts w:ascii="Arial" w:cs="Arial" w:eastAsia="Arial" w:hAnsi="Arial"/>
                <w:sz w:val="18"/>
                <w:szCs w:val="18"/>
                <w:color w:val="0000FF"/>
                <w:w w:val="92"/>
              </w:rPr>
            </w:pPr>
            <w:hyperlink r:id="rId201">
              <w:r>
                <w:rPr>
                  <w:rFonts w:ascii="Arial" w:cs="Arial" w:eastAsia="Arial" w:hAnsi="Arial"/>
                  <w:sz w:val="18"/>
                  <w:szCs w:val="18"/>
                  <w:color w:val="0000FF"/>
                  <w:w w:val="92"/>
                </w:rPr>
                <w:t>the quarter ended September 30, 2019).</w:t>
              </w:r>
            </w:hyperlink>
          </w:p>
        </w:tc>
        <w:tc>
          <w:tcPr>
            <w:tcW w:w="3440" w:type="dxa"/>
            <w:vAlign w:val="bottom"/>
            <w:tcBorders>
              <w:top w:val="single" w:sz="8" w:color="0000FF"/>
            </w:tcBorders>
            <w:gridSpan w:val="2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3"/>
        </w:trPr>
        <w:tc>
          <w:tcPr>
            <w:tcW w:w="260" w:type="dxa"/>
            <w:vAlign w:val="bottom"/>
          </w:tcPr>
          <w:p>
            <w:pPr>
              <w:ind w:left="20"/>
              <w:spacing w:after="0"/>
              <w:rPr>
                <w:sz w:val="20"/>
                <w:szCs w:val="20"/>
                <w:color w:val="auto"/>
              </w:rPr>
            </w:pPr>
            <w:r>
              <w:rPr>
                <w:rFonts w:ascii="Arial" w:cs="Arial" w:eastAsia="Arial" w:hAnsi="Arial"/>
                <w:sz w:val="19"/>
                <w:szCs w:val="19"/>
                <w:color w:val="auto"/>
                <w:w w:val="83"/>
              </w:rPr>
              <w:t>3.6</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202">
              <w:r>
                <w:rPr>
                  <w:rFonts w:ascii="Arial" w:cs="Arial" w:eastAsia="Arial" w:hAnsi="Arial"/>
                  <w:sz w:val="19"/>
                  <w:szCs w:val="19"/>
                  <w:color w:val="0000FF"/>
                  <w:w w:val="95"/>
                </w:rPr>
                <w:t>Amended and Restated By-laws of Evergy Kansas Central, Inc., effective February</w:t>
              </w:r>
            </w:hyperlink>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00" w:type="dxa"/>
            <w:vAlign w:val="bottom"/>
            <w:tcBorders>
              <w:top w:val="single" w:sz="8" w:color="0000FF"/>
              <w:bottom w:val="single" w:sz="8" w:color="0000FF"/>
            </w:tcBorders>
            <w:gridSpan w:val="23"/>
          </w:tcPr>
          <w:p>
            <w:pPr>
              <w:spacing w:after="0" w:line="168" w:lineRule="exact"/>
              <w:rPr>
                <w:rFonts w:ascii="Arial" w:cs="Arial" w:eastAsia="Arial" w:hAnsi="Arial"/>
                <w:sz w:val="19"/>
                <w:szCs w:val="19"/>
                <w:color w:val="0000FF"/>
                <w:w w:val="90"/>
              </w:rPr>
            </w:pPr>
            <w:hyperlink r:id="rId202">
              <w:r>
                <w:rPr>
                  <w:rFonts w:ascii="Arial" w:cs="Arial" w:eastAsia="Arial" w:hAnsi="Arial"/>
                  <w:sz w:val="19"/>
                  <w:szCs w:val="19"/>
                  <w:color w:val="0000FF"/>
                  <w:w w:val="90"/>
                </w:rPr>
                <w:t>28, 2020 (Exhibit 3.2 to Evergy Kansas Central's Form 8-K filed on March 2, 2020)</w:t>
              </w:r>
            </w:hyperlink>
          </w:p>
        </w:tc>
        <w:tc>
          <w:tcPr>
            <w:tcW w:w="120" w:type="dxa"/>
            <w:vAlign w:val="bottom"/>
            <w:tcBorders>
              <w:bottom w:val="single" w:sz="8" w:color="0000FF"/>
            </w:tcBorders>
            <w:gridSpan w:val="6"/>
          </w:tcPr>
          <w:p>
            <w:pPr>
              <w:jc w:val="center"/>
              <w:spacing w:after="0" w:line="168" w:lineRule="exact"/>
              <w:rPr>
                <w:rFonts w:ascii="Arial" w:cs="Arial" w:eastAsia="Arial" w:hAnsi="Arial"/>
                <w:sz w:val="19"/>
                <w:szCs w:val="19"/>
                <w:color w:val="0000FF"/>
              </w:rPr>
            </w:pPr>
            <w:hyperlink r:id="rId202">
              <w:r>
                <w:rPr>
                  <w:rFonts w:ascii="Arial" w:cs="Arial" w:eastAsia="Arial" w:hAnsi="Arial"/>
                  <w:sz w:val="19"/>
                  <w:szCs w:val="19"/>
                  <w:color w:val="0000FF"/>
                </w:rPr>
                <w:t>.</w:t>
              </w:r>
            </w:hyperlink>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260" w:type="dxa"/>
            <w:vAlign w:val="bottom"/>
          </w:tcPr>
          <w:p>
            <w:pPr>
              <w:ind w:left="20"/>
              <w:spacing w:after="0"/>
              <w:rPr>
                <w:sz w:val="20"/>
                <w:szCs w:val="20"/>
                <w:color w:val="auto"/>
              </w:rPr>
            </w:pPr>
            <w:r>
              <w:rPr>
                <w:rFonts w:ascii="Arial" w:cs="Arial" w:eastAsia="Arial" w:hAnsi="Arial"/>
                <w:sz w:val="19"/>
                <w:szCs w:val="19"/>
                <w:color w:val="auto"/>
                <w:w w:val="83"/>
              </w:rPr>
              <w:t>4.1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0"/>
              </w:rPr>
            </w:pPr>
            <w:r>
              <w:rPr>
                <w:rFonts w:ascii="Arial" w:cs="Arial" w:eastAsia="Arial" w:hAnsi="Arial"/>
                <w:sz w:val="19"/>
                <w:szCs w:val="19"/>
                <w:color w:val="auto"/>
                <w:w w:val="90"/>
              </w:rPr>
              <w:t xml:space="preserve">*   </w:t>
            </w:r>
            <w:hyperlink r:id="rId203">
              <w:r>
                <w:rPr>
                  <w:rFonts w:ascii="Arial" w:cs="Arial" w:eastAsia="Arial" w:hAnsi="Arial"/>
                  <w:sz w:val="19"/>
                  <w:szCs w:val="19"/>
                  <w:color w:val="0000FF"/>
                  <w:w w:val="90"/>
                </w:rPr>
                <w:t>Indenture, dated June 1, 2004, between Evergy. Inc. (successor to Great Plains Energy</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20" w:type="dxa"/>
            <w:vAlign w:val="bottom"/>
            <w:tcBorders>
              <w:top w:val="single" w:sz="8" w:color="0000FF"/>
            </w:tcBorders>
            <w:gridSpan w:val="33"/>
          </w:tcPr>
          <w:p>
            <w:pPr>
              <w:spacing w:after="0" w:line="161" w:lineRule="exact"/>
              <w:rPr>
                <w:rFonts w:ascii="Arial" w:cs="Arial" w:eastAsia="Arial" w:hAnsi="Arial"/>
                <w:sz w:val="18"/>
                <w:szCs w:val="18"/>
                <w:color w:val="0000FF"/>
              </w:rPr>
            </w:pPr>
            <w:hyperlink r:id="rId203">
              <w:r>
                <w:rPr>
                  <w:rFonts w:ascii="Arial" w:cs="Arial" w:eastAsia="Arial" w:hAnsi="Arial"/>
                  <w:sz w:val="18"/>
                  <w:szCs w:val="18"/>
                  <w:color w:val="0000FF"/>
                </w:rPr>
                <w:t>Incorporated) and BNY Midwest Trust Company, as trustee (Exhibit 4.4 to Great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6"/>
          </w:tcPr>
          <w:p>
            <w:pPr>
              <w:spacing w:after="0" w:line="161" w:lineRule="exact"/>
              <w:rPr>
                <w:rFonts w:ascii="Arial" w:cs="Arial" w:eastAsia="Arial" w:hAnsi="Arial"/>
                <w:sz w:val="18"/>
                <w:szCs w:val="18"/>
                <w:color w:val="0000FF"/>
                <w:w w:val="96"/>
              </w:rPr>
            </w:pPr>
            <w:hyperlink r:id="rId203">
              <w:r>
                <w:rPr>
                  <w:rFonts w:ascii="Arial" w:cs="Arial" w:eastAsia="Arial" w:hAnsi="Arial"/>
                  <w:sz w:val="18"/>
                  <w:szCs w:val="18"/>
                  <w:color w:val="0000FF"/>
                  <w:w w:val="96"/>
                </w:rPr>
                <w:t>Plains Energy's Form 8-A/A filed on June 14, 2004).</w:t>
              </w:r>
            </w:hyperlink>
          </w:p>
        </w:tc>
        <w:tc>
          <w:tcPr>
            <w:tcW w:w="2140" w:type="dxa"/>
            <w:vAlign w:val="bottom"/>
            <w:tcBorders>
              <w:top w:val="single" w:sz="8" w:color="0000FF"/>
            </w:tcBorders>
            <w:gridSpan w:val="10"/>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260" w:type="dxa"/>
            <w:vAlign w:val="bottom"/>
          </w:tcPr>
          <w:p>
            <w:pPr>
              <w:ind w:left="20"/>
              <w:spacing w:after="0"/>
              <w:rPr>
                <w:sz w:val="20"/>
                <w:szCs w:val="20"/>
                <w:color w:val="auto"/>
              </w:rPr>
            </w:pPr>
            <w:r>
              <w:rPr>
                <w:rFonts w:ascii="Arial" w:cs="Arial" w:eastAsia="Arial" w:hAnsi="Arial"/>
                <w:sz w:val="19"/>
                <w:szCs w:val="19"/>
                <w:color w:val="auto"/>
                <w:w w:val="83"/>
              </w:rPr>
              <w:t>4.2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1"/>
              </w:rPr>
            </w:pPr>
            <w:r>
              <w:rPr>
                <w:rFonts w:ascii="Arial" w:cs="Arial" w:eastAsia="Arial" w:hAnsi="Arial"/>
                <w:sz w:val="19"/>
                <w:szCs w:val="19"/>
                <w:color w:val="auto"/>
                <w:w w:val="91"/>
              </w:rPr>
              <w:t xml:space="preserve">*   </w:t>
            </w:r>
            <w:hyperlink r:id="rId204">
              <w:r>
                <w:rPr>
                  <w:rFonts w:ascii="Arial" w:cs="Arial" w:eastAsia="Arial" w:hAnsi="Arial"/>
                  <w:sz w:val="19"/>
                  <w:szCs w:val="19"/>
                  <w:color w:val="0000FF"/>
                  <w:w w:val="91"/>
                </w:rPr>
                <w:t>First Supplemental Indenture, dated June 14, 2004, between Evergy. Inc. (successor to</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tcBorders>
              <w:top w:val="single" w:sz="8" w:color="0000FF"/>
            </w:tcBorders>
            <w:gridSpan w:val="34"/>
          </w:tcPr>
          <w:p>
            <w:pPr>
              <w:spacing w:after="0" w:line="161" w:lineRule="exact"/>
              <w:rPr>
                <w:rFonts w:ascii="Arial" w:cs="Arial" w:eastAsia="Arial" w:hAnsi="Arial"/>
                <w:sz w:val="18"/>
                <w:szCs w:val="18"/>
                <w:color w:val="0000FF"/>
              </w:rPr>
            </w:pPr>
            <w:hyperlink r:id="rId204">
              <w:r>
                <w:rPr>
                  <w:rFonts w:ascii="Arial" w:cs="Arial" w:eastAsia="Arial" w:hAnsi="Arial"/>
                  <w:sz w:val="18"/>
                  <w:szCs w:val="18"/>
                  <w:color w:val="0000FF"/>
                </w:rPr>
                <w:t>Great Plains Energy Incorporated) and BNY Midwest Trust Company, as trustee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80" w:type="dxa"/>
            <w:vAlign w:val="bottom"/>
            <w:tcBorders>
              <w:top w:val="single" w:sz="8" w:color="0000FF"/>
            </w:tcBorders>
            <w:gridSpan w:val="15"/>
          </w:tcPr>
          <w:p>
            <w:pPr>
              <w:spacing w:after="0" w:line="161" w:lineRule="exact"/>
              <w:rPr>
                <w:rFonts w:ascii="Arial" w:cs="Arial" w:eastAsia="Arial" w:hAnsi="Arial"/>
                <w:sz w:val="18"/>
                <w:szCs w:val="18"/>
                <w:color w:val="0000FF"/>
              </w:rPr>
            </w:pPr>
            <w:hyperlink r:id="rId204">
              <w:r>
                <w:rPr>
                  <w:rFonts w:ascii="Arial" w:cs="Arial" w:eastAsia="Arial" w:hAnsi="Arial"/>
                  <w:sz w:val="18"/>
                  <w:szCs w:val="18"/>
                  <w:color w:val="0000FF"/>
                </w:rPr>
                <w:t>(Exhibit 4.5 to Great Plains Energy's Form 8-A/A filed on June 14, 2004).</w:t>
              </w:r>
            </w:hyperlink>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960" w:type="dxa"/>
            <w:vAlign w:val="bottom"/>
            <w:gridSpan w:val="1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60" w:type="dxa"/>
            <w:vAlign w:val="bottom"/>
          </w:tcPr>
          <w:p>
            <w:pPr>
              <w:ind w:left="20"/>
              <w:spacing w:after="0"/>
              <w:rPr>
                <w:sz w:val="20"/>
                <w:szCs w:val="20"/>
                <w:color w:val="auto"/>
              </w:rPr>
            </w:pPr>
            <w:r>
              <w:rPr>
                <w:rFonts w:ascii="Arial" w:cs="Arial" w:eastAsia="Arial" w:hAnsi="Arial"/>
                <w:sz w:val="19"/>
                <w:szCs w:val="19"/>
                <w:color w:val="auto"/>
                <w:w w:val="83"/>
              </w:rPr>
              <w:t>4.3</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6"/>
          </w:tcPr>
          <w:p>
            <w:pPr>
              <w:ind w:left="60"/>
              <w:spacing w:after="0"/>
              <w:rPr>
                <w:rFonts w:ascii="Arial" w:cs="Arial" w:eastAsia="Arial" w:hAnsi="Arial"/>
                <w:sz w:val="19"/>
                <w:szCs w:val="19"/>
                <w:color w:val="auto"/>
                <w:w w:val="96"/>
              </w:rPr>
            </w:pPr>
            <w:r>
              <w:rPr>
                <w:rFonts w:ascii="Arial" w:cs="Arial" w:eastAsia="Arial" w:hAnsi="Arial"/>
                <w:sz w:val="19"/>
                <w:szCs w:val="19"/>
                <w:color w:val="auto"/>
                <w:w w:val="96"/>
              </w:rPr>
              <w:t xml:space="preserve">*   </w:t>
            </w:r>
            <w:hyperlink r:id="rId205">
              <w:r>
                <w:rPr>
                  <w:rFonts w:ascii="Arial" w:cs="Arial" w:eastAsia="Arial" w:hAnsi="Arial"/>
                  <w:sz w:val="19"/>
                  <w:szCs w:val="19"/>
                  <w:color w:val="0000FF"/>
                  <w:w w:val="96"/>
                </w:rPr>
                <w:t>Second Supplemental Indenture, dated September 25, 2007, between Evergy, Inc.</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8"/>
          </w:tcPr>
          <w:p>
            <w:pPr>
              <w:spacing w:after="0" w:line="161" w:lineRule="exact"/>
              <w:rPr>
                <w:rFonts w:ascii="Arial" w:cs="Arial" w:eastAsia="Arial" w:hAnsi="Arial"/>
                <w:sz w:val="18"/>
                <w:szCs w:val="18"/>
                <w:color w:val="0000FF"/>
                <w:w w:val="94"/>
              </w:rPr>
            </w:pPr>
            <w:hyperlink r:id="rId205">
              <w:r>
                <w:rPr>
                  <w:rFonts w:ascii="Arial" w:cs="Arial" w:eastAsia="Arial" w:hAnsi="Arial"/>
                  <w:sz w:val="18"/>
                  <w:szCs w:val="18"/>
                  <w:color w:val="0000FF"/>
                  <w:w w:val="94"/>
                </w:rPr>
                <w:t>(successor to Great Plains Energy Incorporated) and The Bank of New York Trust</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40" w:type="dxa"/>
            <w:vAlign w:val="bottom"/>
            <w:tcBorders>
              <w:bottom w:val="single" w:sz="8" w:color="0000FF"/>
            </w:tcBorders>
            <w:gridSpan w:val="20"/>
          </w:tcPr>
          <w:p>
            <w:pPr>
              <w:spacing w:after="0" w:line="161" w:lineRule="exact"/>
              <w:rPr>
                <w:rFonts w:ascii="Arial" w:cs="Arial" w:eastAsia="Arial" w:hAnsi="Arial"/>
                <w:sz w:val="18"/>
                <w:szCs w:val="18"/>
                <w:color w:val="0000FF"/>
                <w:w w:val="96"/>
              </w:rPr>
            </w:pPr>
            <w:hyperlink r:id="rId205">
              <w:r>
                <w:rPr>
                  <w:rFonts w:ascii="Arial" w:cs="Arial" w:eastAsia="Arial" w:hAnsi="Arial"/>
                  <w:sz w:val="18"/>
                  <w:szCs w:val="18"/>
                  <w:color w:val="0000FF"/>
                  <w:w w:val="96"/>
                </w:rPr>
                <w:t>Company, N.A., as trustee (Exhibit 4.1 to Great Plains Energy's Form 8-K filed on</w:t>
              </w:r>
            </w:hyperlink>
          </w:p>
        </w:tc>
        <w:tc>
          <w:tcPr>
            <w:tcW w:w="40" w:type="dxa"/>
            <w:vAlign w:val="bottom"/>
            <w:tcBorders>
              <w:bottom w:val="single" w:sz="8" w:color="0000FF"/>
            </w:tcBorders>
            <w:gridSpan w:val="2"/>
          </w:tcPr>
          <w:p>
            <w:pPr>
              <w:spacing w:after="0"/>
              <w:rPr>
                <w:sz w:val="13"/>
                <w:szCs w:val="13"/>
                <w:color w:val="auto"/>
              </w:rPr>
            </w:pPr>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Borders>
              <w:bottom w:val="single" w:sz="8" w:color="0000FF"/>
            </w:tcBorders>
          </w:tcPr>
          <w:p>
            <w:pPr>
              <w:spacing w:after="0" w:line="161" w:lineRule="exact"/>
              <w:rPr>
                <w:rFonts w:ascii="Arial" w:cs="Arial" w:eastAsia="Arial" w:hAnsi="Arial"/>
                <w:sz w:val="18"/>
                <w:szCs w:val="18"/>
                <w:color w:val="0000FF"/>
                <w:w w:val="93"/>
              </w:rPr>
            </w:pPr>
            <w:hyperlink r:id="rId205">
              <w:r>
                <w:rPr>
                  <w:rFonts w:ascii="Arial" w:cs="Arial" w:eastAsia="Arial" w:hAnsi="Arial"/>
                  <w:sz w:val="18"/>
                  <w:szCs w:val="18"/>
                  <w:color w:val="0000FF"/>
                  <w:w w:val="93"/>
                </w:rPr>
                <w:t>September 26, 2007).</w:t>
              </w:r>
            </w:hyperlink>
          </w:p>
        </w:tc>
        <w:tc>
          <w:tcPr>
            <w:tcW w:w="4640" w:type="dxa"/>
            <w:vAlign w:val="bottom"/>
            <w:gridSpan w:val="21"/>
          </w:tcPr>
          <w:p>
            <w:pPr>
              <w:spacing w:after="0"/>
              <w:rPr>
                <w:sz w:val="13"/>
                <w:szCs w:val="13"/>
                <w:color w:val="auto"/>
              </w:rPr>
            </w:pPr>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945"/>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20" w:type="dxa"/>
            <w:vAlign w:val="bottom"/>
            <w:gridSpan w:val="7"/>
          </w:tcPr>
          <w:p>
            <w:pPr>
              <w:ind w:left="4100"/>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0"/>
        <w:spacing w:after="0"/>
        <w:rPr>
          <w:sz w:val="20"/>
          <w:szCs w:val="20"/>
          <w:color w:val="auto"/>
        </w:rPr>
      </w:pPr>
      <w:r>
        <w:rPr>
          <w:rFonts w:ascii="Arial" w:cs="Arial" w:eastAsia="Arial" w:hAnsi="Arial"/>
          <w:sz w:val="19"/>
          <w:szCs w:val="19"/>
          <w:u w:val="single" w:color="auto"/>
          <w:color w:val="auto"/>
        </w:rPr>
        <w:t>Registrant</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ectPr>
          <w:pgSz w:w="11900" w:h="16838" w:orient="portrait"/>
          <w:cols w:equalWidth="0" w:num="2">
            <w:col w:w="8340" w:space="500"/>
            <w:col w:w="1740"/>
          </w:cols>
          <w:pgMar w:left="320" w:top="101" w:right="999" w:bottom="1440" w:gutter="0" w:footer="0" w:header="0"/>
        </w:sectPr>
      </w:pPr>
    </w:p>
    <w:bookmarkStart w:id="165" w:name="page166"/>
    <w:bookmarkEnd w:id="16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0" w:type="dxa"/>
            <w:vAlign w:val="bottom"/>
          </w:tcPr>
          <w:p>
            <w:pPr>
              <w:ind w:left="20"/>
              <w:spacing w:after="0"/>
              <w:rPr>
                <w:sz w:val="20"/>
                <w:szCs w:val="20"/>
                <w:color w:val="auto"/>
              </w:rPr>
            </w:pPr>
            <w:r>
              <w:rPr>
                <w:rFonts w:ascii="Arial" w:cs="Arial" w:eastAsia="Arial" w:hAnsi="Arial"/>
                <w:sz w:val="19"/>
                <w:szCs w:val="19"/>
                <w:color w:val="auto"/>
              </w:rPr>
              <w:t>4.4</w:t>
            </w:r>
          </w:p>
        </w:tc>
        <w:tc>
          <w:tcPr>
            <w:tcW w:w="7700" w:type="dxa"/>
            <w:vAlign w:val="bottom"/>
            <w:gridSpan w:val="28"/>
          </w:tcPr>
          <w:p>
            <w:pPr>
              <w:ind w:left="560"/>
              <w:spacing w:after="0"/>
              <w:rPr>
                <w:rFonts w:ascii="Arial" w:cs="Arial" w:eastAsia="Arial" w:hAnsi="Arial"/>
                <w:sz w:val="19"/>
                <w:szCs w:val="19"/>
                <w:color w:val="auto"/>
              </w:rPr>
            </w:pPr>
            <w:r>
              <w:rPr>
                <w:rFonts w:ascii="Arial" w:cs="Arial" w:eastAsia="Arial" w:hAnsi="Arial"/>
                <w:sz w:val="19"/>
                <w:szCs w:val="19"/>
                <w:color w:val="auto"/>
              </w:rPr>
              <w:t xml:space="preserve">*   </w:t>
            </w:r>
            <w:hyperlink r:id="rId207">
              <w:r>
                <w:rPr>
                  <w:rFonts w:ascii="Arial" w:cs="Arial" w:eastAsia="Arial" w:hAnsi="Arial"/>
                  <w:sz w:val="19"/>
                  <w:szCs w:val="19"/>
                  <w:color w:val="0000FF"/>
                </w:rPr>
                <w:t>Third Supplemental Indenture, dated August 13, 2010, between Evergy, Inc.</w:t>
              </w:r>
            </w:hyperlink>
          </w:p>
        </w:tc>
        <w:tc>
          <w:tcPr>
            <w:tcW w:w="2640" w:type="dxa"/>
            <w:vAlign w:val="bottom"/>
          </w:tcPr>
          <w:p>
            <w:pPr>
              <w:ind w:left="240"/>
              <w:spacing w:after="0"/>
              <w:rPr>
                <w:sz w:val="20"/>
                <w:szCs w:val="20"/>
                <w:color w:val="auto"/>
              </w:rPr>
            </w:pPr>
            <w:r>
              <w:rPr>
                <w:rFonts w:ascii="Arial" w:cs="Arial" w:eastAsia="Arial" w:hAnsi="Arial"/>
                <w:sz w:val="19"/>
                <w:szCs w:val="19"/>
                <w:color w:val="auto"/>
              </w:rPr>
              <w:t>Evergy</w:t>
            </w:r>
          </w:p>
        </w:tc>
      </w:tr>
      <w:tr>
        <w:trPr>
          <w:trHeight w:val="168"/>
        </w:trPr>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0" w:type="dxa"/>
            <w:vAlign w:val="bottom"/>
            <w:tcBorders>
              <w:top w:val="single" w:sz="8" w:color="0000FF"/>
              <w:bottom w:val="single" w:sz="8" w:color="0000FF"/>
            </w:tcBorders>
            <w:gridSpan w:val="12"/>
          </w:tcPr>
          <w:p>
            <w:pPr>
              <w:spacing w:after="0" w:line="168" w:lineRule="exact"/>
              <w:rPr>
                <w:rFonts w:ascii="Arial" w:cs="Arial" w:eastAsia="Arial" w:hAnsi="Arial"/>
                <w:sz w:val="19"/>
                <w:szCs w:val="19"/>
                <w:color w:val="0000FF"/>
                <w:w w:val="90"/>
              </w:rPr>
            </w:pPr>
            <w:hyperlink r:id="rId207">
              <w:r>
                <w:rPr>
                  <w:rFonts w:ascii="Arial" w:cs="Arial" w:eastAsia="Arial" w:hAnsi="Arial"/>
                  <w:sz w:val="19"/>
                  <w:szCs w:val="19"/>
                  <w:color w:val="0000FF"/>
                  <w:w w:val="90"/>
                </w:rPr>
                <w:t>(successor to Great Plains Energy Incorporated) and The Bank of New York</w:t>
              </w:r>
            </w:hyperlink>
          </w:p>
        </w:tc>
        <w:tc>
          <w:tcPr>
            <w:tcW w:w="560" w:type="dxa"/>
            <w:vAlign w:val="bottom"/>
            <w:tcBorders>
              <w:bottom w:val="single" w:sz="8" w:color="0000FF"/>
            </w:tcBorders>
            <w:gridSpan w:val="9"/>
          </w:tcPr>
          <w:p>
            <w:pPr>
              <w:spacing w:after="0" w:line="168" w:lineRule="exact"/>
              <w:rPr>
                <w:rFonts w:ascii="Arial" w:cs="Arial" w:eastAsia="Arial" w:hAnsi="Arial"/>
                <w:sz w:val="19"/>
                <w:szCs w:val="19"/>
                <w:color w:val="0000FF"/>
                <w:w w:val="96"/>
              </w:rPr>
            </w:pPr>
            <w:hyperlink r:id="rId207">
              <w:r>
                <w:rPr>
                  <w:rFonts w:ascii="Arial" w:cs="Arial" w:eastAsia="Arial" w:hAnsi="Arial"/>
                  <w:sz w:val="19"/>
                  <w:szCs w:val="19"/>
                  <w:color w:val="0000FF"/>
                  <w:w w:val="96"/>
                </w:rPr>
                <w:t>Mellon</w:t>
              </w:r>
            </w:hyperlink>
          </w:p>
        </w:tc>
        <w:tc>
          <w:tcPr>
            <w:tcW w:w="42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780" w:type="dxa"/>
            <w:vAlign w:val="bottom"/>
            <w:gridSpan w:val="27"/>
          </w:tcPr>
          <w:p>
            <w:pPr>
              <w:spacing w:after="0" w:line="161" w:lineRule="exact"/>
              <w:rPr>
                <w:rFonts w:ascii="Arial" w:cs="Arial" w:eastAsia="Arial" w:hAnsi="Arial"/>
                <w:sz w:val="18"/>
                <w:szCs w:val="18"/>
                <w:color w:val="0000FF"/>
              </w:rPr>
            </w:pPr>
            <w:hyperlink r:id="rId207">
              <w:r>
                <w:rPr>
                  <w:rFonts w:ascii="Arial" w:cs="Arial" w:eastAsia="Arial" w:hAnsi="Arial"/>
                  <w:sz w:val="18"/>
                  <w:szCs w:val="18"/>
                  <w:color w:val="0000FF"/>
                </w:rPr>
                <w:t>Trust Company, N.A., as trustee (Exhibit 4.1 to Great Plains Energy's Form 8-K filed</w:t>
              </w:r>
            </w:hyperlink>
          </w:p>
        </w:tc>
        <w:tc>
          <w:tcPr>
            <w:tcW w:w="264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60" w:type="dxa"/>
            <w:vAlign w:val="bottom"/>
            <w:tcBorders>
              <w:top w:val="single" w:sz="8" w:color="0000FF"/>
            </w:tcBorders>
            <w:gridSpan w:val="24"/>
          </w:tcPr>
          <w:p>
            <w:pPr>
              <w:spacing w:after="0" w:line="161" w:lineRule="exact"/>
              <w:rPr>
                <w:rFonts w:ascii="Arial" w:cs="Arial" w:eastAsia="Arial" w:hAnsi="Arial"/>
                <w:sz w:val="18"/>
                <w:szCs w:val="18"/>
                <w:color w:val="0000FF"/>
              </w:rPr>
            </w:pPr>
            <w:hyperlink r:id="rId207">
              <w:r>
                <w:rPr>
                  <w:rFonts w:ascii="Arial" w:cs="Arial" w:eastAsia="Arial" w:hAnsi="Arial"/>
                  <w:sz w:val="18"/>
                  <w:szCs w:val="18"/>
                  <w:color w:val="0000FF"/>
                </w:rPr>
                <w:t>on August 13, 2010).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70"/>
        </w:trPr>
        <w:tc>
          <w:tcPr>
            <w:tcW w:w="900" w:type="dxa"/>
            <w:vAlign w:val="bottom"/>
          </w:tcPr>
          <w:p>
            <w:pPr>
              <w:ind w:left="20"/>
              <w:spacing w:after="0"/>
              <w:rPr>
                <w:sz w:val="20"/>
                <w:szCs w:val="20"/>
                <w:color w:val="auto"/>
              </w:rPr>
            </w:pPr>
            <w:r>
              <w:rPr>
                <w:rFonts w:ascii="Arial" w:cs="Arial" w:eastAsia="Arial" w:hAnsi="Arial"/>
                <w:sz w:val="19"/>
                <w:szCs w:val="19"/>
                <w:color w:val="auto"/>
              </w:rPr>
              <w:t>4.5</w:t>
            </w:r>
          </w:p>
        </w:tc>
        <w:tc>
          <w:tcPr>
            <w:tcW w:w="7700" w:type="dxa"/>
            <w:vAlign w:val="bottom"/>
            <w:gridSpan w:val="28"/>
          </w:tcPr>
          <w:p>
            <w:pPr>
              <w:ind w:left="5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208">
              <w:r>
                <w:rPr>
                  <w:rFonts w:ascii="Arial" w:cs="Arial" w:eastAsia="Arial" w:hAnsi="Arial"/>
                  <w:sz w:val="19"/>
                  <w:szCs w:val="19"/>
                  <w:color w:val="0000FF"/>
                  <w:w w:val="95"/>
                </w:rPr>
                <w:t>Fourth Supplemental Indenture, dated May 19, 2011, between Evergy, Inc. (successor</w:t>
              </w:r>
            </w:hyperlink>
          </w:p>
        </w:tc>
        <w:tc>
          <w:tcPr>
            <w:tcW w:w="2640" w:type="dxa"/>
            <w:vAlign w:val="bottom"/>
          </w:tcPr>
          <w:p>
            <w:pPr>
              <w:ind w:left="240"/>
              <w:spacing w:after="0"/>
              <w:rPr>
                <w:sz w:val="20"/>
                <w:szCs w:val="20"/>
                <w:color w:val="auto"/>
              </w:rPr>
            </w:pPr>
            <w:r>
              <w:rPr>
                <w:rFonts w:ascii="Arial" w:cs="Arial" w:eastAsia="Arial" w:hAnsi="Arial"/>
                <w:sz w:val="19"/>
                <w:szCs w:val="19"/>
                <w:color w:val="auto"/>
              </w:rPr>
              <w:t>Evergy</w:t>
            </w:r>
          </w:p>
        </w:tc>
      </w:tr>
      <w:tr>
        <w:trPr>
          <w:trHeight w:val="153"/>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00" w:type="dxa"/>
            <w:vAlign w:val="bottom"/>
            <w:tcBorders>
              <w:top w:val="single" w:sz="8" w:color="0000FF"/>
            </w:tcBorders>
            <w:gridSpan w:val="25"/>
          </w:tcPr>
          <w:p>
            <w:pPr>
              <w:spacing w:after="0" w:line="148" w:lineRule="exact"/>
              <w:rPr>
                <w:rFonts w:ascii="Arial" w:cs="Arial" w:eastAsia="Arial" w:hAnsi="Arial"/>
                <w:sz w:val="17"/>
                <w:szCs w:val="17"/>
                <w:color w:val="0000FF"/>
              </w:rPr>
            </w:pPr>
            <w:hyperlink r:id="rId208">
              <w:r>
                <w:rPr>
                  <w:rFonts w:ascii="Arial" w:cs="Arial" w:eastAsia="Arial" w:hAnsi="Arial"/>
                  <w:sz w:val="17"/>
                  <w:szCs w:val="17"/>
                  <w:color w:val="0000FF"/>
                </w:rPr>
                <w:t>to Great Plains Energy Incorporated) and The Bank of New York Mellon Trust</w:t>
              </w:r>
            </w:hyperlink>
          </w:p>
        </w:tc>
        <w:tc>
          <w:tcPr>
            <w:tcW w:w="280" w:type="dxa"/>
            <w:vAlign w:val="bottom"/>
            <w:gridSpan w:val="2"/>
          </w:tcPr>
          <w:p>
            <w:pPr>
              <w:spacing w:after="0"/>
              <w:rPr>
                <w:sz w:val="13"/>
                <w:szCs w:val="13"/>
                <w:color w:val="auto"/>
              </w:rPr>
            </w:pPr>
          </w:p>
        </w:tc>
        <w:tc>
          <w:tcPr>
            <w:tcW w:w="2640" w:type="dxa"/>
            <w:vAlign w:val="bottom"/>
          </w:tcPr>
          <w:p>
            <w:pPr>
              <w:spacing w:after="0"/>
              <w:rPr>
                <w:sz w:val="13"/>
                <w:szCs w:val="13"/>
                <w:color w:val="auto"/>
              </w:rPr>
            </w:pPr>
          </w:p>
        </w:tc>
      </w:tr>
      <w:tr>
        <w:trPr>
          <w:trHeight w:val="168"/>
        </w:trPr>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960" w:type="dxa"/>
            <w:vAlign w:val="bottom"/>
            <w:tcBorders>
              <w:top w:val="single" w:sz="8" w:color="0000FF"/>
            </w:tcBorders>
            <w:gridSpan w:val="13"/>
          </w:tcPr>
          <w:p>
            <w:pPr>
              <w:spacing w:after="0" w:line="168" w:lineRule="exact"/>
              <w:rPr>
                <w:rFonts w:ascii="Arial" w:cs="Arial" w:eastAsia="Arial" w:hAnsi="Arial"/>
                <w:sz w:val="19"/>
                <w:szCs w:val="19"/>
                <w:color w:val="0000FF"/>
                <w:w w:val="90"/>
              </w:rPr>
            </w:pPr>
            <w:hyperlink r:id="rId208">
              <w:r>
                <w:rPr>
                  <w:rFonts w:ascii="Arial" w:cs="Arial" w:eastAsia="Arial" w:hAnsi="Arial"/>
                  <w:sz w:val="19"/>
                  <w:szCs w:val="19"/>
                  <w:color w:val="0000FF"/>
                  <w:w w:val="90"/>
                </w:rPr>
                <w:t>Company, N.A., as trustee (Exhibit 4.1 to Great Plains Energy's Form 8-K filed</w:t>
              </w:r>
            </w:hyperlink>
          </w:p>
        </w:tc>
        <w:tc>
          <w:tcPr>
            <w:tcW w:w="820" w:type="dxa"/>
            <w:vAlign w:val="bottom"/>
            <w:gridSpan w:val="14"/>
          </w:tcPr>
          <w:p>
            <w:pPr>
              <w:ind w:left="80"/>
              <w:spacing w:after="0" w:line="168" w:lineRule="exact"/>
              <w:rPr>
                <w:rFonts w:ascii="Arial" w:cs="Arial" w:eastAsia="Arial" w:hAnsi="Arial"/>
                <w:sz w:val="19"/>
                <w:szCs w:val="19"/>
                <w:color w:val="0000FF"/>
              </w:rPr>
            </w:pPr>
            <w:hyperlink r:id="rId208">
              <w:r>
                <w:rPr>
                  <w:rFonts w:ascii="Arial" w:cs="Arial" w:eastAsia="Arial" w:hAnsi="Arial"/>
                  <w:sz w:val="19"/>
                  <w:szCs w:val="19"/>
                  <w:color w:val="0000FF"/>
                </w:rPr>
                <w:t>on</w:t>
              </w:r>
            </w:hyperlink>
          </w:p>
        </w:tc>
        <w:tc>
          <w:tcPr>
            <w:tcW w:w="2640" w:type="dxa"/>
            <w:vAlign w:val="bottom"/>
          </w:tcPr>
          <w:p>
            <w:pPr>
              <w:spacing w:after="0"/>
              <w:rPr>
                <w:sz w:val="14"/>
                <w:szCs w:val="14"/>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40" w:type="dxa"/>
            <w:vAlign w:val="bottom"/>
            <w:tcBorders>
              <w:top w:val="single" w:sz="8" w:color="0000FF"/>
            </w:tcBorders>
            <w:gridSpan w:val="19"/>
          </w:tcPr>
          <w:p>
            <w:pPr>
              <w:spacing w:after="0" w:line="161" w:lineRule="exact"/>
              <w:rPr>
                <w:rFonts w:ascii="Arial" w:cs="Arial" w:eastAsia="Arial" w:hAnsi="Arial"/>
                <w:sz w:val="18"/>
                <w:szCs w:val="18"/>
                <w:color w:val="0000FF"/>
              </w:rPr>
            </w:pPr>
            <w:hyperlink r:id="rId208">
              <w:r>
                <w:rPr>
                  <w:rFonts w:ascii="Arial" w:cs="Arial" w:eastAsia="Arial" w:hAnsi="Arial"/>
                  <w:sz w:val="18"/>
                  <w:szCs w:val="18"/>
                  <w:color w:val="0000FF"/>
                </w:rPr>
                <w:t>May 19, 2011).</w:t>
              </w:r>
            </w:hyperlink>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70"/>
        </w:trPr>
        <w:tc>
          <w:tcPr>
            <w:tcW w:w="900" w:type="dxa"/>
            <w:vAlign w:val="bottom"/>
          </w:tcPr>
          <w:p>
            <w:pPr>
              <w:ind w:left="20"/>
              <w:spacing w:after="0"/>
              <w:rPr>
                <w:sz w:val="20"/>
                <w:szCs w:val="20"/>
                <w:color w:val="auto"/>
              </w:rPr>
            </w:pPr>
            <w:r>
              <w:rPr>
                <w:rFonts w:ascii="Arial" w:cs="Arial" w:eastAsia="Arial" w:hAnsi="Arial"/>
                <w:sz w:val="19"/>
                <w:szCs w:val="19"/>
                <w:color w:val="auto"/>
              </w:rPr>
              <w:t>4.6</w:t>
            </w:r>
          </w:p>
        </w:tc>
        <w:tc>
          <w:tcPr>
            <w:tcW w:w="7700" w:type="dxa"/>
            <w:vAlign w:val="bottom"/>
            <w:gridSpan w:val="28"/>
          </w:tcPr>
          <w:p>
            <w:pPr>
              <w:ind w:left="560"/>
              <w:spacing w:after="0"/>
              <w:rPr>
                <w:rFonts w:ascii="Arial" w:cs="Arial" w:eastAsia="Arial" w:hAnsi="Arial"/>
                <w:sz w:val="19"/>
                <w:szCs w:val="19"/>
                <w:color w:val="auto"/>
                <w:w w:val="96"/>
              </w:rPr>
            </w:pPr>
            <w:r>
              <w:rPr>
                <w:rFonts w:ascii="Arial" w:cs="Arial" w:eastAsia="Arial" w:hAnsi="Arial"/>
                <w:sz w:val="19"/>
                <w:szCs w:val="19"/>
                <w:color w:val="auto"/>
                <w:w w:val="96"/>
              </w:rPr>
              <w:t xml:space="preserve">*   </w:t>
            </w:r>
            <w:hyperlink r:id="rId209">
              <w:r>
                <w:rPr>
                  <w:rFonts w:ascii="Arial" w:cs="Arial" w:eastAsia="Arial" w:hAnsi="Arial"/>
                  <w:sz w:val="19"/>
                  <w:szCs w:val="19"/>
                  <w:color w:val="0000FF"/>
                  <w:w w:val="96"/>
                </w:rPr>
                <w:t>Fifth Supplemental Indenture, dated March 9, 2017, between Evergy, Inc. (successor</w:t>
              </w:r>
            </w:hyperlink>
          </w:p>
        </w:tc>
        <w:tc>
          <w:tcPr>
            <w:tcW w:w="2640" w:type="dxa"/>
            <w:vAlign w:val="bottom"/>
          </w:tcPr>
          <w:p>
            <w:pPr>
              <w:ind w:left="240"/>
              <w:spacing w:after="0"/>
              <w:rPr>
                <w:sz w:val="20"/>
                <w:szCs w:val="20"/>
                <w:color w:val="auto"/>
              </w:rPr>
            </w:pPr>
            <w:r>
              <w:rPr>
                <w:rFonts w:ascii="Arial" w:cs="Arial" w:eastAsia="Arial" w:hAnsi="Arial"/>
                <w:sz w:val="19"/>
                <w:szCs w:val="19"/>
                <w:color w:val="auto"/>
              </w:rPr>
              <w:t>Evergy</w:t>
            </w: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20" w:type="dxa"/>
            <w:vAlign w:val="bottom"/>
            <w:tcBorders>
              <w:top w:val="single" w:sz="8" w:color="0000FF"/>
            </w:tcBorders>
            <w:gridSpan w:val="22"/>
          </w:tcPr>
          <w:p>
            <w:pPr>
              <w:spacing w:after="0" w:line="161"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to Great Plains Energy Incorporated) and The Bank of New York Trust Company,</w:t>
              </w:r>
            </w:hyperlink>
          </w:p>
        </w:tc>
        <w:tc>
          <w:tcPr>
            <w:tcW w:w="360" w:type="dxa"/>
            <w:vAlign w:val="bottom"/>
            <w:gridSpan w:val="5"/>
          </w:tcPr>
          <w:p>
            <w:pPr>
              <w:spacing w:after="0"/>
              <w:rPr>
                <w:sz w:val="13"/>
                <w:szCs w:val="13"/>
                <w:color w:val="auto"/>
              </w:rPr>
            </w:pPr>
          </w:p>
        </w:tc>
        <w:tc>
          <w:tcPr>
            <w:tcW w:w="264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180" w:type="dxa"/>
            <w:vAlign w:val="bottom"/>
            <w:tcBorders>
              <w:top w:val="single" w:sz="8" w:color="0000FF"/>
            </w:tcBorders>
            <w:gridSpan w:val="17"/>
          </w:tcPr>
          <w:p>
            <w:pPr>
              <w:spacing w:after="0" w:line="161" w:lineRule="exact"/>
              <w:rPr>
                <w:rFonts w:ascii="Arial" w:cs="Arial" w:eastAsia="Arial" w:hAnsi="Arial"/>
                <w:sz w:val="18"/>
                <w:szCs w:val="18"/>
                <w:color w:val="0000FF"/>
                <w:w w:val="97"/>
              </w:rPr>
            </w:pPr>
            <w:hyperlink r:id="rId209">
              <w:r>
                <w:rPr>
                  <w:rFonts w:ascii="Arial" w:cs="Arial" w:eastAsia="Arial" w:hAnsi="Arial"/>
                  <w:sz w:val="18"/>
                  <w:szCs w:val="18"/>
                  <w:color w:val="0000FF"/>
                  <w:w w:val="97"/>
                </w:rPr>
                <w:t>N.A. as trustee (Exhibit 4.1 to Great Plains Energy's Form 8-K filed on March 9,</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3"/>
              </w:rPr>
            </w:pPr>
            <w:hyperlink r:id="rId209">
              <w:r>
                <w:rPr>
                  <w:rFonts w:ascii="Arial" w:cs="Arial" w:eastAsia="Arial" w:hAnsi="Arial"/>
                  <w:sz w:val="18"/>
                  <w:szCs w:val="18"/>
                  <w:color w:val="0000FF"/>
                  <w:w w:val="93"/>
                </w:rPr>
                <w:t>2017).</w:t>
              </w:r>
            </w:hyperlink>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470"/>
        </w:trPr>
        <w:tc>
          <w:tcPr>
            <w:tcW w:w="900" w:type="dxa"/>
            <w:vAlign w:val="bottom"/>
          </w:tcPr>
          <w:p>
            <w:pPr>
              <w:ind w:left="20"/>
              <w:spacing w:after="0"/>
              <w:rPr>
                <w:sz w:val="20"/>
                <w:szCs w:val="20"/>
                <w:color w:val="auto"/>
              </w:rPr>
            </w:pPr>
            <w:r>
              <w:rPr>
                <w:rFonts w:ascii="Arial" w:cs="Arial" w:eastAsia="Arial" w:hAnsi="Arial"/>
                <w:sz w:val="19"/>
                <w:szCs w:val="19"/>
                <w:color w:val="auto"/>
              </w:rPr>
              <w:t>4.7</w:t>
            </w:r>
          </w:p>
        </w:tc>
        <w:tc>
          <w:tcPr>
            <w:tcW w:w="7700" w:type="dxa"/>
            <w:vAlign w:val="bottom"/>
            <w:gridSpan w:val="28"/>
          </w:tcPr>
          <w:p>
            <w:pPr>
              <w:ind w:left="5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210">
              <w:r>
                <w:rPr>
                  <w:rFonts w:ascii="Arial" w:cs="Arial" w:eastAsia="Arial" w:hAnsi="Arial"/>
                  <w:sz w:val="19"/>
                  <w:szCs w:val="19"/>
                  <w:color w:val="0000FF"/>
                  <w:w w:val="94"/>
                </w:rPr>
                <w:t>Sixth Supplemental Indenture, dated June 4, 2018, by and among Great Plains Energy</w:t>
              </w:r>
            </w:hyperlink>
          </w:p>
        </w:tc>
        <w:tc>
          <w:tcPr>
            <w:tcW w:w="2640" w:type="dxa"/>
            <w:vAlign w:val="bottom"/>
          </w:tcPr>
          <w:p>
            <w:pPr>
              <w:ind w:left="240"/>
              <w:spacing w:after="0"/>
              <w:rPr>
                <w:sz w:val="20"/>
                <w:szCs w:val="20"/>
                <w:color w:val="auto"/>
              </w:rPr>
            </w:pPr>
            <w:r>
              <w:rPr>
                <w:rFonts w:ascii="Arial" w:cs="Arial" w:eastAsia="Arial" w:hAnsi="Arial"/>
                <w:sz w:val="19"/>
                <w:szCs w:val="19"/>
                <w:color w:val="auto"/>
              </w:rPr>
              <w:t>Evergy</w:t>
            </w: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00" w:type="dxa"/>
            <w:vAlign w:val="bottom"/>
            <w:tcBorders>
              <w:top w:val="single" w:sz="8" w:color="0000FF"/>
            </w:tcBorders>
            <w:gridSpan w:val="25"/>
          </w:tcPr>
          <w:p>
            <w:pPr>
              <w:spacing w:after="0" w:line="161" w:lineRule="exact"/>
              <w:rPr>
                <w:rFonts w:ascii="Arial" w:cs="Arial" w:eastAsia="Arial" w:hAnsi="Arial"/>
                <w:sz w:val="18"/>
                <w:szCs w:val="18"/>
                <w:color w:val="0000FF"/>
                <w:w w:val="97"/>
              </w:rPr>
            </w:pPr>
            <w:hyperlink r:id="rId210">
              <w:r>
                <w:rPr>
                  <w:rFonts w:ascii="Arial" w:cs="Arial" w:eastAsia="Arial" w:hAnsi="Arial"/>
                  <w:sz w:val="18"/>
                  <w:szCs w:val="18"/>
                  <w:color w:val="0000FF"/>
                  <w:w w:val="97"/>
                </w:rPr>
                <w:t>Incorporated, Evergy, Inc. and The Bank of New York Mellon Trust Company, N.A.,</w:t>
              </w:r>
            </w:hyperlink>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8"/>
          </w:tcPr>
          <w:p>
            <w:pPr>
              <w:spacing w:after="0" w:line="161" w:lineRule="exact"/>
              <w:rPr>
                <w:rFonts w:ascii="Arial" w:cs="Arial" w:eastAsia="Arial" w:hAnsi="Arial"/>
                <w:sz w:val="18"/>
                <w:szCs w:val="18"/>
                <w:color w:val="0000FF"/>
                <w:w w:val="95"/>
              </w:rPr>
            </w:pPr>
            <w:hyperlink r:id="rId210">
              <w:r>
                <w:rPr>
                  <w:rFonts w:ascii="Arial" w:cs="Arial" w:eastAsia="Arial" w:hAnsi="Arial"/>
                  <w:sz w:val="18"/>
                  <w:szCs w:val="18"/>
                  <w:color w:val="0000FF"/>
                  <w:w w:val="95"/>
                </w:rPr>
                <w:t>as trustee (Exhibit 4.1 to Evergy's Form 8-K filed on June 4, 2018).</w:t>
              </w:r>
            </w:hyperlink>
          </w:p>
        </w:tc>
        <w:tc>
          <w:tcPr>
            <w:tcW w:w="134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470"/>
        </w:trPr>
        <w:tc>
          <w:tcPr>
            <w:tcW w:w="900" w:type="dxa"/>
            <w:vAlign w:val="bottom"/>
          </w:tcPr>
          <w:p>
            <w:pPr>
              <w:ind w:left="20"/>
              <w:spacing w:after="0"/>
              <w:rPr>
                <w:sz w:val="20"/>
                <w:szCs w:val="20"/>
                <w:color w:val="auto"/>
              </w:rPr>
            </w:pPr>
            <w:r>
              <w:rPr>
                <w:rFonts w:ascii="Arial" w:cs="Arial" w:eastAsia="Arial" w:hAnsi="Arial"/>
                <w:sz w:val="19"/>
                <w:szCs w:val="19"/>
                <w:color w:val="auto"/>
              </w:rPr>
              <w:t>4.8</w:t>
            </w:r>
          </w:p>
        </w:tc>
        <w:tc>
          <w:tcPr>
            <w:tcW w:w="7700" w:type="dxa"/>
            <w:vAlign w:val="bottom"/>
            <w:gridSpan w:val="28"/>
          </w:tcPr>
          <w:p>
            <w:pPr>
              <w:ind w:left="5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211">
              <w:r>
                <w:rPr>
                  <w:rFonts w:ascii="Arial" w:cs="Arial" w:eastAsia="Arial" w:hAnsi="Arial"/>
                  <w:sz w:val="19"/>
                  <w:szCs w:val="19"/>
                  <w:color w:val="0000FF"/>
                  <w:w w:val="94"/>
                </w:rPr>
                <w:t>Seventh Supplemental Indenture, dated as of September 9, 2019 between Evergy, Inc.</w:t>
              </w:r>
            </w:hyperlink>
          </w:p>
        </w:tc>
        <w:tc>
          <w:tcPr>
            <w:tcW w:w="2640" w:type="dxa"/>
            <w:vAlign w:val="bottom"/>
          </w:tcPr>
          <w:p>
            <w:pPr>
              <w:ind w:left="240"/>
              <w:spacing w:after="0"/>
              <w:rPr>
                <w:sz w:val="20"/>
                <w:szCs w:val="20"/>
                <w:color w:val="auto"/>
              </w:rPr>
            </w:pPr>
            <w:r>
              <w:rPr>
                <w:rFonts w:ascii="Arial" w:cs="Arial" w:eastAsia="Arial" w:hAnsi="Arial"/>
                <w:sz w:val="19"/>
                <w:szCs w:val="19"/>
                <w:color w:val="auto"/>
              </w:rPr>
              <w:t>Evergy</w:t>
            </w: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00" w:type="dxa"/>
            <w:vAlign w:val="bottom"/>
            <w:tcBorders>
              <w:top w:val="single" w:sz="8" w:color="0000FF"/>
            </w:tcBorders>
            <w:gridSpan w:val="25"/>
          </w:tcPr>
          <w:p>
            <w:pPr>
              <w:spacing w:after="0" w:line="161"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and The Bank of New York Mellon Trust Company, N.A., as trustee (Exhibit 4.1 to</w:t>
              </w:r>
            </w:hyperlink>
          </w:p>
        </w:tc>
        <w:tc>
          <w:tcPr>
            <w:tcW w:w="280" w:type="dxa"/>
            <w:vAlign w:val="bottom"/>
            <w:gridSpan w:val="2"/>
          </w:tcPr>
          <w:p>
            <w:pPr>
              <w:spacing w:after="0"/>
              <w:rPr>
                <w:sz w:val="13"/>
                <w:szCs w:val="13"/>
                <w:color w:val="auto"/>
              </w:rPr>
            </w:pPr>
          </w:p>
        </w:tc>
        <w:tc>
          <w:tcPr>
            <w:tcW w:w="264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300" w:type="dxa"/>
            <w:vAlign w:val="bottom"/>
            <w:tcBorders>
              <w:top w:val="single" w:sz="8" w:color="0000FF"/>
            </w:tcBorders>
            <w:gridSpan w:val="20"/>
          </w:tcPr>
          <w:p>
            <w:pPr>
              <w:spacing w:after="0" w:line="161" w:lineRule="exact"/>
              <w:rPr>
                <w:rFonts w:ascii="Arial" w:cs="Arial" w:eastAsia="Arial" w:hAnsi="Arial"/>
                <w:sz w:val="18"/>
                <w:szCs w:val="18"/>
                <w:color w:val="0000FF"/>
              </w:rPr>
            </w:pPr>
            <w:hyperlink r:id="rId211">
              <w:r>
                <w:rPr>
                  <w:rFonts w:ascii="Arial" w:cs="Arial" w:eastAsia="Arial" w:hAnsi="Arial"/>
                  <w:sz w:val="18"/>
                  <w:szCs w:val="18"/>
                  <w:color w:val="0000FF"/>
                </w:rPr>
                <w:t>Evergy's Form 8-K filed on September 9, 2019).</w:t>
              </w:r>
            </w:hyperlink>
          </w:p>
        </w:tc>
        <w:tc>
          <w:tcPr>
            <w:tcW w:w="12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70"/>
        </w:trPr>
        <w:tc>
          <w:tcPr>
            <w:tcW w:w="900" w:type="dxa"/>
            <w:vAlign w:val="bottom"/>
          </w:tcPr>
          <w:p>
            <w:pPr>
              <w:ind w:left="20"/>
              <w:spacing w:after="0"/>
              <w:rPr>
                <w:sz w:val="20"/>
                <w:szCs w:val="20"/>
                <w:color w:val="auto"/>
              </w:rPr>
            </w:pPr>
            <w:r>
              <w:rPr>
                <w:rFonts w:ascii="Arial" w:cs="Arial" w:eastAsia="Arial" w:hAnsi="Arial"/>
                <w:sz w:val="19"/>
                <w:szCs w:val="19"/>
                <w:color w:val="auto"/>
              </w:rPr>
              <w:t>4.9</w:t>
            </w:r>
          </w:p>
        </w:tc>
        <w:tc>
          <w:tcPr>
            <w:tcW w:w="7700" w:type="dxa"/>
            <w:vAlign w:val="bottom"/>
            <w:gridSpan w:val="28"/>
          </w:tcPr>
          <w:p>
            <w:pPr>
              <w:ind w:left="560"/>
              <w:spacing w:after="0"/>
              <w:rPr>
                <w:rFonts w:ascii="Arial" w:cs="Arial" w:eastAsia="Arial" w:hAnsi="Arial"/>
                <w:sz w:val="19"/>
                <w:szCs w:val="19"/>
                <w:color w:val="auto"/>
              </w:rPr>
            </w:pPr>
            <w:r>
              <w:rPr>
                <w:rFonts w:ascii="Arial" w:cs="Arial" w:eastAsia="Arial" w:hAnsi="Arial"/>
                <w:sz w:val="19"/>
                <w:szCs w:val="19"/>
                <w:color w:val="auto"/>
              </w:rPr>
              <w:t xml:space="preserve">*   </w:t>
            </w:r>
            <w:hyperlink r:id="rId212">
              <w:r>
                <w:rPr>
                  <w:rFonts w:ascii="Arial" w:cs="Arial" w:eastAsia="Arial" w:hAnsi="Arial"/>
                  <w:sz w:val="19"/>
                  <w:szCs w:val="19"/>
                  <w:color w:val="0000FF"/>
                </w:rPr>
                <w:t>Subordinated Indenture, dated May 18, 2009, between Evergy, Inc. (successor to</w:t>
              </w:r>
            </w:hyperlink>
          </w:p>
        </w:tc>
        <w:tc>
          <w:tcPr>
            <w:tcW w:w="2640" w:type="dxa"/>
            <w:vAlign w:val="bottom"/>
          </w:tcPr>
          <w:p>
            <w:pPr>
              <w:ind w:left="240"/>
              <w:spacing w:after="0"/>
              <w:rPr>
                <w:sz w:val="20"/>
                <w:szCs w:val="20"/>
                <w:color w:val="auto"/>
              </w:rPr>
            </w:pPr>
            <w:r>
              <w:rPr>
                <w:rFonts w:ascii="Arial" w:cs="Arial" w:eastAsia="Arial" w:hAnsi="Arial"/>
                <w:sz w:val="19"/>
                <w:szCs w:val="19"/>
                <w:color w:val="auto"/>
              </w:rPr>
              <w:t>Evergy</w:t>
            </w: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7"/>
          </w:tcPr>
          <w:p>
            <w:pPr>
              <w:spacing w:after="0" w:line="161" w:lineRule="exact"/>
              <w:rPr>
                <w:rFonts w:ascii="Arial" w:cs="Arial" w:eastAsia="Arial" w:hAnsi="Arial"/>
                <w:sz w:val="18"/>
                <w:szCs w:val="18"/>
                <w:color w:val="0000FF"/>
                <w:w w:val="96"/>
              </w:rPr>
            </w:pPr>
            <w:hyperlink r:id="rId212">
              <w:r>
                <w:rPr>
                  <w:rFonts w:ascii="Arial" w:cs="Arial" w:eastAsia="Arial" w:hAnsi="Arial"/>
                  <w:sz w:val="18"/>
                  <w:szCs w:val="18"/>
                  <w:color w:val="0000FF"/>
                  <w:w w:val="96"/>
                </w:rPr>
                <w:t>Great Plains Energy Incorporated) and The Bank of New York</w:t>
              </w:r>
            </w:hyperlink>
          </w:p>
        </w:tc>
        <w:tc>
          <w:tcPr>
            <w:tcW w:w="1020" w:type="dxa"/>
            <w:vAlign w:val="bottom"/>
            <w:tcBorders>
              <w:top w:val="single" w:sz="8" w:color="0000FF"/>
              <w:bottom w:val="single" w:sz="8" w:color="0000FF"/>
            </w:tcBorders>
            <w:gridSpan w:val="4"/>
          </w:tcPr>
          <w:p>
            <w:pPr>
              <w:ind w:left="20"/>
              <w:spacing w:after="0" w:line="161" w:lineRule="exact"/>
              <w:rPr>
                <w:rFonts w:ascii="Arial" w:cs="Arial" w:eastAsia="Arial" w:hAnsi="Arial"/>
                <w:sz w:val="18"/>
                <w:szCs w:val="18"/>
                <w:color w:val="0000FF"/>
                <w:w w:val="98"/>
              </w:rPr>
            </w:pPr>
            <w:hyperlink r:id="rId212">
              <w:r>
                <w:rPr>
                  <w:rFonts w:ascii="Arial" w:cs="Arial" w:eastAsia="Arial" w:hAnsi="Arial"/>
                  <w:sz w:val="18"/>
                  <w:szCs w:val="18"/>
                  <w:color w:val="0000FF"/>
                  <w:w w:val="98"/>
                </w:rPr>
                <w:t>Mellon Trust</w:t>
              </w:r>
            </w:hyperlink>
          </w:p>
        </w:tc>
        <w:tc>
          <w:tcPr>
            <w:tcW w:w="3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780" w:type="dxa"/>
            <w:vAlign w:val="bottom"/>
            <w:gridSpan w:val="27"/>
          </w:tcPr>
          <w:p>
            <w:pPr>
              <w:spacing w:after="0" w:line="161" w:lineRule="exact"/>
              <w:rPr>
                <w:rFonts w:ascii="Arial" w:cs="Arial" w:eastAsia="Arial" w:hAnsi="Arial"/>
                <w:sz w:val="18"/>
                <w:szCs w:val="18"/>
                <w:color w:val="0000FF"/>
              </w:rPr>
            </w:pPr>
            <w:hyperlink r:id="rId212">
              <w:r>
                <w:rPr>
                  <w:rFonts w:ascii="Arial" w:cs="Arial" w:eastAsia="Arial" w:hAnsi="Arial"/>
                  <w:sz w:val="18"/>
                  <w:szCs w:val="18"/>
                  <w:color w:val="0000FF"/>
                </w:rPr>
                <w:t>Company, N.A., as trustee (Exhibit 4.1 to Great Plains Energy's Form 8-K filed on</w:t>
              </w:r>
            </w:hyperlink>
          </w:p>
        </w:tc>
        <w:tc>
          <w:tcPr>
            <w:tcW w:w="264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3"/>
          </w:tcPr>
          <w:p>
            <w:pPr>
              <w:spacing w:after="0" w:line="161" w:lineRule="exact"/>
              <w:rPr>
                <w:rFonts w:ascii="Arial" w:cs="Arial" w:eastAsia="Arial" w:hAnsi="Arial"/>
                <w:sz w:val="18"/>
                <w:szCs w:val="18"/>
                <w:color w:val="0000FF"/>
                <w:w w:val="96"/>
              </w:rPr>
            </w:pPr>
            <w:hyperlink r:id="rId212">
              <w:r>
                <w:rPr>
                  <w:rFonts w:ascii="Arial" w:cs="Arial" w:eastAsia="Arial" w:hAnsi="Arial"/>
                  <w:sz w:val="18"/>
                  <w:szCs w:val="18"/>
                  <w:color w:val="0000FF"/>
                  <w:w w:val="96"/>
                </w:rPr>
                <w:t>May 19, 2009).</w:t>
              </w:r>
            </w:hyperlink>
          </w:p>
        </w:tc>
        <w:tc>
          <w:tcPr>
            <w:tcW w:w="5060" w:type="dxa"/>
            <w:vAlign w:val="bottom"/>
            <w:tcBorders>
              <w:top w:val="single" w:sz="8" w:color="0000FF"/>
            </w:tcBorders>
            <w:gridSpan w:val="16"/>
          </w:tcPr>
          <w:p>
            <w:pPr>
              <w:spacing w:after="0"/>
              <w:rPr>
                <w:sz w:val="13"/>
                <w:szCs w:val="13"/>
                <w:color w:val="auto"/>
              </w:rPr>
            </w:pPr>
          </w:p>
        </w:tc>
        <w:tc>
          <w:tcPr>
            <w:tcW w:w="1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470"/>
        </w:trPr>
        <w:tc>
          <w:tcPr>
            <w:tcW w:w="900" w:type="dxa"/>
            <w:vAlign w:val="bottom"/>
          </w:tcPr>
          <w:p>
            <w:pPr>
              <w:ind w:left="20"/>
              <w:spacing w:after="0"/>
              <w:rPr>
                <w:sz w:val="20"/>
                <w:szCs w:val="20"/>
                <w:color w:val="auto"/>
              </w:rPr>
            </w:pPr>
            <w:r>
              <w:rPr>
                <w:rFonts w:ascii="Arial" w:cs="Arial" w:eastAsia="Arial" w:hAnsi="Arial"/>
                <w:sz w:val="19"/>
                <w:szCs w:val="19"/>
                <w:color w:val="auto"/>
              </w:rPr>
              <w:t>4.10</w:t>
            </w:r>
          </w:p>
        </w:tc>
        <w:tc>
          <w:tcPr>
            <w:tcW w:w="7700" w:type="dxa"/>
            <w:vAlign w:val="bottom"/>
            <w:gridSpan w:val="28"/>
          </w:tcPr>
          <w:p>
            <w:pPr>
              <w:ind w:left="560"/>
              <w:spacing w:after="0"/>
              <w:rPr>
                <w:rFonts w:ascii="Arial" w:cs="Arial" w:eastAsia="Arial" w:hAnsi="Arial"/>
                <w:sz w:val="19"/>
                <w:szCs w:val="19"/>
                <w:color w:val="auto"/>
                <w:w w:val="96"/>
              </w:rPr>
            </w:pPr>
            <w:r>
              <w:rPr>
                <w:rFonts w:ascii="Arial" w:cs="Arial" w:eastAsia="Arial" w:hAnsi="Arial"/>
                <w:sz w:val="19"/>
                <w:szCs w:val="19"/>
                <w:color w:val="auto"/>
                <w:w w:val="96"/>
              </w:rPr>
              <w:t xml:space="preserve">*   </w:t>
            </w:r>
            <w:hyperlink r:id="rId213">
              <w:r>
                <w:rPr>
                  <w:rFonts w:ascii="Arial" w:cs="Arial" w:eastAsia="Arial" w:hAnsi="Arial"/>
                  <w:sz w:val="19"/>
                  <w:szCs w:val="19"/>
                  <w:color w:val="0000FF"/>
                  <w:w w:val="96"/>
                </w:rPr>
                <w:t>Supplemental Indenture No. 1, dated May 18, 2009, between Evergy, Inc. (successor</w:t>
              </w:r>
            </w:hyperlink>
          </w:p>
        </w:tc>
        <w:tc>
          <w:tcPr>
            <w:tcW w:w="2640" w:type="dxa"/>
            <w:vAlign w:val="bottom"/>
          </w:tcPr>
          <w:p>
            <w:pPr>
              <w:ind w:left="240"/>
              <w:spacing w:after="0"/>
              <w:rPr>
                <w:sz w:val="20"/>
                <w:szCs w:val="20"/>
                <w:color w:val="auto"/>
              </w:rPr>
            </w:pPr>
            <w:r>
              <w:rPr>
                <w:rFonts w:ascii="Arial" w:cs="Arial" w:eastAsia="Arial" w:hAnsi="Arial"/>
                <w:sz w:val="19"/>
                <w:szCs w:val="19"/>
                <w:color w:val="auto"/>
              </w:rPr>
              <w:t>Evergy</w:t>
            </w:r>
          </w:p>
        </w:tc>
      </w:tr>
      <w:tr>
        <w:trPr>
          <w:trHeight w:val="153"/>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20" w:type="dxa"/>
            <w:vAlign w:val="bottom"/>
            <w:tcBorders>
              <w:top w:val="single" w:sz="8" w:color="0000FF"/>
            </w:tcBorders>
            <w:gridSpan w:val="22"/>
          </w:tcPr>
          <w:p>
            <w:pPr>
              <w:spacing w:after="0" w:line="148" w:lineRule="exact"/>
              <w:rPr>
                <w:rFonts w:ascii="Arial" w:cs="Arial" w:eastAsia="Arial" w:hAnsi="Arial"/>
                <w:sz w:val="17"/>
                <w:szCs w:val="17"/>
                <w:color w:val="0000FF"/>
              </w:rPr>
            </w:pPr>
            <w:hyperlink r:id="rId213">
              <w:r>
                <w:rPr>
                  <w:rFonts w:ascii="Arial" w:cs="Arial" w:eastAsia="Arial" w:hAnsi="Arial"/>
                  <w:sz w:val="17"/>
                  <w:szCs w:val="17"/>
                  <w:color w:val="0000FF"/>
                </w:rPr>
                <w:t>to Great Plains Energy Incorporated) and The Bank of New York Mellon Trust</w:t>
              </w:r>
            </w:hyperlink>
          </w:p>
        </w:tc>
        <w:tc>
          <w:tcPr>
            <w:tcW w:w="10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68"/>
        </w:trPr>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960" w:type="dxa"/>
            <w:vAlign w:val="bottom"/>
            <w:tcBorders>
              <w:top w:val="single" w:sz="8" w:color="0000FF"/>
            </w:tcBorders>
            <w:gridSpan w:val="13"/>
          </w:tcPr>
          <w:p>
            <w:pPr>
              <w:spacing w:after="0" w:line="168" w:lineRule="exact"/>
              <w:rPr>
                <w:rFonts w:ascii="Arial" w:cs="Arial" w:eastAsia="Arial" w:hAnsi="Arial"/>
                <w:sz w:val="19"/>
                <w:szCs w:val="19"/>
                <w:color w:val="0000FF"/>
                <w:w w:val="90"/>
              </w:rPr>
            </w:pPr>
            <w:hyperlink r:id="rId213">
              <w:r>
                <w:rPr>
                  <w:rFonts w:ascii="Arial" w:cs="Arial" w:eastAsia="Arial" w:hAnsi="Arial"/>
                  <w:sz w:val="19"/>
                  <w:szCs w:val="19"/>
                  <w:color w:val="0000FF"/>
                  <w:w w:val="90"/>
                </w:rPr>
                <w:t>Company, N.A., as trustee (Exhibit 4.2 to Great Plains Energy's Form 8-K filed</w:t>
              </w:r>
            </w:hyperlink>
          </w:p>
        </w:tc>
        <w:tc>
          <w:tcPr>
            <w:tcW w:w="820" w:type="dxa"/>
            <w:vAlign w:val="bottom"/>
            <w:gridSpan w:val="14"/>
          </w:tcPr>
          <w:p>
            <w:pPr>
              <w:ind w:left="80"/>
              <w:spacing w:after="0" w:line="168" w:lineRule="exact"/>
              <w:rPr>
                <w:rFonts w:ascii="Arial" w:cs="Arial" w:eastAsia="Arial" w:hAnsi="Arial"/>
                <w:sz w:val="19"/>
                <w:szCs w:val="19"/>
                <w:color w:val="0000FF"/>
              </w:rPr>
            </w:pPr>
            <w:hyperlink r:id="rId213">
              <w:r>
                <w:rPr>
                  <w:rFonts w:ascii="Arial" w:cs="Arial" w:eastAsia="Arial" w:hAnsi="Arial"/>
                  <w:sz w:val="19"/>
                  <w:szCs w:val="19"/>
                  <w:color w:val="0000FF"/>
                </w:rPr>
                <w:t>on</w:t>
              </w:r>
            </w:hyperlink>
          </w:p>
        </w:tc>
        <w:tc>
          <w:tcPr>
            <w:tcW w:w="2640" w:type="dxa"/>
            <w:vAlign w:val="bottom"/>
          </w:tcPr>
          <w:p>
            <w:pPr>
              <w:spacing w:after="0"/>
              <w:rPr>
                <w:sz w:val="14"/>
                <w:szCs w:val="14"/>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3"/>
          </w:tcPr>
          <w:p>
            <w:pPr>
              <w:spacing w:after="0" w:line="161" w:lineRule="exact"/>
              <w:rPr>
                <w:rFonts w:ascii="Arial" w:cs="Arial" w:eastAsia="Arial" w:hAnsi="Arial"/>
                <w:sz w:val="18"/>
                <w:szCs w:val="18"/>
                <w:color w:val="0000FF"/>
                <w:w w:val="96"/>
              </w:rPr>
            </w:pPr>
            <w:hyperlink r:id="rId213">
              <w:r>
                <w:rPr>
                  <w:rFonts w:ascii="Arial" w:cs="Arial" w:eastAsia="Arial" w:hAnsi="Arial"/>
                  <w:sz w:val="18"/>
                  <w:szCs w:val="18"/>
                  <w:color w:val="0000FF"/>
                  <w:w w:val="96"/>
                </w:rPr>
                <w:t>May 19, 2009).</w:t>
              </w:r>
            </w:hyperlink>
          </w:p>
        </w:tc>
        <w:tc>
          <w:tcPr>
            <w:tcW w:w="5060" w:type="dxa"/>
            <w:vAlign w:val="bottom"/>
            <w:tcBorders>
              <w:top w:val="single" w:sz="8" w:color="0000FF"/>
            </w:tcBorders>
            <w:gridSpan w:val="16"/>
          </w:tcPr>
          <w:p>
            <w:pPr>
              <w:spacing w:after="0"/>
              <w:rPr>
                <w:sz w:val="13"/>
                <w:szCs w:val="13"/>
                <w:color w:val="auto"/>
              </w:rPr>
            </w:pPr>
          </w:p>
        </w:tc>
        <w:tc>
          <w:tcPr>
            <w:tcW w:w="280" w:type="dxa"/>
            <w:vAlign w:val="bottom"/>
            <w:gridSpan w:val="7"/>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463"/>
        </w:trPr>
        <w:tc>
          <w:tcPr>
            <w:tcW w:w="900" w:type="dxa"/>
            <w:vAlign w:val="bottom"/>
          </w:tcPr>
          <w:p>
            <w:pPr>
              <w:ind w:left="20"/>
              <w:spacing w:after="0"/>
              <w:rPr>
                <w:sz w:val="20"/>
                <w:szCs w:val="20"/>
                <w:color w:val="auto"/>
              </w:rPr>
            </w:pPr>
            <w:r>
              <w:rPr>
                <w:rFonts w:ascii="Arial" w:cs="Arial" w:eastAsia="Arial" w:hAnsi="Arial"/>
                <w:sz w:val="19"/>
                <w:szCs w:val="19"/>
                <w:color w:val="auto"/>
              </w:rPr>
              <w:t>4.11</w:t>
            </w:r>
          </w:p>
        </w:tc>
        <w:tc>
          <w:tcPr>
            <w:tcW w:w="7700" w:type="dxa"/>
            <w:vAlign w:val="bottom"/>
            <w:gridSpan w:val="28"/>
          </w:tcPr>
          <w:p>
            <w:pPr>
              <w:ind w:left="560"/>
              <w:spacing w:after="0"/>
              <w:rPr>
                <w:rFonts w:ascii="Arial" w:cs="Arial" w:eastAsia="Arial" w:hAnsi="Arial"/>
                <w:sz w:val="19"/>
                <w:szCs w:val="19"/>
                <w:color w:val="auto"/>
              </w:rPr>
            </w:pPr>
            <w:r>
              <w:rPr>
                <w:rFonts w:ascii="Arial" w:cs="Arial" w:eastAsia="Arial" w:hAnsi="Arial"/>
                <w:sz w:val="19"/>
                <w:szCs w:val="19"/>
                <w:color w:val="auto"/>
              </w:rPr>
              <w:t xml:space="preserve">*   </w:t>
            </w:r>
            <w:hyperlink r:id="rId214">
              <w:r>
                <w:rPr>
                  <w:rFonts w:ascii="Arial" w:cs="Arial" w:eastAsia="Arial" w:hAnsi="Arial"/>
                  <w:sz w:val="19"/>
                  <w:szCs w:val="19"/>
                  <w:color w:val="0000FF"/>
                </w:rPr>
                <w:t>Supplemental Indenture No. 2, dated March 22, 2012, between Evergy, Inc.</w:t>
              </w:r>
            </w:hyperlink>
          </w:p>
        </w:tc>
        <w:tc>
          <w:tcPr>
            <w:tcW w:w="2640" w:type="dxa"/>
            <w:vAlign w:val="bottom"/>
          </w:tcPr>
          <w:p>
            <w:pPr>
              <w:ind w:left="240"/>
              <w:spacing w:after="0"/>
              <w:rPr>
                <w:sz w:val="20"/>
                <w:szCs w:val="20"/>
                <w:color w:val="auto"/>
              </w:rPr>
            </w:pPr>
            <w:r>
              <w:rPr>
                <w:rFonts w:ascii="Arial" w:cs="Arial" w:eastAsia="Arial" w:hAnsi="Arial"/>
                <w:sz w:val="19"/>
                <w:szCs w:val="19"/>
                <w:color w:val="auto"/>
              </w:rPr>
              <w:t>Evergy</w:t>
            </w:r>
          </w:p>
        </w:tc>
      </w:tr>
      <w:tr>
        <w:trPr>
          <w:trHeight w:val="168"/>
        </w:trPr>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740" w:type="dxa"/>
            <w:vAlign w:val="bottom"/>
            <w:tcBorders>
              <w:top w:val="single" w:sz="8" w:color="0000FF"/>
              <w:bottom w:val="single" w:sz="8" w:color="0000FF"/>
            </w:tcBorders>
            <w:gridSpan w:val="9"/>
          </w:tcPr>
          <w:p>
            <w:pPr>
              <w:spacing w:after="0" w:line="168" w:lineRule="exact"/>
              <w:rPr>
                <w:rFonts w:ascii="Arial" w:cs="Arial" w:eastAsia="Arial" w:hAnsi="Arial"/>
                <w:sz w:val="19"/>
                <w:szCs w:val="19"/>
                <w:color w:val="0000FF"/>
                <w:w w:val="89"/>
              </w:rPr>
            </w:pPr>
            <w:hyperlink r:id="rId214">
              <w:r>
                <w:rPr>
                  <w:rFonts w:ascii="Arial" w:cs="Arial" w:eastAsia="Arial" w:hAnsi="Arial"/>
                  <w:sz w:val="19"/>
                  <w:szCs w:val="19"/>
                  <w:color w:val="0000FF"/>
                  <w:w w:val="89"/>
                </w:rPr>
                <w:t>(successor to Great Plains Energy Incorporated) and The Bank of New York</w:t>
              </w:r>
            </w:hyperlink>
          </w:p>
        </w:tc>
        <w:tc>
          <w:tcPr>
            <w:tcW w:w="20" w:type="dxa"/>
            <w:vAlign w:val="bottom"/>
            <w:tcBorders>
              <w:bottom w:val="single" w:sz="8" w:color="0000FF"/>
            </w:tcBorders>
          </w:tcPr>
          <w:p>
            <w:pPr>
              <w:spacing w:after="0"/>
              <w:rPr>
                <w:sz w:val="14"/>
                <w:szCs w:val="14"/>
                <w:color w:val="auto"/>
              </w:rPr>
            </w:pPr>
          </w:p>
        </w:tc>
        <w:tc>
          <w:tcPr>
            <w:tcW w:w="600" w:type="dxa"/>
            <w:vAlign w:val="bottom"/>
            <w:tcBorders>
              <w:bottom w:val="single" w:sz="8" w:color="0000FF"/>
            </w:tcBorders>
            <w:gridSpan w:val="11"/>
          </w:tcPr>
          <w:p>
            <w:pPr>
              <w:ind w:left="40"/>
              <w:spacing w:after="0" w:line="168" w:lineRule="exact"/>
              <w:rPr>
                <w:rFonts w:ascii="Arial" w:cs="Arial" w:eastAsia="Arial" w:hAnsi="Arial"/>
                <w:sz w:val="19"/>
                <w:szCs w:val="19"/>
                <w:color w:val="0000FF"/>
                <w:w w:val="96"/>
              </w:rPr>
            </w:pPr>
            <w:hyperlink r:id="rId214">
              <w:r>
                <w:rPr>
                  <w:rFonts w:ascii="Arial" w:cs="Arial" w:eastAsia="Arial" w:hAnsi="Arial"/>
                  <w:sz w:val="19"/>
                  <w:szCs w:val="19"/>
                  <w:color w:val="0000FF"/>
                  <w:w w:val="96"/>
                </w:rPr>
                <w:t>Mellon</w:t>
              </w:r>
            </w:hyperlink>
          </w:p>
        </w:tc>
        <w:tc>
          <w:tcPr>
            <w:tcW w:w="42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780" w:type="dxa"/>
            <w:vAlign w:val="bottom"/>
            <w:gridSpan w:val="27"/>
          </w:tcPr>
          <w:p>
            <w:pPr>
              <w:spacing w:after="0" w:line="161" w:lineRule="exact"/>
              <w:rPr>
                <w:rFonts w:ascii="Arial" w:cs="Arial" w:eastAsia="Arial" w:hAnsi="Arial"/>
                <w:sz w:val="18"/>
                <w:szCs w:val="18"/>
                <w:color w:val="0000FF"/>
              </w:rPr>
            </w:pPr>
            <w:hyperlink r:id="rId214">
              <w:r>
                <w:rPr>
                  <w:rFonts w:ascii="Arial" w:cs="Arial" w:eastAsia="Arial" w:hAnsi="Arial"/>
                  <w:sz w:val="18"/>
                  <w:szCs w:val="18"/>
                  <w:color w:val="0000FF"/>
                </w:rPr>
                <w:t>Trust Company, N.A., as trustee (Exhibit 4.1 to Great Plains Energy's Form 8-K filed</w:t>
              </w:r>
            </w:hyperlink>
          </w:p>
        </w:tc>
        <w:tc>
          <w:tcPr>
            <w:tcW w:w="264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5"/>
          </w:tcPr>
          <w:p>
            <w:pPr>
              <w:spacing w:after="0" w:line="161" w:lineRule="exact"/>
              <w:rPr>
                <w:rFonts w:ascii="Arial" w:cs="Arial" w:eastAsia="Arial" w:hAnsi="Arial"/>
                <w:sz w:val="18"/>
                <w:szCs w:val="18"/>
                <w:color w:val="0000FF"/>
                <w:w w:val="96"/>
              </w:rPr>
            </w:pPr>
            <w:hyperlink r:id="rId214">
              <w:r>
                <w:rPr>
                  <w:rFonts w:ascii="Arial" w:cs="Arial" w:eastAsia="Arial" w:hAnsi="Arial"/>
                  <w:sz w:val="18"/>
                  <w:szCs w:val="18"/>
                  <w:color w:val="0000FF"/>
                  <w:w w:val="96"/>
                </w:rPr>
                <w:t>on March 23, 2012).</w:t>
              </w:r>
            </w:hyperlink>
          </w:p>
        </w:tc>
        <w:tc>
          <w:tcPr>
            <w:tcW w:w="4860" w:type="dxa"/>
            <w:vAlign w:val="bottom"/>
            <w:tcBorders>
              <w:top w:val="single" w:sz="8" w:color="0000FF"/>
            </w:tcBorders>
            <w:gridSpan w:val="19"/>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470"/>
        </w:trPr>
        <w:tc>
          <w:tcPr>
            <w:tcW w:w="900" w:type="dxa"/>
            <w:vAlign w:val="bottom"/>
          </w:tcPr>
          <w:p>
            <w:pPr>
              <w:ind w:left="20"/>
              <w:spacing w:after="0"/>
              <w:rPr>
                <w:sz w:val="20"/>
                <w:szCs w:val="20"/>
                <w:color w:val="auto"/>
              </w:rPr>
            </w:pPr>
            <w:r>
              <w:rPr>
                <w:rFonts w:ascii="Arial" w:cs="Arial" w:eastAsia="Arial" w:hAnsi="Arial"/>
                <w:sz w:val="19"/>
                <w:szCs w:val="19"/>
                <w:color w:val="auto"/>
              </w:rPr>
              <w:t>4.12</w:t>
            </w:r>
          </w:p>
        </w:tc>
        <w:tc>
          <w:tcPr>
            <w:tcW w:w="7700" w:type="dxa"/>
            <w:vAlign w:val="bottom"/>
            <w:gridSpan w:val="28"/>
          </w:tcPr>
          <w:p>
            <w:pPr>
              <w:ind w:left="5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215">
              <w:r>
                <w:rPr>
                  <w:rFonts w:ascii="Arial" w:cs="Arial" w:eastAsia="Arial" w:hAnsi="Arial"/>
                  <w:sz w:val="19"/>
                  <w:szCs w:val="19"/>
                  <w:color w:val="0000FF"/>
                  <w:w w:val="94"/>
                </w:rPr>
                <w:t>Supplemental Indenture No. 3, dated June 4, 2018, by and among Great Plains Energy</w:t>
              </w:r>
            </w:hyperlink>
          </w:p>
        </w:tc>
        <w:tc>
          <w:tcPr>
            <w:tcW w:w="2640" w:type="dxa"/>
            <w:vAlign w:val="bottom"/>
          </w:tcPr>
          <w:p>
            <w:pPr>
              <w:ind w:left="240"/>
              <w:spacing w:after="0"/>
              <w:rPr>
                <w:sz w:val="20"/>
                <w:szCs w:val="20"/>
                <w:color w:val="auto"/>
              </w:rPr>
            </w:pPr>
            <w:r>
              <w:rPr>
                <w:rFonts w:ascii="Arial" w:cs="Arial" w:eastAsia="Arial" w:hAnsi="Arial"/>
                <w:sz w:val="19"/>
                <w:szCs w:val="19"/>
                <w:color w:val="auto"/>
              </w:rPr>
              <w:t>Evergy</w:t>
            </w: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20" w:type="dxa"/>
            <w:vAlign w:val="bottom"/>
            <w:tcBorders>
              <w:top w:val="single" w:sz="8" w:color="0000FF"/>
            </w:tcBorders>
            <w:gridSpan w:val="26"/>
          </w:tcPr>
          <w:p>
            <w:pPr>
              <w:spacing w:after="0" w:line="161" w:lineRule="exact"/>
              <w:rPr>
                <w:rFonts w:ascii="Arial" w:cs="Arial" w:eastAsia="Arial" w:hAnsi="Arial"/>
                <w:sz w:val="18"/>
                <w:szCs w:val="18"/>
                <w:color w:val="0000FF"/>
                <w:w w:val="98"/>
              </w:rPr>
            </w:pPr>
            <w:hyperlink r:id="rId215">
              <w:r>
                <w:rPr>
                  <w:rFonts w:ascii="Arial" w:cs="Arial" w:eastAsia="Arial" w:hAnsi="Arial"/>
                  <w:sz w:val="18"/>
                  <w:szCs w:val="18"/>
                  <w:color w:val="0000FF"/>
                  <w:w w:val="98"/>
                </w:rPr>
                <w:t>Incorporated, Evergy, Inc. and The Bank of New York Mellon Trust Company, N.A.,</w:t>
              </w:r>
            </w:hyperlink>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8"/>
          </w:tcPr>
          <w:p>
            <w:pPr>
              <w:spacing w:after="0" w:line="161" w:lineRule="exact"/>
              <w:rPr>
                <w:rFonts w:ascii="Arial" w:cs="Arial" w:eastAsia="Arial" w:hAnsi="Arial"/>
                <w:sz w:val="18"/>
                <w:szCs w:val="18"/>
                <w:color w:val="0000FF"/>
                <w:w w:val="95"/>
              </w:rPr>
            </w:pPr>
            <w:hyperlink r:id="rId215">
              <w:r>
                <w:rPr>
                  <w:rFonts w:ascii="Arial" w:cs="Arial" w:eastAsia="Arial" w:hAnsi="Arial"/>
                  <w:sz w:val="18"/>
                  <w:szCs w:val="18"/>
                  <w:color w:val="0000FF"/>
                  <w:w w:val="95"/>
                </w:rPr>
                <w:t>as trustee (Exhibit 4.2 to Evergy's Form 8-K filed on June 4, 2018).</w:t>
              </w:r>
            </w:hyperlink>
          </w:p>
        </w:tc>
        <w:tc>
          <w:tcPr>
            <w:tcW w:w="1340" w:type="dxa"/>
            <w:vAlign w:val="bottom"/>
            <w:tcBorders>
              <w:top w:val="single" w:sz="8" w:color="0000FF"/>
            </w:tcBorders>
            <w:gridSpan w:val="15"/>
          </w:tcPr>
          <w:p>
            <w:pPr>
              <w:spacing w:after="0"/>
              <w:rPr>
                <w:sz w:val="13"/>
                <w:szCs w:val="13"/>
                <w:color w:val="auto"/>
              </w:rPr>
            </w:pPr>
          </w:p>
        </w:tc>
        <w:tc>
          <w:tcPr>
            <w:tcW w:w="340" w:type="dxa"/>
            <w:vAlign w:val="bottom"/>
            <w:gridSpan w:val="4"/>
          </w:tcPr>
          <w:p>
            <w:pPr>
              <w:spacing w:after="0"/>
              <w:rPr>
                <w:sz w:val="13"/>
                <w:szCs w:val="13"/>
                <w:color w:val="auto"/>
              </w:rPr>
            </w:pPr>
          </w:p>
        </w:tc>
        <w:tc>
          <w:tcPr>
            <w:tcW w:w="2640" w:type="dxa"/>
            <w:vAlign w:val="bottom"/>
          </w:tcPr>
          <w:p>
            <w:pPr>
              <w:spacing w:after="0"/>
              <w:rPr>
                <w:sz w:val="13"/>
                <w:szCs w:val="13"/>
                <w:color w:val="auto"/>
              </w:rPr>
            </w:pPr>
          </w:p>
        </w:tc>
      </w:tr>
      <w:tr>
        <w:trPr>
          <w:trHeight w:val="470"/>
        </w:trPr>
        <w:tc>
          <w:tcPr>
            <w:tcW w:w="900" w:type="dxa"/>
            <w:vAlign w:val="bottom"/>
          </w:tcPr>
          <w:p>
            <w:pPr>
              <w:ind w:left="20"/>
              <w:spacing w:after="0"/>
              <w:rPr>
                <w:sz w:val="20"/>
                <w:szCs w:val="20"/>
                <w:color w:val="auto"/>
              </w:rPr>
            </w:pPr>
            <w:r>
              <w:rPr>
                <w:rFonts w:ascii="Arial" w:cs="Arial" w:eastAsia="Arial" w:hAnsi="Arial"/>
                <w:sz w:val="19"/>
                <w:szCs w:val="19"/>
                <w:color w:val="auto"/>
              </w:rPr>
              <w:t>4.13</w:t>
            </w:r>
          </w:p>
        </w:tc>
        <w:tc>
          <w:tcPr>
            <w:tcW w:w="7700" w:type="dxa"/>
            <w:vAlign w:val="bottom"/>
            <w:gridSpan w:val="28"/>
          </w:tcPr>
          <w:p>
            <w:pPr>
              <w:ind w:left="560"/>
              <w:spacing w:after="0"/>
              <w:rPr>
                <w:rFonts w:ascii="Arial" w:cs="Arial" w:eastAsia="Arial" w:hAnsi="Arial"/>
                <w:sz w:val="19"/>
                <w:szCs w:val="19"/>
                <w:color w:val="auto"/>
              </w:rPr>
            </w:pPr>
            <w:r>
              <w:rPr>
                <w:rFonts w:ascii="Arial" w:cs="Arial" w:eastAsia="Arial" w:hAnsi="Arial"/>
                <w:sz w:val="19"/>
                <w:szCs w:val="19"/>
                <w:color w:val="auto"/>
              </w:rPr>
              <w:t xml:space="preserve">*   </w:t>
            </w:r>
            <w:hyperlink r:id="rId216">
              <w:r>
                <w:rPr>
                  <w:rFonts w:ascii="Arial" w:cs="Arial" w:eastAsia="Arial" w:hAnsi="Arial"/>
                  <w:sz w:val="19"/>
                  <w:szCs w:val="19"/>
                  <w:color w:val="0000FF"/>
                </w:rPr>
                <w:t>Indenture, dated August 24, 2001, between Evergy Missouri West, Inc. (formerly</w:t>
              </w:r>
            </w:hyperlink>
          </w:p>
        </w:tc>
        <w:tc>
          <w:tcPr>
            <w:tcW w:w="2640" w:type="dxa"/>
            <w:vAlign w:val="bottom"/>
          </w:tcPr>
          <w:p>
            <w:pPr>
              <w:ind w:left="240"/>
              <w:spacing w:after="0"/>
              <w:rPr>
                <w:sz w:val="20"/>
                <w:szCs w:val="20"/>
                <w:color w:val="auto"/>
              </w:rPr>
            </w:pPr>
            <w:r>
              <w:rPr>
                <w:rFonts w:ascii="Arial" w:cs="Arial" w:eastAsia="Arial" w:hAnsi="Arial"/>
                <w:sz w:val="19"/>
                <w:szCs w:val="19"/>
                <w:color w:val="auto"/>
              </w:rPr>
              <w:t>Evergy</w:t>
            </w:r>
          </w:p>
        </w:tc>
      </w:tr>
      <w:tr>
        <w:trPr>
          <w:trHeight w:val="153"/>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140" w:type="dxa"/>
            <w:vAlign w:val="bottom"/>
            <w:tcBorders>
              <w:top w:val="single" w:sz="8" w:color="0000FF"/>
            </w:tcBorders>
            <w:gridSpan w:val="16"/>
          </w:tcPr>
          <w:p>
            <w:pPr>
              <w:spacing w:after="0" w:line="148" w:lineRule="exact"/>
              <w:rPr>
                <w:rFonts w:ascii="Arial" w:cs="Arial" w:eastAsia="Arial" w:hAnsi="Arial"/>
                <w:sz w:val="17"/>
                <w:szCs w:val="17"/>
                <w:color w:val="0000FF"/>
              </w:rPr>
            </w:pPr>
            <w:hyperlink r:id="rId216">
              <w:r>
                <w:rPr>
                  <w:rFonts w:ascii="Arial" w:cs="Arial" w:eastAsia="Arial" w:hAnsi="Arial"/>
                  <w:sz w:val="17"/>
                  <w:szCs w:val="17"/>
                  <w:color w:val="0000FF"/>
                </w:rPr>
                <w:t>Aquila, Inc.) and BankOne Trust Company, N.A., as trustee (Exhibit 4(d) to</w:t>
              </w:r>
            </w:hyperlink>
          </w:p>
        </w:tc>
        <w:tc>
          <w:tcPr>
            <w:tcW w:w="60" w:type="dxa"/>
            <w:vAlign w:val="bottom"/>
            <w:gridSpan w:val="2"/>
          </w:tcPr>
          <w:p>
            <w:pPr>
              <w:spacing w:after="0"/>
              <w:rPr>
                <w:sz w:val="13"/>
                <w:szCs w:val="13"/>
                <w:color w:val="auto"/>
              </w:rPr>
            </w:pPr>
          </w:p>
        </w:tc>
        <w:tc>
          <w:tcPr>
            <w:tcW w:w="580" w:type="dxa"/>
            <w:vAlign w:val="bottom"/>
            <w:gridSpan w:val="9"/>
          </w:tcPr>
          <w:p>
            <w:pPr>
              <w:spacing w:after="0"/>
              <w:rPr>
                <w:sz w:val="13"/>
                <w:szCs w:val="13"/>
                <w:color w:val="auto"/>
              </w:rPr>
            </w:pPr>
          </w:p>
        </w:tc>
        <w:tc>
          <w:tcPr>
            <w:tcW w:w="2640" w:type="dxa"/>
            <w:vAlign w:val="bottom"/>
          </w:tcPr>
          <w:p>
            <w:pPr>
              <w:spacing w:after="0"/>
              <w:rPr>
                <w:sz w:val="13"/>
                <w:szCs w:val="13"/>
                <w:color w:val="auto"/>
              </w:rPr>
            </w:pPr>
          </w:p>
        </w:tc>
      </w:tr>
      <w:tr>
        <w:trPr>
          <w:trHeight w:val="168"/>
        </w:trPr>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760" w:type="dxa"/>
            <w:vAlign w:val="bottom"/>
            <w:tcBorders>
              <w:top w:val="single" w:sz="8" w:color="0000FF"/>
            </w:tcBorders>
            <w:gridSpan w:val="10"/>
          </w:tcPr>
          <w:p>
            <w:pPr>
              <w:spacing w:after="0" w:line="168" w:lineRule="exact"/>
              <w:rPr>
                <w:rFonts w:ascii="Arial" w:cs="Arial" w:eastAsia="Arial" w:hAnsi="Arial"/>
                <w:sz w:val="19"/>
                <w:szCs w:val="19"/>
                <w:color w:val="0000FF"/>
                <w:w w:val="93"/>
              </w:rPr>
            </w:pPr>
            <w:hyperlink r:id="rId216">
              <w:r>
                <w:rPr>
                  <w:rFonts w:ascii="Arial" w:cs="Arial" w:eastAsia="Arial" w:hAnsi="Arial"/>
                  <w:sz w:val="19"/>
                  <w:szCs w:val="19"/>
                  <w:color w:val="0000FF"/>
                  <w:w w:val="93"/>
                </w:rPr>
                <w:t>Registration Statement on Form S-3 (File No. 333-68400) filed by Aquila,</w:t>
              </w:r>
            </w:hyperlink>
          </w:p>
        </w:tc>
        <w:tc>
          <w:tcPr>
            <w:tcW w:w="1020" w:type="dxa"/>
            <w:vAlign w:val="bottom"/>
            <w:gridSpan w:val="17"/>
          </w:tcPr>
          <w:p>
            <w:pPr>
              <w:spacing w:after="0" w:line="168" w:lineRule="exact"/>
              <w:rPr>
                <w:rFonts w:ascii="Arial" w:cs="Arial" w:eastAsia="Arial" w:hAnsi="Arial"/>
                <w:sz w:val="19"/>
                <w:szCs w:val="19"/>
                <w:color w:val="0000FF"/>
              </w:rPr>
            </w:pPr>
            <w:hyperlink r:id="rId216">
              <w:r>
                <w:rPr>
                  <w:rFonts w:ascii="Arial" w:cs="Arial" w:eastAsia="Arial" w:hAnsi="Arial"/>
                  <w:sz w:val="19"/>
                  <w:szCs w:val="19"/>
                  <w:color w:val="0000FF"/>
                </w:rPr>
                <w:t>Inc. on</w:t>
              </w:r>
            </w:hyperlink>
          </w:p>
        </w:tc>
        <w:tc>
          <w:tcPr>
            <w:tcW w:w="2640" w:type="dxa"/>
            <w:vAlign w:val="bottom"/>
          </w:tcPr>
          <w:p>
            <w:pPr>
              <w:spacing w:after="0"/>
              <w:rPr>
                <w:sz w:val="14"/>
                <w:szCs w:val="14"/>
                <w:color w:val="auto"/>
              </w:rPr>
            </w:pPr>
          </w:p>
        </w:tc>
      </w:tr>
      <w:tr>
        <w:trPr>
          <w:trHeight w:val="160"/>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0" w:type="dxa"/>
            <w:vAlign w:val="bottom"/>
            <w:tcBorders>
              <w:top w:val="single" w:sz="8" w:color="0000FF"/>
            </w:tcBorders>
            <w:gridSpan w:val="18"/>
          </w:tcPr>
          <w:p>
            <w:pPr>
              <w:spacing w:after="0" w:line="161" w:lineRule="exact"/>
              <w:rPr>
                <w:rFonts w:ascii="Arial" w:cs="Arial" w:eastAsia="Arial" w:hAnsi="Arial"/>
                <w:sz w:val="18"/>
                <w:szCs w:val="18"/>
                <w:color w:val="0000FF"/>
              </w:rPr>
            </w:pPr>
            <w:hyperlink r:id="rId216">
              <w:r>
                <w:rPr>
                  <w:rFonts w:ascii="Arial" w:cs="Arial" w:eastAsia="Arial" w:hAnsi="Arial"/>
                  <w:sz w:val="18"/>
                  <w:szCs w:val="18"/>
                  <w:color w:val="0000FF"/>
                </w:rPr>
                <w:t>August 27, 2001).</w:t>
              </w:r>
            </w:hyperlink>
          </w:p>
        </w:tc>
        <w:tc>
          <w:tcPr>
            <w:tcW w:w="580" w:type="dxa"/>
            <w:vAlign w:val="bottom"/>
            <w:gridSpan w:val="9"/>
          </w:tcPr>
          <w:p>
            <w:pPr>
              <w:spacing w:after="0"/>
              <w:rPr>
                <w:sz w:val="13"/>
                <w:szCs w:val="13"/>
                <w:color w:val="auto"/>
              </w:rPr>
            </w:pPr>
          </w:p>
        </w:tc>
        <w:tc>
          <w:tcPr>
            <w:tcW w:w="2640" w:type="dxa"/>
            <w:vAlign w:val="bottom"/>
          </w:tcPr>
          <w:p>
            <w:pPr>
              <w:spacing w:after="0"/>
              <w:rPr>
                <w:sz w:val="13"/>
                <w:szCs w:val="13"/>
                <w:color w:val="auto"/>
              </w:rPr>
            </w:pPr>
          </w:p>
        </w:tc>
      </w:tr>
      <w:tr>
        <w:trPr>
          <w:trHeight w:val="932"/>
        </w:trPr>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Borders>
              <w:top w:val="single" w:sz="8" w:color="0000FF"/>
            </w:tcBorders>
            <w:gridSpan w:val="4"/>
          </w:tcPr>
          <w:p>
            <w:pPr>
              <w:spacing w:after="0"/>
              <w:rPr>
                <w:sz w:val="24"/>
                <w:szCs w:val="24"/>
                <w:color w:val="auto"/>
              </w:rPr>
            </w:pPr>
          </w:p>
        </w:tc>
        <w:tc>
          <w:tcPr>
            <w:tcW w:w="3400" w:type="dxa"/>
            <w:vAlign w:val="bottom"/>
            <w:gridSpan w:val="3"/>
          </w:tcPr>
          <w:p>
            <w:pPr>
              <w:jc w:val="right"/>
              <w:ind w:right="820"/>
              <w:spacing w:after="0"/>
              <w:rPr>
                <w:sz w:val="20"/>
                <w:szCs w:val="20"/>
                <w:color w:val="auto"/>
              </w:rPr>
            </w:pPr>
            <w:r>
              <w:rPr>
                <w:rFonts w:ascii="Arial" w:cs="Arial" w:eastAsia="Arial" w:hAnsi="Arial"/>
                <w:sz w:val="17"/>
                <w:szCs w:val="17"/>
                <w:color w:val="auto"/>
              </w:rPr>
              <w:t>164</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10"/>
        </w:trPr>
        <w:tc>
          <w:tcPr>
            <w:tcW w:w="9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6" w:name="page167"/>
    <w:bookmarkEnd w:id="16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80" w:type="dxa"/>
            <w:vAlign w:val="bottom"/>
          </w:tcPr>
          <w:p>
            <w:pPr>
              <w:jc w:val="right"/>
              <w:ind w:right="446"/>
              <w:spacing w:after="0"/>
              <w:rPr>
                <w:sz w:val="20"/>
                <w:szCs w:val="20"/>
                <w:color w:val="auto"/>
              </w:rPr>
            </w:pPr>
            <w:r>
              <w:rPr>
                <w:rFonts w:ascii="Arial" w:cs="Arial" w:eastAsia="Arial" w:hAnsi="Arial"/>
                <w:sz w:val="19"/>
                <w:szCs w:val="19"/>
                <w:color w:val="auto"/>
                <w:w w:val="86"/>
              </w:rPr>
              <w:t>4.14</w:t>
            </w:r>
          </w:p>
        </w:tc>
        <w:tc>
          <w:tcPr>
            <w:tcW w:w="7520" w:type="dxa"/>
            <w:vAlign w:val="bottom"/>
            <w:gridSpan w:val="22"/>
          </w:tcPr>
          <w:p>
            <w:pPr>
              <w:ind w:left="560"/>
              <w:spacing w:after="0"/>
              <w:rPr>
                <w:rFonts w:ascii="Arial" w:cs="Arial" w:eastAsia="Arial" w:hAnsi="Arial"/>
                <w:sz w:val="19"/>
                <w:szCs w:val="19"/>
                <w:color w:val="auto"/>
                <w:w w:val="97"/>
              </w:rPr>
            </w:pPr>
            <w:r>
              <w:rPr>
                <w:rFonts w:ascii="Arial" w:cs="Arial" w:eastAsia="Arial" w:hAnsi="Arial"/>
                <w:sz w:val="19"/>
                <w:szCs w:val="19"/>
                <w:color w:val="auto"/>
                <w:w w:val="97"/>
              </w:rPr>
              <w:t xml:space="preserve">*   </w:t>
            </w:r>
            <w:hyperlink r:id="rId219">
              <w:r>
                <w:rPr>
                  <w:rFonts w:ascii="Arial" w:cs="Arial" w:eastAsia="Arial" w:hAnsi="Arial"/>
                  <w:sz w:val="19"/>
                  <w:szCs w:val="19"/>
                  <w:color w:val="0000FF"/>
                  <w:w w:val="97"/>
                </w:rPr>
                <w:t>Second Supplemental Indenture, dated July 3, 2002, between Missouri West, Inc.</w:t>
              </w:r>
            </w:hyperlink>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0" w:type="dxa"/>
            <w:vAlign w:val="bottom"/>
            <w:gridSpan w:val="21"/>
          </w:tcPr>
          <w:p>
            <w:pPr>
              <w:spacing w:after="0" w:line="161" w:lineRule="exact"/>
              <w:rPr>
                <w:rFonts w:ascii="Arial" w:cs="Arial" w:eastAsia="Arial" w:hAnsi="Arial"/>
                <w:sz w:val="18"/>
                <w:szCs w:val="18"/>
                <w:color w:val="0000FF"/>
                <w:w w:val="98"/>
              </w:rPr>
            </w:pPr>
            <w:hyperlink r:id="rId219">
              <w:r>
                <w:rPr>
                  <w:rFonts w:ascii="Arial" w:cs="Arial" w:eastAsia="Arial" w:hAnsi="Arial"/>
                  <w:sz w:val="18"/>
                  <w:szCs w:val="18"/>
                  <w:color w:val="0000FF"/>
                  <w:w w:val="98"/>
                </w:rPr>
                <w:t>(formerly Aquila, Inc.) and BankOne Trust Company, N.A., as trustee (Exhibit 4(c) to</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00" w:type="dxa"/>
            <w:vAlign w:val="bottom"/>
            <w:tcBorders>
              <w:top w:val="single" w:sz="8" w:color="0000FF"/>
            </w:tcBorders>
            <w:gridSpan w:val="16"/>
          </w:tcPr>
          <w:p>
            <w:pPr>
              <w:spacing w:after="0" w:line="161" w:lineRule="exact"/>
              <w:rPr>
                <w:rFonts w:ascii="Arial" w:cs="Arial" w:eastAsia="Arial" w:hAnsi="Arial"/>
                <w:sz w:val="18"/>
                <w:szCs w:val="18"/>
                <w:color w:val="0000FF"/>
              </w:rPr>
            </w:pPr>
            <w:hyperlink r:id="rId219">
              <w:r>
                <w:rPr>
                  <w:rFonts w:ascii="Arial" w:cs="Arial" w:eastAsia="Arial" w:hAnsi="Arial"/>
                  <w:sz w:val="18"/>
                  <w:szCs w:val="18"/>
                  <w:color w:val="0000FF"/>
                </w:rPr>
                <w:t>Form S-4 (File No. 333-100204) filed by Aquila, Inc. on September 30,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880" w:type="dxa"/>
            <w:vAlign w:val="bottom"/>
          </w:tcPr>
          <w:p>
            <w:pPr>
              <w:jc w:val="right"/>
              <w:ind w:right="446"/>
              <w:spacing w:after="0"/>
              <w:rPr>
                <w:sz w:val="20"/>
                <w:szCs w:val="20"/>
                <w:color w:val="auto"/>
              </w:rPr>
            </w:pPr>
            <w:r>
              <w:rPr>
                <w:rFonts w:ascii="Arial" w:cs="Arial" w:eastAsia="Arial" w:hAnsi="Arial"/>
                <w:sz w:val="19"/>
                <w:szCs w:val="19"/>
                <w:color w:val="auto"/>
                <w:w w:val="86"/>
              </w:rPr>
              <w:t>4.15</w:t>
            </w:r>
          </w:p>
        </w:tc>
        <w:tc>
          <w:tcPr>
            <w:tcW w:w="7520" w:type="dxa"/>
            <w:vAlign w:val="bottom"/>
            <w:gridSpan w:val="22"/>
          </w:tcPr>
          <w:p>
            <w:pPr>
              <w:ind w:left="560"/>
              <w:spacing w:after="0"/>
              <w:rPr>
                <w:rFonts w:ascii="Arial" w:cs="Arial" w:eastAsia="Arial" w:hAnsi="Arial"/>
                <w:sz w:val="19"/>
                <w:szCs w:val="19"/>
                <w:color w:val="auto"/>
                <w:w w:val="99"/>
              </w:rPr>
            </w:pPr>
            <w:r>
              <w:rPr>
                <w:rFonts w:ascii="Arial" w:cs="Arial" w:eastAsia="Arial" w:hAnsi="Arial"/>
                <w:sz w:val="19"/>
                <w:szCs w:val="19"/>
                <w:color w:val="auto"/>
                <w:w w:val="99"/>
              </w:rPr>
              <w:t xml:space="preserve">*   </w:t>
            </w:r>
            <w:hyperlink r:id="rId220">
              <w:r>
                <w:rPr>
                  <w:rFonts w:ascii="Arial" w:cs="Arial" w:eastAsia="Arial" w:hAnsi="Arial"/>
                  <w:sz w:val="19"/>
                  <w:szCs w:val="19"/>
                  <w:color w:val="0000FF"/>
                  <w:w w:val="99"/>
                </w:rPr>
                <w:t>General Mortgage and Deed of Trust, dated December 1, 1986, between Evergy</w:t>
              </w:r>
            </w:hyperlink>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0" w:type="dxa"/>
            <w:vAlign w:val="bottom"/>
            <w:gridSpan w:val="21"/>
          </w:tcPr>
          <w:p>
            <w:pPr>
              <w:spacing w:after="0" w:line="161" w:lineRule="exact"/>
              <w:rPr>
                <w:rFonts w:ascii="Arial" w:cs="Arial" w:eastAsia="Arial" w:hAnsi="Arial"/>
                <w:sz w:val="18"/>
                <w:szCs w:val="18"/>
                <w:color w:val="0000FF"/>
              </w:rPr>
            </w:pPr>
            <w:hyperlink r:id="rId220">
              <w:r>
                <w:rPr>
                  <w:rFonts w:ascii="Arial" w:cs="Arial" w:eastAsia="Arial" w:hAnsi="Arial"/>
                  <w:sz w:val="18"/>
                  <w:szCs w:val="18"/>
                  <w:color w:val="0000FF"/>
                </w:rPr>
                <w:t>Metro, Inc. (formerly Kansas City Power &amp; Light Company) and UMB Bank, N.A.</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320" w:type="dxa"/>
            <w:vAlign w:val="bottom"/>
            <w:tcBorders>
              <w:top w:val="single" w:sz="8" w:color="0000FF"/>
            </w:tcBorders>
            <w:gridSpan w:val="12"/>
          </w:tcPr>
          <w:p>
            <w:pPr>
              <w:spacing w:after="0" w:line="161" w:lineRule="exact"/>
              <w:rPr>
                <w:rFonts w:ascii="Arial" w:cs="Arial" w:eastAsia="Arial" w:hAnsi="Arial"/>
                <w:sz w:val="18"/>
                <w:szCs w:val="18"/>
                <w:color w:val="0000FF"/>
                <w:w w:val="99"/>
              </w:rPr>
            </w:pPr>
            <w:hyperlink r:id="rId220">
              <w:r>
                <w:rPr>
                  <w:rFonts w:ascii="Arial" w:cs="Arial" w:eastAsia="Arial" w:hAnsi="Arial"/>
                  <w:sz w:val="18"/>
                  <w:szCs w:val="18"/>
                  <w:color w:val="0000FF"/>
                  <w:w w:val="99"/>
                </w:rPr>
                <w:t>(formerly United Missouri Bank of Kansas City, N.A.), as trustee (Exhibit 4.12 to</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61" w:lineRule="exact"/>
              <w:rPr>
                <w:rFonts w:ascii="Arial" w:cs="Arial" w:eastAsia="Arial" w:hAnsi="Arial"/>
                <w:sz w:val="18"/>
                <w:szCs w:val="18"/>
                <w:color w:val="0000FF"/>
                <w:w w:val="95"/>
              </w:rPr>
            </w:pPr>
            <w:hyperlink r:id="rId220">
              <w:r>
                <w:rPr>
                  <w:rFonts w:ascii="Arial" w:cs="Arial" w:eastAsia="Arial" w:hAnsi="Arial"/>
                  <w:sz w:val="18"/>
                  <w:szCs w:val="18"/>
                  <w:color w:val="0000FF"/>
                  <w:w w:val="95"/>
                </w:rPr>
                <w:t>Evergy Metro's Form 10-K for the year ended December 31, 2017).</w:t>
              </w:r>
            </w:hyperlink>
          </w:p>
        </w:tc>
        <w:tc>
          <w:tcPr>
            <w:tcW w:w="10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880" w:type="dxa"/>
            <w:vAlign w:val="bottom"/>
          </w:tcPr>
          <w:p>
            <w:pPr>
              <w:jc w:val="right"/>
              <w:ind w:right="446"/>
              <w:spacing w:after="0"/>
              <w:rPr>
                <w:sz w:val="20"/>
                <w:szCs w:val="20"/>
                <w:color w:val="auto"/>
              </w:rPr>
            </w:pPr>
            <w:r>
              <w:rPr>
                <w:rFonts w:ascii="Arial" w:cs="Arial" w:eastAsia="Arial" w:hAnsi="Arial"/>
                <w:sz w:val="19"/>
                <w:szCs w:val="19"/>
                <w:color w:val="auto"/>
                <w:w w:val="86"/>
              </w:rPr>
              <w:t>4.16</w:t>
            </w:r>
          </w:p>
        </w:tc>
        <w:tc>
          <w:tcPr>
            <w:tcW w:w="7520" w:type="dxa"/>
            <w:vAlign w:val="bottom"/>
            <w:gridSpan w:val="22"/>
          </w:tcPr>
          <w:p>
            <w:pPr>
              <w:ind w:left="5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221">
              <w:r>
                <w:rPr>
                  <w:rFonts w:ascii="Arial" w:cs="Arial" w:eastAsia="Arial" w:hAnsi="Arial"/>
                  <w:sz w:val="19"/>
                  <w:szCs w:val="19"/>
                  <w:color w:val="0000FF"/>
                  <w:w w:val="94"/>
                </w:rPr>
                <w:t>Fifth Supplemental Indenture, dated September 1, 1992, between Evergy Metro, Inc.</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0" w:type="dxa"/>
            <w:vAlign w:val="bottom"/>
            <w:tcBorders>
              <w:top w:val="single" w:sz="8" w:color="0000FF"/>
            </w:tcBorders>
            <w:gridSpan w:val="14"/>
          </w:tcPr>
          <w:p>
            <w:pPr>
              <w:spacing w:after="0" w:line="161" w:lineRule="exact"/>
              <w:rPr>
                <w:rFonts w:ascii="Arial" w:cs="Arial" w:eastAsia="Arial" w:hAnsi="Arial"/>
                <w:sz w:val="18"/>
                <w:szCs w:val="18"/>
                <w:color w:val="0000FF"/>
              </w:rPr>
            </w:pPr>
            <w:hyperlink r:id="rId221">
              <w:r>
                <w:rPr>
                  <w:rFonts w:ascii="Arial" w:cs="Arial" w:eastAsia="Arial" w:hAnsi="Arial"/>
                  <w:sz w:val="18"/>
                  <w:szCs w:val="18"/>
                  <w:color w:val="0000FF"/>
                </w:rPr>
                <w:t>(formerly Kansas City Power &amp; Light Company) and UMB Bank, N.A. (formerly</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0" w:type="dxa"/>
            <w:vAlign w:val="bottom"/>
            <w:tcBorders>
              <w:top w:val="single" w:sz="8" w:color="0000FF"/>
            </w:tcBorders>
            <w:gridSpan w:val="10"/>
          </w:tcPr>
          <w:p>
            <w:pPr>
              <w:spacing w:after="0" w:line="161" w:lineRule="exact"/>
              <w:rPr>
                <w:rFonts w:ascii="Arial" w:cs="Arial" w:eastAsia="Arial" w:hAnsi="Arial"/>
                <w:sz w:val="18"/>
                <w:szCs w:val="18"/>
                <w:color w:val="0000FF"/>
              </w:rPr>
            </w:pPr>
            <w:hyperlink r:id="rId221">
              <w:r>
                <w:rPr>
                  <w:rFonts w:ascii="Arial" w:cs="Arial" w:eastAsia="Arial" w:hAnsi="Arial"/>
                  <w:sz w:val="18"/>
                  <w:szCs w:val="18"/>
                  <w:color w:val="0000FF"/>
                </w:rPr>
                <w:t>United Missouri Bank of Kansas City, N.A.), as trustee (Exhibit 4.13 to Evergy</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40" w:type="dxa"/>
            <w:vAlign w:val="bottom"/>
            <w:tcBorders>
              <w:top w:val="single" w:sz="8" w:color="0000FF"/>
            </w:tcBorders>
            <w:gridSpan w:val="7"/>
          </w:tcPr>
          <w:p>
            <w:pPr>
              <w:spacing w:after="0" w:line="161" w:lineRule="exact"/>
              <w:rPr>
                <w:rFonts w:ascii="Arial" w:cs="Arial" w:eastAsia="Arial" w:hAnsi="Arial"/>
                <w:sz w:val="18"/>
                <w:szCs w:val="18"/>
                <w:color w:val="0000FF"/>
              </w:rPr>
            </w:pPr>
            <w:hyperlink r:id="rId221">
              <w:r>
                <w:rPr>
                  <w:rFonts w:ascii="Arial" w:cs="Arial" w:eastAsia="Arial" w:hAnsi="Arial"/>
                  <w:sz w:val="18"/>
                  <w:szCs w:val="18"/>
                  <w:color w:val="0000FF"/>
                </w:rPr>
                <w:t>Metro's Form 10-K for the year ended December 31, 2017).</w:t>
              </w:r>
            </w:hyperlink>
          </w:p>
        </w:tc>
        <w:tc>
          <w:tcPr>
            <w:tcW w:w="18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880" w:type="dxa"/>
            <w:vAlign w:val="bottom"/>
          </w:tcPr>
          <w:p>
            <w:pPr>
              <w:jc w:val="right"/>
              <w:ind w:right="446"/>
              <w:spacing w:after="0"/>
              <w:rPr>
                <w:sz w:val="20"/>
                <w:szCs w:val="20"/>
                <w:color w:val="auto"/>
              </w:rPr>
            </w:pPr>
            <w:r>
              <w:rPr>
                <w:rFonts w:ascii="Arial" w:cs="Arial" w:eastAsia="Arial" w:hAnsi="Arial"/>
                <w:sz w:val="19"/>
                <w:szCs w:val="19"/>
                <w:color w:val="auto"/>
                <w:w w:val="86"/>
              </w:rPr>
              <w:t>4.17</w:t>
            </w:r>
          </w:p>
        </w:tc>
        <w:tc>
          <w:tcPr>
            <w:tcW w:w="7520" w:type="dxa"/>
            <w:vAlign w:val="bottom"/>
            <w:gridSpan w:val="22"/>
          </w:tcPr>
          <w:p>
            <w:pPr>
              <w:ind w:left="560"/>
              <w:spacing w:after="0"/>
              <w:rPr>
                <w:rFonts w:ascii="Arial" w:cs="Arial" w:eastAsia="Arial" w:hAnsi="Arial"/>
                <w:sz w:val="19"/>
                <w:szCs w:val="19"/>
                <w:color w:val="auto"/>
                <w:w w:val="93"/>
              </w:rPr>
            </w:pPr>
            <w:r>
              <w:rPr>
                <w:rFonts w:ascii="Arial" w:cs="Arial" w:eastAsia="Arial" w:hAnsi="Arial"/>
                <w:sz w:val="19"/>
                <w:szCs w:val="19"/>
                <w:color w:val="auto"/>
                <w:w w:val="93"/>
              </w:rPr>
              <w:t xml:space="preserve">*   </w:t>
            </w:r>
            <w:hyperlink r:id="rId222">
              <w:r>
                <w:rPr>
                  <w:rFonts w:ascii="Arial" w:cs="Arial" w:eastAsia="Arial" w:hAnsi="Arial"/>
                  <w:sz w:val="19"/>
                  <w:szCs w:val="19"/>
                  <w:color w:val="0000FF"/>
                  <w:w w:val="93"/>
                </w:rPr>
                <w:t>Seventh Supplemental Indenture, dated October 1, 1993, between Evergy Metro, Inc.</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60" w:type="dxa"/>
            <w:vAlign w:val="bottom"/>
            <w:tcBorders>
              <w:top w:val="single" w:sz="8" w:color="0000FF"/>
            </w:tcBorders>
            <w:gridSpan w:val="15"/>
          </w:tcPr>
          <w:p>
            <w:pPr>
              <w:spacing w:after="0" w:line="161" w:lineRule="exact"/>
              <w:rPr>
                <w:rFonts w:ascii="Arial" w:cs="Arial" w:eastAsia="Arial" w:hAnsi="Arial"/>
                <w:sz w:val="18"/>
                <w:szCs w:val="18"/>
                <w:color w:val="0000FF"/>
              </w:rPr>
            </w:pPr>
            <w:hyperlink r:id="rId222">
              <w:r>
                <w:rPr>
                  <w:rFonts w:ascii="Arial" w:cs="Arial" w:eastAsia="Arial" w:hAnsi="Arial"/>
                  <w:sz w:val="18"/>
                  <w:szCs w:val="18"/>
                  <w:color w:val="0000FF"/>
                </w:rPr>
                <w:t>(formerly Kansas City Power &amp; Light Company) and UMB Bank, N.A. (formerly</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0" w:type="dxa"/>
            <w:vAlign w:val="bottom"/>
            <w:tcBorders>
              <w:top w:val="single" w:sz="8" w:color="0000FF"/>
            </w:tcBorders>
            <w:gridSpan w:val="10"/>
          </w:tcPr>
          <w:p>
            <w:pPr>
              <w:spacing w:after="0" w:line="161" w:lineRule="exact"/>
              <w:rPr>
                <w:rFonts w:ascii="Arial" w:cs="Arial" w:eastAsia="Arial" w:hAnsi="Arial"/>
                <w:sz w:val="18"/>
                <w:szCs w:val="18"/>
                <w:color w:val="0000FF"/>
              </w:rPr>
            </w:pPr>
            <w:hyperlink r:id="rId222">
              <w:r>
                <w:rPr>
                  <w:rFonts w:ascii="Arial" w:cs="Arial" w:eastAsia="Arial" w:hAnsi="Arial"/>
                  <w:sz w:val="18"/>
                  <w:szCs w:val="18"/>
                  <w:color w:val="0000FF"/>
                </w:rPr>
                <w:t>United Missouri Bank of Kansas City, N.A.), as trustee (Exhibit 4.14 to Evergy</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40" w:type="dxa"/>
            <w:vAlign w:val="bottom"/>
            <w:tcBorders>
              <w:top w:val="single" w:sz="8" w:color="0000FF"/>
            </w:tcBorders>
            <w:gridSpan w:val="7"/>
          </w:tcPr>
          <w:p>
            <w:pPr>
              <w:spacing w:after="0" w:line="161" w:lineRule="exact"/>
              <w:rPr>
                <w:rFonts w:ascii="Arial" w:cs="Arial" w:eastAsia="Arial" w:hAnsi="Arial"/>
                <w:sz w:val="18"/>
                <w:szCs w:val="18"/>
                <w:color w:val="0000FF"/>
              </w:rPr>
            </w:pPr>
            <w:hyperlink r:id="rId222">
              <w:r>
                <w:rPr>
                  <w:rFonts w:ascii="Arial" w:cs="Arial" w:eastAsia="Arial" w:hAnsi="Arial"/>
                  <w:sz w:val="18"/>
                  <w:szCs w:val="18"/>
                  <w:color w:val="0000FF"/>
                </w:rPr>
                <w:t>Metro's Form 10-K for the year ended December 31, 2017).</w:t>
              </w:r>
            </w:hyperlink>
          </w:p>
        </w:tc>
        <w:tc>
          <w:tcPr>
            <w:tcW w:w="18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880" w:type="dxa"/>
            <w:vAlign w:val="bottom"/>
          </w:tcPr>
          <w:p>
            <w:pPr>
              <w:jc w:val="right"/>
              <w:ind w:right="446"/>
              <w:spacing w:after="0"/>
              <w:rPr>
                <w:sz w:val="20"/>
                <w:szCs w:val="20"/>
                <w:color w:val="auto"/>
              </w:rPr>
            </w:pPr>
            <w:r>
              <w:rPr>
                <w:rFonts w:ascii="Arial" w:cs="Arial" w:eastAsia="Arial" w:hAnsi="Arial"/>
                <w:sz w:val="19"/>
                <w:szCs w:val="19"/>
                <w:color w:val="auto"/>
                <w:w w:val="86"/>
              </w:rPr>
              <w:t>4.18</w:t>
            </w:r>
          </w:p>
        </w:tc>
        <w:tc>
          <w:tcPr>
            <w:tcW w:w="7520" w:type="dxa"/>
            <w:vAlign w:val="bottom"/>
            <w:gridSpan w:val="22"/>
          </w:tcPr>
          <w:p>
            <w:pPr>
              <w:ind w:left="560"/>
              <w:spacing w:after="0"/>
              <w:rPr>
                <w:rFonts w:ascii="Arial" w:cs="Arial" w:eastAsia="Arial" w:hAnsi="Arial"/>
                <w:sz w:val="19"/>
                <w:szCs w:val="19"/>
                <w:color w:val="auto"/>
                <w:w w:val="93"/>
              </w:rPr>
            </w:pPr>
            <w:r>
              <w:rPr>
                <w:rFonts w:ascii="Arial" w:cs="Arial" w:eastAsia="Arial" w:hAnsi="Arial"/>
                <w:sz w:val="19"/>
                <w:szCs w:val="19"/>
                <w:color w:val="auto"/>
                <w:w w:val="93"/>
              </w:rPr>
              <w:t xml:space="preserve">*   </w:t>
            </w:r>
            <w:hyperlink r:id="rId223">
              <w:r>
                <w:rPr>
                  <w:rFonts w:ascii="Arial" w:cs="Arial" w:eastAsia="Arial" w:hAnsi="Arial"/>
                  <w:sz w:val="19"/>
                  <w:szCs w:val="19"/>
                  <w:color w:val="0000FF"/>
                  <w:w w:val="93"/>
                </w:rPr>
                <w:t>Eighth Supplemental Indenture, dated December 1, 1993, between Evergy Metro, Inc.</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20" w:type="dxa"/>
            <w:vAlign w:val="bottom"/>
            <w:tcBorders>
              <w:top w:val="single" w:sz="8" w:color="0000FF"/>
            </w:tcBorders>
            <w:gridSpan w:val="17"/>
          </w:tcPr>
          <w:p>
            <w:pPr>
              <w:spacing w:after="0" w:line="161" w:lineRule="exact"/>
              <w:rPr>
                <w:rFonts w:ascii="Arial" w:cs="Arial" w:eastAsia="Arial" w:hAnsi="Arial"/>
                <w:sz w:val="18"/>
                <w:szCs w:val="18"/>
                <w:color w:val="0000FF"/>
              </w:rPr>
            </w:pPr>
            <w:hyperlink r:id="rId223">
              <w:r>
                <w:rPr>
                  <w:rFonts w:ascii="Arial" w:cs="Arial" w:eastAsia="Arial" w:hAnsi="Arial"/>
                  <w:sz w:val="18"/>
                  <w:szCs w:val="18"/>
                  <w:color w:val="0000FF"/>
                </w:rPr>
                <w:t>(formerly Kansas City Power &amp; Light Company) and UMB Bank, N.A. (formerly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0" w:type="dxa"/>
            <w:vAlign w:val="bottom"/>
            <w:tcBorders>
              <w:top w:val="single" w:sz="8" w:color="0000FF"/>
            </w:tcBorders>
            <w:gridSpan w:val="10"/>
          </w:tcPr>
          <w:p>
            <w:pPr>
              <w:spacing w:after="0" w:line="161" w:lineRule="exact"/>
              <w:rPr>
                <w:rFonts w:ascii="Arial" w:cs="Arial" w:eastAsia="Arial" w:hAnsi="Arial"/>
                <w:sz w:val="18"/>
                <w:szCs w:val="18"/>
                <w:color w:val="0000FF"/>
              </w:rPr>
            </w:pPr>
            <w:hyperlink r:id="rId223">
              <w:r>
                <w:rPr>
                  <w:rFonts w:ascii="Arial" w:cs="Arial" w:eastAsia="Arial" w:hAnsi="Arial"/>
                  <w:sz w:val="18"/>
                  <w:szCs w:val="18"/>
                  <w:color w:val="0000FF"/>
                </w:rPr>
                <w:t>United Missouri Bank of Kansas City, N.A.), as trustee (Exhibit 4.15 to Evergy</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40" w:type="dxa"/>
            <w:vAlign w:val="bottom"/>
            <w:tcBorders>
              <w:top w:val="single" w:sz="8" w:color="0000FF"/>
            </w:tcBorders>
            <w:gridSpan w:val="7"/>
          </w:tcPr>
          <w:p>
            <w:pPr>
              <w:spacing w:after="0" w:line="161" w:lineRule="exact"/>
              <w:rPr>
                <w:rFonts w:ascii="Arial" w:cs="Arial" w:eastAsia="Arial" w:hAnsi="Arial"/>
                <w:sz w:val="18"/>
                <w:szCs w:val="18"/>
                <w:color w:val="0000FF"/>
              </w:rPr>
            </w:pPr>
            <w:hyperlink r:id="rId223">
              <w:r>
                <w:rPr>
                  <w:rFonts w:ascii="Arial" w:cs="Arial" w:eastAsia="Arial" w:hAnsi="Arial"/>
                  <w:sz w:val="18"/>
                  <w:szCs w:val="18"/>
                  <w:color w:val="0000FF"/>
                </w:rPr>
                <w:t>Metro's Form 10-K for the year ended December 31, 2017).</w:t>
              </w:r>
            </w:hyperlink>
          </w:p>
        </w:tc>
        <w:tc>
          <w:tcPr>
            <w:tcW w:w="18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880" w:type="dxa"/>
            <w:vAlign w:val="bottom"/>
          </w:tcPr>
          <w:p>
            <w:pPr>
              <w:jc w:val="right"/>
              <w:ind w:right="446"/>
              <w:spacing w:after="0"/>
              <w:rPr>
                <w:sz w:val="20"/>
                <w:szCs w:val="20"/>
                <w:color w:val="auto"/>
              </w:rPr>
            </w:pPr>
            <w:r>
              <w:rPr>
                <w:rFonts w:ascii="Arial" w:cs="Arial" w:eastAsia="Arial" w:hAnsi="Arial"/>
                <w:sz w:val="19"/>
                <w:szCs w:val="19"/>
                <w:color w:val="auto"/>
                <w:w w:val="86"/>
              </w:rPr>
              <w:t>4.19</w:t>
            </w:r>
          </w:p>
        </w:tc>
        <w:tc>
          <w:tcPr>
            <w:tcW w:w="7520" w:type="dxa"/>
            <w:vAlign w:val="bottom"/>
            <w:gridSpan w:val="22"/>
          </w:tcPr>
          <w:p>
            <w:pPr>
              <w:ind w:left="560"/>
              <w:spacing w:after="0"/>
              <w:rPr>
                <w:rFonts w:ascii="Arial" w:cs="Arial" w:eastAsia="Arial" w:hAnsi="Arial"/>
                <w:sz w:val="19"/>
                <w:szCs w:val="19"/>
                <w:color w:val="auto"/>
                <w:w w:val="92"/>
              </w:rPr>
            </w:pPr>
            <w:r>
              <w:rPr>
                <w:rFonts w:ascii="Arial" w:cs="Arial" w:eastAsia="Arial" w:hAnsi="Arial"/>
                <w:sz w:val="19"/>
                <w:szCs w:val="19"/>
                <w:color w:val="auto"/>
                <w:w w:val="92"/>
              </w:rPr>
              <w:t xml:space="preserve">*   </w:t>
            </w:r>
            <w:hyperlink r:id="rId224">
              <w:r>
                <w:rPr>
                  <w:rFonts w:ascii="Arial" w:cs="Arial" w:eastAsia="Arial" w:hAnsi="Arial"/>
                  <w:sz w:val="19"/>
                  <w:szCs w:val="19"/>
                  <w:color w:val="0000FF"/>
                  <w:w w:val="92"/>
                </w:rPr>
                <w:t>Eleventh Supplemental Indenture, dated August 15, 2005, between Evergy Metro, Inc.</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1"/>
          </w:tcPr>
          <w:p>
            <w:pPr>
              <w:spacing w:after="0" w:line="161" w:lineRule="exact"/>
              <w:rPr>
                <w:rFonts w:ascii="Arial" w:cs="Arial" w:eastAsia="Arial" w:hAnsi="Arial"/>
                <w:sz w:val="18"/>
                <w:szCs w:val="18"/>
                <w:color w:val="0000FF"/>
                <w:w w:val="99"/>
              </w:rPr>
            </w:pPr>
            <w:hyperlink r:id="rId224">
              <w:r>
                <w:rPr>
                  <w:rFonts w:ascii="Arial" w:cs="Arial" w:eastAsia="Arial" w:hAnsi="Arial"/>
                  <w:sz w:val="18"/>
                  <w:szCs w:val="18"/>
                  <w:color w:val="0000FF"/>
                  <w:w w:val="99"/>
                </w:rPr>
                <w:t>(formerly Kansas City Power &amp; Light Company) and UMB Bank, N.A. (formerly</w:t>
              </w:r>
            </w:hyperlink>
          </w:p>
        </w:tc>
        <w:tc>
          <w:tcPr>
            <w:tcW w:w="3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0" w:type="dxa"/>
            <w:vAlign w:val="bottom"/>
            <w:gridSpan w:val="21"/>
          </w:tcPr>
          <w:p>
            <w:pPr>
              <w:spacing w:after="0" w:line="161" w:lineRule="exact"/>
              <w:rPr>
                <w:rFonts w:ascii="Arial" w:cs="Arial" w:eastAsia="Arial" w:hAnsi="Arial"/>
                <w:sz w:val="18"/>
                <w:szCs w:val="18"/>
                <w:color w:val="0000FF"/>
                <w:w w:val="98"/>
              </w:rPr>
            </w:pPr>
            <w:hyperlink r:id="rId224">
              <w:r>
                <w:rPr>
                  <w:rFonts w:ascii="Arial" w:cs="Arial" w:eastAsia="Arial" w:hAnsi="Arial"/>
                  <w:sz w:val="18"/>
                  <w:szCs w:val="18"/>
                  <w:color w:val="0000FF"/>
                  <w:w w:val="98"/>
                </w:rPr>
                <w:t>United Missouri Bank of Kansas City, N.A.), as trustee (Exhibit 4.2 to Evergy Metro's</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3"/>
          </w:tcPr>
          <w:p>
            <w:pPr>
              <w:spacing w:after="0" w:line="161" w:lineRule="exact"/>
              <w:rPr>
                <w:rFonts w:ascii="Arial" w:cs="Arial" w:eastAsia="Arial" w:hAnsi="Arial"/>
                <w:sz w:val="18"/>
                <w:szCs w:val="18"/>
                <w:color w:val="0000FF"/>
                <w:w w:val="94"/>
              </w:rPr>
            </w:pPr>
            <w:hyperlink r:id="rId224">
              <w:r>
                <w:rPr>
                  <w:rFonts w:ascii="Arial" w:cs="Arial" w:eastAsia="Arial" w:hAnsi="Arial"/>
                  <w:sz w:val="18"/>
                  <w:szCs w:val="18"/>
                  <w:color w:val="0000FF"/>
                  <w:w w:val="94"/>
                </w:rPr>
                <w:t>Form 10-Q for the quarter ended September 30, 2005).</w:t>
              </w:r>
            </w:hyperlink>
          </w:p>
        </w:tc>
        <w:tc>
          <w:tcPr>
            <w:tcW w:w="23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70"/>
        </w:trPr>
        <w:tc>
          <w:tcPr>
            <w:tcW w:w="880" w:type="dxa"/>
            <w:vAlign w:val="bottom"/>
          </w:tcPr>
          <w:p>
            <w:pPr>
              <w:jc w:val="right"/>
              <w:ind w:right="446"/>
              <w:spacing w:after="0"/>
              <w:rPr>
                <w:sz w:val="20"/>
                <w:szCs w:val="20"/>
                <w:color w:val="auto"/>
              </w:rPr>
            </w:pPr>
            <w:r>
              <w:rPr>
                <w:rFonts w:ascii="Arial" w:cs="Arial" w:eastAsia="Arial" w:hAnsi="Arial"/>
                <w:sz w:val="19"/>
                <w:szCs w:val="19"/>
                <w:color w:val="auto"/>
                <w:w w:val="86"/>
              </w:rPr>
              <w:t>4.20</w:t>
            </w:r>
          </w:p>
        </w:tc>
        <w:tc>
          <w:tcPr>
            <w:tcW w:w="7520" w:type="dxa"/>
            <w:vAlign w:val="bottom"/>
            <w:gridSpan w:val="22"/>
          </w:tcPr>
          <w:p>
            <w:pPr>
              <w:ind w:left="560"/>
              <w:spacing w:after="0"/>
              <w:rPr>
                <w:rFonts w:ascii="Arial" w:cs="Arial" w:eastAsia="Arial" w:hAnsi="Arial"/>
                <w:sz w:val="19"/>
                <w:szCs w:val="19"/>
                <w:color w:val="auto"/>
                <w:w w:val="93"/>
              </w:rPr>
            </w:pPr>
            <w:r>
              <w:rPr>
                <w:rFonts w:ascii="Arial" w:cs="Arial" w:eastAsia="Arial" w:hAnsi="Arial"/>
                <w:sz w:val="19"/>
                <w:szCs w:val="19"/>
                <w:color w:val="auto"/>
                <w:w w:val="93"/>
              </w:rPr>
              <w:t xml:space="preserve">*   </w:t>
            </w:r>
            <w:hyperlink r:id="rId225">
              <w:r>
                <w:rPr>
                  <w:rFonts w:ascii="Arial" w:cs="Arial" w:eastAsia="Arial" w:hAnsi="Arial"/>
                  <w:sz w:val="19"/>
                  <w:szCs w:val="19"/>
                  <w:color w:val="0000FF"/>
                  <w:w w:val="93"/>
                </w:rPr>
                <w:t>Thirteenth Supplemental Indenture, dated March 1, 2009, between Evergy Metro, Inc.</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1"/>
          </w:tcPr>
          <w:p>
            <w:pPr>
              <w:spacing w:after="0" w:line="161" w:lineRule="exact"/>
              <w:rPr>
                <w:rFonts w:ascii="Arial" w:cs="Arial" w:eastAsia="Arial" w:hAnsi="Arial"/>
                <w:sz w:val="18"/>
                <w:szCs w:val="18"/>
                <w:color w:val="0000FF"/>
                <w:w w:val="99"/>
              </w:rPr>
            </w:pPr>
            <w:hyperlink r:id="rId225">
              <w:r>
                <w:rPr>
                  <w:rFonts w:ascii="Arial" w:cs="Arial" w:eastAsia="Arial" w:hAnsi="Arial"/>
                  <w:sz w:val="18"/>
                  <w:szCs w:val="18"/>
                  <w:color w:val="0000FF"/>
                  <w:w w:val="99"/>
                </w:rPr>
                <w:t>(formerly Kansas City Power &amp; Light Company) and UMB Bank, N.A. (formerly</w:t>
              </w:r>
            </w:hyperlink>
          </w:p>
        </w:tc>
        <w:tc>
          <w:tcPr>
            <w:tcW w:w="30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0" w:type="dxa"/>
            <w:vAlign w:val="bottom"/>
            <w:gridSpan w:val="21"/>
          </w:tcPr>
          <w:p>
            <w:pPr>
              <w:spacing w:after="0" w:line="161" w:lineRule="exact"/>
              <w:rPr>
                <w:rFonts w:ascii="Arial" w:cs="Arial" w:eastAsia="Arial" w:hAnsi="Arial"/>
                <w:sz w:val="18"/>
                <w:szCs w:val="18"/>
                <w:color w:val="0000FF"/>
                <w:w w:val="98"/>
              </w:rPr>
            </w:pPr>
            <w:hyperlink r:id="rId225">
              <w:r>
                <w:rPr>
                  <w:rFonts w:ascii="Arial" w:cs="Arial" w:eastAsia="Arial" w:hAnsi="Arial"/>
                  <w:sz w:val="18"/>
                  <w:szCs w:val="18"/>
                  <w:color w:val="0000FF"/>
                  <w:w w:val="98"/>
                </w:rPr>
                <w:t>United Missouri Bank of Kansas City, N.A.), as trustee (Exhibit 4.3 to Evergy Metro's</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40" w:type="dxa"/>
            <w:vAlign w:val="bottom"/>
            <w:tcBorders>
              <w:top w:val="single" w:sz="8" w:color="0000FF"/>
            </w:tcBorders>
            <w:gridSpan w:val="18"/>
          </w:tcPr>
          <w:p>
            <w:pPr>
              <w:spacing w:after="0" w:line="161" w:lineRule="exact"/>
              <w:rPr>
                <w:rFonts w:ascii="Arial" w:cs="Arial" w:eastAsia="Arial" w:hAnsi="Arial"/>
                <w:sz w:val="18"/>
                <w:szCs w:val="18"/>
                <w:color w:val="0000FF"/>
              </w:rPr>
            </w:pPr>
            <w:hyperlink r:id="rId225">
              <w:r>
                <w:rPr>
                  <w:rFonts w:ascii="Arial" w:cs="Arial" w:eastAsia="Arial" w:hAnsi="Arial"/>
                  <w:sz w:val="18"/>
                  <w:szCs w:val="18"/>
                  <w:color w:val="0000FF"/>
                </w:rPr>
                <w:t>Form 8-K filed on March 24, 2009).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70"/>
        </w:trPr>
        <w:tc>
          <w:tcPr>
            <w:tcW w:w="880" w:type="dxa"/>
            <w:vAlign w:val="bottom"/>
          </w:tcPr>
          <w:p>
            <w:pPr>
              <w:jc w:val="right"/>
              <w:ind w:right="446"/>
              <w:spacing w:after="0"/>
              <w:rPr>
                <w:sz w:val="20"/>
                <w:szCs w:val="20"/>
                <w:color w:val="auto"/>
              </w:rPr>
            </w:pPr>
            <w:r>
              <w:rPr>
                <w:rFonts w:ascii="Arial" w:cs="Arial" w:eastAsia="Arial" w:hAnsi="Arial"/>
                <w:sz w:val="19"/>
                <w:szCs w:val="19"/>
                <w:color w:val="auto"/>
                <w:w w:val="86"/>
              </w:rPr>
              <w:t>4.21</w:t>
            </w:r>
          </w:p>
        </w:tc>
        <w:tc>
          <w:tcPr>
            <w:tcW w:w="7520" w:type="dxa"/>
            <w:vAlign w:val="bottom"/>
            <w:gridSpan w:val="22"/>
          </w:tcPr>
          <w:p>
            <w:pPr>
              <w:ind w:left="560"/>
              <w:spacing w:after="0"/>
              <w:rPr>
                <w:rFonts w:ascii="Arial" w:cs="Arial" w:eastAsia="Arial" w:hAnsi="Arial"/>
                <w:sz w:val="19"/>
                <w:szCs w:val="19"/>
                <w:color w:val="auto"/>
                <w:w w:val="92"/>
              </w:rPr>
            </w:pPr>
            <w:r>
              <w:rPr>
                <w:rFonts w:ascii="Arial" w:cs="Arial" w:eastAsia="Arial" w:hAnsi="Arial"/>
                <w:sz w:val="19"/>
                <w:szCs w:val="19"/>
                <w:color w:val="auto"/>
                <w:w w:val="92"/>
              </w:rPr>
              <w:t xml:space="preserve">*   </w:t>
            </w:r>
            <w:hyperlink r:id="rId226">
              <w:r>
                <w:rPr>
                  <w:rFonts w:ascii="Arial" w:cs="Arial" w:eastAsia="Arial" w:hAnsi="Arial"/>
                  <w:sz w:val="19"/>
                  <w:szCs w:val="19"/>
                  <w:color w:val="0000FF"/>
                  <w:w w:val="92"/>
                </w:rPr>
                <w:t>Fourteenth Supplemental Indenture, dated March 1, 2009, between Evergy Metro, Inc.</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1"/>
          </w:tcPr>
          <w:p>
            <w:pPr>
              <w:spacing w:after="0" w:line="161" w:lineRule="exact"/>
              <w:rPr>
                <w:rFonts w:ascii="Arial" w:cs="Arial" w:eastAsia="Arial" w:hAnsi="Arial"/>
                <w:sz w:val="18"/>
                <w:szCs w:val="18"/>
                <w:color w:val="0000FF"/>
                <w:w w:val="99"/>
              </w:rPr>
            </w:pPr>
            <w:hyperlink r:id="rId226">
              <w:r>
                <w:rPr>
                  <w:rFonts w:ascii="Arial" w:cs="Arial" w:eastAsia="Arial" w:hAnsi="Arial"/>
                  <w:sz w:val="18"/>
                  <w:szCs w:val="18"/>
                  <w:color w:val="0000FF"/>
                  <w:w w:val="99"/>
                </w:rPr>
                <w:t>(formerly Kansas City Power &amp; Light Company) and UMB Bank, N.A. (formerly</w:t>
              </w:r>
            </w:hyperlink>
          </w:p>
        </w:tc>
        <w:tc>
          <w:tcPr>
            <w:tcW w:w="3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0" w:type="dxa"/>
            <w:vAlign w:val="bottom"/>
            <w:gridSpan w:val="21"/>
          </w:tcPr>
          <w:p>
            <w:pPr>
              <w:spacing w:after="0" w:line="161" w:lineRule="exact"/>
              <w:rPr>
                <w:rFonts w:ascii="Arial" w:cs="Arial" w:eastAsia="Arial" w:hAnsi="Arial"/>
                <w:sz w:val="18"/>
                <w:szCs w:val="18"/>
                <w:color w:val="0000FF"/>
                <w:w w:val="98"/>
              </w:rPr>
            </w:pPr>
            <w:hyperlink r:id="rId226">
              <w:r>
                <w:rPr>
                  <w:rFonts w:ascii="Arial" w:cs="Arial" w:eastAsia="Arial" w:hAnsi="Arial"/>
                  <w:sz w:val="18"/>
                  <w:szCs w:val="18"/>
                  <w:color w:val="0000FF"/>
                  <w:w w:val="98"/>
                </w:rPr>
                <w:t>United Missouri Bank of Kansas City, N.A.), as trustee (Exhibit 4.4 to Evergy Metro's</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40" w:type="dxa"/>
            <w:vAlign w:val="bottom"/>
            <w:tcBorders>
              <w:top w:val="single" w:sz="8" w:color="0000FF"/>
            </w:tcBorders>
            <w:gridSpan w:val="18"/>
          </w:tcPr>
          <w:p>
            <w:pPr>
              <w:spacing w:after="0" w:line="161" w:lineRule="exact"/>
              <w:rPr>
                <w:rFonts w:ascii="Arial" w:cs="Arial" w:eastAsia="Arial" w:hAnsi="Arial"/>
                <w:sz w:val="18"/>
                <w:szCs w:val="18"/>
                <w:color w:val="0000FF"/>
              </w:rPr>
            </w:pPr>
            <w:hyperlink r:id="rId226">
              <w:r>
                <w:rPr>
                  <w:rFonts w:ascii="Arial" w:cs="Arial" w:eastAsia="Arial" w:hAnsi="Arial"/>
                  <w:sz w:val="18"/>
                  <w:szCs w:val="18"/>
                  <w:color w:val="0000FF"/>
                </w:rPr>
                <w:t>Form 8-K filed on March 24, 2009).</w:t>
              </w:r>
            </w:hyperlink>
          </w:p>
        </w:tc>
        <w:tc>
          <w:tcPr>
            <w:tcW w:w="60" w:type="dxa"/>
            <w:vAlign w:val="bottom"/>
            <w:gridSpan w:val="3"/>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470"/>
        </w:trPr>
        <w:tc>
          <w:tcPr>
            <w:tcW w:w="880" w:type="dxa"/>
            <w:vAlign w:val="bottom"/>
          </w:tcPr>
          <w:p>
            <w:pPr>
              <w:jc w:val="right"/>
              <w:ind w:right="446"/>
              <w:spacing w:after="0"/>
              <w:rPr>
                <w:sz w:val="20"/>
                <w:szCs w:val="20"/>
                <w:color w:val="auto"/>
              </w:rPr>
            </w:pPr>
            <w:r>
              <w:rPr>
                <w:rFonts w:ascii="Arial" w:cs="Arial" w:eastAsia="Arial" w:hAnsi="Arial"/>
                <w:sz w:val="19"/>
                <w:szCs w:val="19"/>
                <w:color w:val="auto"/>
                <w:w w:val="86"/>
              </w:rPr>
              <w:t>4.22</w:t>
            </w:r>
          </w:p>
        </w:tc>
        <w:tc>
          <w:tcPr>
            <w:tcW w:w="7520" w:type="dxa"/>
            <w:vAlign w:val="bottom"/>
            <w:gridSpan w:val="22"/>
          </w:tcPr>
          <w:p>
            <w:pPr>
              <w:ind w:left="5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227">
              <w:r>
                <w:rPr>
                  <w:rFonts w:ascii="Arial" w:cs="Arial" w:eastAsia="Arial" w:hAnsi="Arial"/>
                  <w:sz w:val="19"/>
                  <w:szCs w:val="19"/>
                  <w:color w:val="0000FF"/>
                  <w:w w:val="95"/>
                </w:rPr>
                <w:t>Fifteenth Supplemental Indenture, dated June 30, 2011, between Evergy Metro, Inc.</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1"/>
          </w:tcPr>
          <w:p>
            <w:pPr>
              <w:spacing w:after="0" w:line="161" w:lineRule="exact"/>
              <w:rPr>
                <w:rFonts w:ascii="Arial" w:cs="Arial" w:eastAsia="Arial" w:hAnsi="Arial"/>
                <w:sz w:val="18"/>
                <w:szCs w:val="18"/>
                <w:color w:val="0000FF"/>
                <w:w w:val="99"/>
              </w:rPr>
            </w:pPr>
            <w:hyperlink r:id="rId227">
              <w:r>
                <w:rPr>
                  <w:rFonts w:ascii="Arial" w:cs="Arial" w:eastAsia="Arial" w:hAnsi="Arial"/>
                  <w:sz w:val="18"/>
                  <w:szCs w:val="18"/>
                  <w:color w:val="0000FF"/>
                  <w:w w:val="99"/>
                </w:rPr>
                <w:t>(formerly Kansas City Power &amp; Light Company) and UMB Bank, N.A. (formerly</w:t>
              </w:r>
            </w:hyperlink>
          </w:p>
        </w:tc>
        <w:tc>
          <w:tcPr>
            <w:tcW w:w="120" w:type="dxa"/>
            <w:vAlign w:val="bottom"/>
            <w:tcBorders>
              <w:top w:val="single" w:sz="8" w:color="0000FF"/>
            </w:tcBorders>
            <w:gridSpan w:val="2"/>
          </w:tcPr>
          <w:p>
            <w:pPr>
              <w:spacing w:after="0"/>
              <w:rPr>
                <w:sz w:val="13"/>
                <w:szCs w:val="13"/>
                <w:color w:val="auto"/>
              </w:rPr>
            </w:pPr>
          </w:p>
        </w:tc>
        <w:tc>
          <w:tcPr>
            <w:tcW w:w="260" w:type="dxa"/>
            <w:vAlign w:val="bottom"/>
            <w:gridSpan w:val="8"/>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0" w:type="dxa"/>
            <w:vAlign w:val="bottom"/>
            <w:gridSpan w:val="21"/>
          </w:tcPr>
          <w:p>
            <w:pPr>
              <w:spacing w:after="0" w:line="161" w:lineRule="exact"/>
              <w:rPr>
                <w:rFonts w:ascii="Arial" w:cs="Arial" w:eastAsia="Arial" w:hAnsi="Arial"/>
                <w:sz w:val="18"/>
                <w:szCs w:val="18"/>
                <w:color w:val="0000FF"/>
                <w:w w:val="98"/>
              </w:rPr>
            </w:pPr>
            <w:hyperlink r:id="rId227">
              <w:r>
                <w:rPr>
                  <w:rFonts w:ascii="Arial" w:cs="Arial" w:eastAsia="Arial" w:hAnsi="Arial"/>
                  <w:sz w:val="18"/>
                  <w:szCs w:val="18"/>
                  <w:color w:val="0000FF"/>
                  <w:w w:val="98"/>
                </w:rPr>
                <w:t>United Missouri Bank of Kansas City, N.A.), as trustee (Exhibit 4.1 to Evergy Metro's</w:t>
              </w:r>
            </w:hyperlink>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40" w:type="dxa"/>
            <w:vAlign w:val="bottom"/>
            <w:tcBorders>
              <w:top w:val="single" w:sz="8" w:color="0000FF"/>
            </w:tcBorders>
            <w:gridSpan w:val="18"/>
          </w:tcPr>
          <w:p>
            <w:pPr>
              <w:spacing w:after="0" w:line="161" w:lineRule="exact"/>
              <w:rPr>
                <w:rFonts w:ascii="Arial" w:cs="Arial" w:eastAsia="Arial" w:hAnsi="Arial"/>
                <w:sz w:val="18"/>
                <w:szCs w:val="18"/>
                <w:color w:val="0000FF"/>
              </w:rPr>
            </w:pPr>
            <w:hyperlink r:id="rId227">
              <w:r>
                <w:rPr>
                  <w:rFonts w:ascii="Arial" w:cs="Arial" w:eastAsia="Arial" w:hAnsi="Arial"/>
                  <w:sz w:val="18"/>
                  <w:szCs w:val="18"/>
                  <w:color w:val="0000FF"/>
                </w:rPr>
                <w:t>Form 10-Q for the quarter ended June 30, 2011).</w:t>
              </w:r>
            </w:hyperlink>
          </w:p>
        </w:tc>
        <w:tc>
          <w:tcPr>
            <w:tcW w:w="60" w:type="dxa"/>
            <w:vAlign w:val="bottom"/>
            <w:gridSpan w:val="3"/>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ectPr>
          <w:pgSz w:w="11900" w:h="16838" w:orient="portrait"/>
          <w:cols w:equalWidth="0" w:num="2">
            <w:col w:w="8360" w:space="480"/>
            <w:col w:w="1299"/>
          </w:cols>
          <w:pgMar w:left="320" w:top="124" w:right="1440"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rFonts w:ascii="Arial" w:cs="Arial" w:eastAsia="Arial" w:hAnsi="Arial"/>
                <w:sz w:val="19"/>
                <w:szCs w:val="19"/>
                <w:color w:val="0000FF"/>
                <w:w w:val="91"/>
              </w:rPr>
            </w:pPr>
            <w:hyperlink w:anchor="page3">
              <w:r>
                <w:rPr>
                  <w:rFonts w:ascii="Arial" w:cs="Arial" w:eastAsia="Arial" w:hAnsi="Arial"/>
                  <w:sz w:val="19"/>
                  <w:szCs w:val="19"/>
                  <w:color w:val="0000FF"/>
                  <w:w w:val="91"/>
                </w:rPr>
                <w:t>Table of Contents</w:t>
              </w:r>
            </w:hyperlink>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Arial" w:cs="Arial" w:eastAsia="Arial" w:hAnsi="Arial"/>
                <w:sz w:val="19"/>
                <w:szCs w:val="19"/>
                <w:color w:val="auto"/>
              </w:rPr>
              <w:t>4.23</w:t>
            </w:r>
          </w:p>
        </w:tc>
        <w:tc>
          <w:tcPr>
            <w:tcW w:w="60" w:type="dxa"/>
            <w:vAlign w:val="bottom"/>
          </w:tcPr>
          <w:p>
            <w:pPr>
              <w:spacing w:after="0"/>
              <w:rPr>
                <w:sz w:val="24"/>
                <w:szCs w:val="24"/>
                <w:color w:val="auto"/>
              </w:rPr>
            </w:pPr>
          </w:p>
        </w:tc>
        <w:tc>
          <w:tcPr>
            <w:tcW w:w="7020" w:type="dxa"/>
            <w:vAlign w:val="bottom"/>
            <w:gridSpan w:val="33"/>
          </w:tcPr>
          <w:p>
            <w:pPr>
              <w:ind w:left="60"/>
              <w:spacing w:after="0"/>
              <w:rPr>
                <w:rFonts w:ascii="Arial" w:cs="Arial" w:eastAsia="Arial" w:hAnsi="Arial"/>
                <w:sz w:val="19"/>
                <w:szCs w:val="19"/>
                <w:color w:val="auto"/>
              </w:rPr>
            </w:pPr>
            <w:r>
              <w:rPr>
                <w:rFonts w:ascii="Arial" w:cs="Arial" w:eastAsia="Arial" w:hAnsi="Arial"/>
                <w:sz w:val="19"/>
                <w:szCs w:val="19"/>
                <w:color w:val="auto"/>
              </w:rPr>
              <w:t xml:space="preserve">*   </w:t>
            </w:r>
            <w:hyperlink r:id="rId229">
              <w:r>
                <w:rPr>
                  <w:rFonts w:ascii="Arial" w:cs="Arial" w:eastAsia="Arial" w:hAnsi="Arial"/>
                  <w:sz w:val="19"/>
                  <w:szCs w:val="19"/>
                  <w:color w:val="0000FF"/>
                </w:rPr>
                <w:t>Sixteenth Supplemental Indenture, March 1, 2019, between Evergy Metro, Inc.</w:t>
              </w:r>
            </w:hyperlink>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80" w:type="dxa"/>
            <w:vAlign w:val="bottom"/>
            <w:tcBorders>
              <w:top w:val="single" w:sz="8" w:color="0000FF"/>
              <w:bottom w:val="single" w:sz="8" w:color="0000FF"/>
            </w:tcBorders>
            <w:gridSpan w:val="10"/>
          </w:tcPr>
          <w:p>
            <w:pPr>
              <w:spacing w:after="0" w:line="168" w:lineRule="exact"/>
              <w:rPr>
                <w:rFonts w:ascii="Arial" w:cs="Arial" w:eastAsia="Arial" w:hAnsi="Arial"/>
                <w:sz w:val="19"/>
                <w:szCs w:val="19"/>
                <w:color w:val="0000FF"/>
                <w:w w:val="96"/>
              </w:rPr>
            </w:pPr>
            <w:hyperlink r:id="rId229">
              <w:r>
                <w:rPr>
                  <w:rFonts w:ascii="Arial" w:cs="Arial" w:eastAsia="Arial" w:hAnsi="Arial"/>
                  <w:sz w:val="19"/>
                  <w:szCs w:val="19"/>
                  <w:color w:val="0000FF"/>
                  <w:w w:val="96"/>
                </w:rPr>
                <w:t xml:space="preserve">(formerly Kansas City Power &amp; Light Company) UMB Bank N.A. </w:t>
              </w:r>
              <w:r>
                <w:rPr>
                  <w:rFonts w:ascii="Arial" w:cs="Arial" w:eastAsia="Arial" w:hAnsi="Arial"/>
                  <w:sz w:val="19"/>
                  <w:szCs w:val="19"/>
                  <w:u w:val="single" w:color="auto"/>
                  <w:color w:val="0000FF"/>
                  <w:w w:val="96"/>
                </w:rPr>
                <w:t>(formerly</w:t>
              </w:r>
            </w:hyperlink>
          </w:p>
        </w:tc>
        <w:tc>
          <w:tcPr>
            <w:tcW w:w="420" w:type="dxa"/>
            <w:vAlign w:val="bottom"/>
            <w:tcBorders>
              <w:bottom w:val="single" w:sz="8" w:color="0000FF"/>
            </w:tcBorders>
            <w:gridSpan w:val="15"/>
          </w:tcPr>
          <w:p>
            <w:pPr>
              <w:spacing w:after="0" w:line="168" w:lineRule="exact"/>
              <w:rPr>
                <w:rFonts w:ascii="Arial" w:cs="Arial" w:eastAsia="Arial" w:hAnsi="Arial"/>
                <w:sz w:val="19"/>
                <w:szCs w:val="19"/>
                <w:color w:val="0000FF"/>
                <w:w w:val="72"/>
              </w:rPr>
            </w:pPr>
            <w:hyperlink r:id="rId229">
              <w:r>
                <w:rPr>
                  <w:rFonts w:ascii="Arial" w:cs="Arial" w:eastAsia="Arial" w:hAnsi="Arial"/>
                  <w:sz w:val="19"/>
                  <w:szCs w:val="19"/>
                  <w:color w:val="0000FF"/>
                  <w:w w:val="72"/>
                </w:rPr>
                <w:t>United</w:t>
              </w:r>
            </w:hyperlink>
          </w:p>
        </w:tc>
        <w:tc>
          <w:tcPr>
            <w:tcW w:w="200" w:type="dxa"/>
            <w:vAlign w:val="bottom"/>
            <w:gridSpan w:val="7"/>
          </w:tcPr>
          <w:p>
            <w:pPr>
              <w:spacing w:after="0"/>
              <w:rPr>
                <w:sz w:val="14"/>
                <w:szCs w:val="14"/>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0" w:type="dxa"/>
            <w:vAlign w:val="bottom"/>
            <w:gridSpan w:val="32"/>
          </w:tcPr>
          <w:p>
            <w:pPr>
              <w:spacing w:after="0" w:line="161" w:lineRule="exact"/>
              <w:rPr>
                <w:rFonts w:ascii="Arial" w:cs="Arial" w:eastAsia="Arial" w:hAnsi="Arial"/>
                <w:sz w:val="18"/>
                <w:szCs w:val="18"/>
                <w:color w:val="0000FF"/>
              </w:rPr>
            </w:pPr>
            <w:hyperlink r:id="rId229">
              <w:r>
                <w:rPr>
                  <w:rFonts w:ascii="Arial" w:cs="Arial" w:eastAsia="Arial" w:hAnsi="Arial"/>
                  <w:sz w:val="18"/>
                  <w:szCs w:val="18"/>
                  <w:color w:val="0000FF"/>
                </w:rPr>
                <w:t>Missouri Bank of Kansas City, N.A.), as trustee (Exhibit 4.3 to Evergy's Form 8-K</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80" w:type="dxa"/>
            <w:vAlign w:val="bottom"/>
            <w:tcBorders>
              <w:top w:val="single" w:sz="8" w:color="0000FF"/>
            </w:tcBorders>
            <w:gridSpan w:val="19"/>
          </w:tcPr>
          <w:p>
            <w:pPr>
              <w:spacing w:after="0" w:line="161" w:lineRule="exact"/>
              <w:rPr>
                <w:rFonts w:ascii="Arial" w:cs="Arial" w:eastAsia="Arial" w:hAnsi="Arial"/>
                <w:sz w:val="18"/>
                <w:szCs w:val="18"/>
                <w:color w:val="0000FF"/>
              </w:rPr>
            </w:pPr>
            <w:hyperlink r:id="rId229">
              <w:r>
                <w:rPr>
                  <w:rFonts w:ascii="Arial" w:cs="Arial" w:eastAsia="Arial" w:hAnsi="Arial"/>
                  <w:sz w:val="18"/>
                  <w:szCs w:val="18"/>
                  <w:color w:val="0000FF"/>
                </w:rPr>
                <w:t>filed on March 14,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4.24</w:t>
            </w:r>
          </w:p>
        </w:tc>
        <w:tc>
          <w:tcPr>
            <w:tcW w:w="60" w:type="dxa"/>
            <w:vAlign w:val="bottom"/>
          </w:tcPr>
          <w:p>
            <w:pPr>
              <w:spacing w:after="0"/>
              <w:rPr>
                <w:sz w:val="24"/>
                <w:szCs w:val="24"/>
                <w:color w:val="auto"/>
              </w:rPr>
            </w:pPr>
          </w:p>
        </w:tc>
        <w:tc>
          <w:tcPr>
            <w:tcW w:w="7020" w:type="dxa"/>
            <w:vAlign w:val="bottom"/>
            <w:gridSpan w:val="33"/>
          </w:tcPr>
          <w:p>
            <w:pPr>
              <w:ind w:left="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230">
              <w:r>
                <w:rPr>
                  <w:rFonts w:ascii="Arial" w:cs="Arial" w:eastAsia="Arial" w:hAnsi="Arial"/>
                  <w:sz w:val="19"/>
                  <w:szCs w:val="19"/>
                  <w:color w:val="0000FF"/>
                  <w:w w:val="94"/>
                </w:rPr>
                <w:t>Seventeenth Supplemental Indenture, dated March 27, 2019, between Evergy Metro,</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0" w:type="dxa"/>
            <w:vAlign w:val="bottom"/>
            <w:tcBorders>
              <w:top w:val="single" w:sz="8" w:color="0000FF"/>
              <w:bottom w:val="single" w:sz="8" w:color="0000FF"/>
            </w:tcBorders>
            <w:gridSpan w:val="25"/>
          </w:tcPr>
          <w:p>
            <w:pPr>
              <w:spacing w:after="0" w:line="161" w:lineRule="exact"/>
              <w:rPr>
                <w:rFonts w:ascii="Arial" w:cs="Arial" w:eastAsia="Arial" w:hAnsi="Arial"/>
                <w:sz w:val="18"/>
                <w:szCs w:val="18"/>
                <w:color w:val="0000FF"/>
                <w:w w:val="96"/>
              </w:rPr>
            </w:pPr>
            <w:hyperlink r:id="rId230">
              <w:r>
                <w:rPr>
                  <w:rFonts w:ascii="Arial" w:cs="Arial" w:eastAsia="Arial" w:hAnsi="Arial"/>
                  <w:sz w:val="18"/>
                  <w:szCs w:val="18"/>
                  <w:color w:val="0000FF"/>
                  <w:w w:val="96"/>
                </w:rPr>
                <w:t>Inc. (formerly Kansas City Power &amp; Light Company) and UMB Bank, N.A. (formerly</w:t>
              </w:r>
            </w:hyperlink>
          </w:p>
        </w:tc>
        <w:tc>
          <w:tcPr>
            <w:tcW w:w="6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30"/>
          </w:tcPr>
          <w:p>
            <w:pPr>
              <w:spacing w:after="0" w:line="161" w:lineRule="exact"/>
              <w:rPr>
                <w:rFonts w:ascii="Arial" w:cs="Arial" w:eastAsia="Arial" w:hAnsi="Arial"/>
                <w:sz w:val="18"/>
                <w:szCs w:val="18"/>
                <w:color w:val="0000FF"/>
                <w:w w:val="98"/>
              </w:rPr>
            </w:pPr>
            <w:hyperlink r:id="rId230">
              <w:r>
                <w:rPr>
                  <w:rFonts w:ascii="Arial" w:cs="Arial" w:eastAsia="Arial" w:hAnsi="Arial"/>
                  <w:sz w:val="18"/>
                  <w:szCs w:val="18"/>
                  <w:color w:val="0000FF"/>
                  <w:w w:val="98"/>
                </w:rPr>
                <w:t>United Missouri Bank of Kansas City, N.A.), as trustee (Exhibit 4.1 to Evergy's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60" w:type="dxa"/>
            <w:vAlign w:val="bottom"/>
            <w:tcBorders>
              <w:top w:val="single" w:sz="8" w:color="0000FF"/>
            </w:tcBorders>
            <w:gridSpan w:val="26"/>
          </w:tcPr>
          <w:p>
            <w:pPr>
              <w:spacing w:after="0" w:line="161" w:lineRule="exact"/>
              <w:rPr>
                <w:rFonts w:ascii="Arial" w:cs="Arial" w:eastAsia="Arial" w:hAnsi="Arial"/>
                <w:sz w:val="18"/>
                <w:szCs w:val="18"/>
                <w:color w:val="0000FF"/>
              </w:rPr>
            </w:pPr>
            <w:hyperlink r:id="rId230">
              <w:r>
                <w:rPr>
                  <w:rFonts w:ascii="Arial" w:cs="Arial" w:eastAsia="Arial" w:hAnsi="Arial"/>
                  <w:sz w:val="18"/>
                  <w:szCs w:val="18"/>
                  <w:color w:val="0000FF"/>
                </w:rPr>
                <w:t>8-K filed on March 27, 2019).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4.25</w:t>
            </w:r>
          </w:p>
        </w:tc>
        <w:tc>
          <w:tcPr>
            <w:tcW w:w="60" w:type="dxa"/>
            <w:vAlign w:val="bottom"/>
          </w:tcPr>
          <w:p>
            <w:pPr>
              <w:spacing w:after="0"/>
              <w:rPr>
                <w:sz w:val="24"/>
                <w:szCs w:val="24"/>
                <w:color w:val="auto"/>
              </w:rPr>
            </w:pPr>
          </w:p>
        </w:tc>
        <w:tc>
          <w:tcPr>
            <w:tcW w:w="7020" w:type="dxa"/>
            <w:vAlign w:val="bottom"/>
            <w:gridSpan w:val="33"/>
          </w:tcPr>
          <w:p>
            <w:pPr>
              <w:ind w:left="60"/>
              <w:spacing w:after="0"/>
              <w:rPr>
                <w:rFonts w:ascii="Arial" w:cs="Arial" w:eastAsia="Arial" w:hAnsi="Arial"/>
                <w:sz w:val="19"/>
                <w:szCs w:val="19"/>
                <w:color w:val="auto"/>
                <w:w w:val="92"/>
              </w:rPr>
            </w:pPr>
            <w:r>
              <w:rPr>
                <w:rFonts w:ascii="Arial" w:cs="Arial" w:eastAsia="Arial" w:hAnsi="Arial"/>
                <w:sz w:val="19"/>
                <w:szCs w:val="19"/>
                <w:color w:val="auto"/>
                <w:w w:val="92"/>
              </w:rPr>
              <w:t xml:space="preserve">*   </w:t>
            </w:r>
            <w:hyperlink r:id="rId231">
              <w:r>
                <w:rPr>
                  <w:rFonts w:ascii="Arial" w:cs="Arial" w:eastAsia="Arial" w:hAnsi="Arial"/>
                  <w:sz w:val="19"/>
                  <w:szCs w:val="19"/>
                  <w:color w:val="0000FF"/>
                  <w:w w:val="92"/>
                </w:rPr>
                <w:t>Eighteenth Supplemental Indenture, dated as of May 26, 2020, between Evergy Metro</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tcBorders>
              <w:top w:val="single" w:sz="8" w:color="0000FF"/>
            </w:tcBorders>
            <w:gridSpan w:val="29"/>
          </w:tcPr>
          <w:p>
            <w:pPr>
              <w:spacing w:after="0" w:line="161" w:lineRule="exact"/>
              <w:rPr>
                <w:rFonts w:ascii="Arial" w:cs="Arial" w:eastAsia="Arial" w:hAnsi="Arial"/>
                <w:sz w:val="18"/>
                <w:szCs w:val="18"/>
                <w:color w:val="0000FF"/>
              </w:rPr>
            </w:pPr>
            <w:hyperlink r:id="rId231">
              <w:r>
                <w:rPr>
                  <w:rFonts w:ascii="Arial" w:cs="Arial" w:eastAsia="Arial" w:hAnsi="Arial"/>
                  <w:sz w:val="18"/>
                  <w:szCs w:val="18"/>
                  <w:color w:val="0000FF"/>
                </w:rPr>
                <w:t>and UMB Bank, N.A. (formerly United Missouri Bank of Kansas City, N.A.),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100" w:type="dxa"/>
            <w:vAlign w:val="bottom"/>
            <w:tcBorders>
              <w:top w:val="single" w:sz="8" w:color="0000FF"/>
            </w:tcBorders>
            <w:gridSpan w:val="13"/>
          </w:tcPr>
          <w:p>
            <w:pPr>
              <w:spacing w:after="0" w:line="161" w:lineRule="exact"/>
              <w:rPr>
                <w:rFonts w:ascii="Arial" w:cs="Arial" w:eastAsia="Arial" w:hAnsi="Arial"/>
                <w:sz w:val="18"/>
                <w:szCs w:val="18"/>
                <w:color w:val="0000FF"/>
              </w:rPr>
            </w:pPr>
            <w:hyperlink r:id="rId231">
              <w:r>
                <w:rPr>
                  <w:rFonts w:ascii="Arial" w:cs="Arial" w:eastAsia="Arial" w:hAnsi="Arial"/>
                  <w:sz w:val="18"/>
                  <w:szCs w:val="18"/>
                  <w:color w:val="0000FF"/>
                </w:rPr>
                <w:t>trustee (Exhibit 4.1 to Evergy's Form 8-K filed on May 26,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3"/>
        </w:trPr>
        <w:tc>
          <w:tcPr>
            <w:tcW w:w="1340" w:type="dxa"/>
            <w:vAlign w:val="bottom"/>
          </w:tcPr>
          <w:p>
            <w:pPr>
              <w:ind w:left="20"/>
              <w:spacing w:after="0"/>
              <w:rPr>
                <w:sz w:val="20"/>
                <w:szCs w:val="20"/>
                <w:color w:val="auto"/>
              </w:rPr>
            </w:pPr>
            <w:r>
              <w:rPr>
                <w:rFonts w:ascii="Arial" w:cs="Arial" w:eastAsia="Arial" w:hAnsi="Arial"/>
                <w:sz w:val="19"/>
                <w:szCs w:val="19"/>
                <w:color w:val="auto"/>
              </w:rPr>
              <w:t>4.26</w:t>
            </w:r>
          </w:p>
        </w:tc>
        <w:tc>
          <w:tcPr>
            <w:tcW w:w="60" w:type="dxa"/>
            <w:vAlign w:val="bottom"/>
          </w:tcPr>
          <w:p>
            <w:pPr>
              <w:spacing w:after="0"/>
              <w:rPr>
                <w:sz w:val="24"/>
                <w:szCs w:val="24"/>
                <w:color w:val="auto"/>
              </w:rPr>
            </w:pPr>
          </w:p>
        </w:tc>
        <w:tc>
          <w:tcPr>
            <w:tcW w:w="7020" w:type="dxa"/>
            <w:vAlign w:val="bottom"/>
            <w:gridSpan w:val="33"/>
          </w:tcPr>
          <w:p>
            <w:pPr>
              <w:ind w:left="60"/>
              <w:spacing w:after="0"/>
              <w:rPr>
                <w:rFonts w:ascii="Arial" w:cs="Arial" w:eastAsia="Arial" w:hAnsi="Arial"/>
                <w:sz w:val="19"/>
                <w:szCs w:val="19"/>
                <w:color w:val="auto"/>
                <w:w w:val="97"/>
              </w:rPr>
            </w:pPr>
            <w:r>
              <w:rPr>
                <w:rFonts w:ascii="Arial" w:cs="Arial" w:eastAsia="Arial" w:hAnsi="Arial"/>
                <w:sz w:val="19"/>
                <w:szCs w:val="19"/>
                <w:color w:val="auto"/>
                <w:w w:val="97"/>
              </w:rPr>
              <w:t xml:space="preserve">*   </w:t>
            </w:r>
            <w:hyperlink r:id="rId232">
              <w:r>
                <w:rPr>
                  <w:rFonts w:ascii="Arial" w:cs="Arial" w:eastAsia="Arial" w:hAnsi="Arial"/>
                  <w:sz w:val="19"/>
                  <w:szCs w:val="19"/>
                  <w:color w:val="0000FF"/>
                  <w:w w:val="97"/>
                </w:rPr>
                <w:t>Indenture, dated December 1, 2000, between Evergy Metro, Inc. (formerly Kansas</w:t>
              </w:r>
            </w:hyperlink>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60" w:type="dxa"/>
            <w:vAlign w:val="bottom"/>
            <w:tcBorders>
              <w:top w:val="single" w:sz="8" w:color="0000FF"/>
            </w:tcBorders>
            <w:gridSpan w:val="18"/>
          </w:tcPr>
          <w:p>
            <w:pPr>
              <w:spacing w:after="0" w:line="168" w:lineRule="exact"/>
              <w:rPr>
                <w:rFonts w:ascii="Arial" w:cs="Arial" w:eastAsia="Arial" w:hAnsi="Arial"/>
                <w:sz w:val="19"/>
                <w:szCs w:val="19"/>
                <w:color w:val="0000FF"/>
                <w:w w:val="91"/>
              </w:rPr>
            </w:pPr>
            <w:hyperlink r:id="rId232">
              <w:r>
                <w:rPr>
                  <w:rFonts w:ascii="Arial" w:cs="Arial" w:eastAsia="Arial" w:hAnsi="Arial"/>
                  <w:sz w:val="19"/>
                  <w:szCs w:val="19"/>
                  <w:color w:val="0000FF"/>
                  <w:w w:val="91"/>
                </w:rPr>
                <w:t>City Power &amp; Light Company) and The Bank of New York, as trustee (Exhibit 4(a)</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9"/>
          </w:tcPr>
          <w:p>
            <w:pPr>
              <w:spacing w:after="0" w:line="168" w:lineRule="exact"/>
              <w:rPr>
                <w:rFonts w:ascii="Arial" w:cs="Arial" w:eastAsia="Arial" w:hAnsi="Arial"/>
                <w:sz w:val="19"/>
                <w:szCs w:val="19"/>
                <w:color w:val="0000FF"/>
              </w:rPr>
            </w:pPr>
            <w:hyperlink r:id="rId232">
              <w:r>
                <w:rPr>
                  <w:rFonts w:ascii="Arial" w:cs="Arial" w:eastAsia="Arial" w:hAnsi="Arial"/>
                  <w:sz w:val="19"/>
                  <w:szCs w:val="19"/>
                  <w:color w:val="0000FF"/>
                </w:rPr>
                <w:t>to</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5"/>
          </w:tcPr>
          <w:p>
            <w:pPr>
              <w:spacing w:after="0" w:line="161" w:lineRule="exact"/>
              <w:rPr>
                <w:rFonts w:ascii="Arial" w:cs="Arial" w:eastAsia="Arial" w:hAnsi="Arial"/>
                <w:sz w:val="18"/>
                <w:szCs w:val="18"/>
                <w:color w:val="0000FF"/>
                <w:w w:val="96"/>
              </w:rPr>
            </w:pPr>
            <w:hyperlink r:id="rId232">
              <w:r>
                <w:rPr>
                  <w:rFonts w:ascii="Arial" w:cs="Arial" w:eastAsia="Arial" w:hAnsi="Arial"/>
                  <w:sz w:val="18"/>
                  <w:szCs w:val="18"/>
                  <w:color w:val="0000FF"/>
                  <w:w w:val="96"/>
                </w:rPr>
                <w:t>Evergy Metro's Form 8-K filed on December 18, 2000).</w:t>
              </w:r>
            </w:hyperlink>
          </w:p>
        </w:tc>
        <w:tc>
          <w:tcPr>
            <w:tcW w:w="228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4.27</w:t>
            </w:r>
          </w:p>
        </w:tc>
        <w:tc>
          <w:tcPr>
            <w:tcW w:w="60" w:type="dxa"/>
            <w:vAlign w:val="bottom"/>
          </w:tcPr>
          <w:p>
            <w:pPr>
              <w:spacing w:after="0"/>
              <w:rPr>
                <w:sz w:val="24"/>
                <w:szCs w:val="24"/>
                <w:color w:val="auto"/>
              </w:rPr>
            </w:pPr>
          </w:p>
        </w:tc>
        <w:tc>
          <w:tcPr>
            <w:tcW w:w="7020" w:type="dxa"/>
            <w:vAlign w:val="bottom"/>
            <w:gridSpan w:val="33"/>
          </w:tcPr>
          <w:p>
            <w:pPr>
              <w:ind w:left="60"/>
              <w:spacing w:after="0"/>
              <w:rPr>
                <w:rFonts w:ascii="Arial" w:cs="Arial" w:eastAsia="Arial" w:hAnsi="Arial"/>
                <w:sz w:val="19"/>
                <w:szCs w:val="19"/>
                <w:color w:val="auto"/>
                <w:w w:val="96"/>
              </w:rPr>
            </w:pPr>
            <w:r>
              <w:rPr>
                <w:rFonts w:ascii="Arial" w:cs="Arial" w:eastAsia="Arial" w:hAnsi="Arial"/>
                <w:sz w:val="19"/>
                <w:szCs w:val="19"/>
                <w:color w:val="auto"/>
                <w:w w:val="96"/>
              </w:rPr>
              <w:t xml:space="preserve">*   </w:t>
            </w:r>
            <w:hyperlink r:id="rId233">
              <w:r>
                <w:rPr>
                  <w:rFonts w:ascii="Arial" w:cs="Arial" w:eastAsia="Arial" w:hAnsi="Arial"/>
                  <w:sz w:val="19"/>
                  <w:szCs w:val="19"/>
                  <w:color w:val="0000FF"/>
                  <w:w w:val="96"/>
                </w:rPr>
                <w:t>Indenture, dated March 1, 2002, between Evergy Metro, Inc. (formerly Kansas City</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40" w:type="dxa"/>
            <w:vAlign w:val="bottom"/>
            <w:tcBorders>
              <w:top w:val="single" w:sz="8" w:color="0000FF"/>
            </w:tcBorders>
            <w:gridSpan w:val="22"/>
          </w:tcPr>
          <w:p>
            <w:pPr>
              <w:spacing w:after="0" w:line="161" w:lineRule="exact"/>
              <w:rPr>
                <w:rFonts w:ascii="Arial" w:cs="Arial" w:eastAsia="Arial" w:hAnsi="Arial"/>
                <w:sz w:val="18"/>
                <w:szCs w:val="18"/>
                <w:color w:val="0000FF"/>
                <w:w w:val="98"/>
              </w:rPr>
            </w:pPr>
            <w:hyperlink r:id="rId233">
              <w:r>
                <w:rPr>
                  <w:rFonts w:ascii="Arial" w:cs="Arial" w:eastAsia="Arial" w:hAnsi="Arial"/>
                  <w:sz w:val="18"/>
                  <w:szCs w:val="18"/>
                  <w:color w:val="0000FF"/>
                  <w:w w:val="98"/>
                </w:rPr>
                <w:t>Power &amp; Light Company) and The Bank of New York, as trustee (Exhibit 4.1.b.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00" w:type="dxa"/>
            <w:vAlign w:val="bottom"/>
            <w:tcBorders>
              <w:top w:val="single" w:sz="8" w:color="0000FF"/>
            </w:tcBorders>
            <w:gridSpan w:val="20"/>
          </w:tcPr>
          <w:p>
            <w:pPr>
              <w:spacing w:after="0" w:line="161" w:lineRule="exact"/>
              <w:rPr>
                <w:rFonts w:ascii="Arial" w:cs="Arial" w:eastAsia="Arial" w:hAnsi="Arial"/>
                <w:sz w:val="18"/>
                <w:szCs w:val="18"/>
                <w:color w:val="0000FF"/>
              </w:rPr>
            </w:pPr>
            <w:hyperlink r:id="rId233">
              <w:r>
                <w:rPr>
                  <w:rFonts w:ascii="Arial" w:cs="Arial" w:eastAsia="Arial" w:hAnsi="Arial"/>
                  <w:sz w:val="18"/>
                  <w:szCs w:val="18"/>
                  <w:color w:val="0000FF"/>
                </w:rPr>
                <w:t>Evergy Metro's Form 10-Q for the quarter ended March 31, 2002).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4.28</w:t>
            </w:r>
          </w:p>
        </w:tc>
        <w:tc>
          <w:tcPr>
            <w:tcW w:w="60" w:type="dxa"/>
            <w:vAlign w:val="bottom"/>
          </w:tcPr>
          <w:p>
            <w:pPr>
              <w:spacing w:after="0"/>
              <w:rPr>
                <w:sz w:val="24"/>
                <w:szCs w:val="24"/>
                <w:color w:val="auto"/>
              </w:rPr>
            </w:pPr>
          </w:p>
        </w:tc>
        <w:tc>
          <w:tcPr>
            <w:tcW w:w="7020" w:type="dxa"/>
            <w:vAlign w:val="bottom"/>
            <w:gridSpan w:val="33"/>
          </w:tcPr>
          <w:p>
            <w:pPr>
              <w:ind w:left="60"/>
              <w:spacing w:after="0"/>
              <w:rPr>
                <w:rFonts w:ascii="Arial" w:cs="Arial" w:eastAsia="Arial" w:hAnsi="Arial"/>
                <w:sz w:val="19"/>
                <w:szCs w:val="19"/>
                <w:color w:val="auto"/>
                <w:w w:val="92"/>
              </w:rPr>
            </w:pPr>
            <w:r>
              <w:rPr>
                <w:rFonts w:ascii="Arial" w:cs="Arial" w:eastAsia="Arial" w:hAnsi="Arial"/>
                <w:sz w:val="19"/>
                <w:szCs w:val="19"/>
                <w:color w:val="auto"/>
                <w:w w:val="92"/>
              </w:rPr>
              <w:t xml:space="preserve">*   </w:t>
            </w:r>
            <w:hyperlink r:id="rId234">
              <w:r>
                <w:rPr>
                  <w:rFonts w:ascii="Arial" w:cs="Arial" w:eastAsia="Arial" w:hAnsi="Arial"/>
                  <w:sz w:val="19"/>
                  <w:szCs w:val="19"/>
                  <w:color w:val="0000FF"/>
                  <w:w w:val="92"/>
                </w:rPr>
                <w:t>Supplemental Indenture No. 1, dated November 15, 2005, between Evergy Metro, Inc.</w:t>
              </w:r>
            </w:hyperlink>
          </w:p>
        </w:tc>
      </w:tr>
      <w:tr>
        <w:trPr>
          <w:trHeight w:val="153"/>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80" w:type="dxa"/>
            <w:vAlign w:val="bottom"/>
            <w:tcBorders>
              <w:top w:val="single" w:sz="8" w:color="0000FF"/>
            </w:tcBorders>
            <w:gridSpan w:val="31"/>
          </w:tcPr>
          <w:p>
            <w:pPr>
              <w:spacing w:after="0" w:line="148" w:lineRule="exact"/>
              <w:rPr>
                <w:rFonts w:ascii="Arial" w:cs="Arial" w:eastAsia="Arial" w:hAnsi="Arial"/>
                <w:sz w:val="17"/>
                <w:szCs w:val="17"/>
                <w:color w:val="0000FF"/>
              </w:rPr>
            </w:pPr>
            <w:hyperlink r:id="rId234">
              <w:r>
                <w:rPr>
                  <w:rFonts w:ascii="Arial" w:cs="Arial" w:eastAsia="Arial" w:hAnsi="Arial"/>
                  <w:sz w:val="17"/>
                  <w:szCs w:val="17"/>
                  <w:color w:val="0000FF"/>
                </w:rPr>
                <w:t>(formerly Kansas City Power &amp; Light Company) and The Bank of New York, as</w:t>
              </w:r>
            </w:hyperlink>
          </w:p>
        </w:tc>
        <w:tc>
          <w:tcPr>
            <w:tcW w:w="20" w:type="dxa"/>
            <w:vAlign w:val="bottom"/>
          </w:tcPr>
          <w:p>
            <w:pPr>
              <w:spacing w:after="0"/>
              <w:rPr>
                <w:sz w:val="13"/>
                <w:szCs w:val="13"/>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120" w:type="dxa"/>
            <w:vAlign w:val="bottom"/>
            <w:tcBorders>
              <w:top w:val="single" w:sz="8" w:color="0000FF"/>
            </w:tcBorders>
            <w:gridSpan w:val="14"/>
          </w:tcPr>
          <w:p>
            <w:pPr>
              <w:spacing w:after="0" w:line="168" w:lineRule="exact"/>
              <w:rPr>
                <w:rFonts w:ascii="Arial" w:cs="Arial" w:eastAsia="Arial" w:hAnsi="Arial"/>
                <w:sz w:val="19"/>
                <w:szCs w:val="19"/>
                <w:color w:val="0000FF"/>
                <w:w w:val="91"/>
              </w:rPr>
            </w:pPr>
            <w:hyperlink r:id="rId234">
              <w:r>
                <w:rPr>
                  <w:rFonts w:ascii="Arial" w:cs="Arial" w:eastAsia="Arial" w:hAnsi="Arial"/>
                  <w:sz w:val="19"/>
                  <w:szCs w:val="19"/>
                  <w:color w:val="0000FF"/>
                  <w:w w:val="91"/>
                </w:rPr>
                <w:t>trustee (Exhibit 4.2.j to Evergy Metro's Form 10-K for the year ended December</w:t>
              </w:r>
            </w:hyperlink>
          </w:p>
        </w:tc>
        <w:tc>
          <w:tcPr>
            <w:tcW w:w="380" w:type="dxa"/>
            <w:vAlign w:val="bottom"/>
            <w:gridSpan w:val="13"/>
          </w:tcPr>
          <w:p>
            <w:pPr>
              <w:jc w:val="right"/>
              <w:ind w:right="120"/>
              <w:spacing w:after="0" w:line="168" w:lineRule="exact"/>
              <w:rPr>
                <w:rFonts w:ascii="Arial" w:cs="Arial" w:eastAsia="Arial" w:hAnsi="Arial"/>
                <w:sz w:val="19"/>
                <w:szCs w:val="19"/>
                <w:color w:val="0000FF"/>
                <w:w w:val="90"/>
              </w:rPr>
            </w:pPr>
            <w:hyperlink r:id="rId234">
              <w:r>
                <w:rPr>
                  <w:rFonts w:ascii="Arial" w:cs="Arial" w:eastAsia="Arial" w:hAnsi="Arial"/>
                  <w:sz w:val="19"/>
                  <w:szCs w:val="19"/>
                  <w:color w:val="0000FF"/>
                  <w:w w:val="90"/>
                </w:rPr>
                <w:t>31,</w:t>
              </w:r>
            </w:hyperlink>
          </w:p>
        </w:tc>
        <w:tc>
          <w:tcPr>
            <w:tcW w:w="100" w:type="dxa"/>
            <w:vAlign w:val="bottom"/>
            <w:gridSpan w:val="5"/>
          </w:tcPr>
          <w:p>
            <w:pPr>
              <w:spacing w:after="0"/>
              <w:rPr>
                <w:sz w:val="14"/>
                <w:szCs w:val="14"/>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3"/>
              </w:rPr>
            </w:pPr>
            <w:hyperlink r:id="rId234">
              <w:r>
                <w:rPr>
                  <w:rFonts w:ascii="Arial" w:cs="Arial" w:eastAsia="Arial" w:hAnsi="Arial"/>
                  <w:sz w:val="18"/>
                  <w:szCs w:val="18"/>
                  <w:color w:val="0000FF"/>
                  <w:w w:val="93"/>
                </w:rPr>
                <w:t>2005).</w:t>
              </w:r>
            </w:hyperlink>
          </w:p>
        </w:tc>
        <w:tc>
          <w:tcPr>
            <w:tcW w:w="2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4.29</w:t>
            </w:r>
          </w:p>
        </w:tc>
        <w:tc>
          <w:tcPr>
            <w:tcW w:w="60" w:type="dxa"/>
            <w:vAlign w:val="bottom"/>
          </w:tcPr>
          <w:p>
            <w:pPr>
              <w:spacing w:after="0"/>
              <w:rPr>
                <w:sz w:val="24"/>
                <w:szCs w:val="24"/>
                <w:color w:val="auto"/>
              </w:rPr>
            </w:pPr>
          </w:p>
        </w:tc>
        <w:tc>
          <w:tcPr>
            <w:tcW w:w="7020" w:type="dxa"/>
            <w:vAlign w:val="bottom"/>
            <w:gridSpan w:val="33"/>
          </w:tcPr>
          <w:p>
            <w:pPr>
              <w:ind w:left="60"/>
              <w:spacing w:after="0"/>
              <w:rPr>
                <w:rFonts w:ascii="Arial" w:cs="Arial" w:eastAsia="Arial" w:hAnsi="Arial"/>
                <w:sz w:val="19"/>
                <w:szCs w:val="19"/>
                <w:color w:val="auto"/>
                <w:w w:val="98"/>
              </w:rPr>
            </w:pPr>
            <w:r>
              <w:rPr>
                <w:rFonts w:ascii="Arial" w:cs="Arial" w:eastAsia="Arial" w:hAnsi="Arial"/>
                <w:sz w:val="19"/>
                <w:szCs w:val="19"/>
                <w:color w:val="auto"/>
                <w:w w:val="98"/>
              </w:rPr>
              <w:t xml:space="preserve">*   </w:t>
            </w:r>
            <w:hyperlink r:id="rId235">
              <w:r>
                <w:rPr>
                  <w:rFonts w:ascii="Arial" w:cs="Arial" w:eastAsia="Arial" w:hAnsi="Arial"/>
                  <w:sz w:val="19"/>
                  <w:szCs w:val="19"/>
                  <w:color w:val="0000FF"/>
                  <w:w w:val="98"/>
                </w:rPr>
                <w:t>Supplemental Indenture No. 2, dated March 1, 2019, between Evergy Metro, Inc.</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0" w:type="dxa"/>
            <w:vAlign w:val="bottom"/>
            <w:gridSpan w:val="32"/>
          </w:tcPr>
          <w:p>
            <w:pPr>
              <w:spacing w:after="0" w:line="161" w:lineRule="exact"/>
              <w:rPr>
                <w:rFonts w:ascii="Arial" w:cs="Arial" w:eastAsia="Arial" w:hAnsi="Arial"/>
                <w:sz w:val="18"/>
                <w:szCs w:val="18"/>
                <w:color w:val="0000FF"/>
                <w:w w:val="99"/>
              </w:rPr>
            </w:pPr>
            <w:hyperlink r:id="rId235">
              <w:r>
                <w:rPr>
                  <w:rFonts w:ascii="Arial" w:cs="Arial" w:eastAsia="Arial" w:hAnsi="Arial"/>
                  <w:sz w:val="18"/>
                  <w:szCs w:val="18"/>
                  <w:color w:val="0000FF"/>
                  <w:w w:val="99"/>
                </w:rPr>
                <w:t>(formerly Kansas City Power &amp; Light Company) and The Bank of New York Mellon,</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00" w:type="dxa"/>
            <w:vAlign w:val="bottom"/>
            <w:tcBorders>
              <w:top w:val="single" w:sz="8" w:color="0000FF"/>
            </w:tcBorders>
            <w:gridSpan w:val="27"/>
          </w:tcPr>
          <w:p>
            <w:pPr>
              <w:spacing w:after="0" w:line="161" w:lineRule="exact"/>
              <w:rPr>
                <w:rFonts w:ascii="Arial" w:cs="Arial" w:eastAsia="Arial" w:hAnsi="Arial"/>
                <w:sz w:val="18"/>
                <w:szCs w:val="18"/>
                <w:color w:val="0000FF"/>
              </w:rPr>
            </w:pPr>
            <w:hyperlink r:id="rId235">
              <w:r>
                <w:rPr>
                  <w:rFonts w:ascii="Arial" w:cs="Arial" w:eastAsia="Arial" w:hAnsi="Arial"/>
                  <w:sz w:val="18"/>
                  <w:szCs w:val="18"/>
                  <w:color w:val="0000FF"/>
                </w:rPr>
                <w:t>as trustee (Exhibit 4.2 to Evergy's Form 8-K filed on March 14, 2019).</w:t>
              </w:r>
            </w:hyperlink>
          </w:p>
        </w:tc>
        <w:tc>
          <w:tcPr>
            <w:tcW w:w="100" w:type="dxa"/>
            <w:vAlign w:val="bottom"/>
            <w:gridSpan w:val="5"/>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4.30</w:t>
            </w:r>
          </w:p>
        </w:tc>
        <w:tc>
          <w:tcPr>
            <w:tcW w:w="60" w:type="dxa"/>
            <w:vAlign w:val="bottom"/>
          </w:tcPr>
          <w:p>
            <w:pPr>
              <w:spacing w:after="0"/>
              <w:rPr>
                <w:sz w:val="24"/>
                <w:szCs w:val="24"/>
                <w:color w:val="auto"/>
              </w:rPr>
            </w:pPr>
          </w:p>
        </w:tc>
        <w:tc>
          <w:tcPr>
            <w:tcW w:w="7020" w:type="dxa"/>
            <w:vAlign w:val="bottom"/>
            <w:gridSpan w:val="33"/>
          </w:tcPr>
          <w:p>
            <w:pPr>
              <w:ind w:left="60"/>
              <w:spacing w:after="0"/>
              <w:rPr>
                <w:rFonts w:ascii="Arial" w:cs="Arial" w:eastAsia="Arial" w:hAnsi="Arial"/>
                <w:sz w:val="19"/>
                <w:szCs w:val="19"/>
                <w:color w:val="auto"/>
                <w:w w:val="99"/>
              </w:rPr>
            </w:pPr>
            <w:r>
              <w:rPr>
                <w:rFonts w:ascii="Arial" w:cs="Arial" w:eastAsia="Arial" w:hAnsi="Arial"/>
                <w:sz w:val="19"/>
                <w:szCs w:val="19"/>
                <w:color w:val="auto"/>
                <w:w w:val="99"/>
              </w:rPr>
              <w:t xml:space="preserve">*   </w:t>
            </w:r>
            <w:hyperlink r:id="rId236">
              <w:r>
                <w:rPr>
                  <w:rFonts w:ascii="Arial" w:cs="Arial" w:eastAsia="Arial" w:hAnsi="Arial"/>
                  <w:sz w:val="19"/>
                  <w:szCs w:val="19"/>
                  <w:color w:val="0000FF"/>
                  <w:w w:val="99"/>
                </w:rPr>
                <w:t>Indenture, dated May 1, 2007, between Evergy Metro, Inc. (formerly Kansas City</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180" w:type="dxa"/>
            <w:vAlign w:val="bottom"/>
            <w:tcBorders>
              <w:top w:val="single" w:sz="8" w:color="0000FF"/>
            </w:tcBorders>
            <w:gridSpan w:val="16"/>
          </w:tcPr>
          <w:p>
            <w:pPr>
              <w:spacing w:after="0" w:line="161" w:lineRule="exact"/>
              <w:rPr>
                <w:rFonts w:ascii="Arial" w:cs="Arial" w:eastAsia="Arial" w:hAnsi="Arial"/>
                <w:sz w:val="18"/>
                <w:szCs w:val="18"/>
                <w:color w:val="0000FF"/>
                <w:w w:val="98"/>
              </w:rPr>
            </w:pPr>
            <w:hyperlink r:id="rId236">
              <w:r>
                <w:rPr>
                  <w:rFonts w:ascii="Arial" w:cs="Arial" w:eastAsia="Arial" w:hAnsi="Arial"/>
                  <w:sz w:val="18"/>
                  <w:szCs w:val="18"/>
                  <w:color w:val="0000FF"/>
                  <w:w w:val="98"/>
                </w:rPr>
                <w:t>Power &amp; Light Company) and The Bank of New York Trust Company, N.A., as</w:t>
              </w:r>
            </w:hyperlink>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9"/>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40" w:type="dxa"/>
            <w:vAlign w:val="bottom"/>
            <w:tcBorders>
              <w:top w:val="single" w:sz="8" w:color="0000FF"/>
            </w:tcBorders>
            <w:gridSpan w:val="12"/>
          </w:tcPr>
          <w:p>
            <w:pPr>
              <w:spacing w:after="0" w:line="161" w:lineRule="exact"/>
              <w:rPr>
                <w:rFonts w:ascii="Arial" w:cs="Arial" w:eastAsia="Arial" w:hAnsi="Arial"/>
                <w:sz w:val="18"/>
                <w:szCs w:val="18"/>
                <w:color w:val="0000FF"/>
              </w:rPr>
            </w:pPr>
            <w:hyperlink r:id="rId236">
              <w:r>
                <w:rPr>
                  <w:rFonts w:ascii="Arial" w:cs="Arial" w:eastAsia="Arial" w:hAnsi="Arial"/>
                  <w:sz w:val="18"/>
                  <w:szCs w:val="18"/>
                  <w:color w:val="0000FF"/>
                </w:rPr>
                <w:t>trustee (Exhibit 4.1 to Evergy Metro's Form 8-K filed on June 4, 2007).</w:t>
              </w:r>
            </w:hyperlink>
          </w:p>
        </w:tc>
        <w:tc>
          <w:tcPr>
            <w:tcW w:w="2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9"/>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40" w:type="dxa"/>
            <w:vAlign w:val="bottom"/>
            <w:gridSpan w:val="7"/>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4.31</w:t>
            </w:r>
          </w:p>
        </w:tc>
        <w:tc>
          <w:tcPr>
            <w:tcW w:w="60" w:type="dxa"/>
            <w:vAlign w:val="bottom"/>
          </w:tcPr>
          <w:p>
            <w:pPr>
              <w:spacing w:after="0"/>
              <w:rPr>
                <w:sz w:val="24"/>
                <w:szCs w:val="24"/>
                <w:color w:val="auto"/>
              </w:rPr>
            </w:pPr>
          </w:p>
        </w:tc>
        <w:tc>
          <w:tcPr>
            <w:tcW w:w="7020" w:type="dxa"/>
            <w:vAlign w:val="bottom"/>
            <w:gridSpan w:val="33"/>
          </w:tcPr>
          <w:p>
            <w:pPr>
              <w:ind w:left="60"/>
              <w:spacing w:after="0"/>
              <w:rPr>
                <w:rFonts w:ascii="Arial" w:cs="Arial" w:eastAsia="Arial" w:hAnsi="Arial"/>
                <w:sz w:val="19"/>
                <w:szCs w:val="19"/>
                <w:color w:val="auto"/>
              </w:rPr>
            </w:pPr>
            <w:r>
              <w:rPr>
                <w:rFonts w:ascii="Arial" w:cs="Arial" w:eastAsia="Arial" w:hAnsi="Arial"/>
                <w:sz w:val="19"/>
                <w:szCs w:val="19"/>
                <w:color w:val="auto"/>
              </w:rPr>
              <w:t xml:space="preserve">*   </w:t>
            </w:r>
            <w:hyperlink r:id="rId237">
              <w:r>
                <w:rPr>
                  <w:rFonts w:ascii="Arial" w:cs="Arial" w:eastAsia="Arial" w:hAnsi="Arial"/>
                  <w:sz w:val="19"/>
                  <w:szCs w:val="19"/>
                  <w:color w:val="0000FF"/>
                </w:rPr>
                <w:t>Supplemental Indenture No. 1, dated June 4, 2007, between Evergy Metro, Inc.</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40" w:type="dxa"/>
            <w:vAlign w:val="bottom"/>
            <w:gridSpan w:val="9"/>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20" w:type="dxa"/>
            <w:vAlign w:val="bottom"/>
            <w:tcBorders>
              <w:bottom w:val="single" w:sz="8" w:color="0000FF"/>
            </w:tcBorders>
            <w:gridSpan w:val="21"/>
          </w:tcPr>
          <w:p>
            <w:pPr>
              <w:spacing w:after="0" w:line="161" w:lineRule="exact"/>
              <w:rPr>
                <w:rFonts w:ascii="Arial" w:cs="Arial" w:eastAsia="Arial" w:hAnsi="Arial"/>
                <w:sz w:val="18"/>
                <w:szCs w:val="18"/>
                <w:color w:val="0000FF"/>
                <w:w w:val="97"/>
              </w:rPr>
            </w:pPr>
            <w:hyperlink r:id="rId237">
              <w:r>
                <w:rPr>
                  <w:rFonts w:ascii="Arial" w:cs="Arial" w:eastAsia="Arial" w:hAnsi="Arial"/>
                  <w:sz w:val="18"/>
                  <w:szCs w:val="18"/>
                  <w:color w:val="0000FF"/>
                  <w:w w:val="97"/>
                </w:rPr>
                <w:t>(formerly Kansas City Power &amp; Light Company) and The Bank of New York Trust</w:t>
              </w:r>
            </w:hyperlink>
          </w:p>
        </w:tc>
        <w:tc>
          <w:tcPr>
            <w:tcW w:w="280" w:type="dxa"/>
            <w:vAlign w:val="bottom"/>
            <w:gridSpan w:val="11"/>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0" w:type="dxa"/>
            <w:vAlign w:val="bottom"/>
            <w:gridSpan w:val="32"/>
          </w:tcPr>
          <w:p>
            <w:pPr>
              <w:spacing w:after="0" w:line="161" w:lineRule="exact"/>
              <w:rPr>
                <w:rFonts w:ascii="Arial" w:cs="Arial" w:eastAsia="Arial" w:hAnsi="Arial"/>
                <w:sz w:val="18"/>
                <w:szCs w:val="18"/>
                <w:color w:val="0000FF"/>
              </w:rPr>
            </w:pPr>
            <w:hyperlink r:id="rId237">
              <w:r>
                <w:rPr>
                  <w:rFonts w:ascii="Arial" w:cs="Arial" w:eastAsia="Arial" w:hAnsi="Arial"/>
                  <w:sz w:val="18"/>
                  <w:szCs w:val="18"/>
                  <w:color w:val="0000FF"/>
                </w:rPr>
                <w:t>Company, N.A., as trustee (Exhibit 4.2 to Evergy Metro's Form 8-K filed on June 4,</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3"/>
              </w:rPr>
            </w:pPr>
            <w:hyperlink r:id="rId237">
              <w:r>
                <w:rPr>
                  <w:rFonts w:ascii="Arial" w:cs="Arial" w:eastAsia="Arial" w:hAnsi="Arial"/>
                  <w:sz w:val="18"/>
                  <w:szCs w:val="18"/>
                  <w:color w:val="0000FF"/>
                  <w:w w:val="93"/>
                </w:rPr>
                <w:t>2007).</w:t>
              </w:r>
            </w:hyperlink>
          </w:p>
        </w:tc>
        <w:tc>
          <w:tcPr>
            <w:tcW w:w="2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4.32</w:t>
            </w:r>
          </w:p>
        </w:tc>
        <w:tc>
          <w:tcPr>
            <w:tcW w:w="60" w:type="dxa"/>
            <w:vAlign w:val="bottom"/>
          </w:tcPr>
          <w:p>
            <w:pPr>
              <w:spacing w:after="0"/>
              <w:rPr>
                <w:sz w:val="24"/>
                <w:szCs w:val="24"/>
                <w:color w:val="auto"/>
              </w:rPr>
            </w:pPr>
          </w:p>
        </w:tc>
        <w:tc>
          <w:tcPr>
            <w:tcW w:w="7020" w:type="dxa"/>
            <w:vAlign w:val="bottom"/>
            <w:gridSpan w:val="33"/>
          </w:tcPr>
          <w:p>
            <w:pPr>
              <w:ind w:left="60"/>
              <w:spacing w:after="0"/>
              <w:rPr>
                <w:rFonts w:ascii="Arial" w:cs="Arial" w:eastAsia="Arial" w:hAnsi="Arial"/>
                <w:sz w:val="19"/>
                <w:szCs w:val="19"/>
                <w:color w:val="auto"/>
                <w:w w:val="97"/>
              </w:rPr>
            </w:pPr>
            <w:r>
              <w:rPr>
                <w:rFonts w:ascii="Arial" w:cs="Arial" w:eastAsia="Arial" w:hAnsi="Arial"/>
                <w:sz w:val="19"/>
                <w:szCs w:val="19"/>
                <w:color w:val="auto"/>
                <w:w w:val="97"/>
              </w:rPr>
              <w:t xml:space="preserve">*   </w:t>
            </w:r>
            <w:hyperlink r:id="rId238">
              <w:r>
                <w:rPr>
                  <w:rFonts w:ascii="Arial" w:cs="Arial" w:eastAsia="Arial" w:hAnsi="Arial"/>
                  <w:sz w:val="19"/>
                  <w:szCs w:val="19"/>
                  <w:color w:val="0000FF"/>
                  <w:w w:val="97"/>
                </w:rPr>
                <w:t>Supplemental Indenture No. 2, dated March 11, 2008, between Evergy Metro, Inc.</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7"/>
          </w:tcPr>
          <w:p>
            <w:pPr>
              <w:spacing w:after="0" w:line="161" w:lineRule="exact"/>
              <w:rPr>
                <w:rFonts w:ascii="Arial" w:cs="Arial" w:eastAsia="Arial" w:hAnsi="Arial"/>
                <w:sz w:val="18"/>
                <w:szCs w:val="18"/>
                <w:color w:val="0000FF"/>
                <w:w w:val="96"/>
              </w:rPr>
            </w:pPr>
            <w:hyperlink r:id="rId238">
              <w:r>
                <w:rPr>
                  <w:rFonts w:ascii="Arial" w:cs="Arial" w:eastAsia="Arial" w:hAnsi="Arial"/>
                  <w:sz w:val="18"/>
                  <w:szCs w:val="18"/>
                  <w:color w:val="0000FF"/>
                  <w:w w:val="96"/>
                </w:rPr>
                <w:t>(formerly Kansas City Power &amp; Light Company) and The Bank of New York Trust</w:t>
              </w:r>
            </w:hyperlink>
          </w:p>
        </w:tc>
        <w:tc>
          <w:tcPr>
            <w:tcW w:w="80" w:type="dxa"/>
            <w:vAlign w:val="bottom"/>
            <w:tcBorders>
              <w:bottom w:val="single" w:sz="8" w:color="0000FF"/>
            </w:tcBorders>
            <w:gridSpan w:val="4"/>
          </w:tcPr>
          <w:p>
            <w:pPr>
              <w:spacing w:after="0"/>
              <w:rPr>
                <w:sz w:val="13"/>
                <w:szCs w:val="13"/>
                <w:color w:val="auto"/>
              </w:rPr>
            </w:pPr>
          </w:p>
        </w:tc>
        <w:tc>
          <w:tcPr>
            <w:tcW w:w="280" w:type="dxa"/>
            <w:vAlign w:val="bottom"/>
            <w:gridSpan w:val="11"/>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20" w:type="dxa"/>
            <w:vAlign w:val="bottom"/>
            <w:gridSpan w:val="21"/>
          </w:tcPr>
          <w:p>
            <w:pPr>
              <w:spacing w:after="0" w:line="161" w:lineRule="exact"/>
              <w:rPr>
                <w:rFonts w:ascii="Arial" w:cs="Arial" w:eastAsia="Arial" w:hAnsi="Arial"/>
                <w:sz w:val="18"/>
                <w:szCs w:val="18"/>
                <w:color w:val="0000FF"/>
                <w:w w:val="97"/>
              </w:rPr>
            </w:pPr>
            <w:hyperlink r:id="rId238">
              <w:r>
                <w:rPr>
                  <w:rFonts w:ascii="Arial" w:cs="Arial" w:eastAsia="Arial" w:hAnsi="Arial"/>
                  <w:sz w:val="18"/>
                  <w:szCs w:val="18"/>
                  <w:color w:val="0000FF"/>
                  <w:w w:val="97"/>
                </w:rPr>
                <w:t>Company, N.A., as trustee (Exhibit 4.2 to Evergy Metro's Form 8-K filed on March</w:t>
              </w:r>
            </w:hyperlink>
          </w:p>
        </w:tc>
        <w:tc>
          <w:tcPr>
            <w:tcW w:w="280" w:type="dxa"/>
            <w:vAlign w:val="bottom"/>
            <w:gridSpan w:val="11"/>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tcBorders>
              <w:top w:val="single" w:sz="8" w:color="0000FF"/>
            </w:tcBorders>
            <w:gridSpan w:val="3"/>
          </w:tcPr>
          <w:p>
            <w:pPr>
              <w:spacing w:after="0" w:line="161" w:lineRule="exact"/>
              <w:rPr>
                <w:rFonts w:ascii="Arial" w:cs="Arial" w:eastAsia="Arial" w:hAnsi="Arial"/>
                <w:sz w:val="18"/>
                <w:szCs w:val="18"/>
                <w:color w:val="0000FF"/>
              </w:rPr>
            </w:pPr>
            <w:hyperlink r:id="rId238">
              <w:r>
                <w:rPr>
                  <w:rFonts w:ascii="Arial" w:cs="Arial" w:eastAsia="Arial" w:hAnsi="Arial"/>
                  <w:sz w:val="18"/>
                  <w:szCs w:val="18"/>
                  <w:color w:val="0000FF"/>
                </w:rPr>
                <w:t>11, 2008).</w:t>
              </w:r>
            </w:hyperlink>
          </w:p>
        </w:tc>
        <w:tc>
          <w:tcPr>
            <w:tcW w:w="34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90"/>
        </w:trPr>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3480" w:type="dxa"/>
            <w:vAlign w:val="bottom"/>
            <w:gridSpan w:val="3"/>
          </w:tcPr>
          <w:p>
            <w:pPr>
              <w:jc w:val="right"/>
              <w:ind w:right="300"/>
              <w:spacing w:after="0"/>
              <w:rPr>
                <w:sz w:val="20"/>
                <w:szCs w:val="20"/>
                <w:color w:val="auto"/>
              </w:rPr>
            </w:pPr>
            <w:r>
              <w:rPr>
                <w:rFonts w:ascii="Arial" w:cs="Arial" w:eastAsia="Arial" w:hAnsi="Arial"/>
                <w:sz w:val="17"/>
                <w:szCs w:val="17"/>
                <w:color w:val="auto"/>
              </w:rPr>
              <w:t>166</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201"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201"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201"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201"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201"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ectPr>
          <w:pgSz w:w="11900" w:h="16838" w:orient="portrait"/>
          <w:cols w:equalWidth="0" w:num="2">
            <w:col w:w="8360" w:space="480"/>
            <w:col w:w="1299"/>
          </w:cols>
          <w:pgMar w:left="320" w:top="101"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rFonts w:ascii="Arial" w:cs="Arial" w:eastAsia="Arial" w:hAnsi="Arial"/>
                <w:sz w:val="19"/>
                <w:szCs w:val="19"/>
                <w:color w:val="0000FF"/>
                <w:w w:val="91"/>
              </w:rPr>
            </w:pPr>
            <w:hyperlink w:anchor="page3">
              <w:r>
                <w:rPr>
                  <w:rFonts w:ascii="Arial" w:cs="Arial" w:eastAsia="Arial" w:hAnsi="Arial"/>
                  <w:sz w:val="19"/>
                  <w:szCs w:val="19"/>
                  <w:color w:val="0000FF"/>
                  <w:w w:val="91"/>
                </w:rPr>
                <w:t>Table of Contents</w:t>
              </w:r>
            </w:hyperlink>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Arial" w:cs="Arial" w:eastAsia="Arial" w:hAnsi="Arial"/>
                <w:sz w:val="19"/>
                <w:szCs w:val="19"/>
                <w:color w:val="auto"/>
              </w:rPr>
              <w:t>4.33</w:t>
            </w:r>
          </w:p>
        </w:tc>
        <w:tc>
          <w:tcPr>
            <w:tcW w:w="60" w:type="dxa"/>
            <w:vAlign w:val="bottom"/>
          </w:tcPr>
          <w:p>
            <w:pPr>
              <w:spacing w:after="0"/>
              <w:rPr>
                <w:sz w:val="24"/>
                <w:szCs w:val="24"/>
                <w:color w:val="auto"/>
              </w:rPr>
            </w:pPr>
          </w:p>
        </w:tc>
        <w:tc>
          <w:tcPr>
            <w:tcW w:w="6960" w:type="dxa"/>
            <w:vAlign w:val="bottom"/>
            <w:gridSpan w:val="23"/>
          </w:tcPr>
          <w:p>
            <w:pPr>
              <w:ind w:left="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240">
              <w:r>
                <w:rPr>
                  <w:rFonts w:ascii="Arial" w:cs="Arial" w:eastAsia="Arial" w:hAnsi="Arial"/>
                  <w:sz w:val="19"/>
                  <w:szCs w:val="19"/>
                  <w:color w:val="0000FF"/>
                  <w:w w:val="95"/>
                </w:rPr>
                <w:t>Supplemental Indenture No. 3, dated September 20, 2011, between Evergy Metro,</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2"/>
          </w:tcPr>
          <w:p>
            <w:pPr>
              <w:spacing w:after="0" w:line="161" w:lineRule="exact"/>
              <w:rPr>
                <w:rFonts w:ascii="Arial" w:cs="Arial" w:eastAsia="Arial" w:hAnsi="Arial"/>
                <w:sz w:val="18"/>
                <w:szCs w:val="18"/>
                <w:color w:val="0000FF"/>
                <w:w w:val="97"/>
              </w:rPr>
            </w:pPr>
            <w:hyperlink r:id="rId240">
              <w:r>
                <w:rPr>
                  <w:rFonts w:ascii="Arial" w:cs="Arial" w:eastAsia="Arial" w:hAnsi="Arial"/>
                  <w:sz w:val="18"/>
                  <w:szCs w:val="18"/>
                  <w:color w:val="0000FF"/>
                  <w:w w:val="97"/>
                </w:rPr>
                <w:t>Inc. (formerly Kansas City Power &amp; Light Company) and The Bank of New York</w:t>
              </w:r>
            </w:hyperlink>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gridSpan w:val="22"/>
          </w:tcPr>
          <w:p>
            <w:pPr>
              <w:spacing w:after="0" w:line="161" w:lineRule="exact"/>
              <w:rPr>
                <w:rFonts w:ascii="Arial" w:cs="Arial" w:eastAsia="Arial" w:hAnsi="Arial"/>
                <w:sz w:val="18"/>
                <w:szCs w:val="18"/>
                <w:color w:val="0000FF"/>
              </w:rPr>
            </w:pPr>
            <w:hyperlink r:id="rId240">
              <w:r>
                <w:rPr>
                  <w:rFonts w:ascii="Arial" w:cs="Arial" w:eastAsia="Arial" w:hAnsi="Arial"/>
                  <w:sz w:val="18"/>
                  <w:szCs w:val="18"/>
                  <w:color w:val="0000FF"/>
                </w:rPr>
                <w:t>Mellon Trust Company, N.A., trustee (Exhibit 4.1 to Evergy Metro's Form 8-K filed</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60" w:type="dxa"/>
            <w:vAlign w:val="bottom"/>
            <w:tcBorders>
              <w:top w:val="single" w:sz="8" w:color="0000FF"/>
            </w:tcBorders>
            <w:gridSpan w:val="16"/>
          </w:tcPr>
          <w:p>
            <w:pPr>
              <w:spacing w:after="0" w:line="161" w:lineRule="exact"/>
              <w:rPr>
                <w:rFonts w:ascii="Arial" w:cs="Arial" w:eastAsia="Arial" w:hAnsi="Arial"/>
                <w:sz w:val="18"/>
                <w:szCs w:val="18"/>
                <w:color w:val="0000FF"/>
              </w:rPr>
            </w:pPr>
            <w:hyperlink r:id="rId240">
              <w:r>
                <w:rPr>
                  <w:rFonts w:ascii="Arial" w:cs="Arial" w:eastAsia="Arial" w:hAnsi="Arial"/>
                  <w:sz w:val="18"/>
                  <w:szCs w:val="18"/>
                  <w:color w:val="0000FF"/>
                </w:rPr>
                <w:t>on September 20,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4.34</w:t>
            </w:r>
          </w:p>
        </w:tc>
        <w:tc>
          <w:tcPr>
            <w:tcW w:w="60" w:type="dxa"/>
            <w:vAlign w:val="bottom"/>
          </w:tcPr>
          <w:p>
            <w:pPr>
              <w:spacing w:after="0"/>
              <w:rPr>
                <w:sz w:val="24"/>
                <w:szCs w:val="24"/>
                <w:color w:val="auto"/>
              </w:rPr>
            </w:pPr>
          </w:p>
        </w:tc>
        <w:tc>
          <w:tcPr>
            <w:tcW w:w="6960" w:type="dxa"/>
            <w:vAlign w:val="bottom"/>
            <w:gridSpan w:val="23"/>
          </w:tcPr>
          <w:p>
            <w:pPr>
              <w:ind w:left="60"/>
              <w:spacing w:after="0"/>
              <w:rPr>
                <w:rFonts w:ascii="Arial" w:cs="Arial" w:eastAsia="Arial" w:hAnsi="Arial"/>
                <w:sz w:val="19"/>
                <w:szCs w:val="19"/>
                <w:color w:val="auto"/>
                <w:w w:val="96"/>
              </w:rPr>
            </w:pPr>
            <w:r>
              <w:rPr>
                <w:rFonts w:ascii="Arial" w:cs="Arial" w:eastAsia="Arial" w:hAnsi="Arial"/>
                <w:sz w:val="19"/>
                <w:szCs w:val="19"/>
                <w:color w:val="auto"/>
                <w:w w:val="96"/>
              </w:rPr>
              <w:t xml:space="preserve">*   </w:t>
            </w:r>
            <w:hyperlink r:id="rId241">
              <w:r>
                <w:rPr>
                  <w:rFonts w:ascii="Arial" w:cs="Arial" w:eastAsia="Arial" w:hAnsi="Arial"/>
                  <w:sz w:val="19"/>
                  <w:szCs w:val="19"/>
                  <w:color w:val="0000FF"/>
                  <w:w w:val="96"/>
                </w:rPr>
                <w:t>Supplemental Indenture No. 4, dated March 14, 2013, between Evergy Metro, Inc.</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gridSpan w:val="22"/>
          </w:tcPr>
          <w:p>
            <w:pPr>
              <w:spacing w:after="0" w:line="161" w:lineRule="exact"/>
              <w:rPr>
                <w:rFonts w:ascii="Arial" w:cs="Arial" w:eastAsia="Arial" w:hAnsi="Arial"/>
                <w:sz w:val="18"/>
                <w:szCs w:val="18"/>
                <w:color w:val="0000FF"/>
                <w:w w:val="99"/>
              </w:rPr>
            </w:pPr>
            <w:hyperlink r:id="rId241">
              <w:r>
                <w:rPr>
                  <w:rFonts w:ascii="Arial" w:cs="Arial" w:eastAsia="Arial" w:hAnsi="Arial"/>
                  <w:sz w:val="18"/>
                  <w:szCs w:val="18"/>
                  <w:color w:val="0000FF"/>
                  <w:w w:val="99"/>
                </w:rPr>
                <w:t>(formerly Kansas City Power &amp; Light Company) and The Bank of New York Mellon</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20"/>
          </w:tcPr>
          <w:p>
            <w:pPr>
              <w:spacing w:after="0" w:line="161" w:lineRule="exact"/>
              <w:rPr>
                <w:rFonts w:ascii="Arial" w:cs="Arial" w:eastAsia="Arial" w:hAnsi="Arial"/>
                <w:sz w:val="18"/>
                <w:szCs w:val="18"/>
                <w:color w:val="0000FF"/>
                <w:w w:val="96"/>
              </w:rPr>
            </w:pPr>
            <w:hyperlink r:id="rId241">
              <w:r>
                <w:rPr>
                  <w:rFonts w:ascii="Arial" w:cs="Arial" w:eastAsia="Arial" w:hAnsi="Arial"/>
                  <w:sz w:val="18"/>
                  <w:szCs w:val="18"/>
                  <w:color w:val="0000FF"/>
                  <w:w w:val="96"/>
                </w:rPr>
                <w:t>Trust Company, N.A., trustee (Exhibit 4.1 to Evergy Metro's Form 8-K filed on March</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Borders>
              <w:bottom w:val="single" w:sz="8" w:color="0000FF"/>
            </w:tcBorders>
          </w:tcPr>
          <w:p>
            <w:pPr>
              <w:spacing w:after="0" w:line="161" w:lineRule="exact"/>
              <w:rPr>
                <w:rFonts w:ascii="Arial" w:cs="Arial" w:eastAsia="Arial" w:hAnsi="Arial"/>
                <w:sz w:val="18"/>
                <w:szCs w:val="18"/>
                <w:color w:val="0000FF"/>
                <w:w w:val="93"/>
              </w:rPr>
            </w:pPr>
            <w:hyperlink r:id="rId241">
              <w:r>
                <w:rPr>
                  <w:rFonts w:ascii="Arial" w:cs="Arial" w:eastAsia="Arial" w:hAnsi="Arial"/>
                  <w:sz w:val="18"/>
                  <w:szCs w:val="18"/>
                  <w:color w:val="0000FF"/>
                  <w:w w:val="93"/>
                </w:rPr>
                <w:t>14, 2013).</w:t>
              </w:r>
            </w:hyperlink>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4.35</w:t>
            </w:r>
          </w:p>
        </w:tc>
        <w:tc>
          <w:tcPr>
            <w:tcW w:w="60" w:type="dxa"/>
            <w:vAlign w:val="bottom"/>
          </w:tcPr>
          <w:p>
            <w:pPr>
              <w:spacing w:after="0"/>
              <w:rPr>
                <w:sz w:val="24"/>
                <w:szCs w:val="24"/>
                <w:color w:val="auto"/>
              </w:rPr>
            </w:pPr>
          </w:p>
        </w:tc>
        <w:tc>
          <w:tcPr>
            <w:tcW w:w="6960" w:type="dxa"/>
            <w:vAlign w:val="bottom"/>
            <w:gridSpan w:val="23"/>
          </w:tcPr>
          <w:p>
            <w:pPr>
              <w:ind w:left="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242">
              <w:r>
                <w:rPr>
                  <w:rFonts w:ascii="Arial" w:cs="Arial" w:eastAsia="Arial" w:hAnsi="Arial"/>
                  <w:sz w:val="19"/>
                  <w:szCs w:val="19"/>
                  <w:color w:val="0000FF"/>
                  <w:w w:val="95"/>
                </w:rPr>
                <w:t>Supplemental Indenture No. 5, dated August 18, 2015, between Evergy Metro, Inc.</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gridSpan w:val="22"/>
          </w:tcPr>
          <w:p>
            <w:pPr>
              <w:spacing w:after="0" w:line="161" w:lineRule="exact"/>
              <w:rPr>
                <w:rFonts w:ascii="Arial" w:cs="Arial" w:eastAsia="Arial" w:hAnsi="Arial"/>
                <w:sz w:val="18"/>
                <w:szCs w:val="18"/>
                <w:color w:val="0000FF"/>
                <w:w w:val="99"/>
              </w:rPr>
            </w:pPr>
            <w:hyperlink r:id="rId242">
              <w:r>
                <w:rPr>
                  <w:rFonts w:ascii="Arial" w:cs="Arial" w:eastAsia="Arial" w:hAnsi="Arial"/>
                  <w:sz w:val="18"/>
                  <w:szCs w:val="18"/>
                  <w:color w:val="0000FF"/>
                  <w:w w:val="99"/>
                </w:rPr>
                <w:t>(formerly Kansas City Power &amp; Light Company) and The Bank of New York Mellon</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40" w:type="dxa"/>
            <w:vAlign w:val="bottom"/>
            <w:tcBorders>
              <w:top w:val="single" w:sz="8" w:color="0000FF"/>
            </w:tcBorders>
            <w:gridSpan w:val="19"/>
          </w:tcPr>
          <w:p>
            <w:pPr>
              <w:spacing w:after="0" w:line="161" w:lineRule="exact"/>
              <w:rPr>
                <w:rFonts w:ascii="Arial" w:cs="Arial" w:eastAsia="Arial" w:hAnsi="Arial"/>
                <w:sz w:val="18"/>
                <w:szCs w:val="18"/>
                <w:color w:val="0000FF"/>
              </w:rPr>
            </w:pPr>
            <w:hyperlink r:id="rId242">
              <w:r>
                <w:rPr>
                  <w:rFonts w:ascii="Arial" w:cs="Arial" w:eastAsia="Arial" w:hAnsi="Arial"/>
                  <w:sz w:val="18"/>
                  <w:szCs w:val="18"/>
                  <w:color w:val="0000FF"/>
                </w:rPr>
                <w:t>Trust Company, N.A., trustee (Exhibit 4.1 to Evergy Metro's Form 8-K filed on</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0" w:type="dxa"/>
            <w:vAlign w:val="bottom"/>
            <w:tcBorders>
              <w:top w:val="single" w:sz="8" w:color="0000FF"/>
            </w:tcBorders>
            <w:gridSpan w:val="7"/>
          </w:tcPr>
          <w:p>
            <w:pPr>
              <w:spacing w:after="0" w:line="161" w:lineRule="exact"/>
              <w:rPr>
                <w:rFonts w:ascii="Arial" w:cs="Arial" w:eastAsia="Arial" w:hAnsi="Arial"/>
                <w:sz w:val="18"/>
                <w:szCs w:val="18"/>
                <w:color w:val="0000FF"/>
              </w:rPr>
            </w:pPr>
            <w:hyperlink r:id="rId242">
              <w:r>
                <w:rPr>
                  <w:rFonts w:ascii="Arial" w:cs="Arial" w:eastAsia="Arial" w:hAnsi="Arial"/>
                  <w:sz w:val="18"/>
                  <w:szCs w:val="18"/>
                  <w:color w:val="0000FF"/>
                </w:rPr>
                <w:t>August 18, 2015).</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4.36</w:t>
            </w:r>
          </w:p>
        </w:tc>
        <w:tc>
          <w:tcPr>
            <w:tcW w:w="60" w:type="dxa"/>
            <w:vAlign w:val="bottom"/>
          </w:tcPr>
          <w:p>
            <w:pPr>
              <w:spacing w:after="0"/>
              <w:rPr>
                <w:sz w:val="24"/>
                <w:szCs w:val="24"/>
                <w:color w:val="auto"/>
              </w:rPr>
            </w:pPr>
          </w:p>
        </w:tc>
        <w:tc>
          <w:tcPr>
            <w:tcW w:w="6960" w:type="dxa"/>
            <w:vAlign w:val="bottom"/>
            <w:gridSpan w:val="23"/>
          </w:tcPr>
          <w:p>
            <w:pPr>
              <w:ind w:left="60"/>
              <w:spacing w:after="0"/>
              <w:rPr>
                <w:rFonts w:ascii="Arial" w:cs="Arial" w:eastAsia="Arial" w:hAnsi="Arial"/>
                <w:sz w:val="19"/>
                <w:szCs w:val="19"/>
                <w:color w:val="auto"/>
                <w:w w:val="98"/>
              </w:rPr>
            </w:pPr>
            <w:r>
              <w:rPr>
                <w:rFonts w:ascii="Arial" w:cs="Arial" w:eastAsia="Arial" w:hAnsi="Arial"/>
                <w:sz w:val="19"/>
                <w:szCs w:val="19"/>
                <w:color w:val="auto"/>
                <w:w w:val="98"/>
              </w:rPr>
              <w:t xml:space="preserve">*   </w:t>
            </w:r>
            <w:hyperlink r:id="rId243">
              <w:r>
                <w:rPr>
                  <w:rFonts w:ascii="Arial" w:cs="Arial" w:eastAsia="Arial" w:hAnsi="Arial"/>
                  <w:sz w:val="19"/>
                  <w:szCs w:val="19"/>
                  <w:color w:val="0000FF"/>
                  <w:w w:val="98"/>
                </w:rPr>
                <w:t>Supplemental Indenture No. 6, dated June 15, 2017, between Evergy Metro, Inc.</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gridSpan w:val="22"/>
          </w:tcPr>
          <w:p>
            <w:pPr>
              <w:spacing w:after="0" w:line="161" w:lineRule="exact"/>
              <w:rPr>
                <w:rFonts w:ascii="Arial" w:cs="Arial" w:eastAsia="Arial" w:hAnsi="Arial"/>
                <w:sz w:val="18"/>
                <w:szCs w:val="18"/>
                <w:color w:val="0000FF"/>
                <w:w w:val="99"/>
              </w:rPr>
            </w:pPr>
            <w:hyperlink r:id="rId243">
              <w:r>
                <w:rPr>
                  <w:rFonts w:ascii="Arial" w:cs="Arial" w:eastAsia="Arial" w:hAnsi="Arial"/>
                  <w:sz w:val="18"/>
                  <w:szCs w:val="18"/>
                  <w:color w:val="0000FF"/>
                  <w:w w:val="99"/>
                </w:rPr>
                <w:t>(formerly Kansas City Power &amp; Light Company) and The Bank of New York Mellon</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40" w:type="dxa"/>
            <w:vAlign w:val="bottom"/>
            <w:tcBorders>
              <w:top w:val="single" w:sz="8" w:color="0000FF"/>
            </w:tcBorders>
            <w:gridSpan w:val="19"/>
          </w:tcPr>
          <w:p>
            <w:pPr>
              <w:spacing w:after="0" w:line="161" w:lineRule="exact"/>
              <w:rPr>
                <w:rFonts w:ascii="Arial" w:cs="Arial" w:eastAsia="Arial" w:hAnsi="Arial"/>
                <w:sz w:val="18"/>
                <w:szCs w:val="18"/>
                <w:color w:val="0000FF"/>
              </w:rPr>
            </w:pPr>
            <w:hyperlink r:id="rId243">
              <w:r>
                <w:rPr>
                  <w:rFonts w:ascii="Arial" w:cs="Arial" w:eastAsia="Arial" w:hAnsi="Arial"/>
                  <w:sz w:val="18"/>
                  <w:szCs w:val="18"/>
                  <w:color w:val="0000FF"/>
                </w:rPr>
                <w:t>Trust Company, N.A., as trustee (Exhibit 4.1 to Evergy Metro's Form 8-K filed on</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61" w:lineRule="exact"/>
              <w:rPr>
                <w:rFonts w:ascii="Arial" w:cs="Arial" w:eastAsia="Arial" w:hAnsi="Arial"/>
                <w:sz w:val="18"/>
                <w:szCs w:val="18"/>
                <w:color w:val="0000FF"/>
                <w:w w:val="92"/>
              </w:rPr>
            </w:pPr>
            <w:hyperlink r:id="rId243">
              <w:r>
                <w:rPr>
                  <w:rFonts w:ascii="Arial" w:cs="Arial" w:eastAsia="Arial" w:hAnsi="Arial"/>
                  <w:sz w:val="18"/>
                  <w:szCs w:val="18"/>
                  <w:color w:val="0000FF"/>
                  <w:w w:val="92"/>
                </w:rPr>
                <w:t>June 15, 2017).</w:t>
              </w:r>
            </w:hyperlink>
          </w:p>
        </w:tc>
        <w:tc>
          <w:tcPr>
            <w:tcW w:w="502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4.37</w:t>
            </w:r>
          </w:p>
        </w:tc>
        <w:tc>
          <w:tcPr>
            <w:tcW w:w="60" w:type="dxa"/>
            <w:vAlign w:val="bottom"/>
          </w:tcPr>
          <w:p>
            <w:pPr>
              <w:spacing w:after="0"/>
              <w:rPr>
                <w:sz w:val="24"/>
                <w:szCs w:val="24"/>
                <w:color w:val="auto"/>
              </w:rPr>
            </w:pPr>
          </w:p>
        </w:tc>
        <w:tc>
          <w:tcPr>
            <w:tcW w:w="6960" w:type="dxa"/>
            <w:vAlign w:val="bottom"/>
            <w:gridSpan w:val="23"/>
          </w:tcPr>
          <w:p>
            <w:pPr>
              <w:ind w:left="60"/>
              <w:spacing w:after="0"/>
              <w:rPr>
                <w:rFonts w:ascii="Arial" w:cs="Arial" w:eastAsia="Arial" w:hAnsi="Arial"/>
                <w:sz w:val="19"/>
                <w:szCs w:val="19"/>
                <w:color w:val="auto"/>
                <w:w w:val="97"/>
              </w:rPr>
            </w:pPr>
            <w:r>
              <w:rPr>
                <w:rFonts w:ascii="Arial" w:cs="Arial" w:eastAsia="Arial" w:hAnsi="Arial"/>
                <w:sz w:val="19"/>
                <w:szCs w:val="19"/>
                <w:color w:val="auto"/>
                <w:w w:val="97"/>
              </w:rPr>
              <w:t xml:space="preserve">*   </w:t>
            </w:r>
            <w:hyperlink r:id="rId244">
              <w:r>
                <w:rPr>
                  <w:rFonts w:ascii="Arial" w:cs="Arial" w:eastAsia="Arial" w:hAnsi="Arial"/>
                  <w:sz w:val="19"/>
                  <w:szCs w:val="19"/>
                  <w:color w:val="0000FF"/>
                  <w:w w:val="97"/>
                </w:rPr>
                <w:t>Supplemental Indenture No. 7, dated March 1, 2018, between Evergy Metro, Inc.</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gridSpan w:val="22"/>
          </w:tcPr>
          <w:p>
            <w:pPr>
              <w:spacing w:after="0" w:line="161" w:lineRule="exact"/>
              <w:rPr>
                <w:rFonts w:ascii="Arial" w:cs="Arial" w:eastAsia="Arial" w:hAnsi="Arial"/>
                <w:sz w:val="18"/>
                <w:szCs w:val="18"/>
                <w:color w:val="0000FF"/>
                <w:w w:val="99"/>
              </w:rPr>
            </w:pPr>
            <w:hyperlink r:id="rId244">
              <w:r>
                <w:rPr>
                  <w:rFonts w:ascii="Arial" w:cs="Arial" w:eastAsia="Arial" w:hAnsi="Arial"/>
                  <w:sz w:val="18"/>
                  <w:szCs w:val="18"/>
                  <w:color w:val="0000FF"/>
                  <w:w w:val="99"/>
                </w:rPr>
                <w:t>(formerly Kansas City Power &amp; Light Company) and The Bank of New York Mellon</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40" w:type="dxa"/>
            <w:vAlign w:val="bottom"/>
            <w:tcBorders>
              <w:top w:val="single" w:sz="8" w:color="0000FF"/>
            </w:tcBorders>
            <w:gridSpan w:val="19"/>
          </w:tcPr>
          <w:p>
            <w:pPr>
              <w:spacing w:after="0" w:line="161" w:lineRule="exact"/>
              <w:rPr>
                <w:rFonts w:ascii="Arial" w:cs="Arial" w:eastAsia="Arial" w:hAnsi="Arial"/>
                <w:sz w:val="18"/>
                <w:szCs w:val="18"/>
                <w:color w:val="0000FF"/>
              </w:rPr>
            </w:pPr>
            <w:hyperlink r:id="rId244">
              <w:r>
                <w:rPr>
                  <w:rFonts w:ascii="Arial" w:cs="Arial" w:eastAsia="Arial" w:hAnsi="Arial"/>
                  <w:sz w:val="18"/>
                  <w:szCs w:val="18"/>
                  <w:color w:val="0000FF"/>
                </w:rPr>
                <w:t>Trust Company, N.A., as trustee (Exhibit 4.1 to Evergy Metro's Form 8-K filed on</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0" w:type="dxa"/>
            <w:vAlign w:val="bottom"/>
            <w:tcBorders>
              <w:top w:val="single" w:sz="8" w:color="0000FF"/>
            </w:tcBorders>
            <w:gridSpan w:val="12"/>
          </w:tcPr>
          <w:p>
            <w:pPr>
              <w:spacing w:after="0" w:line="161" w:lineRule="exact"/>
              <w:rPr>
                <w:rFonts w:ascii="Arial" w:cs="Arial" w:eastAsia="Arial" w:hAnsi="Arial"/>
                <w:sz w:val="18"/>
                <w:szCs w:val="18"/>
                <w:color w:val="0000FF"/>
              </w:rPr>
            </w:pPr>
            <w:hyperlink r:id="rId244">
              <w:r>
                <w:rPr>
                  <w:rFonts w:ascii="Arial" w:cs="Arial" w:eastAsia="Arial" w:hAnsi="Arial"/>
                  <w:sz w:val="18"/>
                  <w:szCs w:val="18"/>
                  <w:color w:val="0000FF"/>
                </w:rPr>
                <w:t>March 1, 2018).</w:t>
              </w:r>
            </w:hyperlink>
          </w:p>
        </w:tc>
        <w:tc>
          <w:tcPr>
            <w:tcW w:w="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4.38</w:t>
            </w:r>
          </w:p>
        </w:tc>
        <w:tc>
          <w:tcPr>
            <w:tcW w:w="60" w:type="dxa"/>
            <w:vAlign w:val="bottom"/>
          </w:tcPr>
          <w:p>
            <w:pPr>
              <w:spacing w:after="0"/>
              <w:rPr>
                <w:sz w:val="24"/>
                <w:szCs w:val="24"/>
                <w:color w:val="auto"/>
              </w:rPr>
            </w:pPr>
          </w:p>
        </w:tc>
        <w:tc>
          <w:tcPr>
            <w:tcW w:w="6960" w:type="dxa"/>
            <w:vAlign w:val="bottom"/>
            <w:gridSpan w:val="23"/>
          </w:tcPr>
          <w:p>
            <w:pPr>
              <w:ind w:left="60"/>
              <w:spacing w:after="0"/>
              <w:rPr>
                <w:rFonts w:ascii="Arial" w:cs="Arial" w:eastAsia="Arial" w:hAnsi="Arial"/>
                <w:sz w:val="19"/>
                <w:szCs w:val="19"/>
                <w:color w:val="auto"/>
                <w:w w:val="97"/>
              </w:rPr>
            </w:pPr>
            <w:r>
              <w:rPr>
                <w:rFonts w:ascii="Arial" w:cs="Arial" w:eastAsia="Arial" w:hAnsi="Arial"/>
                <w:sz w:val="19"/>
                <w:szCs w:val="19"/>
                <w:color w:val="auto"/>
                <w:w w:val="97"/>
              </w:rPr>
              <w:t xml:space="preserve">*   </w:t>
            </w:r>
            <w:hyperlink r:id="rId245">
              <w:r>
                <w:rPr>
                  <w:rFonts w:ascii="Arial" w:cs="Arial" w:eastAsia="Arial" w:hAnsi="Arial"/>
                  <w:sz w:val="19"/>
                  <w:szCs w:val="19"/>
                  <w:color w:val="0000FF"/>
                  <w:w w:val="97"/>
                </w:rPr>
                <w:t>Supplemental Indenture No. 8, dated March 1, 2019, between Evergy Metro, Inc.</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gridSpan w:val="22"/>
          </w:tcPr>
          <w:p>
            <w:pPr>
              <w:spacing w:after="0" w:line="161" w:lineRule="exact"/>
              <w:rPr>
                <w:rFonts w:ascii="Arial" w:cs="Arial" w:eastAsia="Arial" w:hAnsi="Arial"/>
                <w:sz w:val="18"/>
                <w:szCs w:val="18"/>
                <w:color w:val="0000FF"/>
                <w:w w:val="99"/>
              </w:rPr>
            </w:pPr>
            <w:hyperlink r:id="rId245">
              <w:r>
                <w:rPr>
                  <w:rFonts w:ascii="Arial" w:cs="Arial" w:eastAsia="Arial" w:hAnsi="Arial"/>
                  <w:sz w:val="18"/>
                  <w:szCs w:val="18"/>
                  <w:color w:val="0000FF"/>
                  <w:w w:val="99"/>
                </w:rPr>
                <w:t>(formerly Kansas City Power &amp; Light Company) and The Bank of New York Mellon</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40" w:type="dxa"/>
            <w:vAlign w:val="bottom"/>
            <w:tcBorders>
              <w:top w:val="single" w:sz="8" w:color="0000FF"/>
            </w:tcBorders>
            <w:gridSpan w:val="19"/>
          </w:tcPr>
          <w:p>
            <w:pPr>
              <w:spacing w:after="0" w:line="161" w:lineRule="exact"/>
              <w:rPr>
                <w:rFonts w:ascii="Arial" w:cs="Arial" w:eastAsia="Arial" w:hAnsi="Arial"/>
                <w:sz w:val="18"/>
                <w:szCs w:val="18"/>
                <w:color w:val="0000FF"/>
              </w:rPr>
            </w:pPr>
            <w:hyperlink r:id="rId245">
              <w:r>
                <w:rPr>
                  <w:rFonts w:ascii="Arial" w:cs="Arial" w:eastAsia="Arial" w:hAnsi="Arial"/>
                  <w:sz w:val="18"/>
                  <w:szCs w:val="18"/>
                  <w:color w:val="0000FF"/>
                </w:rPr>
                <w:t>Trust Company, N.A., as trustee (Exhibit 4.1 to Evergy Metro's Form 8-K filed on</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6"/>
              </w:rPr>
            </w:pPr>
            <w:hyperlink r:id="rId245">
              <w:r>
                <w:rPr>
                  <w:rFonts w:ascii="Arial" w:cs="Arial" w:eastAsia="Arial" w:hAnsi="Arial"/>
                  <w:sz w:val="18"/>
                  <w:szCs w:val="18"/>
                  <w:color w:val="0000FF"/>
                  <w:w w:val="96"/>
                </w:rPr>
                <w:t>March 14, 2019).</w:t>
              </w:r>
            </w:hyperlink>
          </w:p>
        </w:tc>
        <w:tc>
          <w:tcPr>
            <w:tcW w:w="484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4.39</w:t>
            </w:r>
          </w:p>
        </w:tc>
        <w:tc>
          <w:tcPr>
            <w:tcW w:w="60" w:type="dxa"/>
            <w:vAlign w:val="bottom"/>
          </w:tcPr>
          <w:p>
            <w:pPr>
              <w:spacing w:after="0"/>
              <w:rPr>
                <w:sz w:val="24"/>
                <w:szCs w:val="24"/>
                <w:color w:val="auto"/>
              </w:rPr>
            </w:pPr>
          </w:p>
        </w:tc>
        <w:tc>
          <w:tcPr>
            <w:tcW w:w="6960" w:type="dxa"/>
            <w:vAlign w:val="bottom"/>
            <w:gridSpan w:val="23"/>
          </w:tcPr>
          <w:p>
            <w:pPr>
              <w:ind w:left="60"/>
              <w:spacing w:after="0"/>
              <w:rPr>
                <w:rFonts w:ascii="Arial" w:cs="Arial" w:eastAsia="Arial" w:hAnsi="Arial"/>
                <w:sz w:val="19"/>
                <w:szCs w:val="19"/>
                <w:color w:val="auto"/>
                <w:w w:val="92"/>
              </w:rPr>
            </w:pPr>
            <w:r>
              <w:rPr>
                <w:rFonts w:ascii="Arial" w:cs="Arial" w:eastAsia="Arial" w:hAnsi="Arial"/>
                <w:sz w:val="19"/>
                <w:szCs w:val="19"/>
                <w:color w:val="auto"/>
                <w:w w:val="92"/>
              </w:rPr>
              <w:t xml:space="preserve">*   </w:t>
            </w:r>
            <w:hyperlink r:id="rId246">
              <w:r>
                <w:rPr>
                  <w:rFonts w:ascii="Arial" w:cs="Arial" w:eastAsia="Arial" w:hAnsi="Arial"/>
                  <w:sz w:val="19"/>
                  <w:szCs w:val="19"/>
                  <w:color w:val="0000FF"/>
                  <w:w w:val="92"/>
                </w:rPr>
                <w:t>Note Purchase Agreement, dated August 16, 2013, among Evergy Missouri West, Inc.</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20" w:type="dxa"/>
            <w:vAlign w:val="bottom"/>
            <w:tcBorders>
              <w:top w:val="single" w:sz="8" w:color="0000FF"/>
            </w:tcBorders>
            <w:gridSpan w:val="21"/>
          </w:tcPr>
          <w:p>
            <w:pPr>
              <w:spacing w:after="0" w:line="161" w:lineRule="exact"/>
              <w:rPr>
                <w:rFonts w:ascii="Arial" w:cs="Arial" w:eastAsia="Arial" w:hAnsi="Arial"/>
                <w:sz w:val="18"/>
                <w:szCs w:val="18"/>
                <w:color w:val="0000FF"/>
              </w:rPr>
            </w:pPr>
            <w:hyperlink r:id="rId246">
              <w:r>
                <w:rPr>
                  <w:rFonts w:ascii="Arial" w:cs="Arial" w:eastAsia="Arial" w:hAnsi="Arial"/>
                  <w:sz w:val="18"/>
                  <w:szCs w:val="18"/>
                  <w:color w:val="0000FF"/>
                </w:rPr>
                <w:t>(formerly KCP&amp;L Greater Missouri Operations Company), Evergy, Inc. and the</w:t>
              </w:r>
            </w:hyperlink>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80" w:type="dxa"/>
            <w:vAlign w:val="bottom"/>
            <w:tcBorders>
              <w:top w:val="single" w:sz="8" w:color="0000FF"/>
            </w:tcBorders>
            <w:gridSpan w:val="9"/>
          </w:tcPr>
          <w:p>
            <w:pPr>
              <w:spacing w:after="0" w:line="161" w:lineRule="exact"/>
              <w:rPr>
                <w:rFonts w:ascii="Arial" w:cs="Arial" w:eastAsia="Arial" w:hAnsi="Arial"/>
                <w:sz w:val="18"/>
                <w:szCs w:val="18"/>
                <w:color w:val="0000FF"/>
                <w:w w:val="95"/>
              </w:rPr>
            </w:pPr>
            <w:hyperlink r:id="rId246">
              <w:r>
                <w:rPr>
                  <w:rFonts w:ascii="Arial" w:cs="Arial" w:eastAsia="Arial" w:hAnsi="Arial"/>
                  <w:sz w:val="18"/>
                  <w:szCs w:val="18"/>
                  <w:color w:val="0000FF"/>
                  <w:w w:val="95"/>
                </w:rPr>
                <w:t>purchasers party thereto (Exhibit 4.1 to Great Plains Energy's Form 8-K filed on</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60" w:type="dxa"/>
            <w:vAlign w:val="bottom"/>
            <w:tcBorders>
              <w:top w:val="single" w:sz="8" w:color="0000FF"/>
            </w:tcBorders>
            <w:gridSpan w:val="8"/>
          </w:tcPr>
          <w:p>
            <w:pPr>
              <w:spacing w:after="0" w:line="161" w:lineRule="exact"/>
              <w:rPr>
                <w:rFonts w:ascii="Arial" w:cs="Arial" w:eastAsia="Arial" w:hAnsi="Arial"/>
                <w:sz w:val="18"/>
                <w:szCs w:val="18"/>
                <w:color w:val="0000FF"/>
              </w:rPr>
            </w:pPr>
            <w:hyperlink r:id="rId246">
              <w:r>
                <w:rPr>
                  <w:rFonts w:ascii="Arial" w:cs="Arial" w:eastAsia="Arial" w:hAnsi="Arial"/>
                  <w:sz w:val="18"/>
                  <w:szCs w:val="18"/>
                  <w:color w:val="0000FF"/>
                </w:rPr>
                <w:t>August 19, 2013).</w:t>
              </w:r>
            </w:hyperlink>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4.40</w:t>
            </w:r>
          </w:p>
        </w:tc>
        <w:tc>
          <w:tcPr>
            <w:tcW w:w="60" w:type="dxa"/>
            <w:vAlign w:val="bottom"/>
          </w:tcPr>
          <w:p>
            <w:pPr>
              <w:spacing w:after="0"/>
              <w:rPr>
                <w:sz w:val="24"/>
                <w:szCs w:val="24"/>
                <w:color w:val="auto"/>
              </w:rPr>
            </w:pPr>
          </w:p>
        </w:tc>
        <w:tc>
          <w:tcPr>
            <w:tcW w:w="6960" w:type="dxa"/>
            <w:vAlign w:val="bottom"/>
            <w:gridSpan w:val="23"/>
          </w:tcPr>
          <w:p>
            <w:pPr>
              <w:ind w:left="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247">
              <w:r>
                <w:rPr>
                  <w:rFonts w:ascii="Arial" w:cs="Arial" w:eastAsia="Arial" w:hAnsi="Arial"/>
                  <w:sz w:val="19"/>
                  <w:szCs w:val="19"/>
                  <w:color w:val="0000FF"/>
                  <w:w w:val="95"/>
                </w:rPr>
                <w:t>Note Purchase Agreement dated February 12, 2019, among Evergy Missouri West,</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00" w:type="dxa"/>
            <w:vAlign w:val="bottom"/>
            <w:gridSpan w:val="6"/>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gridSpan w:val="22"/>
          </w:tcPr>
          <w:p>
            <w:pPr>
              <w:spacing w:after="0" w:line="161" w:lineRule="exact"/>
              <w:rPr>
                <w:rFonts w:ascii="Arial" w:cs="Arial" w:eastAsia="Arial" w:hAnsi="Arial"/>
                <w:sz w:val="18"/>
                <w:szCs w:val="18"/>
                <w:color w:val="0000FF"/>
                <w:w w:val="99"/>
              </w:rPr>
            </w:pPr>
            <w:hyperlink r:id="rId247">
              <w:r>
                <w:rPr>
                  <w:rFonts w:ascii="Arial" w:cs="Arial" w:eastAsia="Arial" w:hAnsi="Arial"/>
                  <w:sz w:val="18"/>
                  <w:szCs w:val="18"/>
                  <w:color w:val="0000FF"/>
                  <w:w w:val="99"/>
                </w:rPr>
                <w:t>Inc. (formerly KCP&amp;L Greater Missouri Operations Company), Evergy, Inc. and the</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0" w:type="dxa"/>
            <w:vAlign w:val="bottom"/>
            <w:tcBorders>
              <w:top w:val="single" w:sz="8" w:color="0000FF"/>
            </w:tcBorders>
            <w:gridSpan w:val="18"/>
          </w:tcPr>
          <w:p>
            <w:pPr>
              <w:spacing w:after="0" w:line="161" w:lineRule="exact"/>
              <w:rPr>
                <w:rFonts w:ascii="Arial" w:cs="Arial" w:eastAsia="Arial" w:hAnsi="Arial"/>
                <w:sz w:val="18"/>
                <w:szCs w:val="18"/>
                <w:color w:val="0000FF"/>
                <w:w w:val="98"/>
              </w:rPr>
            </w:pPr>
            <w:hyperlink r:id="rId247">
              <w:r>
                <w:rPr>
                  <w:rFonts w:ascii="Arial" w:cs="Arial" w:eastAsia="Arial" w:hAnsi="Arial"/>
                  <w:sz w:val="18"/>
                  <w:szCs w:val="18"/>
                  <w:color w:val="0000FF"/>
                  <w:w w:val="98"/>
                </w:rPr>
                <w:t>purchasers party thereto (Exhibit 4.5 to Evergy's Form 10-Q for the quarter ended</w:t>
              </w:r>
            </w:hyperlink>
          </w:p>
        </w:tc>
        <w:tc>
          <w:tcPr>
            <w:tcW w:w="140" w:type="dxa"/>
            <w:vAlign w:val="bottom"/>
            <w:gridSpan w:val="4"/>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6"/>
              </w:rPr>
            </w:pPr>
            <w:hyperlink r:id="rId247">
              <w:r>
                <w:rPr>
                  <w:rFonts w:ascii="Arial" w:cs="Arial" w:eastAsia="Arial" w:hAnsi="Arial"/>
                  <w:sz w:val="18"/>
                  <w:szCs w:val="18"/>
                  <w:color w:val="0000FF"/>
                  <w:w w:val="96"/>
                </w:rPr>
                <w:t>March 31, 2019).</w:t>
              </w:r>
            </w:hyperlink>
          </w:p>
        </w:tc>
        <w:tc>
          <w:tcPr>
            <w:tcW w:w="4820" w:type="dxa"/>
            <w:vAlign w:val="bottom"/>
            <w:tcBorders>
              <w:top w:val="single" w:sz="8" w:color="0000FF"/>
            </w:tcBorders>
            <w:gridSpan w:val="7"/>
          </w:tcPr>
          <w:p>
            <w:pPr>
              <w:spacing w:after="0"/>
              <w:rPr>
                <w:sz w:val="13"/>
                <w:szCs w:val="13"/>
                <w:color w:val="auto"/>
              </w:rPr>
            </w:pPr>
          </w:p>
        </w:tc>
        <w:tc>
          <w:tcPr>
            <w:tcW w:w="200" w:type="dxa"/>
            <w:vAlign w:val="bottom"/>
            <w:gridSpan w:val="6"/>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4.41</w:t>
            </w:r>
          </w:p>
        </w:tc>
        <w:tc>
          <w:tcPr>
            <w:tcW w:w="60" w:type="dxa"/>
            <w:vAlign w:val="bottom"/>
          </w:tcPr>
          <w:p>
            <w:pPr>
              <w:spacing w:after="0"/>
              <w:rPr>
                <w:sz w:val="24"/>
                <w:szCs w:val="24"/>
                <w:color w:val="auto"/>
              </w:rPr>
            </w:pPr>
          </w:p>
        </w:tc>
        <w:tc>
          <w:tcPr>
            <w:tcW w:w="6960" w:type="dxa"/>
            <w:vAlign w:val="bottom"/>
            <w:gridSpan w:val="23"/>
          </w:tcPr>
          <w:p>
            <w:pPr>
              <w:ind w:left="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248">
              <w:r>
                <w:rPr>
                  <w:rFonts w:ascii="Arial" w:cs="Arial" w:eastAsia="Arial" w:hAnsi="Arial"/>
                  <w:sz w:val="19"/>
                  <w:szCs w:val="19"/>
                  <w:color w:val="0000FF"/>
                  <w:w w:val="94"/>
                </w:rPr>
                <w:t>Note Purchase Agreement, dated April 20, 2021, among Evergy Missouri West, Inc.</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80" w:type="dxa"/>
            <w:vAlign w:val="bottom"/>
            <w:tcBorders>
              <w:top w:val="single" w:sz="8" w:color="0000FF"/>
            </w:tcBorders>
            <w:gridSpan w:val="17"/>
          </w:tcPr>
          <w:p>
            <w:pPr>
              <w:spacing w:after="0" w:line="161" w:lineRule="exact"/>
              <w:rPr>
                <w:rFonts w:ascii="Arial" w:cs="Arial" w:eastAsia="Arial" w:hAnsi="Arial"/>
                <w:sz w:val="18"/>
                <w:szCs w:val="18"/>
                <w:color w:val="0000FF"/>
              </w:rPr>
            </w:pPr>
            <w:hyperlink r:id="rId248">
              <w:r>
                <w:rPr>
                  <w:rFonts w:ascii="Arial" w:cs="Arial" w:eastAsia="Arial" w:hAnsi="Arial"/>
                  <w:sz w:val="18"/>
                  <w:szCs w:val="18"/>
                  <w:color w:val="0000FF"/>
                </w:rPr>
                <w:t>(formerly KCP&amp;L Greater Missouri Operations Company), Evergy, Inc. and the</w:t>
              </w:r>
            </w:hyperlink>
          </w:p>
        </w:tc>
        <w:tc>
          <w:tcPr>
            <w:tcW w:w="160" w:type="dxa"/>
            <w:vAlign w:val="bottom"/>
            <w:gridSpan w:val="5"/>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6"/>
          </w:tcPr>
          <w:p>
            <w:pPr>
              <w:spacing w:after="0" w:line="161" w:lineRule="exact"/>
              <w:rPr>
                <w:rFonts w:ascii="Arial" w:cs="Arial" w:eastAsia="Arial" w:hAnsi="Arial"/>
                <w:sz w:val="18"/>
                <w:szCs w:val="18"/>
                <w:color w:val="0000FF"/>
                <w:w w:val="96"/>
              </w:rPr>
            </w:pPr>
            <w:hyperlink r:id="rId248">
              <w:r>
                <w:rPr>
                  <w:rFonts w:ascii="Arial" w:cs="Arial" w:eastAsia="Arial" w:hAnsi="Arial"/>
                  <w:sz w:val="18"/>
                  <w:szCs w:val="18"/>
                  <w:color w:val="0000FF"/>
                  <w:w w:val="96"/>
                </w:rPr>
                <w:t>purchasers party thereto (Exhibit 4.1 to Evergy's 8-K filed on April 20, 2021).</w:t>
              </w:r>
            </w:hyperlink>
          </w:p>
        </w:tc>
        <w:tc>
          <w:tcPr>
            <w:tcW w:w="220" w:type="dxa"/>
            <w:vAlign w:val="bottom"/>
            <w:tcBorders>
              <w:top w:val="single" w:sz="8" w:color="0000FF"/>
            </w:tcBorders>
            <w:gridSpan w:val="4"/>
          </w:tcPr>
          <w:p>
            <w:pPr>
              <w:spacing w:after="0"/>
              <w:rPr>
                <w:sz w:val="13"/>
                <w:szCs w:val="13"/>
                <w:color w:val="auto"/>
              </w:rPr>
            </w:pPr>
          </w:p>
        </w:tc>
        <w:tc>
          <w:tcPr>
            <w:tcW w:w="420" w:type="dxa"/>
            <w:vAlign w:val="bottom"/>
            <w:gridSpan w:val="12"/>
          </w:tcPr>
          <w:p>
            <w:pPr>
              <w:spacing w:after="0"/>
              <w:rPr>
                <w:sz w:val="13"/>
                <w:szCs w:val="13"/>
                <w:color w:val="auto"/>
              </w:rPr>
            </w:pPr>
          </w:p>
        </w:tc>
      </w:tr>
      <w:tr>
        <w:trPr>
          <w:trHeight w:val="1190"/>
        </w:trPr>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20" w:type="dxa"/>
            <w:vAlign w:val="bottom"/>
            <w:gridSpan w:val="7"/>
          </w:tcPr>
          <w:p>
            <w:pPr>
              <w:ind w:left="4100"/>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ind w:right="259"/>
        <w:spacing w:after="0" w:line="276" w:lineRule="auto"/>
        <w:rPr>
          <w:sz w:val="20"/>
          <w:szCs w:val="20"/>
          <w:color w:val="auto"/>
        </w:rPr>
      </w:pPr>
      <w:r>
        <w:rPr>
          <w:rFonts w:ascii="Arial" w:cs="Arial" w:eastAsia="Arial" w:hAnsi="Arial"/>
          <w:sz w:val="17"/>
          <w:szCs w:val="17"/>
          <w:color w:val="auto"/>
        </w:rPr>
        <w:t>Evergy Evergy Metro</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ectPr>
          <w:pgSz w:w="11900" w:h="16838" w:orient="portrait"/>
          <w:cols w:equalWidth="0" w:num="2">
            <w:col w:w="8360" w:space="480"/>
            <w:col w:w="1299"/>
          </w:cols>
          <w:pgMar w:left="320" w:top="102" w:right="1440"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rFonts w:ascii="Arial" w:cs="Arial" w:eastAsia="Arial" w:hAnsi="Arial"/>
                <w:sz w:val="19"/>
                <w:szCs w:val="19"/>
                <w:color w:val="0000FF"/>
                <w:w w:val="91"/>
              </w:rPr>
            </w:pPr>
            <w:hyperlink w:anchor="page3">
              <w:r>
                <w:rPr>
                  <w:rFonts w:ascii="Arial" w:cs="Arial" w:eastAsia="Arial" w:hAnsi="Arial"/>
                  <w:sz w:val="19"/>
                  <w:szCs w:val="19"/>
                  <w:color w:val="0000FF"/>
                  <w:w w:val="91"/>
                </w:rPr>
                <w:t>Table of Contents</w:t>
              </w:r>
            </w:hyperlink>
          </w:p>
        </w:tc>
        <w:tc>
          <w:tcPr>
            <w:tcW w:w="4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Arial" w:cs="Arial" w:eastAsia="Arial" w:hAnsi="Arial"/>
                <w:sz w:val="19"/>
                <w:szCs w:val="19"/>
                <w:color w:val="auto"/>
              </w:rPr>
              <w:t>4.42</w:t>
            </w:r>
          </w:p>
        </w:tc>
        <w:tc>
          <w:tcPr>
            <w:tcW w:w="60" w:type="dxa"/>
            <w:vAlign w:val="bottom"/>
          </w:tcPr>
          <w:p>
            <w:pPr>
              <w:spacing w:after="0"/>
              <w:rPr>
                <w:sz w:val="24"/>
                <w:szCs w:val="24"/>
                <w:color w:val="auto"/>
              </w:rPr>
            </w:pPr>
          </w:p>
        </w:tc>
        <w:tc>
          <w:tcPr>
            <w:tcW w:w="7020" w:type="dxa"/>
            <w:vAlign w:val="bottom"/>
            <w:gridSpan w:val="24"/>
          </w:tcPr>
          <w:p>
            <w:pPr>
              <w:ind w:left="60"/>
              <w:spacing w:after="0"/>
              <w:rPr>
                <w:rFonts w:ascii="Arial" w:cs="Arial" w:eastAsia="Arial" w:hAnsi="Arial"/>
                <w:sz w:val="19"/>
                <w:szCs w:val="19"/>
                <w:color w:val="auto"/>
                <w:w w:val="92"/>
              </w:rPr>
            </w:pPr>
            <w:r>
              <w:rPr>
                <w:rFonts w:ascii="Arial" w:cs="Arial" w:eastAsia="Arial" w:hAnsi="Arial"/>
                <w:sz w:val="19"/>
                <w:szCs w:val="19"/>
                <w:color w:val="auto"/>
                <w:w w:val="92"/>
              </w:rPr>
              <w:t xml:space="preserve">*   </w:t>
            </w:r>
            <w:hyperlink r:id="rId250">
              <w:r>
                <w:rPr>
                  <w:rFonts w:ascii="Arial" w:cs="Arial" w:eastAsia="Arial" w:hAnsi="Arial"/>
                  <w:sz w:val="19"/>
                  <w:szCs w:val="19"/>
                  <w:color w:val="0000FF"/>
                  <w:w w:val="92"/>
                </w:rPr>
                <w:t>Mortgage and Deed of Trust, dated July 1, 1939, between Evergy Kansas Central, Inc.</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tcBorders>
              <w:top w:val="single" w:sz="8" w:color="0000FF"/>
            </w:tcBorders>
            <w:gridSpan w:val="21"/>
          </w:tcPr>
          <w:p>
            <w:pPr>
              <w:spacing w:after="0" w:line="161" w:lineRule="exact"/>
              <w:rPr>
                <w:rFonts w:ascii="Arial" w:cs="Arial" w:eastAsia="Arial" w:hAnsi="Arial"/>
                <w:sz w:val="18"/>
                <w:szCs w:val="18"/>
                <w:color w:val="0000FF"/>
                <w:w w:val="95"/>
              </w:rPr>
            </w:pPr>
            <w:hyperlink r:id="rId250">
              <w:r>
                <w:rPr>
                  <w:rFonts w:ascii="Arial" w:cs="Arial" w:eastAsia="Arial" w:hAnsi="Arial"/>
                  <w:sz w:val="18"/>
                  <w:szCs w:val="18"/>
                  <w:color w:val="0000FF"/>
                  <w:w w:val="95"/>
                </w:rPr>
                <w:t>(formerly Westar Energy, Inc. and The Kansas Power and Light Company) and Harris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20" w:type="dxa"/>
            <w:vAlign w:val="bottom"/>
            <w:tcBorders>
              <w:top w:val="single" w:sz="8" w:color="0000FF"/>
            </w:tcBorders>
            <w:gridSpan w:val="19"/>
          </w:tcPr>
          <w:p>
            <w:pPr>
              <w:spacing w:after="0" w:line="161" w:lineRule="exact"/>
              <w:rPr>
                <w:rFonts w:ascii="Arial" w:cs="Arial" w:eastAsia="Arial" w:hAnsi="Arial"/>
                <w:sz w:val="18"/>
                <w:szCs w:val="18"/>
                <w:color w:val="0000FF"/>
                <w:w w:val="94"/>
              </w:rPr>
            </w:pPr>
            <w:hyperlink r:id="rId250">
              <w:r>
                <w:rPr>
                  <w:rFonts w:ascii="Arial" w:cs="Arial" w:eastAsia="Arial" w:hAnsi="Arial"/>
                  <w:sz w:val="18"/>
                  <w:szCs w:val="18"/>
                  <w:color w:val="0000FF"/>
                  <w:w w:val="94"/>
                </w:rPr>
                <w:t>Trust and Savings Bank, as trustee (Exhibit 4.35 to Evergy Kansas Central's Form 10-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6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4"/>
              </w:rPr>
            </w:pPr>
            <w:hyperlink r:id="rId250">
              <w:r>
                <w:rPr>
                  <w:rFonts w:ascii="Arial" w:cs="Arial" w:eastAsia="Arial" w:hAnsi="Arial"/>
                  <w:sz w:val="18"/>
                  <w:szCs w:val="18"/>
                  <w:color w:val="0000FF"/>
                  <w:w w:val="94"/>
                </w:rPr>
                <w:t>K for the fiscal year ended December 31, 2018).</w:t>
              </w:r>
            </w:hyperlink>
          </w:p>
        </w:tc>
        <w:tc>
          <w:tcPr>
            <w:tcW w:w="28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4.43</w:t>
            </w:r>
          </w:p>
        </w:tc>
        <w:tc>
          <w:tcPr>
            <w:tcW w:w="60" w:type="dxa"/>
            <w:vAlign w:val="bottom"/>
          </w:tcPr>
          <w:p>
            <w:pPr>
              <w:spacing w:after="0"/>
              <w:rPr>
                <w:sz w:val="24"/>
                <w:szCs w:val="24"/>
                <w:color w:val="auto"/>
              </w:rPr>
            </w:pPr>
          </w:p>
        </w:tc>
        <w:tc>
          <w:tcPr>
            <w:tcW w:w="7020" w:type="dxa"/>
            <w:vAlign w:val="bottom"/>
            <w:gridSpan w:val="24"/>
          </w:tcPr>
          <w:p>
            <w:pPr>
              <w:ind w:left="60"/>
              <w:spacing w:after="0"/>
              <w:rPr>
                <w:rFonts w:ascii="Arial" w:cs="Arial" w:eastAsia="Arial" w:hAnsi="Arial"/>
                <w:sz w:val="19"/>
                <w:szCs w:val="19"/>
                <w:color w:val="auto"/>
                <w:w w:val="96"/>
              </w:rPr>
            </w:pPr>
            <w:r>
              <w:rPr>
                <w:rFonts w:ascii="Arial" w:cs="Arial" w:eastAsia="Arial" w:hAnsi="Arial"/>
                <w:sz w:val="19"/>
                <w:szCs w:val="19"/>
                <w:color w:val="auto"/>
                <w:w w:val="96"/>
              </w:rPr>
              <w:t xml:space="preserve">*   </w:t>
            </w:r>
            <w:hyperlink r:id="rId251">
              <w:r>
                <w:rPr>
                  <w:rFonts w:ascii="Arial" w:cs="Arial" w:eastAsia="Arial" w:hAnsi="Arial"/>
                  <w:sz w:val="19"/>
                  <w:szCs w:val="19"/>
                  <w:color w:val="0000FF"/>
                  <w:w w:val="96"/>
                </w:rPr>
                <w:t>First Supplemental Indenture, dated July 1, 1939, between Evergy Kansas Central,</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0" w:type="dxa"/>
            <w:vAlign w:val="bottom"/>
            <w:gridSpan w:val="23"/>
          </w:tcPr>
          <w:p>
            <w:pPr>
              <w:spacing w:after="0" w:line="161" w:lineRule="exact"/>
              <w:rPr>
                <w:rFonts w:ascii="Arial" w:cs="Arial" w:eastAsia="Arial" w:hAnsi="Arial"/>
                <w:sz w:val="18"/>
                <w:szCs w:val="18"/>
                <w:color w:val="0000FF"/>
                <w:w w:val="99"/>
              </w:rPr>
            </w:pPr>
            <w:hyperlink r:id="rId251">
              <w:r>
                <w:rPr>
                  <w:rFonts w:ascii="Arial" w:cs="Arial" w:eastAsia="Arial" w:hAnsi="Arial"/>
                  <w:sz w:val="18"/>
                  <w:szCs w:val="18"/>
                  <w:color w:val="0000FF"/>
                  <w:w w:val="99"/>
                </w:rPr>
                <w:t>Inc. (formerly Westar Energy, Inc. and The Kansas Power and Light Company) and</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20" w:type="dxa"/>
            <w:vAlign w:val="bottom"/>
            <w:tcBorders>
              <w:top w:val="single" w:sz="8" w:color="0000FF"/>
            </w:tcBorders>
            <w:gridSpan w:val="11"/>
          </w:tcPr>
          <w:p>
            <w:pPr>
              <w:spacing w:after="0" w:line="161" w:lineRule="exact"/>
              <w:rPr>
                <w:rFonts w:ascii="Arial" w:cs="Arial" w:eastAsia="Arial" w:hAnsi="Arial"/>
                <w:sz w:val="18"/>
                <w:szCs w:val="18"/>
                <w:color w:val="0000FF"/>
                <w:w w:val="95"/>
              </w:rPr>
            </w:pPr>
            <w:hyperlink r:id="rId251">
              <w:r>
                <w:rPr>
                  <w:rFonts w:ascii="Arial" w:cs="Arial" w:eastAsia="Arial" w:hAnsi="Arial"/>
                  <w:sz w:val="18"/>
                  <w:szCs w:val="18"/>
                  <w:color w:val="0000FF"/>
                  <w:w w:val="95"/>
                </w:rPr>
                <w:t>Harris Trust and Savings Bank, as trustee (Exhibit 4.36 to Evergy Kansas Central's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60" w:type="dxa"/>
            <w:vAlign w:val="bottom"/>
            <w:tcBorders>
              <w:top w:val="single" w:sz="8" w:color="0000FF"/>
            </w:tcBorders>
            <w:gridSpan w:val="10"/>
          </w:tcPr>
          <w:p>
            <w:pPr>
              <w:spacing w:after="0" w:line="161" w:lineRule="exact"/>
              <w:rPr>
                <w:rFonts w:ascii="Arial" w:cs="Arial" w:eastAsia="Arial" w:hAnsi="Arial"/>
                <w:sz w:val="18"/>
                <w:szCs w:val="18"/>
                <w:color w:val="0000FF"/>
              </w:rPr>
            </w:pPr>
            <w:hyperlink r:id="rId251">
              <w:r>
                <w:rPr>
                  <w:rFonts w:ascii="Arial" w:cs="Arial" w:eastAsia="Arial" w:hAnsi="Arial"/>
                  <w:sz w:val="18"/>
                  <w:szCs w:val="18"/>
                  <w:color w:val="0000FF"/>
                </w:rPr>
                <w:t>Form 10-K for the fiscal year ended December 31, 2018).</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4.44</w:t>
            </w:r>
          </w:p>
        </w:tc>
        <w:tc>
          <w:tcPr>
            <w:tcW w:w="60" w:type="dxa"/>
            <w:vAlign w:val="bottom"/>
          </w:tcPr>
          <w:p>
            <w:pPr>
              <w:spacing w:after="0"/>
              <w:rPr>
                <w:sz w:val="24"/>
                <w:szCs w:val="24"/>
                <w:color w:val="auto"/>
              </w:rPr>
            </w:pPr>
          </w:p>
        </w:tc>
        <w:tc>
          <w:tcPr>
            <w:tcW w:w="7020" w:type="dxa"/>
            <w:vAlign w:val="bottom"/>
            <w:gridSpan w:val="24"/>
          </w:tcPr>
          <w:p>
            <w:pPr>
              <w:ind w:left="60"/>
              <w:spacing w:after="0"/>
              <w:rPr>
                <w:rFonts w:ascii="Arial" w:cs="Arial" w:eastAsia="Arial" w:hAnsi="Arial"/>
                <w:sz w:val="19"/>
                <w:szCs w:val="19"/>
                <w:color w:val="auto"/>
                <w:w w:val="92"/>
              </w:rPr>
            </w:pPr>
            <w:r>
              <w:rPr>
                <w:rFonts w:ascii="Arial" w:cs="Arial" w:eastAsia="Arial" w:hAnsi="Arial"/>
                <w:sz w:val="19"/>
                <w:szCs w:val="19"/>
                <w:color w:val="auto"/>
                <w:w w:val="92"/>
              </w:rPr>
              <w:t xml:space="preserve">*   </w:t>
            </w:r>
            <w:hyperlink r:id="rId252">
              <w:r>
                <w:rPr>
                  <w:rFonts w:ascii="Arial" w:cs="Arial" w:eastAsia="Arial" w:hAnsi="Arial"/>
                  <w:sz w:val="19"/>
                  <w:szCs w:val="19"/>
                  <w:color w:val="0000FF"/>
                  <w:w w:val="92"/>
                </w:rPr>
                <w:t>Second Supplemental Indenture, dated April 1, 1949, between Evergy Kansas Central,</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80" w:type="dxa"/>
            <w:vAlign w:val="bottom"/>
            <w:tcBorders>
              <w:top w:val="single" w:sz="8" w:color="0000FF"/>
            </w:tcBorders>
            <w:gridSpan w:val="22"/>
          </w:tcPr>
          <w:p>
            <w:pPr>
              <w:spacing w:after="0" w:line="161" w:lineRule="exact"/>
              <w:rPr>
                <w:rFonts w:ascii="Arial" w:cs="Arial" w:eastAsia="Arial" w:hAnsi="Arial"/>
                <w:sz w:val="18"/>
                <w:szCs w:val="18"/>
                <w:color w:val="0000FF"/>
                <w:w w:val="99"/>
              </w:rPr>
            </w:pPr>
            <w:hyperlink r:id="rId252">
              <w:r>
                <w:rPr>
                  <w:rFonts w:ascii="Arial" w:cs="Arial" w:eastAsia="Arial" w:hAnsi="Arial"/>
                  <w:sz w:val="18"/>
                  <w:szCs w:val="18"/>
                  <w:color w:val="0000FF"/>
                  <w:w w:val="99"/>
                </w:rPr>
                <w:t>Inc. (formerly Westar Energy, Inc. and The Kansas Power and Light Company) and</w:t>
              </w:r>
            </w:hyperlink>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20" w:type="dxa"/>
            <w:vAlign w:val="bottom"/>
            <w:tcBorders>
              <w:top w:val="single" w:sz="8" w:color="0000FF"/>
            </w:tcBorders>
            <w:gridSpan w:val="11"/>
          </w:tcPr>
          <w:p>
            <w:pPr>
              <w:spacing w:after="0" w:line="161" w:lineRule="exact"/>
              <w:rPr>
                <w:rFonts w:ascii="Arial" w:cs="Arial" w:eastAsia="Arial" w:hAnsi="Arial"/>
                <w:sz w:val="18"/>
                <w:szCs w:val="18"/>
                <w:color w:val="0000FF"/>
                <w:w w:val="95"/>
              </w:rPr>
            </w:pPr>
            <w:hyperlink r:id="rId252">
              <w:r>
                <w:rPr>
                  <w:rFonts w:ascii="Arial" w:cs="Arial" w:eastAsia="Arial" w:hAnsi="Arial"/>
                  <w:sz w:val="18"/>
                  <w:szCs w:val="18"/>
                  <w:color w:val="0000FF"/>
                  <w:w w:val="95"/>
                </w:rPr>
                <w:t>Harris Trust and Savings Bank, as trustee (Exhibit 4.37 to Evergy Kansas Central's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60" w:type="dxa"/>
            <w:vAlign w:val="bottom"/>
            <w:tcBorders>
              <w:top w:val="single" w:sz="8" w:color="0000FF"/>
            </w:tcBorders>
            <w:gridSpan w:val="10"/>
          </w:tcPr>
          <w:p>
            <w:pPr>
              <w:spacing w:after="0" w:line="161" w:lineRule="exact"/>
              <w:rPr>
                <w:rFonts w:ascii="Arial" w:cs="Arial" w:eastAsia="Arial" w:hAnsi="Arial"/>
                <w:sz w:val="18"/>
                <w:szCs w:val="18"/>
                <w:color w:val="0000FF"/>
              </w:rPr>
            </w:pPr>
            <w:hyperlink r:id="rId252">
              <w:r>
                <w:rPr>
                  <w:rFonts w:ascii="Arial" w:cs="Arial" w:eastAsia="Arial" w:hAnsi="Arial"/>
                  <w:sz w:val="18"/>
                  <w:szCs w:val="18"/>
                  <w:color w:val="0000FF"/>
                </w:rPr>
                <w:t>Form 10-K for the fiscal year ended December 31, 2018).</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4.45</w:t>
            </w:r>
          </w:p>
        </w:tc>
        <w:tc>
          <w:tcPr>
            <w:tcW w:w="60" w:type="dxa"/>
            <w:vAlign w:val="bottom"/>
          </w:tcPr>
          <w:p>
            <w:pPr>
              <w:spacing w:after="0"/>
              <w:rPr>
                <w:sz w:val="24"/>
                <w:szCs w:val="24"/>
                <w:color w:val="auto"/>
              </w:rPr>
            </w:pPr>
          </w:p>
        </w:tc>
        <w:tc>
          <w:tcPr>
            <w:tcW w:w="7020" w:type="dxa"/>
            <w:vAlign w:val="bottom"/>
            <w:gridSpan w:val="24"/>
          </w:tcPr>
          <w:p>
            <w:pPr>
              <w:ind w:left="60"/>
              <w:spacing w:after="0"/>
              <w:rPr>
                <w:rFonts w:ascii="Arial" w:cs="Arial" w:eastAsia="Arial" w:hAnsi="Arial"/>
                <w:sz w:val="19"/>
                <w:szCs w:val="19"/>
                <w:color w:val="auto"/>
              </w:rPr>
            </w:pPr>
            <w:r>
              <w:rPr>
                <w:rFonts w:ascii="Arial" w:cs="Arial" w:eastAsia="Arial" w:hAnsi="Arial"/>
                <w:sz w:val="19"/>
                <w:szCs w:val="19"/>
                <w:color w:val="auto"/>
              </w:rPr>
              <w:t xml:space="preserve">*   </w:t>
            </w:r>
            <w:hyperlink r:id="rId253">
              <w:r>
                <w:rPr>
                  <w:rFonts w:ascii="Arial" w:cs="Arial" w:eastAsia="Arial" w:hAnsi="Arial"/>
                  <w:sz w:val="19"/>
                  <w:szCs w:val="19"/>
                  <w:color w:val="0000FF"/>
                </w:rPr>
                <w:t>Sixth Supplemental Indenture, dated October 4, 1951, between Evergy Kansas</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940" w:type="dxa"/>
            <w:vAlign w:val="bottom"/>
            <w:tcBorders>
              <w:top w:val="single" w:sz="8" w:color="0000FF"/>
            </w:tcBorders>
            <w:gridSpan w:val="5"/>
          </w:tcPr>
          <w:p>
            <w:pPr>
              <w:spacing w:after="0" w:line="161" w:lineRule="exact"/>
              <w:rPr>
                <w:rFonts w:ascii="Arial" w:cs="Arial" w:eastAsia="Arial" w:hAnsi="Arial"/>
                <w:sz w:val="18"/>
                <w:szCs w:val="18"/>
                <w:color w:val="0000FF"/>
                <w:w w:val="97"/>
              </w:rPr>
            </w:pPr>
            <w:hyperlink r:id="rId253">
              <w:r>
                <w:rPr>
                  <w:rFonts w:ascii="Arial" w:cs="Arial" w:eastAsia="Arial" w:hAnsi="Arial"/>
                  <w:sz w:val="18"/>
                  <w:szCs w:val="18"/>
                  <w:color w:val="0000FF"/>
                  <w:w w:val="97"/>
                </w:rPr>
                <w:t>Central, Inc. (formerly Westar Energy, Inc. and The Kansas Power and Light</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0" w:type="dxa"/>
            <w:vAlign w:val="bottom"/>
            <w:gridSpan w:val="23"/>
          </w:tcPr>
          <w:p>
            <w:pPr>
              <w:spacing w:after="0" w:line="161" w:lineRule="exact"/>
              <w:rPr>
                <w:rFonts w:ascii="Arial" w:cs="Arial" w:eastAsia="Arial" w:hAnsi="Arial"/>
                <w:sz w:val="18"/>
                <w:szCs w:val="18"/>
                <w:color w:val="0000FF"/>
              </w:rPr>
            </w:pPr>
            <w:hyperlink r:id="rId253">
              <w:r>
                <w:rPr>
                  <w:rFonts w:ascii="Arial" w:cs="Arial" w:eastAsia="Arial" w:hAnsi="Arial"/>
                  <w:sz w:val="18"/>
                  <w:szCs w:val="18"/>
                  <w:color w:val="0000FF"/>
                </w:rPr>
                <w:t>Company) and Harris Trust and Savings Bank, as trustee (Exhibit 4.38 to Evergy</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120" w:type="dxa"/>
            <w:vAlign w:val="bottom"/>
            <w:tcBorders>
              <w:top w:val="single" w:sz="8" w:color="0000FF"/>
            </w:tcBorders>
            <w:gridSpan w:val="7"/>
          </w:tcPr>
          <w:p>
            <w:pPr>
              <w:spacing w:after="0" w:line="161" w:lineRule="exact"/>
              <w:rPr>
                <w:rFonts w:ascii="Arial" w:cs="Arial" w:eastAsia="Arial" w:hAnsi="Arial"/>
                <w:sz w:val="18"/>
                <w:szCs w:val="18"/>
                <w:color w:val="0000FF"/>
              </w:rPr>
            </w:pPr>
            <w:hyperlink r:id="rId253">
              <w:r>
                <w:rPr>
                  <w:rFonts w:ascii="Arial" w:cs="Arial" w:eastAsia="Arial" w:hAnsi="Arial"/>
                  <w:sz w:val="18"/>
                  <w:szCs w:val="18"/>
                  <w:color w:val="0000FF"/>
                </w:rPr>
                <w:t>Kansas Central's Form 10-K for the fiscal year ended December 31, 2018).</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4.46</w:t>
            </w:r>
          </w:p>
        </w:tc>
        <w:tc>
          <w:tcPr>
            <w:tcW w:w="60" w:type="dxa"/>
            <w:vAlign w:val="bottom"/>
          </w:tcPr>
          <w:p>
            <w:pPr>
              <w:spacing w:after="0"/>
              <w:rPr>
                <w:sz w:val="24"/>
                <w:szCs w:val="24"/>
                <w:color w:val="auto"/>
              </w:rPr>
            </w:pPr>
          </w:p>
        </w:tc>
        <w:tc>
          <w:tcPr>
            <w:tcW w:w="7020" w:type="dxa"/>
            <w:vAlign w:val="bottom"/>
            <w:gridSpan w:val="24"/>
          </w:tcPr>
          <w:p>
            <w:pPr>
              <w:ind w:left="60"/>
              <w:spacing w:after="0"/>
              <w:rPr>
                <w:rFonts w:ascii="Arial" w:cs="Arial" w:eastAsia="Arial" w:hAnsi="Arial"/>
                <w:sz w:val="19"/>
                <w:szCs w:val="19"/>
                <w:color w:val="auto"/>
                <w:w w:val="98"/>
              </w:rPr>
            </w:pPr>
            <w:r>
              <w:rPr>
                <w:rFonts w:ascii="Arial" w:cs="Arial" w:eastAsia="Arial" w:hAnsi="Arial"/>
                <w:sz w:val="19"/>
                <w:szCs w:val="19"/>
                <w:color w:val="auto"/>
                <w:w w:val="98"/>
              </w:rPr>
              <w:t xml:space="preserve">*   </w:t>
            </w:r>
            <w:hyperlink r:id="rId254">
              <w:r>
                <w:rPr>
                  <w:rFonts w:ascii="Arial" w:cs="Arial" w:eastAsia="Arial" w:hAnsi="Arial"/>
                  <w:sz w:val="19"/>
                  <w:szCs w:val="19"/>
                  <w:color w:val="0000FF"/>
                  <w:w w:val="98"/>
                </w:rPr>
                <w:t>Fourteenth Supplemental Indenture, dated May 1, 1976, between Evergy Kansas</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100" w:type="dxa"/>
            <w:vAlign w:val="bottom"/>
            <w:tcBorders>
              <w:top w:val="single" w:sz="8" w:color="0000FF"/>
            </w:tcBorders>
            <w:gridSpan w:val="6"/>
          </w:tcPr>
          <w:p>
            <w:pPr>
              <w:spacing w:after="0" w:line="161" w:lineRule="exact"/>
              <w:rPr>
                <w:rFonts w:ascii="Arial" w:cs="Arial" w:eastAsia="Arial" w:hAnsi="Arial"/>
                <w:sz w:val="18"/>
                <w:szCs w:val="18"/>
                <w:color w:val="0000FF"/>
              </w:rPr>
            </w:pPr>
            <w:hyperlink r:id="rId254">
              <w:r>
                <w:rPr>
                  <w:rFonts w:ascii="Arial" w:cs="Arial" w:eastAsia="Arial" w:hAnsi="Arial"/>
                  <w:sz w:val="18"/>
                  <w:szCs w:val="18"/>
                  <w:color w:val="0000FF"/>
                </w:rPr>
                <w:t>Central, Inc. (formerly Westar Energy, Inc. and The Kansas Power and Light</w:t>
              </w:r>
            </w:hyperlink>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0" w:type="dxa"/>
            <w:vAlign w:val="bottom"/>
            <w:gridSpan w:val="4"/>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0" w:type="dxa"/>
            <w:vAlign w:val="bottom"/>
            <w:gridSpan w:val="23"/>
          </w:tcPr>
          <w:p>
            <w:pPr>
              <w:spacing w:after="0" w:line="161" w:lineRule="exact"/>
              <w:rPr>
                <w:rFonts w:ascii="Arial" w:cs="Arial" w:eastAsia="Arial" w:hAnsi="Arial"/>
                <w:sz w:val="18"/>
                <w:szCs w:val="18"/>
                <w:color w:val="0000FF"/>
              </w:rPr>
            </w:pPr>
            <w:hyperlink r:id="rId254">
              <w:r>
                <w:rPr>
                  <w:rFonts w:ascii="Arial" w:cs="Arial" w:eastAsia="Arial" w:hAnsi="Arial"/>
                  <w:sz w:val="18"/>
                  <w:szCs w:val="18"/>
                  <w:color w:val="0000FF"/>
                </w:rPr>
                <w:t>Company) and Harris Trust and Savings Bank, as trustee (Exhibit 4.39 to Evergy</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120" w:type="dxa"/>
            <w:vAlign w:val="bottom"/>
            <w:tcBorders>
              <w:top w:val="single" w:sz="8" w:color="0000FF"/>
            </w:tcBorders>
            <w:gridSpan w:val="7"/>
          </w:tcPr>
          <w:p>
            <w:pPr>
              <w:spacing w:after="0" w:line="161" w:lineRule="exact"/>
              <w:rPr>
                <w:rFonts w:ascii="Arial" w:cs="Arial" w:eastAsia="Arial" w:hAnsi="Arial"/>
                <w:sz w:val="18"/>
                <w:szCs w:val="18"/>
                <w:color w:val="0000FF"/>
              </w:rPr>
            </w:pPr>
            <w:hyperlink r:id="rId254">
              <w:r>
                <w:rPr>
                  <w:rFonts w:ascii="Arial" w:cs="Arial" w:eastAsia="Arial" w:hAnsi="Arial"/>
                  <w:sz w:val="18"/>
                  <w:szCs w:val="18"/>
                  <w:color w:val="0000FF"/>
                </w:rPr>
                <w:t>Kansas Central's Form 10-K for the fiscal year ended December 31, 2018).</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4.47</w:t>
            </w:r>
          </w:p>
        </w:tc>
        <w:tc>
          <w:tcPr>
            <w:tcW w:w="60" w:type="dxa"/>
            <w:vAlign w:val="bottom"/>
          </w:tcPr>
          <w:p>
            <w:pPr>
              <w:spacing w:after="0"/>
              <w:rPr>
                <w:sz w:val="24"/>
                <w:szCs w:val="24"/>
                <w:color w:val="auto"/>
              </w:rPr>
            </w:pPr>
          </w:p>
        </w:tc>
        <w:tc>
          <w:tcPr>
            <w:tcW w:w="7020" w:type="dxa"/>
            <w:vAlign w:val="bottom"/>
            <w:gridSpan w:val="24"/>
          </w:tcPr>
          <w:p>
            <w:pPr>
              <w:ind w:left="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255">
              <w:r>
                <w:rPr>
                  <w:rFonts w:ascii="Arial" w:cs="Arial" w:eastAsia="Arial" w:hAnsi="Arial"/>
                  <w:sz w:val="19"/>
                  <w:szCs w:val="19"/>
                  <w:color w:val="0000FF"/>
                  <w:w w:val="94"/>
                </w:rPr>
                <w:t>Twenty-Eighth Supplemental Indenture, dated July 1, 1992, between Evergy Kansas</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2"/>
          </w:tcPr>
          <w:p>
            <w:pPr>
              <w:spacing w:after="0" w:line="161" w:lineRule="exact"/>
              <w:rPr>
                <w:rFonts w:ascii="Arial" w:cs="Arial" w:eastAsia="Arial" w:hAnsi="Arial"/>
                <w:sz w:val="18"/>
                <w:szCs w:val="18"/>
                <w:color w:val="0000FF"/>
                <w:w w:val="94"/>
              </w:rPr>
            </w:pPr>
            <w:hyperlink r:id="rId255">
              <w:r>
                <w:rPr>
                  <w:rFonts w:ascii="Arial" w:cs="Arial" w:eastAsia="Arial" w:hAnsi="Arial"/>
                  <w:sz w:val="18"/>
                  <w:szCs w:val="18"/>
                  <w:color w:val="0000FF"/>
                  <w:w w:val="94"/>
                </w:rPr>
                <w:t>Central, Inc. (formerly Westar Energy, Inc. and Western Resources, Inc.) and Harris</w:t>
              </w:r>
            </w:hyperlink>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0" w:type="dxa"/>
            <w:vAlign w:val="bottom"/>
            <w:gridSpan w:val="23"/>
          </w:tcPr>
          <w:p>
            <w:pPr>
              <w:spacing w:after="0" w:line="161" w:lineRule="exact"/>
              <w:rPr>
                <w:rFonts w:ascii="Arial" w:cs="Arial" w:eastAsia="Arial" w:hAnsi="Arial"/>
                <w:sz w:val="18"/>
                <w:szCs w:val="18"/>
                <w:color w:val="0000FF"/>
                <w:w w:val="96"/>
              </w:rPr>
            </w:pPr>
            <w:hyperlink r:id="rId255">
              <w:r>
                <w:rPr>
                  <w:rFonts w:ascii="Arial" w:cs="Arial" w:eastAsia="Arial" w:hAnsi="Arial"/>
                  <w:sz w:val="18"/>
                  <w:szCs w:val="18"/>
                  <w:color w:val="0000FF"/>
                  <w:w w:val="96"/>
                </w:rPr>
                <w:t>Trust and Savings Bank, as trustee (Exhibit 4.40 to Evergy Kansas Central's Form 10-</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6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4"/>
              </w:rPr>
            </w:pPr>
            <w:hyperlink r:id="rId255">
              <w:r>
                <w:rPr>
                  <w:rFonts w:ascii="Arial" w:cs="Arial" w:eastAsia="Arial" w:hAnsi="Arial"/>
                  <w:sz w:val="18"/>
                  <w:szCs w:val="18"/>
                  <w:color w:val="0000FF"/>
                  <w:w w:val="94"/>
                </w:rPr>
                <w:t>K for the fiscal year ended December 31, 2018).</w:t>
              </w:r>
            </w:hyperlink>
          </w:p>
        </w:tc>
        <w:tc>
          <w:tcPr>
            <w:tcW w:w="28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4.48</w:t>
            </w:r>
          </w:p>
        </w:tc>
        <w:tc>
          <w:tcPr>
            <w:tcW w:w="60" w:type="dxa"/>
            <w:vAlign w:val="bottom"/>
          </w:tcPr>
          <w:p>
            <w:pPr>
              <w:spacing w:after="0"/>
              <w:rPr>
                <w:sz w:val="24"/>
                <w:szCs w:val="24"/>
                <w:color w:val="auto"/>
              </w:rPr>
            </w:pPr>
          </w:p>
        </w:tc>
        <w:tc>
          <w:tcPr>
            <w:tcW w:w="7020" w:type="dxa"/>
            <w:vAlign w:val="bottom"/>
            <w:gridSpan w:val="24"/>
          </w:tcPr>
          <w:p>
            <w:pPr>
              <w:ind w:left="60"/>
              <w:spacing w:after="0"/>
              <w:rPr>
                <w:rFonts w:ascii="Arial" w:cs="Arial" w:eastAsia="Arial" w:hAnsi="Arial"/>
                <w:sz w:val="19"/>
                <w:szCs w:val="19"/>
                <w:color w:val="auto"/>
                <w:w w:val="93"/>
              </w:rPr>
            </w:pPr>
            <w:r>
              <w:rPr>
                <w:rFonts w:ascii="Arial" w:cs="Arial" w:eastAsia="Arial" w:hAnsi="Arial"/>
                <w:sz w:val="19"/>
                <w:szCs w:val="19"/>
                <w:color w:val="auto"/>
                <w:w w:val="93"/>
              </w:rPr>
              <w:t xml:space="preserve">*   </w:t>
            </w:r>
            <w:hyperlink r:id="rId256">
              <w:r>
                <w:rPr>
                  <w:rFonts w:ascii="Arial" w:cs="Arial" w:eastAsia="Arial" w:hAnsi="Arial"/>
                  <w:sz w:val="19"/>
                  <w:szCs w:val="19"/>
                  <w:color w:val="0000FF"/>
                  <w:w w:val="93"/>
                </w:rPr>
                <w:t>Thirty-Second Supplemental Indenture, dated April 15, 1994, between Evergy Kansas</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2"/>
          </w:tcPr>
          <w:p>
            <w:pPr>
              <w:spacing w:after="0" w:line="161" w:lineRule="exact"/>
              <w:rPr>
                <w:rFonts w:ascii="Arial" w:cs="Arial" w:eastAsia="Arial" w:hAnsi="Arial"/>
                <w:sz w:val="18"/>
                <w:szCs w:val="18"/>
                <w:color w:val="0000FF"/>
                <w:w w:val="94"/>
              </w:rPr>
            </w:pPr>
            <w:hyperlink r:id="rId256">
              <w:r>
                <w:rPr>
                  <w:rFonts w:ascii="Arial" w:cs="Arial" w:eastAsia="Arial" w:hAnsi="Arial"/>
                  <w:sz w:val="18"/>
                  <w:szCs w:val="18"/>
                  <w:color w:val="0000FF"/>
                  <w:w w:val="94"/>
                </w:rPr>
                <w:t>Central, Inc. (formerly Westar Energy, Inc. and Western Resources, Inc.) and Harris</w:t>
              </w:r>
            </w:hyperlink>
          </w:p>
        </w:tc>
        <w:tc>
          <w:tcPr>
            <w:tcW w:w="20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0" w:type="dxa"/>
            <w:vAlign w:val="bottom"/>
            <w:gridSpan w:val="23"/>
          </w:tcPr>
          <w:p>
            <w:pPr>
              <w:spacing w:after="0" w:line="161" w:lineRule="exact"/>
              <w:rPr>
                <w:rFonts w:ascii="Arial" w:cs="Arial" w:eastAsia="Arial" w:hAnsi="Arial"/>
                <w:sz w:val="18"/>
                <w:szCs w:val="18"/>
                <w:color w:val="0000FF"/>
                <w:w w:val="96"/>
              </w:rPr>
            </w:pPr>
            <w:hyperlink r:id="rId256">
              <w:r>
                <w:rPr>
                  <w:rFonts w:ascii="Arial" w:cs="Arial" w:eastAsia="Arial" w:hAnsi="Arial"/>
                  <w:sz w:val="18"/>
                  <w:szCs w:val="18"/>
                  <w:color w:val="0000FF"/>
                  <w:w w:val="96"/>
                </w:rPr>
                <w:t>Trust and Savings Bank, as trustee (Exhibit 4(s) to Evergy Kansas Central's Form 10-</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6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4"/>
              </w:rPr>
            </w:pPr>
            <w:hyperlink r:id="rId256">
              <w:r>
                <w:rPr>
                  <w:rFonts w:ascii="Arial" w:cs="Arial" w:eastAsia="Arial" w:hAnsi="Arial"/>
                  <w:sz w:val="18"/>
                  <w:szCs w:val="18"/>
                  <w:color w:val="0000FF"/>
                  <w:w w:val="94"/>
                </w:rPr>
                <w:t>K for the fiscal year ended December 31, 1994).</w:t>
              </w:r>
            </w:hyperlink>
          </w:p>
        </w:tc>
        <w:tc>
          <w:tcPr>
            <w:tcW w:w="28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4.49</w:t>
            </w:r>
          </w:p>
        </w:tc>
        <w:tc>
          <w:tcPr>
            <w:tcW w:w="60" w:type="dxa"/>
            <w:vAlign w:val="bottom"/>
          </w:tcPr>
          <w:p>
            <w:pPr>
              <w:spacing w:after="0"/>
              <w:rPr>
                <w:sz w:val="24"/>
                <w:szCs w:val="24"/>
                <w:color w:val="auto"/>
              </w:rPr>
            </w:pPr>
          </w:p>
        </w:tc>
        <w:tc>
          <w:tcPr>
            <w:tcW w:w="7020" w:type="dxa"/>
            <w:vAlign w:val="bottom"/>
            <w:gridSpan w:val="24"/>
          </w:tcPr>
          <w:p>
            <w:pPr>
              <w:ind w:left="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257">
              <w:r>
                <w:rPr>
                  <w:rFonts w:ascii="Arial" w:cs="Arial" w:eastAsia="Arial" w:hAnsi="Arial"/>
                  <w:sz w:val="19"/>
                  <w:szCs w:val="19"/>
                  <w:color w:val="0000FF"/>
                  <w:w w:val="94"/>
                </w:rPr>
                <w:t>Thirty-Fourth Supplemental Indenture, dated June 28, 2000, between Evergy Kansas</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2"/>
          </w:tcPr>
          <w:p>
            <w:pPr>
              <w:spacing w:after="0" w:line="161" w:lineRule="exact"/>
              <w:rPr>
                <w:rFonts w:ascii="Arial" w:cs="Arial" w:eastAsia="Arial" w:hAnsi="Arial"/>
                <w:sz w:val="18"/>
                <w:szCs w:val="18"/>
                <w:color w:val="0000FF"/>
                <w:w w:val="94"/>
              </w:rPr>
            </w:pPr>
            <w:hyperlink r:id="rId257">
              <w:r>
                <w:rPr>
                  <w:rFonts w:ascii="Arial" w:cs="Arial" w:eastAsia="Arial" w:hAnsi="Arial"/>
                  <w:sz w:val="18"/>
                  <w:szCs w:val="18"/>
                  <w:color w:val="0000FF"/>
                  <w:w w:val="94"/>
                </w:rPr>
                <w:t>Central, Inc. (formerly Westar Energy, Inc. and Western Resources, Inc.) and Harris</w:t>
              </w:r>
            </w:hyperlink>
          </w:p>
        </w:tc>
        <w:tc>
          <w:tcPr>
            <w:tcW w:w="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0" w:type="dxa"/>
            <w:vAlign w:val="bottom"/>
            <w:gridSpan w:val="23"/>
          </w:tcPr>
          <w:p>
            <w:pPr>
              <w:spacing w:after="0" w:line="161" w:lineRule="exact"/>
              <w:rPr>
                <w:rFonts w:ascii="Arial" w:cs="Arial" w:eastAsia="Arial" w:hAnsi="Arial"/>
                <w:sz w:val="18"/>
                <w:szCs w:val="18"/>
                <w:color w:val="0000FF"/>
                <w:w w:val="96"/>
              </w:rPr>
            </w:pPr>
            <w:hyperlink r:id="rId257">
              <w:r>
                <w:rPr>
                  <w:rFonts w:ascii="Arial" w:cs="Arial" w:eastAsia="Arial" w:hAnsi="Arial"/>
                  <w:sz w:val="18"/>
                  <w:szCs w:val="18"/>
                  <w:color w:val="0000FF"/>
                  <w:w w:val="96"/>
                </w:rPr>
                <w:t>Trust and Savings Bank, as trustee (Exhibit 4(v) to Evergy Kansas Central's Form 10-</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6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4"/>
              </w:rPr>
            </w:pPr>
            <w:hyperlink r:id="rId257">
              <w:r>
                <w:rPr>
                  <w:rFonts w:ascii="Arial" w:cs="Arial" w:eastAsia="Arial" w:hAnsi="Arial"/>
                  <w:sz w:val="18"/>
                  <w:szCs w:val="18"/>
                  <w:color w:val="0000FF"/>
                  <w:w w:val="94"/>
                </w:rPr>
                <w:t>K for the fiscal year ended December 31, 2000).</w:t>
              </w:r>
            </w:hyperlink>
          </w:p>
        </w:tc>
        <w:tc>
          <w:tcPr>
            <w:tcW w:w="2820" w:type="dxa"/>
            <w:vAlign w:val="bottom"/>
            <w:tcBorders>
              <w:top w:val="single" w:sz="8" w:color="0000FF"/>
            </w:tcBorders>
            <w:gridSpan w:val="16"/>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4.50</w:t>
            </w:r>
          </w:p>
        </w:tc>
        <w:tc>
          <w:tcPr>
            <w:tcW w:w="60" w:type="dxa"/>
            <w:vAlign w:val="bottom"/>
          </w:tcPr>
          <w:p>
            <w:pPr>
              <w:spacing w:after="0"/>
              <w:rPr>
                <w:sz w:val="24"/>
                <w:szCs w:val="24"/>
                <w:color w:val="auto"/>
              </w:rPr>
            </w:pPr>
          </w:p>
        </w:tc>
        <w:tc>
          <w:tcPr>
            <w:tcW w:w="7020" w:type="dxa"/>
            <w:vAlign w:val="bottom"/>
            <w:gridSpan w:val="24"/>
          </w:tcPr>
          <w:p>
            <w:pPr>
              <w:ind w:left="60"/>
              <w:spacing w:after="0"/>
              <w:rPr>
                <w:rFonts w:ascii="Arial" w:cs="Arial" w:eastAsia="Arial" w:hAnsi="Arial"/>
                <w:sz w:val="19"/>
                <w:szCs w:val="19"/>
                <w:color w:val="auto"/>
                <w:w w:val="97"/>
              </w:rPr>
            </w:pPr>
            <w:r>
              <w:rPr>
                <w:rFonts w:ascii="Arial" w:cs="Arial" w:eastAsia="Arial" w:hAnsi="Arial"/>
                <w:sz w:val="19"/>
                <w:szCs w:val="19"/>
                <w:color w:val="auto"/>
                <w:w w:val="97"/>
              </w:rPr>
              <w:t xml:space="preserve">*   </w:t>
            </w:r>
            <w:hyperlink r:id="rId258">
              <w:r>
                <w:rPr>
                  <w:rFonts w:ascii="Arial" w:cs="Arial" w:eastAsia="Arial" w:hAnsi="Arial"/>
                  <w:sz w:val="19"/>
                  <w:szCs w:val="19"/>
                  <w:color w:val="0000FF"/>
                  <w:w w:val="97"/>
                </w:rPr>
                <w:t>Thirty-Sixth Supplemental Indenture, dated June 1, 2004, between Evergy Kansas</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40" w:type="dxa"/>
            <w:vAlign w:val="bottom"/>
            <w:tcBorders>
              <w:top w:val="single" w:sz="8" w:color="0000FF"/>
            </w:tcBorders>
            <w:gridSpan w:val="9"/>
          </w:tcPr>
          <w:p>
            <w:pPr>
              <w:spacing w:after="0" w:line="161" w:lineRule="exact"/>
              <w:rPr>
                <w:rFonts w:ascii="Arial" w:cs="Arial" w:eastAsia="Arial" w:hAnsi="Arial"/>
                <w:sz w:val="18"/>
                <w:szCs w:val="18"/>
                <w:color w:val="0000FF"/>
                <w:w w:val="96"/>
              </w:rPr>
            </w:pPr>
            <w:hyperlink r:id="rId258">
              <w:r>
                <w:rPr>
                  <w:rFonts w:ascii="Arial" w:cs="Arial" w:eastAsia="Arial" w:hAnsi="Arial"/>
                  <w:sz w:val="18"/>
                  <w:szCs w:val="18"/>
                  <w:color w:val="0000FF"/>
                  <w:w w:val="96"/>
                </w:rPr>
                <w:t>Central, Inc. (formerly Westar Energy Inc.) and BNY Midwest Trust Company, as</w:t>
              </w:r>
            </w:hyperlink>
          </w:p>
        </w:tc>
        <w:tc>
          <w:tcPr>
            <w:tcW w:w="20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0" w:type="dxa"/>
            <w:vAlign w:val="bottom"/>
            <w:gridSpan w:val="8"/>
            <w:shd w:val="clear" w:color="auto" w:fill="0000FF"/>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40" w:type="dxa"/>
            <w:vAlign w:val="bottom"/>
            <w:tcBorders>
              <w:bottom w:val="single" w:sz="8" w:color="0000FF"/>
            </w:tcBorders>
            <w:gridSpan w:val="15"/>
          </w:tcPr>
          <w:p>
            <w:pPr>
              <w:spacing w:after="0" w:line="161" w:lineRule="exact"/>
              <w:rPr>
                <w:rFonts w:ascii="Arial" w:cs="Arial" w:eastAsia="Arial" w:hAnsi="Arial"/>
                <w:sz w:val="18"/>
                <w:szCs w:val="18"/>
                <w:color w:val="0000FF"/>
                <w:w w:val="95"/>
              </w:rPr>
            </w:pPr>
            <w:hyperlink r:id="rId258">
              <w:r>
                <w:rPr>
                  <w:rFonts w:ascii="Arial" w:cs="Arial" w:eastAsia="Arial" w:hAnsi="Arial"/>
                  <w:sz w:val="18"/>
                  <w:szCs w:val="18"/>
                  <w:color w:val="0000FF"/>
                  <w:w w:val="95"/>
                </w:rPr>
                <w:t>trustee (Exhibit 4.1 to Evergy Kansas Central's Form 8-K filed on January 18, 2005).</w:t>
              </w:r>
            </w:hyperlink>
          </w:p>
        </w:tc>
        <w:tc>
          <w:tcPr>
            <w:tcW w:w="160" w:type="dxa"/>
            <w:vAlign w:val="bottom"/>
            <w:gridSpan w:val="8"/>
          </w:tcPr>
          <w:p>
            <w:pPr>
              <w:spacing w:after="0"/>
              <w:rPr>
                <w:sz w:val="13"/>
                <w:szCs w:val="13"/>
                <w:color w:val="auto"/>
              </w:rPr>
            </w:pPr>
          </w:p>
        </w:tc>
      </w:tr>
      <w:tr>
        <w:trPr>
          <w:trHeight w:val="1190"/>
        </w:trPr>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3"/>
          </w:tcPr>
          <w:p>
            <w:pPr>
              <w:ind w:left="4100"/>
              <w:spacing w:after="0"/>
              <w:rPr>
                <w:sz w:val="20"/>
                <w:szCs w:val="20"/>
                <w:color w:val="auto"/>
              </w:rPr>
            </w:pPr>
            <w:r>
              <w:rPr>
                <w:rFonts w:ascii="Arial" w:cs="Arial" w:eastAsia="Arial" w:hAnsi="Arial"/>
                <w:sz w:val="17"/>
                <w:szCs w:val="17"/>
                <w:color w:val="auto"/>
              </w:rPr>
              <w:t>168</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ectPr>
          <w:pgSz w:w="11900" w:h="16838" w:orient="portrait"/>
          <w:cols w:equalWidth="0" w:num="2">
            <w:col w:w="8360" w:space="480"/>
            <w:col w:w="1740"/>
          </w:cols>
          <w:pgMar w:left="320" w:top="102" w:right="9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rFonts w:ascii="Arial" w:cs="Arial" w:eastAsia="Arial" w:hAnsi="Arial"/>
                <w:sz w:val="19"/>
                <w:szCs w:val="19"/>
                <w:color w:val="0000FF"/>
                <w:w w:val="91"/>
              </w:rPr>
            </w:pPr>
            <w:hyperlink w:anchor="page3">
              <w:r>
                <w:rPr>
                  <w:rFonts w:ascii="Arial" w:cs="Arial" w:eastAsia="Arial" w:hAnsi="Arial"/>
                  <w:sz w:val="19"/>
                  <w:szCs w:val="19"/>
                  <w:color w:val="0000FF"/>
                  <w:w w:val="91"/>
                </w:rPr>
                <w:t>Table of Contents</w:t>
              </w:r>
            </w:hyperlink>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Arial" w:cs="Arial" w:eastAsia="Arial" w:hAnsi="Arial"/>
                <w:sz w:val="19"/>
                <w:szCs w:val="19"/>
                <w:color w:val="auto"/>
              </w:rPr>
              <w:t>4.51</w:t>
            </w:r>
          </w:p>
        </w:tc>
        <w:tc>
          <w:tcPr>
            <w:tcW w:w="60" w:type="dxa"/>
            <w:vAlign w:val="bottom"/>
          </w:tcPr>
          <w:p>
            <w:pPr>
              <w:spacing w:after="0"/>
              <w:rPr>
                <w:sz w:val="24"/>
                <w:szCs w:val="24"/>
                <w:color w:val="auto"/>
              </w:rPr>
            </w:pPr>
          </w:p>
        </w:tc>
        <w:tc>
          <w:tcPr>
            <w:tcW w:w="7000" w:type="dxa"/>
            <w:vAlign w:val="bottom"/>
            <w:gridSpan w:val="27"/>
          </w:tcPr>
          <w:p>
            <w:pPr>
              <w:ind w:left="60"/>
              <w:spacing w:after="0"/>
              <w:rPr>
                <w:rFonts w:ascii="Arial" w:cs="Arial" w:eastAsia="Arial" w:hAnsi="Arial"/>
                <w:sz w:val="19"/>
                <w:szCs w:val="19"/>
                <w:color w:val="auto"/>
                <w:w w:val="99"/>
              </w:rPr>
            </w:pPr>
            <w:r>
              <w:rPr>
                <w:rFonts w:ascii="Arial" w:cs="Arial" w:eastAsia="Arial" w:hAnsi="Arial"/>
                <w:sz w:val="19"/>
                <w:szCs w:val="19"/>
                <w:color w:val="auto"/>
                <w:w w:val="99"/>
              </w:rPr>
              <w:t xml:space="preserve">*   </w:t>
            </w:r>
            <w:hyperlink r:id="rId260">
              <w:r>
                <w:rPr>
                  <w:rFonts w:ascii="Arial" w:cs="Arial" w:eastAsia="Arial" w:hAnsi="Arial"/>
                  <w:sz w:val="19"/>
                  <w:szCs w:val="19"/>
                  <w:color w:val="0000FF"/>
                  <w:w w:val="99"/>
                </w:rPr>
                <w:t>Thirty-Eighth Supplemental Indenture, dated January 18, 2005, between Evergy</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60" w:type="dxa"/>
            <w:vAlign w:val="bottom"/>
            <w:tcBorders>
              <w:top w:val="single" w:sz="8" w:color="0000FF"/>
            </w:tcBorders>
            <w:gridSpan w:val="12"/>
          </w:tcPr>
          <w:p>
            <w:pPr>
              <w:spacing w:after="0" w:line="148" w:lineRule="exact"/>
              <w:rPr>
                <w:rFonts w:ascii="Arial" w:cs="Arial" w:eastAsia="Arial" w:hAnsi="Arial"/>
                <w:sz w:val="17"/>
                <w:szCs w:val="17"/>
                <w:color w:val="0000FF"/>
              </w:rPr>
            </w:pPr>
            <w:hyperlink r:id="rId260">
              <w:r>
                <w:rPr>
                  <w:rFonts w:ascii="Arial" w:cs="Arial" w:eastAsia="Arial" w:hAnsi="Arial"/>
                  <w:sz w:val="17"/>
                  <w:szCs w:val="17"/>
                  <w:color w:val="0000FF"/>
                </w:rPr>
                <w:t>Kansas Central, Inc. (formerly Westar Energy, Inc.) and BNY Midwest Trust</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20" w:type="dxa"/>
            <w:vAlign w:val="bottom"/>
            <w:tcBorders>
              <w:top w:val="single" w:sz="8" w:color="0000FF"/>
            </w:tcBorders>
            <w:gridSpan w:val="9"/>
          </w:tcPr>
          <w:p>
            <w:pPr>
              <w:spacing w:after="0" w:line="168" w:lineRule="exact"/>
              <w:rPr>
                <w:rFonts w:ascii="Arial" w:cs="Arial" w:eastAsia="Arial" w:hAnsi="Arial"/>
                <w:sz w:val="19"/>
                <w:szCs w:val="19"/>
                <w:color w:val="0000FF"/>
                <w:w w:val="91"/>
              </w:rPr>
            </w:pPr>
            <w:hyperlink r:id="rId260">
              <w:r>
                <w:rPr>
                  <w:rFonts w:ascii="Arial" w:cs="Arial" w:eastAsia="Arial" w:hAnsi="Arial"/>
                  <w:sz w:val="19"/>
                  <w:szCs w:val="19"/>
                  <w:color w:val="0000FF"/>
                  <w:w w:val="91"/>
                </w:rPr>
                <w:t>Company, as trustee (Exhibit 4.3 to Evergy Kansas Central's Form 8-K filed</w:t>
              </w:r>
            </w:hyperlink>
          </w:p>
        </w:tc>
        <w:tc>
          <w:tcPr>
            <w:tcW w:w="760" w:type="dxa"/>
            <w:vAlign w:val="bottom"/>
            <w:gridSpan w:val="17"/>
          </w:tcPr>
          <w:p>
            <w:pPr>
              <w:spacing w:after="0" w:line="168" w:lineRule="exact"/>
              <w:rPr>
                <w:rFonts w:ascii="Arial" w:cs="Arial" w:eastAsia="Arial" w:hAnsi="Arial"/>
                <w:sz w:val="19"/>
                <w:szCs w:val="19"/>
                <w:color w:val="0000FF"/>
              </w:rPr>
            </w:pPr>
            <w:hyperlink r:id="rId260">
              <w:r>
                <w:rPr>
                  <w:rFonts w:ascii="Arial" w:cs="Arial" w:eastAsia="Arial" w:hAnsi="Arial"/>
                  <w:sz w:val="19"/>
                  <w:szCs w:val="19"/>
                  <w:color w:val="0000FF"/>
                </w:rPr>
                <w:t>on</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3"/>
              </w:rPr>
            </w:pPr>
            <w:hyperlink r:id="rId260">
              <w:r>
                <w:rPr>
                  <w:rFonts w:ascii="Arial" w:cs="Arial" w:eastAsia="Arial" w:hAnsi="Arial"/>
                  <w:sz w:val="18"/>
                  <w:szCs w:val="18"/>
                  <w:color w:val="0000FF"/>
                  <w:w w:val="93"/>
                </w:rPr>
                <w:t>January 18, 2005).</w:t>
              </w:r>
            </w:hyperlink>
          </w:p>
        </w:tc>
        <w:tc>
          <w:tcPr>
            <w:tcW w:w="458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4.52</w:t>
            </w:r>
          </w:p>
        </w:tc>
        <w:tc>
          <w:tcPr>
            <w:tcW w:w="60" w:type="dxa"/>
            <w:vAlign w:val="bottom"/>
          </w:tcPr>
          <w:p>
            <w:pPr>
              <w:spacing w:after="0"/>
              <w:rPr>
                <w:sz w:val="24"/>
                <w:szCs w:val="24"/>
                <w:color w:val="auto"/>
              </w:rPr>
            </w:pPr>
          </w:p>
        </w:tc>
        <w:tc>
          <w:tcPr>
            <w:tcW w:w="7000" w:type="dxa"/>
            <w:vAlign w:val="bottom"/>
            <w:gridSpan w:val="27"/>
          </w:tcPr>
          <w:p>
            <w:pPr>
              <w:ind w:left="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261">
              <w:r>
                <w:rPr>
                  <w:rFonts w:ascii="Arial" w:cs="Arial" w:eastAsia="Arial" w:hAnsi="Arial"/>
                  <w:sz w:val="19"/>
                  <w:szCs w:val="19"/>
                  <w:color w:val="0000FF"/>
                  <w:w w:val="95"/>
                </w:rPr>
                <w:t>Thirty-Ninth Supplemental Indenture, dated June 30, 2005, between Evergy Kansas</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40" w:type="dxa"/>
            <w:vAlign w:val="bottom"/>
            <w:tcBorders>
              <w:top w:val="single" w:sz="8" w:color="0000FF"/>
            </w:tcBorders>
            <w:gridSpan w:val="18"/>
          </w:tcPr>
          <w:p>
            <w:pPr>
              <w:spacing w:after="0" w:line="161" w:lineRule="exact"/>
              <w:rPr>
                <w:rFonts w:ascii="Arial" w:cs="Arial" w:eastAsia="Arial" w:hAnsi="Arial"/>
                <w:sz w:val="18"/>
                <w:szCs w:val="18"/>
                <w:color w:val="0000FF"/>
                <w:w w:val="97"/>
              </w:rPr>
            </w:pPr>
            <w:hyperlink r:id="rId261">
              <w:r>
                <w:rPr>
                  <w:rFonts w:ascii="Arial" w:cs="Arial" w:eastAsia="Arial" w:hAnsi="Arial"/>
                  <w:sz w:val="18"/>
                  <w:szCs w:val="18"/>
                  <w:color w:val="0000FF"/>
                  <w:w w:val="97"/>
                </w:rPr>
                <w:t>Central, Inc. (formerly Westar Energy, Inc.) and BNY Midwest Trust Company, as</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40" w:type="dxa"/>
            <w:vAlign w:val="bottom"/>
            <w:tcBorders>
              <w:top w:val="single" w:sz="8" w:color="0000FF"/>
            </w:tcBorders>
            <w:gridSpan w:val="16"/>
          </w:tcPr>
          <w:p>
            <w:pPr>
              <w:spacing w:after="0" w:line="161" w:lineRule="exact"/>
              <w:rPr>
                <w:rFonts w:ascii="Arial" w:cs="Arial" w:eastAsia="Arial" w:hAnsi="Arial"/>
                <w:sz w:val="18"/>
                <w:szCs w:val="18"/>
                <w:color w:val="0000FF"/>
                <w:w w:val="99"/>
              </w:rPr>
            </w:pPr>
            <w:hyperlink r:id="rId261">
              <w:r>
                <w:rPr>
                  <w:rFonts w:ascii="Arial" w:cs="Arial" w:eastAsia="Arial" w:hAnsi="Arial"/>
                  <w:sz w:val="18"/>
                  <w:szCs w:val="18"/>
                  <w:color w:val="0000FF"/>
                  <w:w w:val="99"/>
                </w:rPr>
                <w:t>trustee (Exhibit 4.1 to Evergy Kansas Central's Form 8-K filed on July 1, 2005).</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4.53</w:t>
            </w:r>
          </w:p>
        </w:tc>
        <w:tc>
          <w:tcPr>
            <w:tcW w:w="60" w:type="dxa"/>
            <w:vAlign w:val="bottom"/>
          </w:tcPr>
          <w:p>
            <w:pPr>
              <w:spacing w:after="0"/>
              <w:rPr>
                <w:sz w:val="24"/>
                <w:szCs w:val="24"/>
                <w:color w:val="auto"/>
              </w:rPr>
            </w:pPr>
          </w:p>
        </w:tc>
        <w:tc>
          <w:tcPr>
            <w:tcW w:w="7000" w:type="dxa"/>
            <w:vAlign w:val="bottom"/>
            <w:gridSpan w:val="27"/>
          </w:tcPr>
          <w:p>
            <w:pPr>
              <w:ind w:left="60"/>
              <w:spacing w:after="0"/>
              <w:rPr>
                <w:rFonts w:ascii="Arial" w:cs="Arial" w:eastAsia="Arial" w:hAnsi="Arial"/>
                <w:sz w:val="19"/>
                <w:szCs w:val="19"/>
                <w:color w:val="auto"/>
                <w:w w:val="92"/>
              </w:rPr>
            </w:pPr>
            <w:r>
              <w:rPr>
                <w:rFonts w:ascii="Arial" w:cs="Arial" w:eastAsia="Arial" w:hAnsi="Arial"/>
                <w:sz w:val="19"/>
                <w:szCs w:val="19"/>
                <w:color w:val="auto"/>
                <w:w w:val="92"/>
              </w:rPr>
              <w:t xml:space="preserve">*   </w:t>
            </w:r>
            <w:hyperlink r:id="rId262">
              <w:r>
                <w:rPr>
                  <w:rFonts w:ascii="Arial" w:cs="Arial" w:eastAsia="Arial" w:hAnsi="Arial"/>
                  <w:sz w:val="19"/>
                  <w:szCs w:val="19"/>
                  <w:color w:val="0000FF"/>
                  <w:w w:val="92"/>
                </w:rPr>
                <w:t>Forty-Second Supplemental Indenture, dated March 1, 2012, between Evergy Kansas</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20"/>
          </w:tcPr>
          <w:p>
            <w:pPr>
              <w:spacing w:after="0" w:line="161" w:lineRule="exact"/>
              <w:rPr>
                <w:rFonts w:ascii="Arial" w:cs="Arial" w:eastAsia="Arial" w:hAnsi="Arial"/>
                <w:sz w:val="18"/>
                <w:szCs w:val="18"/>
                <w:color w:val="0000FF"/>
                <w:w w:val="96"/>
              </w:rPr>
            </w:pPr>
            <w:hyperlink r:id="rId262">
              <w:r>
                <w:rPr>
                  <w:rFonts w:ascii="Arial" w:cs="Arial" w:eastAsia="Arial" w:hAnsi="Arial"/>
                  <w:sz w:val="18"/>
                  <w:szCs w:val="18"/>
                  <w:color w:val="0000FF"/>
                  <w:w w:val="96"/>
                </w:rPr>
                <w:t>Central, Inc. (formerly Westar Energy, Inc.) and The Bank of New York Mellon Trust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00" w:type="dxa"/>
            <w:vAlign w:val="bottom"/>
            <w:gridSpan w:val="22"/>
          </w:tcPr>
          <w:p>
            <w:pPr>
              <w:spacing w:after="0" w:line="161" w:lineRule="exact"/>
              <w:rPr>
                <w:rFonts w:ascii="Arial" w:cs="Arial" w:eastAsia="Arial" w:hAnsi="Arial"/>
                <w:sz w:val="18"/>
                <w:szCs w:val="18"/>
                <w:color w:val="0000FF"/>
                <w:w w:val="96"/>
              </w:rPr>
            </w:pPr>
            <w:hyperlink r:id="rId262">
              <w:r>
                <w:rPr>
                  <w:rFonts w:ascii="Arial" w:cs="Arial" w:eastAsia="Arial" w:hAnsi="Arial"/>
                  <w:sz w:val="18"/>
                  <w:szCs w:val="18"/>
                  <w:color w:val="0000FF"/>
                  <w:w w:val="96"/>
                </w:rPr>
                <w:t>Company, N.A., as trustee (Exhibit 4.1 to Evergy Kansas Central's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80" w:type="dxa"/>
            <w:vAlign w:val="bottom"/>
            <w:tcBorders>
              <w:top w:val="single" w:sz="8" w:color="0000FF"/>
            </w:tcBorders>
            <w:gridSpan w:val="21"/>
          </w:tcPr>
          <w:p>
            <w:pPr>
              <w:spacing w:after="0" w:line="161" w:lineRule="exact"/>
              <w:rPr>
                <w:rFonts w:ascii="Arial" w:cs="Arial" w:eastAsia="Arial" w:hAnsi="Arial"/>
                <w:sz w:val="18"/>
                <w:szCs w:val="18"/>
                <w:color w:val="0000FF"/>
              </w:rPr>
            </w:pPr>
            <w:hyperlink r:id="rId262">
              <w:r>
                <w:rPr>
                  <w:rFonts w:ascii="Arial" w:cs="Arial" w:eastAsia="Arial" w:hAnsi="Arial"/>
                  <w:sz w:val="18"/>
                  <w:szCs w:val="18"/>
                  <w:color w:val="0000FF"/>
                </w:rPr>
                <w:t>February 29, 2012).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4.54</w:t>
            </w:r>
          </w:p>
        </w:tc>
        <w:tc>
          <w:tcPr>
            <w:tcW w:w="60" w:type="dxa"/>
            <w:vAlign w:val="bottom"/>
          </w:tcPr>
          <w:p>
            <w:pPr>
              <w:spacing w:after="0"/>
              <w:rPr>
                <w:sz w:val="24"/>
                <w:szCs w:val="24"/>
                <w:color w:val="auto"/>
              </w:rPr>
            </w:pPr>
          </w:p>
        </w:tc>
        <w:tc>
          <w:tcPr>
            <w:tcW w:w="7000" w:type="dxa"/>
            <w:vAlign w:val="bottom"/>
            <w:gridSpan w:val="27"/>
          </w:tcPr>
          <w:p>
            <w:pPr>
              <w:ind w:left="60"/>
              <w:spacing w:after="0"/>
              <w:rPr>
                <w:rFonts w:ascii="Arial" w:cs="Arial" w:eastAsia="Arial" w:hAnsi="Arial"/>
                <w:sz w:val="19"/>
                <w:szCs w:val="19"/>
                <w:color w:val="auto"/>
                <w:w w:val="96"/>
              </w:rPr>
            </w:pPr>
            <w:r>
              <w:rPr>
                <w:rFonts w:ascii="Arial" w:cs="Arial" w:eastAsia="Arial" w:hAnsi="Arial"/>
                <w:sz w:val="19"/>
                <w:szCs w:val="19"/>
                <w:color w:val="auto"/>
                <w:w w:val="96"/>
              </w:rPr>
              <w:t xml:space="preserve">*   </w:t>
            </w:r>
            <w:hyperlink r:id="rId263">
              <w:r>
                <w:rPr>
                  <w:rFonts w:ascii="Arial" w:cs="Arial" w:eastAsia="Arial" w:hAnsi="Arial"/>
                  <w:sz w:val="19"/>
                  <w:szCs w:val="19"/>
                  <w:color w:val="0000FF"/>
                  <w:w w:val="96"/>
                </w:rPr>
                <w:t>Forty-Second Supplemental (Reopening) Indenture, dated May 17, 2012, between</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20" w:type="dxa"/>
            <w:vAlign w:val="bottom"/>
            <w:tcBorders>
              <w:top w:val="single" w:sz="8" w:color="0000FF"/>
            </w:tcBorders>
            <w:gridSpan w:val="15"/>
          </w:tcPr>
          <w:p>
            <w:pPr>
              <w:spacing w:after="0" w:line="161" w:lineRule="exact"/>
              <w:rPr>
                <w:rFonts w:ascii="Arial" w:cs="Arial" w:eastAsia="Arial" w:hAnsi="Arial"/>
                <w:sz w:val="18"/>
                <w:szCs w:val="18"/>
                <w:color w:val="0000FF"/>
                <w:w w:val="95"/>
              </w:rPr>
            </w:pPr>
            <w:hyperlink r:id="rId263">
              <w:r>
                <w:rPr>
                  <w:rFonts w:ascii="Arial" w:cs="Arial" w:eastAsia="Arial" w:hAnsi="Arial"/>
                  <w:sz w:val="18"/>
                  <w:szCs w:val="18"/>
                  <w:color w:val="0000FF"/>
                  <w:w w:val="95"/>
                </w:rPr>
                <w:t>Evergy Kansas Central, Inc. (formerly Westar Energy, Inc.) and The Bank of New</w:t>
              </w:r>
            </w:hyperlink>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80" w:type="dxa"/>
            <w:vAlign w:val="bottom"/>
            <w:gridSpan w:val="26"/>
          </w:tcPr>
          <w:p>
            <w:pPr>
              <w:spacing w:after="0" w:line="161" w:lineRule="exact"/>
              <w:rPr>
                <w:rFonts w:ascii="Arial" w:cs="Arial" w:eastAsia="Arial" w:hAnsi="Arial"/>
                <w:sz w:val="18"/>
                <w:szCs w:val="18"/>
                <w:color w:val="0000FF"/>
                <w:w w:val="97"/>
              </w:rPr>
            </w:pPr>
            <w:hyperlink r:id="rId263">
              <w:r>
                <w:rPr>
                  <w:rFonts w:ascii="Arial" w:cs="Arial" w:eastAsia="Arial" w:hAnsi="Arial"/>
                  <w:sz w:val="18"/>
                  <w:szCs w:val="18"/>
                  <w:color w:val="0000FF"/>
                  <w:w w:val="97"/>
                </w:rPr>
                <w:t>York Mellon Trust Company, N.A., as trustee (Exhibit 4.1 to Evergy Kansas Central's</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8"/>
          </w:tcPr>
          <w:p>
            <w:pPr>
              <w:spacing w:after="0" w:line="161" w:lineRule="exact"/>
              <w:rPr>
                <w:rFonts w:ascii="Arial" w:cs="Arial" w:eastAsia="Arial" w:hAnsi="Arial"/>
                <w:sz w:val="18"/>
                <w:szCs w:val="18"/>
                <w:color w:val="0000FF"/>
                <w:w w:val="98"/>
              </w:rPr>
            </w:pPr>
            <w:hyperlink r:id="rId263">
              <w:r>
                <w:rPr>
                  <w:rFonts w:ascii="Arial" w:cs="Arial" w:eastAsia="Arial" w:hAnsi="Arial"/>
                  <w:sz w:val="18"/>
                  <w:szCs w:val="18"/>
                  <w:color w:val="0000FF"/>
                  <w:w w:val="98"/>
                </w:rPr>
                <w:t>Form 8-K filed on May 16, 2012).</w:t>
              </w:r>
            </w:hyperlink>
          </w:p>
        </w:tc>
        <w:tc>
          <w:tcPr>
            <w:tcW w:w="39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4.55</w:t>
            </w:r>
          </w:p>
        </w:tc>
        <w:tc>
          <w:tcPr>
            <w:tcW w:w="60" w:type="dxa"/>
            <w:vAlign w:val="bottom"/>
          </w:tcPr>
          <w:p>
            <w:pPr>
              <w:spacing w:after="0"/>
              <w:rPr>
                <w:sz w:val="24"/>
                <w:szCs w:val="24"/>
                <w:color w:val="auto"/>
              </w:rPr>
            </w:pPr>
          </w:p>
        </w:tc>
        <w:tc>
          <w:tcPr>
            <w:tcW w:w="7000" w:type="dxa"/>
            <w:vAlign w:val="bottom"/>
            <w:gridSpan w:val="27"/>
          </w:tcPr>
          <w:p>
            <w:pPr>
              <w:ind w:left="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264">
              <w:r>
                <w:rPr>
                  <w:rFonts w:ascii="Arial" w:cs="Arial" w:eastAsia="Arial" w:hAnsi="Arial"/>
                  <w:sz w:val="19"/>
                  <w:szCs w:val="19"/>
                  <w:color w:val="0000FF"/>
                  <w:w w:val="94"/>
                </w:rPr>
                <w:t>Forty-Third Supplemental Indenture, dated March 28, 2013, between Evergy Kansas</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20" w:type="dxa"/>
            <w:vAlign w:val="bottom"/>
            <w:tcBorders>
              <w:top w:val="single" w:sz="8" w:color="0000FF"/>
            </w:tcBorders>
            <w:gridSpan w:val="19"/>
          </w:tcPr>
          <w:p>
            <w:pPr>
              <w:spacing w:after="0" w:line="161" w:lineRule="exact"/>
              <w:rPr>
                <w:rFonts w:ascii="Arial" w:cs="Arial" w:eastAsia="Arial" w:hAnsi="Arial"/>
                <w:sz w:val="18"/>
                <w:szCs w:val="18"/>
                <w:color w:val="0000FF"/>
                <w:w w:val="96"/>
              </w:rPr>
            </w:pPr>
            <w:hyperlink r:id="rId264">
              <w:r>
                <w:rPr>
                  <w:rFonts w:ascii="Arial" w:cs="Arial" w:eastAsia="Arial" w:hAnsi="Arial"/>
                  <w:sz w:val="18"/>
                  <w:szCs w:val="18"/>
                  <w:color w:val="0000FF"/>
                  <w:w w:val="96"/>
                </w:rPr>
                <w:t>Central, Inc. (formerly Westar Energy, Inc.) and The Bank of New York Mellon Trust</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00" w:type="dxa"/>
            <w:vAlign w:val="bottom"/>
            <w:tcBorders>
              <w:top w:val="single" w:sz="8" w:color="0000FF"/>
            </w:tcBorders>
            <w:gridSpan w:val="22"/>
          </w:tcPr>
          <w:p>
            <w:pPr>
              <w:spacing w:after="0" w:line="161" w:lineRule="exact"/>
              <w:rPr>
                <w:rFonts w:ascii="Arial" w:cs="Arial" w:eastAsia="Arial" w:hAnsi="Arial"/>
                <w:sz w:val="18"/>
                <w:szCs w:val="18"/>
                <w:color w:val="0000FF"/>
                <w:w w:val="96"/>
              </w:rPr>
            </w:pPr>
            <w:hyperlink r:id="rId264">
              <w:r>
                <w:rPr>
                  <w:rFonts w:ascii="Arial" w:cs="Arial" w:eastAsia="Arial" w:hAnsi="Arial"/>
                  <w:sz w:val="18"/>
                  <w:szCs w:val="18"/>
                  <w:color w:val="0000FF"/>
                  <w:w w:val="96"/>
                </w:rPr>
                <w:t>Company, N.A., as trustee (Exhibit 4.1 to Evergy Kansas Central's Form 8-K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61" w:lineRule="exact"/>
              <w:rPr>
                <w:rFonts w:ascii="Arial" w:cs="Arial" w:eastAsia="Arial" w:hAnsi="Arial"/>
                <w:sz w:val="18"/>
                <w:szCs w:val="18"/>
                <w:color w:val="0000FF"/>
                <w:w w:val="95"/>
              </w:rPr>
            </w:pPr>
            <w:hyperlink r:id="rId264">
              <w:r>
                <w:rPr>
                  <w:rFonts w:ascii="Arial" w:cs="Arial" w:eastAsia="Arial" w:hAnsi="Arial"/>
                  <w:sz w:val="18"/>
                  <w:szCs w:val="18"/>
                  <w:color w:val="0000FF"/>
                  <w:w w:val="95"/>
                </w:rPr>
                <w:t>March 22, 2013).</w:t>
              </w:r>
            </w:hyperlink>
          </w:p>
        </w:tc>
        <w:tc>
          <w:tcPr>
            <w:tcW w:w="516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4.56</w:t>
            </w:r>
          </w:p>
        </w:tc>
        <w:tc>
          <w:tcPr>
            <w:tcW w:w="60" w:type="dxa"/>
            <w:vAlign w:val="bottom"/>
          </w:tcPr>
          <w:p>
            <w:pPr>
              <w:spacing w:after="0"/>
              <w:rPr>
                <w:sz w:val="24"/>
                <w:szCs w:val="24"/>
                <w:color w:val="auto"/>
              </w:rPr>
            </w:pPr>
          </w:p>
        </w:tc>
        <w:tc>
          <w:tcPr>
            <w:tcW w:w="7000" w:type="dxa"/>
            <w:vAlign w:val="bottom"/>
            <w:gridSpan w:val="27"/>
          </w:tcPr>
          <w:p>
            <w:pPr>
              <w:ind w:left="60"/>
              <w:spacing w:after="0"/>
              <w:rPr>
                <w:rFonts w:ascii="Arial" w:cs="Arial" w:eastAsia="Arial" w:hAnsi="Arial"/>
                <w:sz w:val="19"/>
                <w:szCs w:val="19"/>
                <w:color w:val="auto"/>
              </w:rPr>
            </w:pPr>
            <w:r>
              <w:rPr>
                <w:rFonts w:ascii="Arial" w:cs="Arial" w:eastAsia="Arial" w:hAnsi="Arial"/>
                <w:sz w:val="19"/>
                <w:szCs w:val="19"/>
                <w:color w:val="auto"/>
              </w:rPr>
              <w:t xml:space="preserve">*   </w:t>
            </w:r>
            <w:hyperlink r:id="rId265">
              <w:r>
                <w:rPr>
                  <w:rFonts w:ascii="Arial" w:cs="Arial" w:eastAsia="Arial" w:hAnsi="Arial"/>
                  <w:sz w:val="19"/>
                  <w:szCs w:val="19"/>
                  <w:color w:val="0000FF"/>
                </w:rPr>
                <w:t>Forty-Fourth Supplemental Indenture, dated August 19, 2013, between Evergy</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10"/>
          </w:tcPr>
          <w:p>
            <w:pPr>
              <w:spacing w:after="0" w:line="161" w:lineRule="exact"/>
              <w:rPr>
                <w:rFonts w:ascii="Arial" w:cs="Arial" w:eastAsia="Arial" w:hAnsi="Arial"/>
                <w:sz w:val="18"/>
                <w:szCs w:val="18"/>
                <w:color w:val="0000FF"/>
                <w:w w:val="94"/>
              </w:rPr>
            </w:pPr>
            <w:hyperlink r:id="rId265">
              <w:r>
                <w:rPr>
                  <w:rFonts w:ascii="Arial" w:cs="Arial" w:eastAsia="Arial" w:hAnsi="Arial"/>
                  <w:sz w:val="18"/>
                  <w:szCs w:val="18"/>
                  <w:color w:val="0000FF"/>
                  <w:w w:val="94"/>
                </w:rPr>
                <w:t>Kansas Central, Inc. (formerly Westar Energy, Inc.) and The Bank of New York</w:t>
              </w:r>
            </w:hyperlink>
          </w:p>
        </w:tc>
        <w:tc>
          <w:tcPr>
            <w:tcW w:w="10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13"/>
            <w:vMerge w:val="restart"/>
          </w:tcPr>
          <w:p>
            <w:pPr>
              <w:ind w:left="20"/>
              <w:spacing w:after="0"/>
              <w:rPr>
                <w:rFonts w:ascii="Arial" w:cs="Arial" w:eastAsia="Arial" w:hAnsi="Arial"/>
                <w:sz w:val="19"/>
                <w:szCs w:val="19"/>
                <w:color w:val="0000FF"/>
              </w:rPr>
            </w:pPr>
            <w:hyperlink r:id="rId265">
              <w:r>
                <w:rPr>
                  <w:rFonts w:ascii="Arial" w:cs="Arial" w:eastAsia="Arial" w:hAnsi="Arial"/>
                  <w:sz w:val="19"/>
                  <w:szCs w:val="19"/>
                  <w:color w:val="0000FF"/>
                </w:rPr>
                <w:t>Form</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60" w:type="dxa"/>
            <w:vAlign w:val="bottom"/>
            <w:gridSpan w:val="12"/>
          </w:tcPr>
          <w:p>
            <w:pPr>
              <w:spacing w:after="0" w:line="161" w:lineRule="exact"/>
              <w:rPr>
                <w:rFonts w:ascii="Arial" w:cs="Arial" w:eastAsia="Arial" w:hAnsi="Arial"/>
                <w:sz w:val="18"/>
                <w:szCs w:val="18"/>
                <w:color w:val="0000FF"/>
                <w:w w:val="95"/>
              </w:rPr>
            </w:pPr>
            <w:hyperlink r:id="rId265">
              <w:r>
                <w:rPr>
                  <w:rFonts w:ascii="Arial" w:cs="Arial" w:eastAsia="Arial" w:hAnsi="Arial"/>
                  <w:sz w:val="18"/>
                  <w:szCs w:val="18"/>
                  <w:color w:val="0000FF"/>
                  <w:w w:val="95"/>
                </w:rPr>
                <w:t>Mellon Trust Company, N.A., as trustee (Exhibit 4.1 to Evergy Kansas Central's</w:t>
              </w:r>
            </w:hyperlink>
          </w:p>
        </w:tc>
        <w:tc>
          <w:tcPr>
            <w:tcW w:w="20" w:type="dxa"/>
            <w:vAlign w:val="bottom"/>
          </w:tcPr>
          <w:p>
            <w:pPr>
              <w:spacing w:after="0"/>
              <w:rPr>
                <w:sz w:val="13"/>
                <w:szCs w:val="13"/>
                <w:color w:val="auto"/>
              </w:rPr>
            </w:pPr>
          </w:p>
        </w:tc>
        <w:tc>
          <w:tcPr>
            <w:tcW w:w="50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tcBorders>
              <w:top w:val="single" w:sz="8" w:color="0000FF"/>
            </w:tcBorders>
            <w:gridSpan w:val="25"/>
          </w:tcPr>
          <w:p>
            <w:pPr>
              <w:spacing w:after="0" w:line="161" w:lineRule="exact"/>
              <w:rPr>
                <w:rFonts w:ascii="Arial" w:cs="Arial" w:eastAsia="Arial" w:hAnsi="Arial"/>
                <w:sz w:val="18"/>
                <w:szCs w:val="18"/>
                <w:color w:val="0000FF"/>
              </w:rPr>
            </w:pPr>
            <w:hyperlink r:id="rId265">
              <w:r>
                <w:rPr>
                  <w:rFonts w:ascii="Arial" w:cs="Arial" w:eastAsia="Arial" w:hAnsi="Arial"/>
                  <w:sz w:val="18"/>
                  <w:szCs w:val="18"/>
                  <w:color w:val="0000FF"/>
                </w:rPr>
                <w:t>8-K filed on August 14, 2013).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4.57</w:t>
            </w:r>
          </w:p>
        </w:tc>
        <w:tc>
          <w:tcPr>
            <w:tcW w:w="60" w:type="dxa"/>
            <w:vAlign w:val="bottom"/>
          </w:tcPr>
          <w:p>
            <w:pPr>
              <w:spacing w:after="0"/>
              <w:rPr>
                <w:sz w:val="24"/>
                <w:szCs w:val="24"/>
                <w:color w:val="auto"/>
              </w:rPr>
            </w:pPr>
          </w:p>
        </w:tc>
        <w:tc>
          <w:tcPr>
            <w:tcW w:w="7000" w:type="dxa"/>
            <w:vAlign w:val="bottom"/>
            <w:gridSpan w:val="27"/>
          </w:tcPr>
          <w:p>
            <w:pPr>
              <w:ind w:left="60"/>
              <w:spacing w:after="0"/>
              <w:rPr>
                <w:rFonts w:ascii="Arial" w:cs="Arial" w:eastAsia="Arial" w:hAnsi="Arial"/>
                <w:sz w:val="19"/>
                <w:szCs w:val="19"/>
                <w:color w:val="auto"/>
                <w:w w:val="99"/>
              </w:rPr>
            </w:pPr>
            <w:r>
              <w:rPr>
                <w:rFonts w:ascii="Arial" w:cs="Arial" w:eastAsia="Arial" w:hAnsi="Arial"/>
                <w:sz w:val="19"/>
                <w:szCs w:val="19"/>
                <w:color w:val="auto"/>
                <w:w w:val="99"/>
              </w:rPr>
              <w:t xml:space="preserve">*   </w:t>
            </w:r>
            <w:hyperlink r:id="rId266">
              <w:r>
                <w:rPr>
                  <w:rFonts w:ascii="Arial" w:cs="Arial" w:eastAsia="Arial" w:hAnsi="Arial"/>
                  <w:sz w:val="19"/>
                  <w:szCs w:val="19"/>
                  <w:color w:val="0000FF"/>
                  <w:w w:val="99"/>
                </w:rPr>
                <w:t>Forty-Fifth Supplemental Indenture, dated November 13, 2015, between Evergy</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8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266">
              <w:r>
                <w:rPr>
                  <w:rFonts w:ascii="Arial" w:cs="Arial" w:eastAsia="Arial" w:hAnsi="Arial"/>
                  <w:sz w:val="17"/>
                  <w:szCs w:val="17"/>
                  <w:color w:val="0000FF"/>
                </w:rPr>
                <w:t>Kansas Central, Inc. (formerly Westar Energy, Inc.) and The Bank of New York</w:t>
              </w:r>
            </w:hyperlink>
          </w:p>
        </w:tc>
        <w:tc>
          <w:tcPr>
            <w:tcW w:w="180" w:type="dxa"/>
            <w:vAlign w:val="bottom"/>
            <w:gridSpan w:val="4"/>
          </w:tcPr>
          <w:p>
            <w:pPr>
              <w:spacing w:after="0"/>
              <w:rPr>
                <w:sz w:val="13"/>
                <w:szCs w:val="13"/>
                <w:color w:val="auto"/>
              </w:rPr>
            </w:pPr>
          </w:p>
        </w:tc>
        <w:tc>
          <w:tcPr>
            <w:tcW w:w="2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60" w:type="dxa"/>
            <w:vAlign w:val="bottom"/>
            <w:tcBorders>
              <w:top w:val="single" w:sz="8" w:color="0000FF"/>
            </w:tcBorders>
            <w:gridSpan w:val="12"/>
          </w:tcPr>
          <w:p>
            <w:pPr>
              <w:spacing w:after="0" w:line="168" w:lineRule="exact"/>
              <w:rPr>
                <w:rFonts w:ascii="Arial" w:cs="Arial" w:eastAsia="Arial" w:hAnsi="Arial"/>
                <w:sz w:val="19"/>
                <w:szCs w:val="19"/>
                <w:color w:val="0000FF"/>
                <w:w w:val="90"/>
              </w:rPr>
            </w:pPr>
            <w:hyperlink r:id="rId266">
              <w:r>
                <w:rPr>
                  <w:rFonts w:ascii="Arial" w:cs="Arial" w:eastAsia="Arial" w:hAnsi="Arial"/>
                  <w:sz w:val="19"/>
                  <w:szCs w:val="19"/>
                  <w:color w:val="0000FF"/>
                  <w:w w:val="90"/>
                </w:rPr>
                <w:t>Mellon Trust Company, N.A., as trustee (Exhibit 4.1 to Evergy Kansas Central's</w:t>
              </w:r>
            </w:hyperlink>
          </w:p>
        </w:tc>
        <w:tc>
          <w:tcPr>
            <w:tcW w:w="520" w:type="dxa"/>
            <w:vAlign w:val="bottom"/>
            <w:gridSpan w:val="14"/>
          </w:tcPr>
          <w:p>
            <w:pPr>
              <w:ind w:left="40"/>
              <w:spacing w:after="0" w:line="168" w:lineRule="exact"/>
              <w:rPr>
                <w:rFonts w:ascii="Arial" w:cs="Arial" w:eastAsia="Arial" w:hAnsi="Arial"/>
                <w:sz w:val="19"/>
                <w:szCs w:val="19"/>
                <w:color w:val="0000FF"/>
              </w:rPr>
            </w:pPr>
            <w:hyperlink r:id="rId266">
              <w:r>
                <w:rPr>
                  <w:rFonts w:ascii="Arial" w:cs="Arial" w:eastAsia="Arial" w:hAnsi="Arial"/>
                  <w:sz w:val="19"/>
                  <w:szCs w:val="19"/>
                  <w:color w:val="0000FF"/>
                </w:rPr>
                <w:t>Form</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7"/>
          </w:tcPr>
          <w:p>
            <w:pPr>
              <w:spacing w:after="0" w:line="161" w:lineRule="exact"/>
              <w:rPr>
                <w:rFonts w:ascii="Arial" w:cs="Arial" w:eastAsia="Arial" w:hAnsi="Arial"/>
                <w:sz w:val="18"/>
                <w:szCs w:val="18"/>
                <w:color w:val="0000FF"/>
                <w:w w:val="97"/>
              </w:rPr>
            </w:pPr>
            <w:hyperlink r:id="rId266">
              <w:r>
                <w:rPr>
                  <w:rFonts w:ascii="Arial" w:cs="Arial" w:eastAsia="Arial" w:hAnsi="Arial"/>
                  <w:sz w:val="18"/>
                  <w:szCs w:val="18"/>
                  <w:color w:val="0000FF"/>
                  <w:w w:val="97"/>
                </w:rPr>
                <w:t>8-K filed on November 6, 2015).</w:t>
              </w:r>
            </w:hyperlink>
          </w:p>
        </w:tc>
        <w:tc>
          <w:tcPr>
            <w:tcW w:w="40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4.58</w:t>
            </w:r>
          </w:p>
        </w:tc>
        <w:tc>
          <w:tcPr>
            <w:tcW w:w="60" w:type="dxa"/>
            <w:vAlign w:val="bottom"/>
          </w:tcPr>
          <w:p>
            <w:pPr>
              <w:spacing w:after="0"/>
              <w:rPr>
                <w:sz w:val="24"/>
                <w:szCs w:val="24"/>
                <w:color w:val="auto"/>
              </w:rPr>
            </w:pPr>
          </w:p>
        </w:tc>
        <w:tc>
          <w:tcPr>
            <w:tcW w:w="7000" w:type="dxa"/>
            <w:vAlign w:val="bottom"/>
            <w:gridSpan w:val="27"/>
          </w:tcPr>
          <w:p>
            <w:pPr>
              <w:ind w:left="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267">
              <w:r>
                <w:rPr>
                  <w:rFonts w:ascii="Arial" w:cs="Arial" w:eastAsia="Arial" w:hAnsi="Arial"/>
                  <w:sz w:val="19"/>
                  <w:szCs w:val="19"/>
                  <w:color w:val="0000FF"/>
                  <w:w w:val="95"/>
                </w:rPr>
                <w:t>Forty-Sixth Supplemental Indenture, dated June 20, 2016, between Evergy Kansas</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40" w:type="dxa"/>
            <w:vAlign w:val="bottom"/>
            <w:gridSpan w:val="15"/>
            <w:shd w:val="clear" w:color="auto" w:fill="0000FF"/>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80" w:type="dxa"/>
            <w:vAlign w:val="bottom"/>
            <w:gridSpan w:val="26"/>
          </w:tcPr>
          <w:p>
            <w:pPr>
              <w:spacing w:after="0" w:line="161" w:lineRule="exact"/>
              <w:rPr>
                <w:rFonts w:ascii="Arial" w:cs="Arial" w:eastAsia="Arial" w:hAnsi="Arial"/>
                <w:sz w:val="18"/>
                <w:szCs w:val="18"/>
                <w:color w:val="0000FF"/>
                <w:w w:val="98"/>
              </w:rPr>
            </w:pPr>
            <w:hyperlink r:id="rId267">
              <w:r>
                <w:rPr>
                  <w:rFonts w:ascii="Arial" w:cs="Arial" w:eastAsia="Arial" w:hAnsi="Arial"/>
                  <w:sz w:val="18"/>
                  <w:szCs w:val="18"/>
                  <w:color w:val="0000FF"/>
                  <w:w w:val="98"/>
                </w:rPr>
                <w:t>Central, Inc. (formerly Westar Energy, Inc.) and The Bank of New York Mellon Trust</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00" w:type="dxa"/>
            <w:vAlign w:val="bottom"/>
            <w:tcBorders>
              <w:top w:val="single" w:sz="8" w:color="0000FF"/>
            </w:tcBorders>
            <w:gridSpan w:val="22"/>
          </w:tcPr>
          <w:p>
            <w:pPr>
              <w:spacing w:after="0" w:line="161" w:lineRule="exact"/>
              <w:rPr>
                <w:rFonts w:ascii="Arial" w:cs="Arial" w:eastAsia="Arial" w:hAnsi="Arial"/>
                <w:sz w:val="18"/>
                <w:szCs w:val="18"/>
                <w:color w:val="0000FF"/>
                <w:w w:val="96"/>
              </w:rPr>
            </w:pPr>
            <w:hyperlink r:id="rId267">
              <w:r>
                <w:rPr>
                  <w:rFonts w:ascii="Arial" w:cs="Arial" w:eastAsia="Arial" w:hAnsi="Arial"/>
                  <w:sz w:val="18"/>
                  <w:szCs w:val="18"/>
                  <w:color w:val="0000FF"/>
                  <w:w w:val="96"/>
                </w:rPr>
                <w:t>Company, N.A., as trustee (Exhibit 4.1 to Evergy Kansas Central's Form 8-K filed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2"/>
              </w:rPr>
            </w:pPr>
            <w:hyperlink r:id="rId267">
              <w:r>
                <w:rPr>
                  <w:rFonts w:ascii="Arial" w:cs="Arial" w:eastAsia="Arial" w:hAnsi="Arial"/>
                  <w:sz w:val="18"/>
                  <w:szCs w:val="18"/>
                  <w:color w:val="0000FF"/>
                  <w:w w:val="92"/>
                </w:rPr>
                <w:t>June 17, 2016).</w:t>
              </w:r>
            </w:hyperlink>
          </w:p>
        </w:tc>
        <w:tc>
          <w:tcPr>
            <w:tcW w:w="530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4.59</w:t>
            </w:r>
          </w:p>
        </w:tc>
        <w:tc>
          <w:tcPr>
            <w:tcW w:w="60" w:type="dxa"/>
            <w:vAlign w:val="bottom"/>
          </w:tcPr>
          <w:p>
            <w:pPr>
              <w:spacing w:after="0"/>
              <w:rPr>
                <w:sz w:val="24"/>
                <w:szCs w:val="24"/>
                <w:color w:val="auto"/>
              </w:rPr>
            </w:pPr>
          </w:p>
        </w:tc>
        <w:tc>
          <w:tcPr>
            <w:tcW w:w="7000" w:type="dxa"/>
            <w:vAlign w:val="bottom"/>
            <w:gridSpan w:val="27"/>
          </w:tcPr>
          <w:p>
            <w:pPr>
              <w:ind w:left="60"/>
              <w:spacing w:after="0"/>
              <w:rPr>
                <w:rFonts w:ascii="Arial" w:cs="Arial" w:eastAsia="Arial" w:hAnsi="Arial"/>
                <w:sz w:val="19"/>
                <w:szCs w:val="19"/>
                <w:color w:val="auto"/>
                <w:w w:val="92"/>
              </w:rPr>
            </w:pPr>
            <w:r>
              <w:rPr>
                <w:rFonts w:ascii="Arial" w:cs="Arial" w:eastAsia="Arial" w:hAnsi="Arial"/>
                <w:sz w:val="19"/>
                <w:szCs w:val="19"/>
                <w:color w:val="auto"/>
                <w:w w:val="92"/>
              </w:rPr>
              <w:t xml:space="preserve">*   </w:t>
            </w:r>
            <w:hyperlink r:id="rId268">
              <w:r>
                <w:rPr>
                  <w:rFonts w:ascii="Arial" w:cs="Arial" w:eastAsia="Arial" w:hAnsi="Arial"/>
                  <w:sz w:val="19"/>
                  <w:szCs w:val="19"/>
                  <w:color w:val="0000FF"/>
                  <w:w w:val="92"/>
                </w:rPr>
                <w:t>Forty-Seventh Supplemental Indenture, dated March 6, 2017, between Evergy Kansas</w:t>
              </w:r>
            </w:hyperlink>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tcBorders>
              <w:top w:val="single" w:sz="8" w:color="0000FF"/>
            </w:tcBorders>
            <w:gridSpan w:val="24"/>
          </w:tcPr>
          <w:p>
            <w:pPr>
              <w:spacing w:after="0" w:line="161" w:lineRule="exact"/>
              <w:rPr>
                <w:rFonts w:ascii="Arial" w:cs="Arial" w:eastAsia="Arial" w:hAnsi="Arial"/>
                <w:sz w:val="18"/>
                <w:szCs w:val="18"/>
                <w:color w:val="0000FF"/>
                <w:w w:val="97"/>
              </w:rPr>
            </w:pPr>
            <w:hyperlink r:id="rId268">
              <w:r>
                <w:rPr>
                  <w:rFonts w:ascii="Arial" w:cs="Arial" w:eastAsia="Arial" w:hAnsi="Arial"/>
                  <w:sz w:val="18"/>
                  <w:szCs w:val="18"/>
                  <w:color w:val="0000FF"/>
                  <w:w w:val="97"/>
                </w:rPr>
                <w:t>Central, Inc. (formerly Westar Energy, Inc.) and The Bank of New York Mellon Trust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00" w:type="dxa"/>
            <w:vAlign w:val="bottom"/>
            <w:tcBorders>
              <w:top w:val="single" w:sz="8" w:color="0000FF"/>
            </w:tcBorders>
            <w:gridSpan w:val="22"/>
          </w:tcPr>
          <w:p>
            <w:pPr>
              <w:spacing w:after="0" w:line="161" w:lineRule="exact"/>
              <w:rPr>
                <w:rFonts w:ascii="Arial" w:cs="Arial" w:eastAsia="Arial" w:hAnsi="Arial"/>
                <w:sz w:val="18"/>
                <w:szCs w:val="18"/>
                <w:color w:val="0000FF"/>
                <w:w w:val="96"/>
              </w:rPr>
            </w:pPr>
            <w:hyperlink r:id="rId268">
              <w:r>
                <w:rPr>
                  <w:rFonts w:ascii="Arial" w:cs="Arial" w:eastAsia="Arial" w:hAnsi="Arial"/>
                  <w:sz w:val="18"/>
                  <w:szCs w:val="18"/>
                  <w:color w:val="0000FF"/>
                  <w:w w:val="96"/>
                </w:rPr>
                <w:t>Company, N.A., as trustee (Exhibit 4.1 to Evergy Kansas Central's Form 8-K filed on</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80" w:type="dxa"/>
            <w:vAlign w:val="bottom"/>
            <w:tcBorders>
              <w:top w:val="single" w:sz="8" w:color="0000FF"/>
            </w:tcBorders>
            <w:gridSpan w:val="21"/>
          </w:tcPr>
          <w:p>
            <w:pPr>
              <w:spacing w:after="0" w:line="161" w:lineRule="exact"/>
              <w:rPr>
                <w:rFonts w:ascii="Arial" w:cs="Arial" w:eastAsia="Arial" w:hAnsi="Arial"/>
                <w:sz w:val="18"/>
                <w:szCs w:val="18"/>
                <w:color w:val="0000FF"/>
              </w:rPr>
            </w:pPr>
            <w:hyperlink r:id="rId268">
              <w:r>
                <w:rPr>
                  <w:rFonts w:ascii="Arial" w:cs="Arial" w:eastAsia="Arial" w:hAnsi="Arial"/>
                  <w:sz w:val="18"/>
                  <w:szCs w:val="18"/>
                  <w:color w:val="0000FF"/>
                </w:rPr>
                <w:t>March 3, 2017).</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190"/>
        </w:trPr>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Borders>
              <w:top w:val="single" w:sz="8" w:color="0000FF"/>
            </w:tcBorders>
            <w:gridSpan w:val="2"/>
          </w:tcPr>
          <w:p>
            <w:pPr>
              <w:spacing w:after="0"/>
              <w:rPr>
                <w:sz w:val="24"/>
                <w:szCs w:val="24"/>
                <w:color w:val="auto"/>
              </w:rPr>
            </w:pPr>
          </w:p>
        </w:tc>
        <w:tc>
          <w:tcPr>
            <w:tcW w:w="4600" w:type="dxa"/>
            <w:vAlign w:val="bottom"/>
            <w:gridSpan w:val="7"/>
          </w:tcPr>
          <w:p>
            <w:pPr>
              <w:jc w:val="right"/>
              <w:ind w:right="1880"/>
              <w:spacing w:after="0"/>
              <w:rPr>
                <w:sz w:val="20"/>
                <w:szCs w:val="20"/>
                <w:color w:val="auto"/>
              </w:rPr>
            </w:pPr>
            <w:r>
              <w:rPr>
                <w:rFonts w:ascii="Arial" w:cs="Arial" w:eastAsia="Arial" w:hAnsi="Arial"/>
                <w:sz w:val="17"/>
                <w:szCs w:val="17"/>
                <w:color w:val="auto"/>
              </w:rPr>
              <w:t>169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ectPr>
          <w:pgSz w:w="11900" w:h="16838" w:orient="portrait"/>
          <w:cols w:equalWidth="0" w:num="2">
            <w:col w:w="8340" w:space="500"/>
            <w:col w:w="1740"/>
          </w:cols>
          <w:pgMar w:left="320" w:top="101" w:right="9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spacing w:after="0"/>
              <w:rPr>
                <w:rFonts w:ascii="Arial" w:cs="Arial" w:eastAsia="Arial" w:hAnsi="Arial"/>
                <w:sz w:val="19"/>
                <w:szCs w:val="19"/>
                <w:color w:val="0000FF"/>
                <w:w w:val="90"/>
              </w:rPr>
            </w:pPr>
            <w:hyperlink w:anchor="page3">
              <w:r>
                <w:rPr>
                  <w:rFonts w:ascii="Arial" w:cs="Arial" w:eastAsia="Arial" w:hAnsi="Arial"/>
                  <w:sz w:val="19"/>
                  <w:szCs w:val="19"/>
                  <w:color w:val="0000FF"/>
                  <w:w w:val="90"/>
                </w:rPr>
                <w:t>Table of Contents</w:t>
              </w:r>
            </w:hyperlink>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Arial" w:cs="Arial" w:eastAsia="Arial" w:hAnsi="Arial"/>
                <w:sz w:val="19"/>
                <w:szCs w:val="19"/>
                <w:color w:val="auto"/>
              </w:rPr>
              <w:t>4.60</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Arial" w:cs="Arial" w:eastAsia="Arial" w:hAnsi="Arial"/>
                <w:sz w:val="19"/>
                <w:szCs w:val="19"/>
                <w:color w:val="auto"/>
              </w:rPr>
              <w:t>*</w:t>
            </w:r>
          </w:p>
        </w:tc>
        <w:tc>
          <w:tcPr>
            <w:tcW w:w="6280" w:type="dxa"/>
            <w:vAlign w:val="bottom"/>
            <w:tcBorders>
              <w:bottom w:val="single" w:sz="8" w:color="0000FF"/>
            </w:tcBorders>
            <w:gridSpan w:val="16"/>
          </w:tcPr>
          <w:p>
            <w:pPr>
              <w:spacing w:after="0"/>
              <w:rPr>
                <w:rFonts w:ascii="Arial" w:cs="Arial" w:eastAsia="Arial" w:hAnsi="Arial"/>
                <w:sz w:val="19"/>
                <w:szCs w:val="19"/>
                <w:color w:val="0000FF"/>
                <w:w w:val="89"/>
              </w:rPr>
            </w:pPr>
            <w:hyperlink r:id="rId270">
              <w:r>
                <w:rPr>
                  <w:rFonts w:ascii="Arial" w:cs="Arial" w:eastAsia="Arial" w:hAnsi="Arial"/>
                  <w:sz w:val="19"/>
                  <w:szCs w:val="19"/>
                  <w:color w:val="0000FF"/>
                  <w:w w:val="89"/>
                </w:rPr>
                <w:t>Forty-Eighth Supplemental Indenture, dated June 4, 2018, between Evergy Kansas</w:t>
              </w:r>
            </w:hyperlink>
          </w:p>
        </w:tc>
        <w:tc>
          <w:tcPr>
            <w:tcW w:w="320" w:type="dxa"/>
            <w:vAlign w:val="bottom"/>
            <w:gridSpan w:val="12"/>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0" w:type="dxa"/>
            <w:vAlign w:val="bottom"/>
            <w:gridSpan w:val="28"/>
          </w:tcPr>
          <w:p>
            <w:pPr>
              <w:spacing w:after="0" w:line="161" w:lineRule="exact"/>
              <w:rPr>
                <w:rFonts w:ascii="Arial" w:cs="Arial" w:eastAsia="Arial" w:hAnsi="Arial"/>
                <w:sz w:val="18"/>
                <w:szCs w:val="18"/>
                <w:color w:val="0000FF"/>
                <w:w w:val="98"/>
              </w:rPr>
            </w:pPr>
            <w:hyperlink r:id="rId270">
              <w:r>
                <w:rPr>
                  <w:rFonts w:ascii="Arial" w:cs="Arial" w:eastAsia="Arial" w:hAnsi="Arial"/>
                  <w:sz w:val="18"/>
                  <w:szCs w:val="18"/>
                  <w:color w:val="0000FF"/>
                  <w:w w:val="98"/>
                </w:rPr>
                <w:t>Central, Inc. (formerly Westar Energy, Inc.) and The Bank of New York Mellon Trust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20" w:type="dxa"/>
            <w:vAlign w:val="bottom"/>
            <w:tcBorders>
              <w:top w:val="single" w:sz="8" w:color="0000FF"/>
            </w:tcBorders>
            <w:gridSpan w:val="24"/>
          </w:tcPr>
          <w:p>
            <w:pPr>
              <w:spacing w:after="0" w:line="161" w:lineRule="exact"/>
              <w:rPr>
                <w:rFonts w:ascii="Arial" w:cs="Arial" w:eastAsia="Arial" w:hAnsi="Arial"/>
                <w:sz w:val="18"/>
                <w:szCs w:val="18"/>
                <w:color w:val="0000FF"/>
                <w:w w:val="96"/>
              </w:rPr>
            </w:pPr>
            <w:hyperlink r:id="rId270">
              <w:r>
                <w:rPr>
                  <w:rFonts w:ascii="Arial" w:cs="Arial" w:eastAsia="Arial" w:hAnsi="Arial"/>
                  <w:sz w:val="18"/>
                  <w:szCs w:val="18"/>
                  <w:color w:val="0000FF"/>
                  <w:w w:val="96"/>
                </w:rPr>
                <w:t>Company, N.A., as trustee (Exhibit 4.1 to Evergy Kansas Central's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2"/>
              </w:rPr>
            </w:pPr>
            <w:hyperlink r:id="rId270">
              <w:r>
                <w:rPr>
                  <w:rFonts w:ascii="Arial" w:cs="Arial" w:eastAsia="Arial" w:hAnsi="Arial"/>
                  <w:sz w:val="18"/>
                  <w:szCs w:val="18"/>
                  <w:color w:val="0000FF"/>
                  <w:w w:val="92"/>
                </w:rPr>
                <w:t>June 4, 2018).</w:t>
              </w:r>
            </w:hyperlink>
          </w:p>
        </w:tc>
        <w:tc>
          <w:tcPr>
            <w:tcW w:w="53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4.61</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Arial" w:cs="Arial" w:eastAsia="Arial" w:hAnsi="Arial"/>
                <w:sz w:val="19"/>
                <w:szCs w:val="19"/>
                <w:color w:val="auto"/>
              </w:rPr>
              <w:t>*</w:t>
            </w:r>
          </w:p>
        </w:tc>
        <w:tc>
          <w:tcPr>
            <w:tcW w:w="6600" w:type="dxa"/>
            <w:vAlign w:val="bottom"/>
            <w:gridSpan w:val="28"/>
          </w:tcPr>
          <w:p>
            <w:pPr>
              <w:spacing w:after="0"/>
              <w:rPr>
                <w:rFonts w:ascii="Arial" w:cs="Arial" w:eastAsia="Arial" w:hAnsi="Arial"/>
                <w:sz w:val="19"/>
                <w:szCs w:val="19"/>
                <w:color w:val="0000FF"/>
                <w:w w:val="91"/>
              </w:rPr>
            </w:pPr>
            <w:hyperlink r:id="rId271">
              <w:r>
                <w:rPr>
                  <w:rFonts w:ascii="Arial" w:cs="Arial" w:eastAsia="Arial" w:hAnsi="Arial"/>
                  <w:sz w:val="19"/>
                  <w:szCs w:val="19"/>
                  <w:color w:val="0000FF"/>
                  <w:w w:val="91"/>
                </w:rPr>
                <w:t>Forty-Ninth Supplemental Indenture, dated August 19, 2019, between Evergy Kansas</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40" w:type="dxa"/>
            <w:vAlign w:val="bottom"/>
            <w:tcBorders>
              <w:top w:val="single" w:sz="8" w:color="0000FF"/>
            </w:tcBorders>
            <w:gridSpan w:val="25"/>
          </w:tcPr>
          <w:p>
            <w:pPr>
              <w:spacing w:after="0" w:line="161" w:lineRule="exact"/>
              <w:rPr>
                <w:rFonts w:ascii="Arial" w:cs="Arial" w:eastAsia="Arial" w:hAnsi="Arial"/>
                <w:sz w:val="18"/>
                <w:szCs w:val="18"/>
                <w:color w:val="0000FF"/>
                <w:w w:val="97"/>
              </w:rPr>
            </w:pPr>
            <w:hyperlink r:id="rId271">
              <w:r>
                <w:rPr>
                  <w:rFonts w:ascii="Arial" w:cs="Arial" w:eastAsia="Arial" w:hAnsi="Arial"/>
                  <w:sz w:val="18"/>
                  <w:szCs w:val="18"/>
                  <w:color w:val="0000FF"/>
                  <w:w w:val="97"/>
                </w:rPr>
                <w:t>Central, Inc. (formerly Westar Energy, Inc.) and The Bank of New York Mellon Trust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20" w:type="dxa"/>
            <w:vAlign w:val="bottom"/>
            <w:tcBorders>
              <w:top w:val="single" w:sz="8" w:color="0000FF"/>
            </w:tcBorders>
            <w:gridSpan w:val="24"/>
          </w:tcPr>
          <w:p>
            <w:pPr>
              <w:spacing w:after="0" w:line="161" w:lineRule="exact"/>
              <w:rPr>
                <w:rFonts w:ascii="Arial" w:cs="Arial" w:eastAsia="Arial" w:hAnsi="Arial"/>
                <w:sz w:val="18"/>
                <w:szCs w:val="18"/>
                <w:color w:val="0000FF"/>
                <w:w w:val="96"/>
              </w:rPr>
            </w:pPr>
            <w:hyperlink r:id="rId271">
              <w:r>
                <w:rPr>
                  <w:rFonts w:ascii="Arial" w:cs="Arial" w:eastAsia="Arial" w:hAnsi="Arial"/>
                  <w:sz w:val="18"/>
                  <w:szCs w:val="18"/>
                  <w:color w:val="0000FF"/>
                  <w:w w:val="96"/>
                </w:rPr>
                <w:t>Company, N.A., as trustee (Exhibit 4.1 to Evergy Kansas Central's Form 8-K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60" w:type="dxa"/>
            <w:vAlign w:val="bottom"/>
            <w:tcBorders>
              <w:top w:val="single" w:sz="8" w:color="0000FF"/>
            </w:tcBorders>
            <w:gridSpan w:val="21"/>
          </w:tcPr>
          <w:p>
            <w:pPr>
              <w:spacing w:after="0" w:line="161" w:lineRule="exact"/>
              <w:rPr>
                <w:rFonts w:ascii="Arial" w:cs="Arial" w:eastAsia="Arial" w:hAnsi="Arial"/>
                <w:sz w:val="18"/>
                <w:szCs w:val="18"/>
                <w:color w:val="0000FF"/>
              </w:rPr>
            </w:pPr>
            <w:hyperlink r:id="rId271">
              <w:r>
                <w:rPr>
                  <w:rFonts w:ascii="Arial" w:cs="Arial" w:eastAsia="Arial" w:hAnsi="Arial"/>
                  <w:sz w:val="18"/>
                  <w:szCs w:val="18"/>
                  <w:color w:val="0000FF"/>
                </w:rPr>
                <w:t>August 19,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4.62</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Arial" w:cs="Arial" w:eastAsia="Arial" w:hAnsi="Arial"/>
                <w:sz w:val="19"/>
                <w:szCs w:val="19"/>
                <w:color w:val="auto"/>
              </w:rPr>
              <w:t>*</w:t>
            </w:r>
          </w:p>
        </w:tc>
        <w:tc>
          <w:tcPr>
            <w:tcW w:w="6300" w:type="dxa"/>
            <w:vAlign w:val="bottom"/>
            <w:tcBorders>
              <w:bottom w:val="single" w:sz="8" w:color="0000FF"/>
            </w:tcBorders>
            <w:gridSpan w:val="17"/>
          </w:tcPr>
          <w:p>
            <w:pPr>
              <w:spacing w:after="0"/>
              <w:rPr>
                <w:rFonts w:ascii="Arial" w:cs="Arial" w:eastAsia="Arial" w:hAnsi="Arial"/>
                <w:sz w:val="19"/>
                <w:szCs w:val="19"/>
                <w:color w:val="0000FF"/>
                <w:w w:val="90"/>
              </w:rPr>
            </w:pPr>
            <w:hyperlink r:id="rId272">
              <w:r>
                <w:rPr>
                  <w:rFonts w:ascii="Arial" w:cs="Arial" w:eastAsia="Arial" w:hAnsi="Arial"/>
                  <w:sz w:val="19"/>
                  <w:szCs w:val="19"/>
                  <w:color w:val="0000FF"/>
                  <w:w w:val="90"/>
                </w:rPr>
                <w:t>Fiftieth Supplemental Indenture, dated as of April 9, 2020, between Evergy Kansas</w:t>
              </w:r>
            </w:hyperlink>
          </w:p>
        </w:tc>
        <w:tc>
          <w:tcPr>
            <w:tcW w:w="300" w:type="dxa"/>
            <w:vAlign w:val="bottom"/>
            <w:gridSpan w:val="11"/>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0" w:type="dxa"/>
            <w:vAlign w:val="bottom"/>
            <w:gridSpan w:val="28"/>
          </w:tcPr>
          <w:p>
            <w:pPr>
              <w:spacing w:after="0" w:line="161" w:lineRule="exact"/>
              <w:rPr>
                <w:rFonts w:ascii="Arial" w:cs="Arial" w:eastAsia="Arial" w:hAnsi="Arial"/>
                <w:sz w:val="18"/>
                <w:szCs w:val="18"/>
                <w:color w:val="0000FF"/>
                <w:w w:val="98"/>
              </w:rPr>
            </w:pPr>
            <w:hyperlink r:id="rId272">
              <w:r>
                <w:rPr>
                  <w:rFonts w:ascii="Arial" w:cs="Arial" w:eastAsia="Arial" w:hAnsi="Arial"/>
                  <w:sz w:val="18"/>
                  <w:szCs w:val="18"/>
                  <w:color w:val="0000FF"/>
                  <w:w w:val="98"/>
                </w:rPr>
                <w:t>Central, Inc. (formerly Westar Energy, Inc.) and The Bank of New York Mellon Trust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00" w:type="dxa"/>
            <w:vAlign w:val="bottom"/>
            <w:tcBorders>
              <w:top w:val="single" w:sz="8" w:color="0000FF"/>
            </w:tcBorders>
            <w:gridSpan w:val="23"/>
          </w:tcPr>
          <w:p>
            <w:pPr>
              <w:spacing w:after="0" w:line="161" w:lineRule="exact"/>
              <w:rPr>
                <w:rFonts w:ascii="Arial" w:cs="Arial" w:eastAsia="Arial" w:hAnsi="Arial"/>
                <w:sz w:val="18"/>
                <w:szCs w:val="18"/>
                <w:color w:val="0000FF"/>
                <w:w w:val="96"/>
              </w:rPr>
            </w:pPr>
            <w:hyperlink r:id="rId272">
              <w:r>
                <w:rPr>
                  <w:rFonts w:ascii="Arial" w:cs="Arial" w:eastAsia="Arial" w:hAnsi="Arial"/>
                  <w:sz w:val="18"/>
                  <w:szCs w:val="18"/>
                  <w:color w:val="0000FF"/>
                  <w:w w:val="96"/>
                </w:rPr>
                <w:t>Company, N.A., as trustee (Exhibit 4.1 to Evergy Kansas Central's Form 8-K filed 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60" w:type="dxa"/>
            <w:vAlign w:val="bottom"/>
            <w:tcBorders>
              <w:top w:val="single" w:sz="8" w:color="0000FF"/>
            </w:tcBorders>
            <w:gridSpan w:val="21"/>
          </w:tcPr>
          <w:p>
            <w:pPr>
              <w:spacing w:after="0" w:line="161" w:lineRule="exact"/>
              <w:rPr>
                <w:rFonts w:ascii="Arial" w:cs="Arial" w:eastAsia="Arial" w:hAnsi="Arial"/>
                <w:sz w:val="18"/>
                <w:szCs w:val="18"/>
                <w:color w:val="0000FF"/>
              </w:rPr>
            </w:pPr>
            <w:hyperlink r:id="rId272">
              <w:r>
                <w:rPr>
                  <w:rFonts w:ascii="Arial" w:cs="Arial" w:eastAsia="Arial" w:hAnsi="Arial"/>
                  <w:sz w:val="18"/>
                  <w:szCs w:val="18"/>
                  <w:color w:val="0000FF"/>
                </w:rPr>
                <w:t>April 9, 2020).</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3"/>
        </w:trPr>
        <w:tc>
          <w:tcPr>
            <w:tcW w:w="1340" w:type="dxa"/>
            <w:vAlign w:val="bottom"/>
          </w:tcPr>
          <w:p>
            <w:pPr>
              <w:ind w:left="20"/>
              <w:spacing w:after="0"/>
              <w:rPr>
                <w:sz w:val="20"/>
                <w:szCs w:val="20"/>
                <w:color w:val="auto"/>
              </w:rPr>
            </w:pPr>
            <w:r>
              <w:rPr>
                <w:rFonts w:ascii="Arial" w:cs="Arial" w:eastAsia="Arial" w:hAnsi="Arial"/>
                <w:sz w:val="19"/>
                <w:szCs w:val="19"/>
                <w:color w:val="auto"/>
              </w:rPr>
              <w:t>4.63</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Arial" w:cs="Arial" w:eastAsia="Arial" w:hAnsi="Arial"/>
                <w:sz w:val="19"/>
                <w:szCs w:val="19"/>
                <w:color w:val="auto"/>
              </w:rPr>
              <w:t>*</w:t>
            </w:r>
          </w:p>
        </w:tc>
        <w:tc>
          <w:tcPr>
            <w:tcW w:w="6600" w:type="dxa"/>
            <w:vAlign w:val="bottom"/>
            <w:gridSpan w:val="28"/>
          </w:tcPr>
          <w:p>
            <w:pPr>
              <w:spacing w:after="0"/>
              <w:rPr>
                <w:rFonts w:ascii="Arial" w:cs="Arial" w:eastAsia="Arial" w:hAnsi="Arial"/>
                <w:sz w:val="19"/>
                <w:szCs w:val="19"/>
                <w:color w:val="0000FF"/>
              </w:rPr>
            </w:pPr>
            <w:hyperlink r:id="rId273">
              <w:r>
                <w:rPr>
                  <w:rFonts w:ascii="Arial" w:cs="Arial" w:eastAsia="Arial" w:hAnsi="Arial"/>
                  <w:sz w:val="19"/>
                  <w:szCs w:val="19"/>
                  <w:color w:val="0000FF"/>
                </w:rPr>
                <w:t>Senior Indenture, dated August 1, 1998, between Evergy Kansas Central, Inc.</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8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273">
              <w:r>
                <w:rPr>
                  <w:rFonts w:ascii="Arial" w:cs="Arial" w:eastAsia="Arial" w:hAnsi="Arial"/>
                  <w:sz w:val="17"/>
                  <w:szCs w:val="17"/>
                  <w:color w:val="0000FF"/>
                </w:rPr>
                <w:t>(formerly Westar Energy, Inc.) and Deutsche Bank Trust Company Americas,</w:t>
              </w:r>
            </w:hyperlink>
          </w:p>
        </w:tc>
        <w:tc>
          <w:tcPr>
            <w:tcW w:w="720" w:type="dxa"/>
            <w:vAlign w:val="bottom"/>
            <w:gridSpan w:val="19"/>
          </w:tcPr>
          <w:p>
            <w:pPr>
              <w:ind w:left="40"/>
              <w:spacing w:after="0" w:line="154" w:lineRule="exact"/>
              <w:rPr>
                <w:rFonts w:ascii="Arial" w:cs="Arial" w:eastAsia="Arial" w:hAnsi="Arial"/>
                <w:sz w:val="17"/>
                <w:szCs w:val="17"/>
                <w:color w:val="0000FF"/>
              </w:rPr>
            </w:pPr>
            <w:hyperlink r:id="rId273">
              <w:r>
                <w:rPr>
                  <w:rFonts w:ascii="Arial" w:cs="Arial" w:eastAsia="Arial" w:hAnsi="Arial"/>
                  <w:sz w:val="17"/>
                  <w:szCs w:val="17"/>
                  <w:color w:val="0000FF"/>
                </w:rPr>
                <w:t>as</w:t>
              </w:r>
            </w:hyperlink>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80" w:type="dxa"/>
            <w:vAlign w:val="bottom"/>
            <w:tcBorders>
              <w:top w:val="single" w:sz="8" w:color="0000FF"/>
            </w:tcBorders>
            <w:gridSpan w:val="11"/>
          </w:tcPr>
          <w:p>
            <w:pPr>
              <w:spacing w:after="0" w:line="168" w:lineRule="exact"/>
              <w:rPr>
                <w:rFonts w:ascii="Arial" w:cs="Arial" w:eastAsia="Arial" w:hAnsi="Arial"/>
                <w:sz w:val="19"/>
                <w:szCs w:val="19"/>
                <w:color w:val="0000FF"/>
                <w:w w:val="92"/>
              </w:rPr>
            </w:pPr>
            <w:hyperlink r:id="rId273">
              <w:r>
                <w:rPr>
                  <w:rFonts w:ascii="Arial" w:cs="Arial" w:eastAsia="Arial" w:hAnsi="Arial"/>
                  <w:sz w:val="19"/>
                  <w:szCs w:val="19"/>
                  <w:color w:val="0000FF"/>
                  <w:w w:val="92"/>
                </w:rPr>
                <w:t>trustee, including Form of Senior Note (Exhibit 4.1 to Evergy Kansas Central's</w:t>
              </w:r>
            </w:hyperlink>
          </w:p>
        </w:tc>
        <w:tc>
          <w:tcPr>
            <w:tcW w:w="520" w:type="dxa"/>
            <w:vAlign w:val="bottom"/>
            <w:gridSpan w:val="17"/>
          </w:tcPr>
          <w:p>
            <w:pPr>
              <w:spacing w:after="0" w:line="168" w:lineRule="exact"/>
              <w:rPr>
                <w:rFonts w:ascii="Arial" w:cs="Arial" w:eastAsia="Arial" w:hAnsi="Arial"/>
                <w:sz w:val="19"/>
                <w:szCs w:val="19"/>
                <w:color w:val="0000FF"/>
              </w:rPr>
            </w:pPr>
            <w:hyperlink r:id="rId273">
              <w:r>
                <w:rPr>
                  <w:rFonts w:ascii="Arial" w:cs="Arial" w:eastAsia="Arial" w:hAnsi="Arial"/>
                  <w:sz w:val="19"/>
                  <w:szCs w:val="19"/>
                  <w:color w:val="0000FF"/>
                </w:rPr>
                <w:t>Form</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6"/>
          </w:tcPr>
          <w:p>
            <w:pPr>
              <w:spacing w:after="0" w:line="161" w:lineRule="exact"/>
              <w:rPr>
                <w:rFonts w:ascii="Arial" w:cs="Arial" w:eastAsia="Arial" w:hAnsi="Arial"/>
                <w:sz w:val="18"/>
                <w:szCs w:val="18"/>
                <w:color w:val="0000FF"/>
                <w:w w:val="93"/>
              </w:rPr>
            </w:pPr>
            <w:hyperlink r:id="rId273">
              <w:r>
                <w:rPr>
                  <w:rFonts w:ascii="Arial" w:cs="Arial" w:eastAsia="Arial" w:hAnsi="Arial"/>
                  <w:sz w:val="18"/>
                  <w:szCs w:val="18"/>
                  <w:color w:val="0000FF"/>
                  <w:w w:val="93"/>
                </w:rPr>
                <w:t>10-Q for the quarter ended June 30, 1998).</w:t>
              </w:r>
            </w:hyperlink>
          </w:p>
        </w:tc>
        <w:tc>
          <w:tcPr>
            <w:tcW w:w="318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3"/>
        </w:trPr>
        <w:tc>
          <w:tcPr>
            <w:tcW w:w="1340" w:type="dxa"/>
            <w:vAlign w:val="bottom"/>
          </w:tcPr>
          <w:p>
            <w:pPr>
              <w:ind w:left="20"/>
              <w:spacing w:after="0"/>
              <w:rPr>
                <w:sz w:val="20"/>
                <w:szCs w:val="20"/>
                <w:color w:val="auto"/>
              </w:rPr>
            </w:pPr>
            <w:r>
              <w:rPr>
                <w:rFonts w:ascii="Arial" w:cs="Arial" w:eastAsia="Arial" w:hAnsi="Arial"/>
                <w:sz w:val="19"/>
                <w:szCs w:val="19"/>
                <w:color w:val="auto"/>
              </w:rPr>
              <w:t>4.64</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Arial" w:cs="Arial" w:eastAsia="Arial" w:hAnsi="Arial"/>
                <w:sz w:val="19"/>
                <w:szCs w:val="19"/>
                <w:color w:val="auto"/>
              </w:rPr>
              <w:t>*</w:t>
            </w:r>
          </w:p>
        </w:tc>
        <w:tc>
          <w:tcPr>
            <w:tcW w:w="6600" w:type="dxa"/>
            <w:vAlign w:val="bottom"/>
            <w:gridSpan w:val="28"/>
          </w:tcPr>
          <w:p>
            <w:pPr>
              <w:spacing w:after="0"/>
              <w:rPr>
                <w:rFonts w:ascii="Arial" w:cs="Arial" w:eastAsia="Arial" w:hAnsi="Arial"/>
                <w:sz w:val="19"/>
                <w:szCs w:val="19"/>
                <w:color w:val="0000FF"/>
                <w:w w:val="98"/>
              </w:rPr>
            </w:pPr>
            <w:hyperlink r:id="rId274">
              <w:r>
                <w:rPr>
                  <w:rFonts w:ascii="Arial" w:cs="Arial" w:eastAsia="Arial" w:hAnsi="Arial"/>
                  <w:sz w:val="19"/>
                  <w:szCs w:val="19"/>
                  <w:color w:val="0000FF"/>
                  <w:w w:val="98"/>
                </w:rPr>
                <w:t>Form of Subordinated Indenture between Evergy Kansas Central, Inc. (formerly</w:t>
              </w:r>
            </w:hyperlink>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60" w:type="dxa"/>
            <w:vAlign w:val="bottom"/>
            <w:tcBorders>
              <w:top w:val="single" w:sz="8" w:color="0000FF"/>
            </w:tcBorders>
            <w:gridSpan w:val="10"/>
          </w:tcPr>
          <w:p>
            <w:pPr>
              <w:spacing w:after="0" w:line="168" w:lineRule="exact"/>
              <w:rPr>
                <w:rFonts w:ascii="Arial" w:cs="Arial" w:eastAsia="Arial" w:hAnsi="Arial"/>
                <w:sz w:val="19"/>
                <w:szCs w:val="19"/>
                <w:color w:val="0000FF"/>
                <w:w w:val="92"/>
              </w:rPr>
            </w:pPr>
            <w:hyperlink r:id="rId274">
              <w:r>
                <w:rPr>
                  <w:rFonts w:ascii="Arial" w:cs="Arial" w:eastAsia="Arial" w:hAnsi="Arial"/>
                  <w:sz w:val="19"/>
                  <w:szCs w:val="19"/>
                  <w:color w:val="0000FF"/>
                  <w:w w:val="92"/>
                </w:rPr>
                <w:t>Westar Energy, Inc.) and The Bank of New York Mellon Trust Company, N.A.,</w:t>
              </w:r>
            </w:hyperlink>
          </w:p>
        </w:tc>
        <w:tc>
          <w:tcPr>
            <w:tcW w:w="540" w:type="dxa"/>
            <w:vAlign w:val="bottom"/>
            <w:gridSpan w:val="18"/>
          </w:tcPr>
          <w:p>
            <w:pPr>
              <w:spacing w:after="0" w:line="168" w:lineRule="exact"/>
              <w:rPr>
                <w:rFonts w:ascii="Arial" w:cs="Arial" w:eastAsia="Arial" w:hAnsi="Arial"/>
                <w:sz w:val="19"/>
                <w:szCs w:val="19"/>
                <w:color w:val="0000FF"/>
              </w:rPr>
            </w:pPr>
            <w:hyperlink r:id="rId274">
              <w:r>
                <w:rPr>
                  <w:rFonts w:ascii="Arial" w:cs="Arial" w:eastAsia="Arial" w:hAnsi="Arial"/>
                  <w:sz w:val="19"/>
                  <w:szCs w:val="19"/>
                  <w:color w:val="0000FF"/>
                </w:rPr>
                <w:t>as</w:t>
              </w:r>
            </w:hyperlink>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0" w:type="dxa"/>
            <w:vAlign w:val="bottom"/>
            <w:gridSpan w:val="28"/>
          </w:tcPr>
          <w:p>
            <w:pPr>
              <w:spacing w:after="0" w:line="161" w:lineRule="exact"/>
              <w:rPr>
                <w:rFonts w:ascii="Arial" w:cs="Arial" w:eastAsia="Arial" w:hAnsi="Arial"/>
                <w:sz w:val="18"/>
                <w:szCs w:val="18"/>
                <w:color w:val="0000FF"/>
                <w:w w:val="97"/>
              </w:rPr>
            </w:pPr>
            <w:hyperlink r:id="rId274">
              <w:r>
                <w:rPr>
                  <w:rFonts w:ascii="Arial" w:cs="Arial" w:eastAsia="Arial" w:hAnsi="Arial"/>
                  <w:sz w:val="18"/>
                  <w:szCs w:val="18"/>
                  <w:color w:val="0000FF"/>
                  <w:w w:val="97"/>
                </w:rPr>
                <w:t>trustee, including Form of Subordinated Note (Exhibit 4.3 to Evergy Kansas Central's</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60" w:type="dxa"/>
            <w:vAlign w:val="bottom"/>
            <w:tcBorders>
              <w:top w:val="single" w:sz="8" w:color="0000FF"/>
            </w:tcBorders>
            <w:gridSpan w:val="26"/>
          </w:tcPr>
          <w:p>
            <w:pPr>
              <w:spacing w:after="0" w:line="161" w:lineRule="exact"/>
              <w:rPr>
                <w:rFonts w:ascii="Arial" w:cs="Arial" w:eastAsia="Arial" w:hAnsi="Arial"/>
                <w:sz w:val="18"/>
                <w:szCs w:val="18"/>
                <w:color w:val="0000FF"/>
              </w:rPr>
            </w:pPr>
            <w:hyperlink r:id="rId274">
              <w:r>
                <w:rPr>
                  <w:rFonts w:ascii="Arial" w:cs="Arial" w:eastAsia="Arial" w:hAnsi="Arial"/>
                  <w:sz w:val="18"/>
                  <w:szCs w:val="18"/>
                  <w:color w:val="0000FF"/>
                </w:rPr>
                <w:t>Form S-3 filed on March 18, 2016 (No. 333-210266)).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4.65</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Arial" w:cs="Arial" w:eastAsia="Arial" w:hAnsi="Arial"/>
                <w:sz w:val="19"/>
                <w:szCs w:val="19"/>
                <w:color w:val="auto"/>
              </w:rPr>
              <w:t>*</w:t>
            </w:r>
          </w:p>
        </w:tc>
        <w:tc>
          <w:tcPr>
            <w:tcW w:w="6600" w:type="dxa"/>
            <w:vAlign w:val="bottom"/>
            <w:gridSpan w:val="28"/>
          </w:tcPr>
          <w:p>
            <w:pPr>
              <w:spacing w:after="0"/>
              <w:rPr>
                <w:rFonts w:ascii="Arial" w:cs="Arial" w:eastAsia="Arial" w:hAnsi="Arial"/>
                <w:sz w:val="19"/>
                <w:szCs w:val="19"/>
                <w:color w:val="0000FF"/>
                <w:w w:val="93"/>
              </w:rPr>
            </w:pPr>
            <w:hyperlink r:id="rId275">
              <w:r>
                <w:rPr>
                  <w:rFonts w:ascii="Arial" w:cs="Arial" w:eastAsia="Arial" w:hAnsi="Arial"/>
                  <w:sz w:val="19"/>
                  <w:szCs w:val="19"/>
                  <w:color w:val="0000FF"/>
                  <w:w w:val="93"/>
                </w:rPr>
                <w:t>Description of Securities (Exhibit 4.64 to Evergy, Inc.'s Form 10-K for the fiscal year</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2"/>
              </w:rPr>
            </w:pPr>
            <w:hyperlink r:id="rId275">
              <w:r>
                <w:rPr>
                  <w:rFonts w:ascii="Arial" w:cs="Arial" w:eastAsia="Arial" w:hAnsi="Arial"/>
                  <w:sz w:val="18"/>
                  <w:szCs w:val="18"/>
                  <w:color w:val="0000FF"/>
                  <w:w w:val="92"/>
                </w:rPr>
                <w:t>ended December 31, 2020).</w:t>
              </w:r>
            </w:hyperlink>
          </w:p>
        </w:tc>
        <w:tc>
          <w:tcPr>
            <w:tcW w:w="438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650"/>
        </w:trPr>
        <w:tc>
          <w:tcPr>
            <w:tcW w:w="1340" w:type="dxa"/>
            <w:vAlign w:val="bottom"/>
          </w:tcPr>
          <w:p>
            <w:pPr>
              <w:ind w:left="20"/>
              <w:spacing w:after="0"/>
              <w:rPr>
                <w:sz w:val="20"/>
                <w:szCs w:val="20"/>
                <w:color w:val="auto"/>
              </w:rPr>
            </w:pPr>
            <w:r>
              <w:rPr>
                <w:rFonts w:ascii="Arial" w:cs="Arial" w:eastAsia="Arial" w:hAnsi="Arial"/>
                <w:sz w:val="19"/>
                <w:szCs w:val="19"/>
                <w:color w:val="auto"/>
              </w:rPr>
              <w:t>10.1</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Arial" w:cs="Arial" w:eastAsia="Arial" w:hAnsi="Arial"/>
                <w:sz w:val="19"/>
                <w:szCs w:val="19"/>
                <w:color w:val="auto"/>
              </w:rPr>
              <w:t>*+</w:t>
            </w:r>
          </w:p>
        </w:tc>
        <w:tc>
          <w:tcPr>
            <w:tcW w:w="6600" w:type="dxa"/>
            <w:vAlign w:val="bottom"/>
            <w:gridSpan w:val="28"/>
          </w:tcPr>
          <w:p>
            <w:pPr>
              <w:spacing w:after="0"/>
              <w:rPr>
                <w:rFonts w:ascii="Arial" w:cs="Arial" w:eastAsia="Arial" w:hAnsi="Arial"/>
                <w:sz w:val="19"/>
                <w:szCs w:val="19"/>
                <w:color w:val="0000FF"/>
                <w:w w:val="94"/>
              </w:rPr>
            </w:pPr>
            <w:hyperlink r:id="rId276">
              <w:r>
                <w:rPr>
                  <w:rFonts w:ascii="Arial" w:cs="Arial" w:eastAsia="Arial" w:hAnsi="Arial"/>
                  <w:sz w:val="19"/>
                  <w:szCs w:val="19"/>
                  <w:color w:val="0000FF"/>
                  <w:w w:val="94"/>
                </w:rPr>
                <w:t>Evergy, Inc. (successor to Great Plains Energy Incorporated) Amended Long-Term</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80" w:type="dxa"/>
            <w:vAlign w:val="bottom"/>
            <w:tcBorders>
              <w:top w:val="single" w:sz="8" w:color="0000FF"/>
            </w:tcBorders>
            <w:gridSpan w:val="16"/>
          </w:tcPr>
          <w:p>
            <w:pPr>
              <w:spacing w:after="0" w:line="161" w:lineRule="exact"/>
              <w:rPr>
                <w:rFonts w:ascii="Arial" w:cs="Arial" w:eastAsia="Arial" w:hAnsi="Arial"/>
                <w:sz w:val="18"/>
                <w:szCs w:val="18"/>
                <w:color w:val="0000FF"/>
                <w:w w:val="95"/>
              </w:rPr>
            </w:pPr>
            <w:hyperlink r:id="rId276">
              <w:r>
                <w:rPr>
                  <w:rFonts w:ascii="Arial" w:cs="Arial" w:eastAsia="Arial" w:hAnsi="Arial"/>
                  <w:sz w:val="18"/>
                  <w:szCs w:val="18"/>
                  <w:color w:val="0000FF"/>
                  <w:w w:val="95"/>
                </w:rPr>
                <w:t>Incentive Plan, as amended effective on May 3, 2016 (Exhibit 10.4 to Great Plains</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40" w:type="dxa"/>
            <w:vAlign w:val="bottom"/>
            <w:tcBorders>
              <w:top w:val="single" w:sz="8" w:color="0000FF"/>
            </w:tcBorders>
            <w:gridSpan w:val="14"/>
          </w:tcPr>
          <w:p>
            <w:pPr>
              <w:spacing w:after="0" w:line="161" w:lineRule="exact"/>
              <w:rPr>
                <w:rFonts w:ascii="Arial" w:cs="Arial" w:eastAsia="Arial" w:hAnsi="Arial"/>
                <w:sz w:val="18"/>
                <w:szCs w:val="18"/>
                <w:color w:val="0000FF"/>
              </w:rPr>
            </w:pPr>
            <w:hyperlink r:id="rId276">
              <w:r>
                <w:rPr>
                  <w:rFonts w:ascii="Arial" w:cs="Arial" w:eastAsia="Arial" w:hAnsi="Arial"/>
                  <w:sz w:val="18"/>
                  <w:szCs w:val="18"/>
                  <w:color w:val="0000FF"/>
                </w:rPr>
                <w:t>Energy's Form 10-Q for the quarter ended June 30, 2016).</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10.2</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Arial" w:cs="Arial" w:eastAsia="Arial" w:hAnsi="Arial"/>
                <w:sz w:val="19"/>
                <w:szCs w:val="19"/>
                <w:color w:val="auto"/>
              </w:rPr>
              <w:t>*+</w:t>
            </w:r>
          </w:p>
        </w:tc>
        <w:tc>
          <w:tcPr>
            <w:tcW w:w="6600" w:type="dxa"/>
            <w:vAlign w:val="bottom"/>
            <w:gridSpan w:val="28"/>
          </w:tcPr>
          <w:p>
            <w:pPr>
              <w:spacing w:after="0"/>
              <w:rPr>
                <w:rFonts w:ascii="Arial" w:cs="Arial" w:eastAsia="Arial" w:hAnsi="Arial"/>
                <w:sz w:val="19"/>
                <w:szCs w:val="19"/>
                <w:color w:val="0000FF"/>
                <w:w w:val="95"/>
              </w:rPr>
            </w:pPr>
            <w:hyperlink r:id="rId277">
              <w:r>
                <w:rPr>
                  <w:rFonts w:ascii="Arial" w:cs="Arial" w:eastAsia="Arial" w:hAnsi="Arial"/>
                  <w:sz w:val="19"/>
                  <w:szCs w:val="19"/>
                  <w:color w:val="0000FF"/>
                  <w:w w:val="95"/>
                </w:rPr>
                <w:t>Evergy, Inc. (successor to Great Plains Energy Incorporated) Long-Term Incentive</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5"/>
          </w:tcPr>
          <w:p>
            <w:pPr>
              <w:spacing w:after="0" w:line="161" w:lineRule="exact"/>
              <w:rPr>
                <w:rFonts w:ascii="Arial" w:cs="Arial" w:eastAsia="Arial" w:hAnsi="Arial"/>
                <w:sz w:val="18"/>
                <w:szCs w:val="18"/>
                <w:color w:val="0000FF"/>
                <w:w w:val="93"/>
              </w:rPr>
            </w:pPr>
            <w:hyperlink r:id="rId277">
              <w:r>
                <w:rPr>
                  <w:rFonts w:ascii="Arial" w:cs="Arial" w:eastAsia="Arial" w:hAnsi="Arial"/>
                  <w:sz w:val="18"/>
                  <w:szCs w:val="18"/>
                  <w:color w:val="0000FF"/>
                  <w:w w:val="93"/>
                </w:rPr>
                <w:t>Plan Awards Standards and Performance Criteria Effective January 1, 2017 (Exhibit</w:t>
              </w:r>
            </w:hyperlink>
          </w:p>
        </w:tc>
        <w:tc>
          <w:tcPr>
            <w:tcW w:w="100" w:type="dxa"/>
            <w:vAlign w:val="bottom"/>
            <w:tcBorders>
              <w:bottom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100" w:type="dxa"/>
            <w:vAlign w:val="bottom"/>
            <w:tcBorders>
              <w:bottom w:val="single" w:sz="8" w:color="0000FF"/>
            </w:tcBorders>
            <w:gridSpan w:val="12"/>
          </w:tcPr>
          <w:p>
            <w:pPr>
              <w:spacing w:after="0" w:line="161" w:lineRule="exact"/>
              <w:rPr>
                <w:rFonts w:ascii="Arial" w:cs="Arial" w:eastAsia="Arial" w:hAnsi="Arial"/>
                <w:sz w:val="18"/>
                <w:szCs w:val="18"/>
                <w:color w:val="0000FF"/>
                <w:w w:val="95"/>
              </w:rPr>
            </w:pPr>
            <w:hyperlink r:id="rId277">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r>
                <w:rPr>
                  <w:rFonts w:ascii="Arial" w:cs="Arial" w:eastAsia="Arial" w:hAnsi="Arial"/>
                  <w:sz w:val="18"/>
                  <w:szCs w:val="18"/>
                  <w:color w:val="0000FF"/>
                  <w:w w:val="95"/>
                </w:rPr>
                <w:t xml:space="preserve"> to Great Plains Energy's Form 10-Q for the quarter ended March 31, 2017).</w:t>
              </w:r>
            </w:hyperlink>
          </w:p>
        </w:tc>
        <w:tc>
          <w:tcPr>
            <w:tcW w:w="26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10.3</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Arial" w:cs="Arial" w:eastAsia="Arial" w:hAnsi="Arial"/>
                <w:sz w:val="19"/>
                <w:szCs w:val="19"/>
                <w:color w:val="auto"/>
              </w:rPr>
              <w:t>*+</w:t>
            </w:r>
          </w:p>
        </w:tc>
        <w:tc>
          <w:tcPr>
            <w:tcW w:w="6600" w:type="dxa"/>
            <w:vAlign w:val="bottom"/>
            <w:gridSpan w:val="28"/>
          </w:tcPr>
          <w:p>
            <w:pPr>
              <w:spacing w:after="0"/>
              <w:rPr>
                <w:rFonts w:ascii="Arial" w:cs="Arial" w:eastAsia="Arial" w:hAnsi="Arial"/>
                <w:sz w:val="19"/>
                <w:szCs w:val="19"/>
                <w:color w:val="0000FF"/>
                <w:w w:val="95"/>
              </w:rPr>
            </w:pPr>
            <w:hyperlink r:id="rId278">
              <w:r>
                <w:rPr>
                  <w:rFonts w:ascii="Arial" w:cs="Arial" w:eastAsia="Arial" w:hAnsi="Arial"/>
                  <w:sz w:val="19"/>
                  <w:szCs w:val="19"/>
                  <w:color w:val="0000FF"/>
                  <w:w w:val="95"/>
                </w:rPr>
                <w:t>Evergy, Inc. (successor to Great Plains Energy Incorporated) Long-Term Incentive</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60" w:type="dxa"/>
            <w:vAlign w:val="bottom"/>
            <w:tcBorders>
              <w:top w:val="single" w:sz="8" w:color="0000FF"/>
            </w:tcBorders>
            <w:gridSpan w:val="15"/>
          </w:tcPr>
          <w:p>
            <w:pPr>
              <w:spacing w:after="0" w:line="161" w:lineRule="exact"/>
              <w:rPr>
                <w:rFonts w:ascii="Arial" w:cs="Arial" w:eastAsia="Arial" w:hAnsi="Arial"/>
                <w:sz w:val="18"/>
                <w:szCs w:val="18"/>
                <w:color w:val="0000FF"/>
                <w:w w:val="93"/>
              </w:rPr>
            </w:pPr>
            <w:hyperlink r:id="rId278">
              <w:r>
                <w:rPr>
                  <w:rFonts w:ascii="Arial" w:cs="Arial" w:eastAsia="Arial" w:hAnsi="Arial"/>
                  <w:sz w:val="18"/>
                  <w:szCs w:val="18"/>
                  <w:color w:val="0000FF"/>
                  <w:w w:val="93"/>
                </w:rPr>
                <w:t>Plan Awards Standards and Performance Criteria Effective January 1, 2018 (Exhibit</w:t>
              </w:r>
            </w:hyperlink>
          </w:p>
        </w:tc>
        <w:tc>
          <w:tcPr>
            <w:tcW w:w="140" w:type="dxa"/>
            <w:vAlign w:val="bottom"/>
            <w:gridSpan w:val="4"/>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12"/>
          </w:tcPr>
          <w:p>
            <w:pPr>
              <w:spacing w:after="0" w:line="161" w:lineRule="exact"/>
              <w:rPr>
                <w:rFonts w:ascii="Arial" w:cs="Arial" w:eastAsia="Arial" w:hAnsi="Arial"/>
                <w:sz w:val="18"/>
                <w:szCs w:val="18"/>
                <w:color w:val="0000FF"/>
                <w:w w:val="95"/>
              </w:rPr>
            </w:pPr>
            <w:hyperlink r:id="rId278">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r>
                <w:rPr>
                  <w:rFonts w:ascii="Arial" w:cs="Arial" w:eastAsia="Arial" w:hAnsi="Arial"/>
                  <w:sz w:val="18"/>
                  <w:szCs w:val="18"/>
                  <w:color w:val="0000FF"/>
                  <w:w w:val="95"/>
                </w:rPr>
                <w:t xml:space="preserve"> to Great Plains Energy's Form 10-Q for the quarter ended March 31, 2018).</w:t>
              </w:r>
            </w:hyperlink>
          </w:p>
        </w:tc>
        <w:tc>
          <w:tcPr>
            <w:tcW w:w="26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10.4</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Arial" w:cs="Arial" w:eastAsia="Arial" w:hAnsi="Arial"/>
                <w:sz w:val="19"/>
                <w:szCs w:val="19"/>
                <w:color w:val="auto"/>
              </w:rPr>
              <w:t>*+</w:t>
            </w:r>
          </w:p>
        </w:tc>
        <w:tc>
          <w:tcPr>
            <w:tcW w:w="6600" w:type="dxa"/>
            <w:vAlign w:val="bottom"/>
            <w:gridSpan w:val="28"/>
          </w:tcPr>
          <w:p>
            <w:pPr>
              <w:spacing w:after="0"/>
              <w:rPr>
                <w:rFonts w:ascii="Arial" w:cs="Arial" w:eastAsia="Arial" w:hAnsi="Arial"/>
                <w:sz w:val="19"/>
                <w:szCs w:val="19"/>
                <w:color w:val="0000FF"/>
                <w:w w:val="91"/>
              </w:rPr>
            </w:pPr>
            <w:hyperlink r:id="rId279">
              <w:r>
                <w:rPr>
                  <w:rFonts w:ascii="Arial" w:cs="Arial" w:eastAsia="Arial" w:hAnsi="Arial"/>
                  <w:sz w:val="19"/>
                  <w:szCs w:val="19"/>
                  <w:color w:val="0000FF"/>
                  <w:w w:val="91"/>
                </w:rPr>
                <w:t>Form of Evergy, Inc. (successor to Great Plains Energy Incorporated) 2017 three-year</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80" w:type="dxa"/>
            <w:vAlign w:val="bottom"/>
            <w:tcBorders>
              <w:top w:val="single" w:sz="8" w:color="0000FF"/>
            </w:tcBorders>
            <w:gridSpan w:val="27"/>
          </w:tcPr>
          <w:p>
            <w:pPr>
              <w:spacing w:after="0" w:line="161" w:lineRule="exact"/>
              <w:rPr>
                <w:rFonts w:ascii="Arial" w:cs="Arial" w:eastAsia="Arial" w:hAnsi="Arial"/>
                <w:sz w:val="18"/>
                <w:szCs w:val="18"/>
                <w:color w:val="0000FF"/>
                <w:w w:val="97"/>
              </w:rPr>
            </w:pPr>
            <w:hyperlink r:id="rId279">
              <w:r>
                <w:rPr>
                  <w:rFonts w:ascii="Arial" w:cs="Arial" w:eastAsia="Arial" w:hAnsi="Arial"/>
                  <w:sz w:val="18"/>
                  <w:szCs w:val="18"/>
                  <w:color w:val="0000FF"/>
                  <w:w w:val="97"/>
                </w:rPr>
                <w:t>Performance Share Agreement (Exhibit 10.1 to Great Plains Energy's Form 10-Q for</w:t>
              </w:r>
            </w:hyperlink>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5"/>
          </w:tcPr>
          <w:p>
            <w:pPr>
              <w:spacing w:after="0" w:line="161" w:lineRule="exact"/>
              <w:rPr>
                <w:rFonts w:ascii="Arial" w:cs="Arial" w:eastAsia="Arial" w:hAnsi="Arial"/>
                <w:sz w:val="18"/>
                <w:szCs w:val="18"/>
                <w:color w:val="0000FF"/>
                <w:w w:val="93"/>
              </w:rPr>
            </w:pPr>
            <w:hyperlink r:id="rId279">
              <w:r>
                <w:rPr>
                  <w:rFonts w:ascii="Arial" w:cs="Arial" w:eastAsia="Arial" w:hAnsi="Arial"/>
                  <w:sz w:val="18"/>
                  <w:szCs w:val="18"/>
                  <w:color w:val="0000FF"/>
                  <w:w w:val="93"/>
                </w:rPr>
                <w:t>the quarter ended March 31, 2017).</w:t>
              </w:r>
            </w:hyperlink>
          </w:p>
        </w:tc>
        <w:tc>
          <w:tcPr>
            <w:tcW w:w="3720" w:type="dxa"/>
            <w:vAlign w:val="bottom"/>
            <w:tcBorders>
              <w:top w:val="single" w:sz="8" w:color="0000FF"/>
            </w:tcBorders>
            <w:gridSpan w:val="14"/>
          </w:tcPr>
          <w:p>
            <w:pPr>
              <w:spacing w:after="0"/>
              <w:rPr>
                <w:sz w:val="13"/>
                <w:szCs w:val="13"/>
                <w:color w:val="auto"/>
              </w:rPr>
            </w:pPr>
          </w:p>
        </w:tc>
        <w:tc>
          <w:tcPr>
            <w:tcW w:w="200" w:type="dxa"/>
            <w:vAlign w:val="bottom"/>
            <w:gridSpan w:val="9"/>
          </w:tcPr>
          <w:p>
            <w:pPr>
              <w:spacing w:after="0"/>
              <w:rPr>
                <w:sz w:val="13"/>
                <w:szCs w:val="13"/>
                <w:color w:val="auto"/>
              </w:rPr>
            </w:pPr>
          </w:p>
        </w:tc>
      </w:tr>
      <w:tr>
        <w:trPr>
          <w:trHeight w:val="1190"/>
        </w:trPr>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20" w:type="dxa"/>
            <w:vAlign w:val="bottom"/>
            <w:gridSpan w:val="7"/>
          </w:tcPr>
          <w:p>
            <w:pPr>
              <w:ind w:left="3680"/>
              <w:spacing w:after="0"/>
              <w:rPr>
                <w:sz w:val="20"/>
                <w:szCs w:val="20"/>
                <w:color w:val="auto"/>
              </w:rPr>
            </w:pPr>
            <w:r>
              <w:rPr>
                <w:rFonts w:ascii="Arial" w:cs="Arial" w:eastAsia="Arial" w:hAnsi="Arial"/>
                <w:sz w:val="17"/>
                <w:szCs w:val="17"/>
                <w:color w:val="auto"/>
              </w:rPr>
              <w:t>170</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21" w:lineRule="auto"/>
        <w:rPr>
          <w:sz w:val="20"/>
          <w:szCs w:val="20"/>
          <w:color w:val="auto"/>
        </w:rPr>
      </w:pPr>
      <w:r>
        <w:rPr>
          <w:rFonts w:ascii="Arial" w:cs="Arial" w:eastAsia="Arial" w:hAnsi="Arial"/>
          <w:sz w:val="17"/>
          <w:szCs w:val="17"/>
          <w:color w:val="auto"/>
        </w:rPr>
        <w:t>Evergy Kansas Central</w:t>
      </w:r>
    </w:p>
    <w:p>
      <w:pPr>
        <w:spacing w:after="0"/>
        <w:rPr>
          <w:sz w:val="20"/>
          <w:szCs w:val="20"/>
          <w:color w:val="auto"/>
        </w:rPr>
      </w:pPr>
      <w:r>
        <w:rPr>
          <w:rFonts w:ascii="Arial" w:cs="Arial" w:eastAsia="Arial" w:hAnsi="Arial"/>
          <w:sz w:val="19"/>
          <w:szCs w:val="19"/>
          <w:color w:val="auto"/>
        </w:rPr>
        <w:t>Evergy Metro</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ectPr>
          <w:pgSz w:w="11900" w:h="16838" w:orient="portrait"/>
          <w:cols w:equalWidth="0" w:num="2">
            <w:col w:w="8300" w:space="540"/>
            <w:col w:w="1740"/>
          </w:cols>
          <w:pgMar w:left="320" w:top="102" w:right="9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spacing w:after="0"/>
              <w:rPr>
                <w:rFonts w:ascii="Arial" w:cs="Arial" w:eastAsia="Arial" w:hAnsi="Arial"/>
                <w:sz w:val="19"/>
                <w:szCs w:val="19"/>
                <w:color w:val="0000FF"/>
                <w:w w:val="90"/>
              </w:rPr>
            </w:pPr>
            <w:hyperlink w:anchor="page3">
              <w:r>
                <w:rPr>
                  <w:rFonts w:ascii="Arial" w:cs="Arial" w:eastAsia="Arial" w:hAnsi="Arial"/>
                  <w:sz w:val="19"/>
                  <w:szCs w:val="19"/>
                  <w:color w:val="0000FF"/>
                  <w:w w:val="90"/>
                </w:rPr>
                <w:t>Table of Contents</w:t>
              </w:r>
            </w:hyperlink>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Arial" w:cs="Arial" w:eastAsia="Arial" w:hAnsi="Arial"/>
                <w:sz w:val="19"/>
                <w:szCs w:val="19"/>
                <w:color w:val="auto"/>
              </w:rPr>
              <w:t>10.5</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60" w:type="dxa"/>
            <w:vAlign w:val="bottom"/>
            <w:gridSpan w:val="26"/>
          </w:tcPr>
          <w:p>
            <w:pPr>
              <w:spacing w:after="0"/>
              <w:rPr>
                <w:rFonts w:ascii="Arial" w:cs="Arial" w:eastAsia="Arial" w:hAnsi="Arial"/>
                <w:sz w:val="19"/>
                <w:szCs w:val="19"/>
                <w:color w:val="0000FF"/>
                <w:w w:val="91"/>
              </w:rPr>
            </w:pPr>
            <w:hyperlink r:id="rId281">
              <w:r>
                <w:rPr>
                  <w:rFonts w:ascii="Arial" w:cs="Arial" w:eastAsia="Arial" w:hAnsi="Arial"/>
                  <w:sz w:val="19"/>
                  <w:szCs w:val="19"/>
                  <w:color w:val="0000FF"/>
                  <w:w w:val="91"/>
                </w:rPr>
                <w:t>Form of Amendment to Appendix A to Evergy, Inc. (successor to Great Plains Energy</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40" w:type="dxa"/>
            <w:vAlign w:val="bottom"/>
            <w:tcBorders>
              <w:top w:val="single" w:sz="8" w:color="0000FF"/>
            </w:tcBorders>
            <w:gridSpan w:val="25"/>
          </w:tcPr>
          <w:p>
            <w:pPr>
              <w:spacing w:after="0" w:line="161" w:lineRule="exact"/>
              <w:rPr>
                <w:rFonts w:ascii="Arial" w:cs="Arial" w:eastAsia="Arial" w:hAnsi="Arial"/>
                <w:sz w:val="18"/>
                <w:szCs w:val="18"/>
                <w:color w:val="0000FF"/>
              </w:rPr>
            </w:pPr>
            <w:hyperlink r:id="rId281">
              <w:r>
                <w:rPr>
                  <w:rFonts w:ascii="Arial" w:cs="Arial" w:eastAsia="Arial" w:hAnsi="Arial"/>
                  <w:sz w:val="18"/>
                  <w:szCs w:val="18"/>
                  <w:color w:val="0000FF"/>
                </w:rPr>
                <w:t>Incorporated) 2017 three-year Performance Share Agreement (Exhibit 10.9 to</w:t>
              </w:r>
            </w:hyperlink>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80" w:type="dxa"/>
            <w:vAlign w:val="bottom"/>
            <w:tcBorders>
              <w:top w:val="single" w:sz="8" w:color="0000FF"/>
            </w:tcBorders>
            <w:gridSpan w:val="11"/>
          </w:tcPr>
          <w:p>
            <w:pPr>
              <w:spacing w:after="0" w:line="161" w:lineRule="exact"/>
              <w:rPr>
                <w:rFonts w:ascii="Arial" w:cs="Arial" w:eastAsia="Arial" w:hAnsi="Arial"/>
                <w:sz w:val="18"/>
                <w:szCs w:val="18"/>
                <w:color w:val="0000FF"/>
              </w:rPr>
            </w:pPr>
            <w:hyperlink r:id="rId281">
              <w:r>
                <w:rPr>
                  <w:rFonts w:ascii="Arial" w:cs="Arial" w:eastAsia="Arial" w:hAnsi="Arial"/>
                  <w:sz w:val="18"/>
                  <w:szCs w:val="18"/>
                  <w:color w:val="0000FF"/>
                </w:rPr>
                <w:t>Evergy's Form 10-K for the fiscal year ended December 31, 2018).</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10.6</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60" w:type="dxa"/>
            <w:vAlign w:val="bottom"/>
            <w:gridSpan w:val="26"/>
          </w:tcPr>
          <w:p>
            <w:pPr>
              <w:spacing w:after="0"/>
              <w:rPr>
                <w:rFonts w:ascii="Arial" w:cs="Arial" w:eastAsia="Arial" w:hAnsi="Arial"/>
                <w:sz w:val="19"/>
                <w:szCs w:val="19"/>
                <w:color w:val="0000FF"/>
                <w:w w:val="90"/>
              </w:rPr>
            </w:pPr>
            <w:hyperlink r:id="rId282">
              <w:r>
                <w:rPr>
                  <w:rFonts w:ascii="Arial" w:cs="Arial" w:eastAsia="Arial" w:hAnsi="Arial"/>
                  <w:sz w:val="19"/>
                  <w:szCs w:val="19"/>
                  <w:color w:val="0000FF"/>
                  <w:w w:val="90"/>
                </w:rPr>
                <w:t>Form of Evergy, Inc. (successor to Great Plains Energy Incorporated) 2017 Restricted</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20" w:type="dxa"/>
            <w:vAlign w:val="bottom"/>
            <w:tcBorders>
              <w:top w:val="single" w:sz="8" w:color="0000FF"/>
            </w:tcBorders>
            <w:gridSpan w:val="24"/>
          </w:tcPr>
          <w:p>
            <w:pPr>
              <w:spacing w:after="0" w:line="161" w:lineRule="exact"/>
              <w:rPr>
                <w:rFonts w:ascii="Arial" w:cs="Arial" w:eastAsia="Arial" w:hAnsi="Arial"/>
                <w:sz w:val="18"/>
                <w:szCs w:val="18"/>
                <w:color w:val="0000FF"/>
                <w:w w:val="99"/>
              </w:rPr>
            </w:pPr>
            <w:hyperlink r:id="rId282">
              <w:r>
                <w:rPr>
                  <w:rFonts w:ascii="Arial" w:cs="Arial" w:eastAsia="Arial" w:hAnsi="Arial"/>
                  <w:sz w:val="18"/>
                  <w:szCs w:val="18"/>
                  <w:color w:val="0000FF"/>
                  <w:w w:val="99"/>
                </w:rPr>
                <w:t>Stock Agreement (Exhibit 10.2 to Great Plains Energy's Form 10-Q for the quarter</w:t>
              </w:r>
            </w:hyperlink>
          </w:p>
        </w:tc>
        <w:tc>
          <w:tcPr>
            <w:tcW w:w="40" w:type="dxa"/>
            <w:vAlign w:val="bottom"/>
            <w:gridSpan w:val="2"/>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4"/>
              </w:rPr>
            </w:pPr>
            <w:hyperlink r:id="rId282">
              <w:r>
                <w:rPr>
                  <w:rFonts w:ascii="Arial" w:cs="Arial" w:eastAsia="Arial" w:hAnsi="Arial"/>
                  <w:sz w:val="18"/>
                  <w:szCs w:val="18"/>
                  <w:color w:val="0000FF"/>
                  <w:w w:val="94"/>
                </w:rPr>
                <w:t>ended March 31, 2017).</w:t>
              </w:r>
            </w:hyperlink>
          </w:p>
        </w:tc>
        <w:tc>
          <w:tcPr>
            <w:tcW w:w="4440" w:type="dxa"/>
            <w:vAlign w:val="bottom"/>
            <w:tcBorders>
              <w:top w:val="single" w:sz="8" w:color="0000FF"/>
            </w:tcBorders>
            <w:gridSpan w:val="1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10.7</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60" w:type="dxa"/>
            <w:vAlign w:val="bottom"/>
            <w:gridSpan w:val="26"/>
          </w:tcPr>
          <w:p>
            <w:pPr>
              <w:spacing w:after="0"/>
              <w:rPr>
                <w:rFonts w:ascii="Arial" w:cs="Arial" w:eastAsia="Arial" w:hAnsi="Arial"/>
                <w:sz w:val="19"/>
                <w:szCs w:val="19"/>
                <w:color w:val="0000FF"/>
                <w:w w:val="90"/>
              </w:rPr>
            </w:pPr>
            <w:hyperlink r:id="rId283">
              <w:r>
                <w:rPr>
                  <w:rFonts w:ascii="Arial" w:cs="Arial" w:eastAsia="Arial" w:hAnsi="Arial"/>
                  <w:sz w:val="19"/>
                  <w:szCs w:val="19"/>
                  <w:color w:val="0000FF"/>
                  <w:w w:val="90"/>
                </w:rPr>
                <w:t>Form of Evergy, Inc. (successor to Great Plains Energy Incorporated) 2018 three-year</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00" w:type="dxa"/>
            <w:vAlign w:val="bottom"/>
            <w:tcBorders>
              <w:top w:val="single" w:sz="8" w:color="0000FF"/>
            </w:tcBorders>
            <w:gridSpan w:val="23"/>
          </w:tcPr>
          <w:p>
            <w:pPr>
              <w:spacing w:after="0" w:line="161" w:lineRule="exact"/>
              <w:rPr>
                <w:rFonts w:ascii="Arial" w:cs="Arial" w:eastAsia="Arial" w:hAnsi="Arial"/>
                <w:sz w:val="18"/>
                <w:szCs w:val="18"/>
                <w:color w:val="0000FF"/>
                <w:w w:val="96"/>
              </w:rPr>
            </w:pPr>
            <w:hyperlink r:id="rId283">
              <w:r>
                <w:rPr>
                  <w:rFonts w:ascii="Arial" w:cs="Arial" w:eastAsia="Arial" w:hAnsi="Arial"/>
                  <w:sz w:val="18"/>
                  <w:szCs w:val="18"/>
                  <w:color w:val="0000FF"/>
                  <w:w w:val="96"/>
                </w:rPr>
                <w:t>Performance Share Agreement (Exhibit 10.1 to Great Plains Energy's Form 10-Q for</w:t>
              </w:r>
            </w:hyperlink>
          </w:p>
        </w:tc>
        <w:tc>
          <w:tcPr>
            <w:tcW w:w="60" w:type="dxa"/>
            <w:vAlign w:val="bottom"/>
            <w:gridSpan w:val="3"/>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5"/>
          </w:tcPr>
          <w:p>
            <w:pPr>
              <w:spacing w:after="0" w:line="161" w:lineRule="exact"/>
              <w:rPr>
                <w:rFonts w:ascii="Arial" w:cs="Arial" w:eastAsia="Arial" w:hAnsi="Arial"/>
                <w:sz w:val="18"/>
                <w:szCs w:val="18"/>
                <w:color w:val="0000FF"/>
                <w:w w:val="93"/>
              </w:rPr>
            </w:pPr>
            <w:hyperlink r:id="rId283">
              <w:r>
                <w:rPr>
                  <w:rFonts w:ascii="Arial" w:cs="Arial" w:eastAsia="Arial" w:hAnsi="Arial"/>
                  <w:sz w:val="18"/>
                  <w:szCs w:val="18"/>
                  <w:color w:val="0000FF"/>
                  <w:w w:val="93"/>
                </w:rPr>
                <w:t>the quarter ended March 31, 2018).</w:t>
              </w:r>
            </w:hyperlink>
          </w:p>
        </w:tc>
        <w:tc>
          <w:tcPr>
            <w:tcW w:w="372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10.8</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60" w:type="dxa"/>
            <w:vAlign w:val="bottom"/>
            <w:gridSpan w:val="26"/>
          </w:tcPr>
          <w:p>
            <w:pPr>
              <w:spacing w:after="0"/>
              <w:rPr>
                <w:rFonts w:ascii="Arial" w:cs="Arial" w:eastAsia="Arial" w:hAnsi="Arial"/>
                <w:sz w:val="19"/>
                <w:szCs w:val="19"/>
                <w:color w:val="0000FF"/>
                <w:w w:val="91"/>
              </w:rPr>
            </w:pPr>
            <w:hyperlink r:id="rId284">
              <w:r>
                <w:rPr>
                  <w:rFonts w:ascii="Arial" w:cs="Arial" w:eastAsia="Arial" w:hAnsi="Arial"/>
                  <w:sz w:val="19"/>
                  <w:szCs w:val="19"/>
                  <w:color w:val="0000FF"/>
                  <w:w w:val="91"/>
                </w:rPr>
                <w:t>Form of Amendment to Appendix A to Evergy, Inc. (successor to Great Plains Energy</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40" w:type="dxa"/>
            <w:vAlign w:val="bottom"/>
            <w:tcBorders>
              <w:top w:val="single" w:sz="8" w:color="0000FF"/>
            </w:tcBorders>
            <w:gridSpan w:val="25"/>
          </w:tcPr>
          <w:p>
            <w:pPr>
              <w:spacing w:after="0" w:line="161" w:lineRule="exact"/>
              <w:rPr>
                <w:rFonts w:ascii="Arial" w:cs="Arial" w:eastAsia="Arial" w:hAnsi="Arial"/>
                <w:sz w:val="18"/>
                <w:szCs w:val="18"/>
                <w:color w:val="0000FF"/>
              </w:rPr>
            </w:pPr>
            <w:hyperlink r:id="rId284">
              <w:r>
                <w:rPr>
                  <w:rFonts w:ascii="Arial" w:cs="Arial" w:eastAsia="Arial" w:hAnsi="Arial"/>
                  <w:sz w:val="18"/>
                  <w:szCs w:val="18"/>
                  <w:color w:val="0000FF"/>
                </w:rPr>
                <w:t>Incorporated) 2018 three-year Performance Share Agreement (Exhibit 10.12 to</w:t>
              </w:r>
            </w:hyperlink>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980" w:type="dxa"/>
            <w:vAlign w:val="bottom"/>
            <w:tcBorders>
              <w:top w:val="single" w:sz="8" w:color="0000FF"/>
            </w:tcBorders>
            <w:gridSpan w:val="12"/>
          </w:tcPr>
          <w:p>
            <w:pPr>
              <w:spacing w:after="0" w:line="161" w:lineRule="exact"/>
              <w:rPr>
                <w:rFonts w:ascii="Arial" w:cs="Arial" w:eastAsia="Arial" w:hAnsi="Arial"/>
                <w:sz w:val="18"/>
                <w:szCs w:val="18"/>
                <w:color w:val="0000FF"/>
              </w:rPr>
            </w:pPr>
            <w:hyperlink r:id="rId284">
              <w:r>
                <w:rPr>
                  <w:rFonts w:ascii="Arial" w:cs="Arial" w:eastAsia="Arial" w:hAnsi="Arial"/>
                  <w:sz w:val="18"/>
                  <w:szCs w:val="18"/>
                  <w:color w:val="0000FF"/>
                </w:rPr>
                <w:t>Evergy's Form 10-K for the fiscal year ended December 31, 2018).</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10.9</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60" w:type="dxa"/>
            <w:vAlign w:val="bottom"/>
            <w:gridSpan w:val="26"/>
          </w:tcPr>
          <w:p>
            <w:pPr>
              <w:spacing w:after="0"/>
              <w:rPr>
                <w:rFonts w:ascii="Arial" w:cs="Arial" w:eastAsia="Arial" w:hAnsi="Arial"/>
                <w:sz w:val="19"/>
                <w:szCs w:val="19"/>
                <w:color w:val="0000FF"/>
                <w:w w:val="90"/>
              </w:rPr>
            </w:pPr>
            <w:hyperlink r:id="rId285">
              <w:r>
                <w:rPr>
                  <w:rFonts w:ascii="Arial" w:cs="Arial" w:eastAsia="Arial" w:hAnsi="Arial"/>
                  <w:sz w:val="19"/>
                  <w:szCs w:val="19"/>
                  <w:color w:val="0000FF"/>
                  <w:w w:val="90"/>
                </w:rPr>
                <w:t>Form of Evergy, Inc. (successor to Great Plains Energy Incorporated) 2018 Restricted</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20" w:type="dxa"/>
            <w:vAlign w:val="bottom"/>
            <w:tcBorders>
              <w:top w:val="single" w:sz="8" w:color="0000FF"/>
            </w:tcBorders>
            <w:gridSpan w:val="24"/>
          </w:tcPr>
          <w:p>
            <w:pPr>
              <w:spacing w:after="0" w:line="161" w:lineRule="exact"/>
              <w:rPr>
                <w:rFonts w:ascii="Arial" w:cs="Arial" w:eastAsia="Arial" w:hAnsi="Arial"/>
                <w:sz w:val="18"/>
                <w:szCs w:val="18"/>
                <w:color w:val="0000FF"/>
                <w:w w:val="99"/>
              </w:rPr>
            </w:pPr>
            <w:hyperlink r:id="rId285">
              <w:r>
                <w:rPr>
                  <w:rFonts w:ascii="Arial" w:cs="Arial" w:eastAsia="Arial" w:hAnsi="Arial"/>
                  <w:sz w:val="18"/>
                  <w:szCs w:val="18"/>
                  <w:color w:val="0000FF"/>
                  <w:w w:val="99"/>
                </w:rPr>
                <w:t>Stock Agreement (Exhibit 10.2 to Great Plains Energy's Form 10-Q for the quarter</w:t>
              </w:r>
            </w:hyperlink>
          </w:p>
        </w:tc>
        <w:tc>
          <w:tcPr>
            <w:tcW w:w="40" w:type="dxa"/>
            <w:vAlign w:val="bottom"/>
            <w:gridSpan w:val="2"/>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4"/>
              </w:rPr>
            </w:pPr>
            <w:hyperlink r:id="rId285">
              <w:r>
                <w:rPr>
                  <w:rFonts w:ascii="Arial" w:cs="Arial" w:eastAsia="Arial" w:hAnsi="Arial"/>
                  <w:sz w:val="18"/>
                  <w:szCs w:val="18"/>
                  <w:color w:val="0000FF"/>
                  <w:w w:val="94"/>
                </w:rPr>
                <w:t>ended March 31, 2018).</w:t>
              </w:r>
            </w:hyperlink>
          </w:p>
        </w:tc>
        <w:tc>
          <w:tcPr>
            <w:tcW w:w="4440" w:type="dxa"/>
            <w:vAlign w:val="bottom"/>
            <w:tcBorders>
              <w:top w:val="single" w:sz="8" w:color="0000FF"/>
            </w:tcBorders>
            <w:gridSpan w:val="13"/>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10.10</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60" w:type="dxa"/>
            <w:vAlign w:val="bottom"/>
            <w:gridSpan w:val="26"/>
          </w:tcPr>
          <w:p>
            <w:pPr>
              <w:spacing w:after="0"/>
              <w:rPr>
                <w:rFonts w:ascii="Arial" w:cs="Arial" w:eastAsia="Arial" w:hAnsi="Arial"/>
                <w:sz w:val="19"/>
                <w:szCs w:val="19"/>
                <w:color w:val="0000FF"/>
                <w:w w:val="90"/>
              </w:rPr>
            </w:pPr>
            <w:hyperlink r:id="rId286">
              <w:r>
                <w:rPr>
                  <w:rFonts w:ascii="Arial" w:cs="Arial" w:eastAsia="Arial" w:hAnsi="Arial"/>
                  <w:sz w:val="19"/>
                  <w:szCs w:val="19"/>
                  <w:color w:val="0000FF"/>
                  <w:w w:val="90"/>
                </w:rPr>
                <w:t>Form of Evergy, Inc. (successor to Great Plains Energy Incorporated) 2018 Restricted</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20" w:type="dxa"/>
            <w:vAlign w:val="bottom"/>
            <w:tcBorders>
              <w:top w:val="single" w:sz="8" w:color="0000FF"/>
            </w:tcBorders>
            <w:gridSpan w:val="24"/>
          </w:tcPr>
          <w:p>
            <w:pPr>
              <w:spacing w:after="0" w:line="161" w:lineRule="exact"/>
              <w:rPr>
                <w:rFonts w:ascii="Arial" w:cs="Arial" w:eastAsia="Arial" w:hAnsi="Arial"/>
                <w:sz w:val="18"/>
                <w:szCs w:val="18"/>
                <w:color w:val="0000FF"/>
                <w:w w:val="97"/>
              </w:rPr>
            </w:pPr>
            <w:hyperlink r:id="rId286">
              <w:r>
                <w:rPr>
                  <w:rFonts w:ascii="Arial" w:cs="Arial" w:eastAsia="Arial" w:hAnsi="Arial"/>
                  <w:sz w:val="18"/>
                  <w:szCs w:val="18"/>
                  <w:color w:val="0000FF"/>
                  <w:w w:val="97"/>
                </w:rPr>
                <w:t>Stock Unit Agreement (Exhibit 10.1 to Great Plains Energy's Form 8-K filed on June</w:t>
              </w:r>
            </w:hyperlink>
          </w:p>
        </w:tc>
        <w:tc>
          <w:tcPr>
            <w:tcW w:w="40" w:type="dxa"/>
            <w:vAlign w:val="bottom"/>
            <w:gridSpan w:val="2"/>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2"/>
              </w:rPr>
            </w:pPr>
            <w:hyperlink r:id="rId286">
              <w:r>
                <w:rPr>
                  <w:rFonts w:ascii="Arial" w:cs="Arial" w:eastAsia="Arial" w:hAnsi="Arial"/>
                  <w:sz w:val="18"/>
                  <w:szCs w:val="18"/>
                  <w:color w:val="0000FF"/>
                  <w:w w:val="92"/>
                </w:rPr>
                <w:t>4, 2018).</w:t>
              </w:r>
            </w:hyperlink>
          </w:p>
        </w:tc>
        <w:tc>
          <w:tcPr>
            <w:tcW w:w="4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3"/>
        </w:trPr>
        <w:tc>
          <w:tcPr>
            <w:tcW w:w="1340" w:type="dxa"/>
            <w:vAlign w:val="bottom"/>
          </w:tcPr>
          <w:p>
            <w:pPr>
              <w:ind w:left="20"/>
              <w:spacing w:after="0"/>
              <w:rPr>
                <w:sz w:val="20"/>
                <w:szCs w:val="20"/>
                <w:color w:val="auto"/>
              </w:rPr>
            </w:pPr>
            <w:r>
              <w:rPr>
                <w:rFonts w:ascii="Arial" w:cs="Arial" w:eastAsia="Arial" w:hAnsi="Arial"/>
                <w:sz w:val="19"/>
                <w:szCs w:val="19"/>
                <w:color w:val="auto"/>
              </w:rPr>
              <w:t>10.11</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60" w:type="dxa"/>
            <w:vAlign w:val="bottom"/>
            <w:gridSpan w:val="26"/>
          </w:tcPr>
          <w:p>
            <w:pPr>
              <w:spacing w:after="0"/>
              <w:rPr>
                <w:rFonts w:ascii="Arial" w:cs="Arial" w:eastAsia="Arial" w:hAnsi="Arial"/>
                <w:sz w:val="19"/>
                <w:szCs w:val="19"/>
                <w:color w:val="0000FF"/>
                <w:w w:val="96"/>
              </w:rPr>
            </w:pPr>
            <w:hyperlink r:id="rId287">
              <w:r>
                <w:rPr>
                  <w:rFonts w:ascii="Arial" w:cs="Arial" w:eastAsia="Arial" w:hAnsi="Arial"/>
                  <w:sz w:val="19"/>
                  <w:szCs w:val="19"/>
                  <w:color w:val="0000FF"/>
                  <w:w w:val="96"/>
                </w:rPr>
                <w:t>Form of Evergy, Inc. (successor to Great Plains Energy Incorporated) 2018 Cash</w:t>
              </w:r>
            </w:hyperlink>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00" w:type="dxa"/>
            <w:vAlign w:val="bottom"/>
            <w:tcBorders>
              <w:top w:val="single" w:sz="8" w:color="0000FF"/>
            </w:tcBorders>
            <w:gridSpan w:val="13"/>
          </w:tcPr>
          <w:p>
            <w:pPr>
              <w:spacing w:after="0" w:line="168" w:lineRule="exact"/>
              <w:rPr>
                <w:rFonts w:ascii="Arial" w:cs="Arial" w:eastAsia="Arial" w:hAnsi="Arial"/>
                <w:sz w:val="19"/>
                <w:szCs w:val="19"/>
                <w:color w:val="0000FF"/>
                <w:w w:val="91"/>
              </w:rPr>
            </w:pPr>
            <w:hyperlink r:id="rId287">
              <w:r>
                <w:rPr>
                  <w:rFonts w:ascii="Arial" w:cs="Arial" w:eastAsia="Arial" w:hAnsi="Arial"/>
                  <w:sz w:val="19"/>
                  <w:szCs w:val="19"/>
                  <w:color w:val="0000FF"/>
                  <w:w w:val="91"/>
                </w:rPr>
                <w:t>Retention Payment Agreement (Exhibit 10.2 to Great Plains Energy's Form 8-K</w:t>
              </w:r>
            </w:hyperlink>
          </w:p>
        </w:tc>
        <w:tc>
          <w:tcPr>
            <w:tcW w:w="460" w:type="dxa"/>
            <w:vAlign w:val="bottom"/>
            <w:gridSpan w:val="13"/>
          </w:tcPr>
          <w:p>
            <w:pPr>
              <w:spacing w:after="0" w:line="168" w:lineRule="exact"/>
              <w:rPr>
                <w:rFonts w:ascii="Arial" w:cs="Arial" w:eastAsia="Arial" w:hAnsi="Arial"/>
                <w:sz w:val="19"/>
                <w:szCs w:val="19"/>
                <w:color w:val="0000FF"/>
              </w:rPr>
            </w:pPr>
            <w:hyperlink r:id="rId287">
              <w:r>
                <w:rPr>
                  <w:rFonts w:ascii="Arial" w:cs="Arial" w:eastAsia="Arial" w:hAnsi="Arial"/>
                  <w:sz w:val="19"/>
                  <w:szCs w:val="19"/>
                  <w:color w:val="0000FF"/>
                </w:rPr>
                <w:t>filed</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61" w:lineRule="exact"/>
              <w:rPr>
                <w:rFonts w:ascii="Arial" w:cs="Arial" w:eastAsia="Arial" w:hAnsi="Arial"/>
                <w:sz w:val="18"/>
                <w:szCs w:val="18"/>
                <w:color w:val="0000FF"/>
                <w:w w:val="92"/>
              </w:rPr>
            </w:pPr>
            <w:hyperlink r:id="rId287">
              <w:r>
                <w:rPr>
                  <w:rFonts w:ascii="Arial" w:cs="Arial" w:eastAsia="Arial" w:hAnsi="Arial"/>
                  <w:sz w:val="18"/>
                  <w:szCs w:val="18"/>
                  <w:color w:val="0000FF"/>
                  <w:w w:val="92"/>
                </w:rPr>
                <w:t>on June 4, 2018).</w:t>
              </w:r>
            </w:hyperlink>
          </w:p>
        </w:tc>
        <w:tc>
          <w:tcPr>
            <w:tcW w:w="51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10.12</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5580" w:type="dxa"/>
            <w:vAlign w:val="bottom"/>
            <w:tcBorders>
              <w:bottom w:val="single" w:sz="8" w:color="0000FF"/>
            </w:tcBorders>
            <w:gridSpan w:val="9"/>
          </w:tcPr>
          <w:p>
            <w:pPr>
              <w:spacing w:after="0"/>
              <w:rPr>
                <w:rFonts w:ascii="Arial" w:cs="Arial" w:eastAsia="Arial" w:hAnsi="Arial"/>
                <w:sz w:val="19"/>
                <w:szCs w:val="19"/>
                <w:color w:val="0000FF"/>
                <w:w w:val="91"/>
              </w:rPr>
            </w:pPr>
            <w:hyperlink r:id="rId288">
              <w:r>
                <w:rPr>
                  <w:rFonts w:ascii="Arial" w:cs="Arial" w:eastAsia="Arial" w:hAnsi="Arial"/>
                  <w:sz w:val="19"/>
                  <w:szCs w:val="19"/>
                  <w:color w:val="0000FF"/>
                  <w:w w:val="91"/>
                </w:rPr>
                <w:t>Evergy, Inc. Long-Term Incentive Plan (formerly the Great Plains Energy</w:t>
              </w:r>
            </w:hyperlink>
          </w:p>
        </w:tc>
        <w:tc>
          <w:tcPr>
            <w:tcW w:w="980" w:type="dxa"/>
            <w:vAlign w:val="bottom"/>
            <w:gridSpan w:val="17"/>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60" w:type="dxa"/>
            <w:vAlign w:val="bottom"/>
            <w:gridSpan w:val="26"/>
          </w:tcPr>
          <w:p>
            <w:pPr>
              <w:spacing w:after="0" w:line="161" w:lineRule="exact"/>
              <w:rPr>
                <w:rFonts w:ascii="Arial" w:cs="Arial" w:eastAsia="Arial" w:hAnsi="Arial"/>
                <w:sz w:val="18"/>
                <w:szCs w:val="18"/>
                <w:color w:val="0000FF"/>
                <w:w w:val="96"/>
              </w:rPr>
            </w:pPr>
            <w:hyperlink r:id="rId288">
              <w:r>
                <w:rPr>
                  <w:rFonts w:ascii="Arial" w:cs="Arial" w:eastAsia="Arial" w:hAnsi="Arial"/>
                  <w:sz w:val="18"/>
                  <w:szCs w:val="18"/>
                  <w:color w:val="0000FF"/>
                  <w:w w:val="96"/>
                </w:rPr>
                <w:t>Incorporated Long-Term Incentive Plan, as amended), effective June 4, 2018 (Exhibit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80" w:type="dxa"/>
            <w:vAlign w:val="bottom"/>
            <w:tcBorders>
              <w:top w:val="single" w:sz="8" w:color="0000FF"/>
            </w:tcBorders>
            <w:gridSpan w:val="22"/>
          </w:tcPr>
          <w:p>
            <w:pPr>
              <w:spacing w:after="0" w:line="161" w:lineRule="exact"/>
              <w:rPr>
                <w:rFonts w:ascii="Arial" w:cs="Arial" w:eastAsia="Arial" w:hAnsi="Arial"/>
                <w:sz w:val="18"/>
                <w:szCs w:val="18"/>
                <w:color w:val="0000FF"/>
                <w:w w:val="95"/>
              </w:rPr>
            </w:pPr>
            <w:hyperlink r:id="rId288">
              <w:r>
                <w:rPr>
                  <w:rFonts w:ascii="Arial" w:cs="Arial" w:eastAsia="Arial" w:hAnsi="Arial"/>
                  <w:sz w:val="18"/>
                  <w:szCs w:val="18"/>
                  <w:color w:val="0000FF"/>
                  <w:w w:val="95"/>
                </w:rPr>
                <w:t>99.</w:t>
              </w:r>
              <w:r>
                <w:rPr>
                  <w:rFonts w:ascii="Arial" w:cs="Arial" w:eastAsia="Arial" w:hAnsi="Arial"/>
                  <w:sz w:val="18"/>
                  <w:szCs w:val="18"/>
                  <w:u w:val="single" w:color="auto"/>
                  <w:color w:val="0000FF"/>
                  <w:w w:val="95"/>
                </w:rPr>
                <w:t>1</w:t>
              </w:r>
              <w:r>
                <w:rPr>
                  <w:rFonts w:ascii="Arial" w:cs="Arial" w:eastAsia="Arial" w:hAnsi="Arial"/>
                  <w:sz w:val="18"/>
                  <w:szCs w:val="18"/>
                  <w:color w:val="0000FF"/>
                  <w:w w:val="95"/>
                </w:rPr>
                <w:t xml:space="preserve"> to Evergy's Registration Statement on Form S-8 filed on June 15, 2018 (File No.</w:t>
              </w:r>
            </w:hyperlink>
          </w:p>
        </w:tc>
        <w:tc>
          <w:tcPr>
            <w:tcW w:w="80" w:type="dxa"/>
            <w:vAlign w:val="bottom"/>
            <w:gridSpan w:val="4"/>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2"/>
          </w:tcPr>
          <w:p>
            <w:pPr>
              <w:spacing w:after="0" w:line="161" w:lineRule="exact"/>
              <w:rPr>
                <w:rFonts w:ascii="Arial" w:cs="Arial" w:eastAsia="Arial" w:hAnsi="Arial"/>
                <w:sz w:val="18"/>
                <w:szCs w:val="18"/>
                <w:color w:val="0000FF"/>
                <w:w w:val="95"/>
              </w:rPr>
            </w:pPr>
            <w:hyperlink r:id="rId288">
              <w:r>
                <w:rPr>
                  <w:rFonts w:ascii="Arial" w:cs="Arial" w:eastAsia="Arial" w:hAnsi="Arial"/>
                  <w:sz w:val="18"/>
                  <w:szCs w:val="18"/>
                  <w:color w:val="0000FF"/>
                  <w:w w:val="95"/>
                </w:rPr>
                <w:t>333-225673)).</w:t>
              </w:r>
            </w:hyperlink>
          </w:p>
        </w:tc>
        <w:tc>
          <w:tcPr>
            <w:tcW w:w="2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10.13</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60" w:type="dxa"/>
            <w:vAlign w:val="bottom"/>
            <w:gridSpan w:val="26"/>
          </w:tcPr>
          <w:p>
            <w:pPr>
              <w:spacing w:after="0"/>
              <w:rPr>
                <w:rFonts w:ascii="Arial" w:cs="Arial" w:eastAsia="Arial" w:hAnsi="Arial"/>
                <w:sz w:val="19"/>
                <w:szCs w:val="19"/>
                <w:color w:val="0000FF"/>
                <w:w w:val="97"/>
              </w:rPr>
            </w:pPr>
            <w:hyperlink r:id="rId289">
              <w:r>
                <w:rPr>
                  <w:rFonts w:ascii="Arial" w:cs="Arial" w:eastAsia="Arial" w:hAnsi="Arial"/>
                  <w:sz w:val="19"/>
                  <w:szCs w:val="19"/>
                  <w:color w:val="0000FF"/>
                  <w:w w:val="97"/>
                </w:rPr>
                <w:t>Form of Evergy, Inc. 2019 Performance-Based Restricted Stock Unit Agreement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120" w:type="dxa"/>
            <w:vAlign w:val="bottom"/>
            <w:tcBorders>
              <w:top w:val="single" w:sz="8" w:color="0000FF"/>
            </w:tcBorders>
            <w:gridSpan w:val="14"/>
          </w:tcPr>
          <w:p>
            <w:pPr>
              <w:spacing w:after="0" w:line="161" w:lineRule="exact"/>
              <w:rPr>
                <w:rFonts w:ascii="Arial" w:cs="Arial" w:eastAsia="Arial" w:hAnsi="Arial"/>
                <w:sz w:val="18"/>
                <w:szCs w:val="18"/>
                <w:color w:val="0000FF"/>
              </w:rPr>
            </w:pPr>
            <w:hyperlink r:id="rId289">
              <w:r>
                <w:rPr>
                  <w:rFonts w:ascii="Arial" w:cs="Arial" w:eastAsia="Arial" w:hAnsi="Arial"/>
                  <w:sz w:val="18"/>
                  <w:szCs w:val="18"/>
                  <w:color w:val="0000FF"/>
                </w:rPr>
                <w:t>(Exhibit 10.1 to Evergy's Form 8-K filed on February 15, 2019).</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0" w:type="dxa"/>
            <w:vAlign w:val="bottom"/>
            <w:gridSpan w:val="6"/>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650"/>
        </w:trPr>
        <w:tc>
          <w:tcPr>
            <w:tcW w:w="1340" w:type="dxa"/>
            <w:vAlign w:val="bottom"/>
          </w:tcPr>
          <w:p>
            <w:pPr>
              <w:ind w:left="20"/>
              <w:spacing w:after="0"/>
              <w:rPr>
                <w:sz w:val="20"/>
                <w:szCs w:val="20"/>
                <w:color w:val="auto"/>
              </w:rPr>
            </w:pPr>
            <w:r>
              <w:rPr>
                <w:rFonts w:ascii="Arial" w:cs="Arial" w:eastAsia="Arial" w:hAnsi="Arial"/>
                <w:sz w:val="19"/>
                <w:szCs w:val="19"/>
                <w:color w:val="auto"/>
              </w:rPr>
              <w:t>10.14</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60" w:type="dxa"/>
            <w:vAlign w:val="bottom"/>
            <w:gridSpan w:val="26"/>
          </w:tcPr>
          <w:p>
            <w:pPr>
              <w:spacing w:after="0"/>
              <w:rPr>
                <w:rFonts w:ascii="Arial" w:cs="Arial" w:eastAsia="Arial" w:hAnsi="Arial"/>
                <w:sz w:val="19"/>
                <w:szCs w:val="19"/>
                <w:color w:val="0000FF"/>
                <w:w w:val="96"/>
              </w:rPr>
            </w:pPr>
            <w:hyperlink r:id="rId290">
              <w:r>
                <w:rPr>
                  <w:rFonts w:ascii="Arial" w:cs="Arial" w:eastAsia="Arial" w:hAnsi="Arial"/>
                  <w:sz w:val="19"/>
                  <w:szCs w:val="19"/>
                  <w:color w:val="0000FF"/>
                  <w:w w:val="96"/>
                </w:rPr>
                <w:t>Form of Evergy, Inc. 2019 Time-Based Restricted Stock Unit Agreement (Exhibit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0" w:type="dxa"/>
            <w:vAlign w:val="bottom"/>
            <w:tcBorders>
              <w:top w:val="single" w:sz="8" w:color="0000FF"/>
            </w:tcBorders>
            <w:gridSpan w:val="16"/>
          </w:tcPr>
          <w:p>
            <w:pPr>
              <w:spacing w:after="0" w:line="161" w:lineRule="exact"/>
              <w:rPr>
                <w:rFonts w:ascii="Arial" w:cs="Arial" w:eastAsia="Arial" w:hAnsi="Arial"/>
                <w:sz w:val="18"/>
                <w:szCs w:val="18"/>
                <w:color w:val="0000FF"/>
              </w:rPr>
            </w:pPr>
            <w:hyperlink r:id="rId290">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Evergy's Form 8-K filed on February 15, 2019).</w:t>
              </w:r>
            </w:hyperlink>
          </w:p>
        </w:tc>
        <w:tc>
          <w:tcPr>
            <w:tcW w:w="140" w:type="dxa"/>
            <w:vAlign w:val="bottom"/>
            <w:gridSpan w:val="2"/>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0" w:type="dxa"/>
            <w:vAlign w:val="bottom"/>
            <w:gridSpan w:val="6"/>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650"/>
        </w:trPr>
        <w:tc>
          <w:tcPr>
            <w:tcW w:w="1340" w:type="dxa"/>
            <w:vAlign w:val="bottom"/>
          </w:tcPr>
          <w:p>
            <w:pPr>
              <w:ind w:left="20"/>
              <w:spacing w:after="0"/>
              <w:rPr>
                <w:sz w:val="20"/>
                <w:szCs w:val="20"/>
                <w:color w:val="auto"/>
              </w:rPr>
            </w:pPr>
            <w:r>
              <w:rPr>
                <w:rFonts w:ascii="Arial" w:cs="Arial" w:eastAsia="Arial" w:hAnsi="Arial"/>
                <w:sz w:val="19"/>
                <w:szCs w:val="19"/>
                <w:color w:val="auto"/>
              </w:rPr>
              <w:t>10.15</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140" w:type="dxa"/>
            <w:vAlign w:val="bottom"/>
            <w:tcBorders>
              <w:bottom w:val="single" w:sz="8" w:color="0000FF"/>
            </w:tcBorders>
            <w:gridSpan w:val="15"/>
          </w:tcPr>
          <w:p>
            <w:pPr>
              <w:spacing w:after="0"/>
              <w:rPr>
                <w:rFonts w:ascii="Arial" w:cs="Arial" w:eastAsia="Arial" w:hAnsi="Arial"/>
                <w:sz w:val="19"/>
                <w:szCs w:val="19"/>
                <w:color w:val="0000FF"/>
                <w:w w:val="90"/>
              </w:rPr>
            </w:pPr>
            <w:hyperlink r:id="rId291">
              <w:r>
                <w:rPr>
                  <w:rFonts w:ascii="Arial" w:cs="Arial" w:eastAsia="Arial" w:hAnsi="Arial"/>
                  <w:sz w:val="19"/>
                  <w:szCs w:val="19"/>
                  <w:color w:val="0000FF"/>
                  <w:w w:val="90"/>
                </w:rPr>
                <w:t>Form of Evergy, Inc. 2020 Performance-Based Restricted Stock Unit Agreement</w:t>
              </w:r>
            </w:hyperlink>
          </w:p>
        </w:tc>
        <w:tc>
          <w:tcPr>
            <w:tcW w:w="420" w:type="dxa"/>
            <w:vAlign w:val="bottom"/>
            <w:gridSpan w:val="11"/>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60" w:type="dxa"/>
            <w:vAlign w:val="bottom"/>
            <w:gridSpan w:val="26"/>
          </w:tcPr>
          <w:p>
            <w:pPr>
              <w:spacing w:after="0" w:line="161" w:lineRule="exact"/>
              <w:rPr>
                <w:rFonts w:ascii="Arial" w:cs="Arial" w:eastAsia="Arial" w:hAnsi="Arial"/>
                <w:sz w:val="18"/>
                <w:szCs w:val="18"/>
                <w:color w:val="0000FF"/>
                <w:w w:val="99"/>
              </w:rPr>
            </w:pPr>
            <w:hyperlink r:id="rId291">
              <w:r>
                <w:rPr>
                  <w:rFonts w:ascii="Arial" w:cs="Arial" w:eastAsia="Arial" w:hAnsi="Arial"/>
                  <w:sz w:val="18"/>
                  <w:szCs w:val="18"/>
                  <w:color w:val="0000FF"/>
                  <w:w w:val="99"/>
                </w:rPr>
                <w:t>(Exhibit 10.19 to Evergy's Form 10-K for the fiscal year ended December 31, 2019)</w:t>
              </w:r>
            </w:hyperlink>
          </w:p>
        </w:tc>
      </w:tr>
      <w:tr>
        <w:trPr>
          <w:trHeight w:val="650"/>
        </w:trPr>
        <w:tc>
          <w:tcPr>
            <w:tcW w:w="1340" w:type="dxa"/>
            <w:vAlign w:val="bottom"/>
          </w:tcPr>
          <w:p>
            <w:pPr>
              <w:ind w:left="20"/>
              <w:spacing w:after="0"/>
              <w:rPr>
                <w:sz w:val="20"/>
                <w:szCs w:val="20"/>
                <w:color w:val="auto"/>
              </w:rPr>
            </w:pPr>
            <w:r>
              <w:rPr>
                <w:rFonts w:ascii="Arial" w:cs="Arial" w:eastAsia="Arial" w:hAnsi="Arial"/>
                <w:sz w:val="19"/>
                <w:szCs w:val="19"/>
                <w:color w:val="auto"/>
              </w:rPr>
              <w:t>10.16</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340" w:type="dxa"/>
            <w:vAlign w:val="bottom"/>
            <w:tcBorders>
              <w:top w:val="single" w:sz="8" w:color="0000FF"/>
            </w:tcBorders>
            <w:gridSpan w:val="18"/>
          </w:tcPr>
          <w:p>
            <w:pPr>
              <w:spacing w:after="0"/>
              <w:rPr>
                <w:rFonts w:ascii="Arial" w:cs="Arial" w:eastAsia="Arial" w:hAnsi="Arial"/>
                <w:sz w:val="19"/>
                <w:szCs w:val="19"/>
                <w:color w:val="0000FF"/>
                <w:w w:val="93"/>
              </w:rPr>
            </w:pPr>
            <w:hyperlink r:id="rId292">
              <w:r>
                <w:rPr>
                  <w:rFonts w:ascii="Arial" w:cs="Arial" w:eastAsia="Arial" w:hAnsi="Arial"/>
                  <w:sz w:val="19"/>
                  <w:szCs w:val="19"/>
                  <w:color w:val="0000FF"/>
                  <w:w w:val="93"/>
                </w:rPr>
                <w:t>Form of Evergy, Inc. 2020 Time-Based Restricted Stock Unit Agreement (Exhibit</w:t>
              </w:r>
            </w:hyperlink>
          </w:p>
        </w:tc>
        <w:tc>
          <w:tcPr>
            <w:tcW w:w="220" w:type="dxa"/>
            <w:vAlign w:val="bottom"/>
            <w:gridSpan w:val="8"/>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0" w:type="dxa"/>
            <w:vAlign w:val="bottom"/>
            <w:tcBorders>
              <w:top w:val="single" w:sz="8" w:color="0000FF"/>
            </w:tcBorders>
            <w:gridSpan w:val="16"/>
          </w:tcPr>
          <w:p>
            <w:pPr>
              <w:spacing w:after="0" w:line="161" w:lineRule="exact"/>
              <w:rPr>
                <w:rFonts w:ascii="Arial" w:cs="Arial" w:eastAsia="Arial" w:hAnsi="Arial"/>
                <w:sz w:val="18"/>
                <w:szCs w:val="18"/>
                <w:color w:val="0000FF"/>
              </w:rPr>
            </w:pPr>
            <w:hyperlink r:id="rId292">
              <w:r>
                <w:rPr>
                  <w:rFonts w:ascii="Arial" w:cs="Arial" w:eastAsia="Arial" w:hAnsi="Arial"/>
                  <w:sz w:val="18"/>
                  <w:szCs w:val="18"/>
                  <w:color w:val="0000FF"/>
                </w:rPr>
                <w:t>10.</w:t>
              </w:r>
              <w:r>
                <w:rPr>
                  <w:rFonts w:ascii="Arial" w:cs="Arial" w:eastAsia="Arial" w:hAnsi="Arial"/>
                  <w:sz w:val="18"/>
                  <w:szCs w:val="18"/>
                  <w:u w:val="single" w:color="auto"/>
                  <w:color w:val="0000FF"/>
                </w:rPr>
                <w:t>20</w:t>
              </w:r>
              <w:r>
                <w:rPr>
                  <w:rFonts w:ascii="Arial" w:cs="Arial" w:eastAsia="Arial" w:hAnsi="Arial"/>
                  <w:sz w:val="18"/>
                  <w:szCs w:val="18"/>
                  <w:color w:val="0000FF"/>
                </w:rPr>
                <w:t xml:space="preserve"> to Evergy's Form 10-K for the fiscal year ended December 31, 2019).</w:t>
              </w:r>
            </w:hyperlink>
          </w:p>
        </w:tc>
        <w:tc>
          <w:tcPr>
            <w:tcW w:w="360" w:type="dxa"/>
            <w:vAlign w:val="bottom"/>
            <w:gridSpan w:val="10"/>
          </w:tcPr>
          <w:p>
            <w:pPr>
              <w:spacing w:after="0"/>
              <w:rPr>
                <w:sz w:val="13"/>
                <w:szCs w:val="13"/>
                <w:color w:val="auto"/>
              </w:rPr>
            </w:pPr>
          </w:p>
        </w:tc>
      </w:tr>
      <w:tr>
        <w:trPr>
          <w:trHeight w:val="1113"/>
        </w:trPr>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0" w:type="dxa"/>
            <w:vAlign w:val="bottom"/>
            <w:tcBorders>
              <w:top w:val="single" w:sz="8" w:color="0000FF"/>
            </w:tcBorders>
            <w:gridSpan w:val="6"/>
          </w:tcPr>
          <w:p>
            <w:pPr>
              <w:ind w:left="3680"/>
              <w:spacing w:after="0"/>
              <w:rPr>
                <w:sz w:val="20"/>
                <w:szCs w:val="20"/>
                <w:color w:val="auto"/>
              </w:rPr>
            </w:pPr>
            <w:r>
              <w:rPr>
                <w:rFonts w:ascii="Arial" w:cs="Arial" w:eastAsia="Arial" w:hAnsi="Arial"/>
                <w:sz w:val="17"/>
                <w:szCs w:val="17"/>
                <w:color w:val="auto"/>
              </w:rPr>
              <w:t>171</w:t>
            </w:r>
          </w:p>
        </w:tc>
        <w:tc>
          <w:tcPr>
            <w:tcW w:w="6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ectPr>
          <w:pgSz w:w="11900" w:h="16838" w:orient="portrait"/>
          <w:cols w:equalWidth="0" w:num="2">
            <w:col w:w="8340" w:space="500"/>
            <w:col w:w="1740"/>
          </w:cols>
          <w:pgMar w:left="320" w:top="102" w:right="999" w:bottom="1440" w:gutter="0" w:footer="0" w:header="0"/>
        </w:sectPr>
      </w:pPr>
    </w:p>
    <w:bookmarkStart w:id="173" w:name="page174"/>
    <w:bookmarkEnd w:id="17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10.17</w:t>
            </w:r>
          </w:p>
        </w:tc>
        <w:tc>
          <w:tcPr>
            <w:tcW w:w="900" w:type="dxa"/>
            <w:vAlign w:val="bottom"/>
          </w:tcPr>
          <w:p>
            <w:pPr>
              <w:jc w:val="center"/>
              <w:ind w:left="166"/>
              <w:spacing w:after="0"/>
              <w:rPr>
                <w:sz w:val="20"/>
                <w:szCs w:val="20"/>
                <w:color w:val="auto"/>
              </w:rPr>
            </w:pPr>
            <w:r>
              <w:rPr>
                <w:rFonts w:ascii="Arial" w:cs="Arial" w:eastAsia="Arial" w:hAnsi="Arial"/>
                <w:sz w:val="19"/>
                <w:szCs w:val="19"/>
                <w:color w:val="auto"/>
              </w:rPr>
              <w:t>*+</w:t>
            </w:r>
          </w:p>
        </w:tc>
        <w:tc>
          <w:tcPr>
            <w:tcW w:w="6160" w:type="dxa"/>
            <w:vAlign w:val="bottom"/>
            <w:tcBorders>
              <w:bottom w:val="single" w:sz="8" w:color="0000FF"/>
            </w:tcBorders>
            <w:gridSpan w:val="15"/>
          </w:tcPr>
          <w:p>
            <w:pPr>
              <w:spacing w:after="0"/>
              <w:rPr>
                <w:rFonts w:ascii="Arial" w:cs="Arial" w:eastAsia="Arial" w:hAnsi="Arial"/>
                <w:sz w:val="19"/>
                <w:szCs w:val="19"/>
                <w:color w:val="0000FF"/>
                <w:w w:val="90"/>
              </w:rPr>
            </w:pPr>
            <w:hyperlink r:id="rId294">
              <w:r>
                <w:rPr>
                  <w:rFonts w:ascii="Arial" w:cs="Arial" w:eastAsia="Arial" w:hAnsi="Arial"/>
                  <w:sz w:val="19"/>
                  <w:szCs w:val="19"/>
                  <w:color w:val="0000FF"/>
                  <w:w w:val="90"/>
                </w:rPr>
                <w:t>Form of Evergy, Inc. 2021 Performance-Based Restricted Stock Unit Agreement.</w:t>
              </w:r>
            </w:hyperlink>
          </w:p>
        </w:tc>
        <w:tc>
          <w:tcPr>
            <w:tcW w:w="320" w:type="dxa"/>
            <w:vAlign w:val="bottom"/>
            <w:gridSpan w:val="11"/>
          </w:tcPr>
          <w:p>
            <w:pPr>
              <w:spacing w:after="0"/>
              <w:rPr>
                <w:sz w:val="18"/>
                <w:szCs w:val="18"/>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20" w:type="dxa"/>
            <w:vAlign w:val="bottom"/>
            <w:tcBorders>
              <w:bottom w:val="single" w:sz="8" w:color="0000FF"/>
            </w:tcBorders>
            <w:gridSpan w:val="24"/>
          </w:tcPr>
          <w:p>
            <w:pPr>
              <w:spacing w:after="0" w:line="161" w:lineRule="exact"/>
              <w:rPr>
                <w:rFonts w:ascii="Arial" w:cs="Arial" w:eastAsia="Arial" w:hAnsi="Arial"/>
                <w:sz w:val="18"/>
                <w:szCs w:val="18"/>
                <w:color w:val="0000FF"/>
                <w:w w:val="96"/>
              </w:rPr>
            </w:pPr>
            <w:hyperlink r:id="rId294">
              <w:r>
                <w:rPr>
                  <w:rFonts w:ascii="Arial" w:cs="Arial" w:eastAsia="Arial" w:hAnsi="Arial"/>
                  <w:sz w:val="18"/>
                  <w:szCs w:val="18"/>
                  <w:color w:val="0000FF"/>
                  <w:w w:val="96"/>
                </w:rPr>
                <w:t>(Exhibit 10.21 to Evergy's Form 10-K for the fiscal year ended December 31, 2020).</w:t>
              </w:r>
            </w:hyperlink>
          </w:p>
        </w:tc>
        <w:tc>
          <w:tcPr>
            <w:tcW w:w="60" w:type="dxa"/>
            <w:vAlign w:val="bottom"/>
            <w:gridSpan w:val="2"/>
          </w:tcPr>
          <w:p>
            <w:pPr>
              <w:spacing w:after="0"/>
              <w:rPr>
                <w:sz w:val="13"/>
                <w:szCs w:val="13"/>
                <w:color w:val="auto"/>
              </w:rPr>
            </w:pPr>
          </w:p>
        </w:tc>
      </w:tr>
      <w:tr>
        <w:trPr>
          <w:trHeight w:val="67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10.18</w:t>
            </w:r>
          </w:p>
        </w:tc>
        <w:tc>
          <w:tcPr>
            <w:tcW w:w="900" w:type="dxa"/>
            <w:vAlign w:val="bottom"/>
          </w:tcPr>
          <w:p>
            <w:pPr>
              <w:jc w:val="center"/>
              <w:ind w:left="166"/>
              <w:spacing w:after="0"/>
              <w:rPr>
                <w:sz w:val="20"/>
                <w:szCs w:val="20"/>
                <w:color w:val="auto"/>
              </w:rPr>
            </w:pPr>
            <w:r>
              <w:rPr>
                <w:rFonts w:ascii="Arial" w:cs="Arial" w:eastAsia="Arial" w:hAnsi="Arial"/>
                <w:sz w:val="19"/>
                <w:szCs w:val="19"/>
                <w:color w:val="auto"/>
              </w:rPr>
              <w:t>*+</w:t>
            </w:r>
          </w:p>
        </w:tc>
        <w:tc>
          <w:tcPr>
            <w:tcW w:w="6480" w:type="dxa"/>
            <w:vAlign w:val="bottom"/>
            <w:gridSpan w:val="26"/>
          </w:tcPr>
          <w:p>
            <w:pPr>
              <w:spacing w:after="0"/>
              <w:rPr>
                <w:rFonts w:ascii="Arial" w:cs="Arial" w:eastAsia="Arial" w:hAnsi="Arial"/>
                <w:sz w:val="19"/>
                <w:szCs w:val="19"/>
                <w:color w:val="0000FF"/>
                <w:w w:val="94"/>
              </w:rPr>
            </w:pPr>
            <w:hyperlink r:id="rId295">
              <w:r>
                <w:rPr>
                  <w:rFonts w:ascii="Arial" w:cs="Arial" w:eastAsia="Arial" w:hAnsi="Arial"/>
                  <w:sz w:val="19"/>
                  <w:szCs w:val="19"/>
                  <w:color w:val="0000FF"/>
                  <w:w w:val="94"/>
                </w:rPr>
                <w:t>Form of Evergy, Inc. 2021 Time-Based Restricted Stock Unit Agreement. (Exhibit</w:t>
              </w:r>
            </w:hyperlink>
          </w:p>
        </w:tc>
      </w:tr>
      <w:tr>
        <w:trPr>
          <w:trHeight w:val="140"/>
        </w:trPr>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0" w:type="dxa"/>
            <w:vAlign w:val="bottom"/>
            <w:tcBorders>
              <w:top w:val="single" w:sz="8" w:color="0000FF"/>
            </w:tcBorders>
            <w:gridSpan w:val="11"/>
          </w:tcPr>
          <w:p>
            <w:pPr>
              <w:spacing w:after="0" w:line="141" w:lineRule="exact"/>
              <w:rPr>
                <w:rFonts w:ascii="Arial" w:cs="Arial" w:eastAsia="Arial" w:hAnsi="Arial"/>
                <w:sz w:val="16"/>
                <w:szCs w:val="16"/>
                <w:color w:val="0000FF"/>
              </w:rPr>
            </w:pPr>
            <w:hyperlink r:id="rId295">
              <w:r>
                <w:rPr>
                  <w:rFonts w:ascii="Arial" w:cs="Arial" w:eastAsia="Arial" w:hAnsi="Arial"/>
                  <w:sz w:val="16"/>
                  <w:szCs w:val="16"/>
                  <w:color w:val="0000FF"/>
                </w:rPr>
                <w:t>10.</w:t>
              </w:r>
              <w:r>
                <w:rPr>
                  <w:rFonts w:ascii="Arial" w:cs="Arial" w:eastAsia="Arial" w:hAnsi="Arial"/>
                  <w:sz w:val="16"/>
                  <w:szCs w:val="16"/>
                  <w:u w:val="single" w:color="auto"/>
                  <w:color w:val="0000FF"/>
                </w:rPr>
                <w:t>22</w:t>
              </w:r>
              <w:r>
                <w:rPr>
                  <w:rFonts w:ascii="Arial" w:cs="Arial" w:eastAsia="Arial" w:hAnsi="Arial"/>
                  <w:sz w:val="16"/>
                  <w:szCs w:val="16"/>
                  <w:color w:val="0000FF"/>
                </w:rPr>
                <w:t xml:space="preserve"> to Evergy's Form 10-K for the fiscal year ended December 31, 2020)</w:t>
              </w:r>
            </w:hyperlink>
          </w:p>
        </w:tc>
        <w:tc>
          <w:tcPr>
            <w:tcW w:w="500" w:type="dxa"/>
            <w:vAlign w:val="bottom"/>
            <w:tcBorders>
              <w:top w:val="single" w:sz="8" w:color="0000FF"/>
            </w:tcBorders>
            <w:gridSpan w:val="2"/>
          </w:tcPr>
          <w:p>
            <w:pPr>
              <w:jc w:val="right"/>
              <w:ind w:right="380"/>
              <w:spacing w:after="0" w:line="141" w:lineRule="exact"/>
              <w:rPr>
                <w:rFonts w:ascii="Arial" w:cs="Arial" w:eastAsia="Arial" w:hAnsi="Arial"/>
                <w:sz w:val="16"/>
                <w:szCs w:val="16"/>
                <w:color w:val="0000FF"/>
              </w:rPr>
            </w:pPr>
            <w:hyperlink r:id="rId295">
              <w:r>
                <w:rPr>
                  <w:rFonts w:ascii="Arial" w:cs="Arial" w:eastAsia="Arial" w:hAnsi="Arial"/>
                  <w:sz w:val="16"/>
                  <w:szCs w:val="16"/>
                  <w:color w:val="0000FF"/>
                </w:rPr>
                <w:t>.</w:t>
              </w:r>
            </w:hyperlink>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10.19</w:t>
            </w:r>
          </w:p>
        </w:tc>
        <w:tc>
          <w:tcPr>
            <w:tcW w:w="900" w:type="dxa"/>
            <w:vAlign w:val="bottom"/>
          </w:tcPr>
          <w:p>
            <w:pPr>
              <w:jc w:val="center"/>
              <w:ind w:left="186"/>
              <w:spacing w:after="0"/>
              <w:rPr>
                <w:sz w:val="20"/>
                <w:szCs w:val="20"/>
                <w:color w:val="auto"/>
              </w:rPr>
            </w:pPr>
            <w:r>
              <w:rPr>
                <w:rFonts w:ascii="Arial" w:cs="Arial" w:eastAsia="Arial" w:hAnsi="Arial"/>
                <w:sz w:val="19"/>
                <w:szCs w:val="19"/>
                <w:color w:val="auto"/>
                <w:w w:val="89"/>
              </w:rPr>
              <w:t>+</w:t>
            </w:r>
          </w:p>
        </w:tc>
        <w:tc>
          <w:tcPr>
            <w:tcW w:w="6480" w:type="dxa"/>
            <w:vAlign w:val="bottom"/>
            <w:gridSpan w:val="26"/>
          </w:tcPr>
          <w:p>
            <w:pPr>
              <w:spacing w:after="0"/>
              <w:rPr>
                <w:rFonts w:ascii="Arial" w:cs="Arial" w:eastAsia="Arial" w:hAnsi="Arial"/>
                <w:sz w:val="19"/>
                <w:szCs w:val="19"/>
                <w:color w:val="0000FF"/>
                <w:w w:val="95"/>
              </w:rPr>
            </w:pPr>
            <w:hyperlink w:anchor="page189">
              <w:r>
                <w:rPr>
                  <w:rFonts w:ascii="Arial" w:cs="Arial" w:eastAsia="Arial" w:hAnsi="Arial"/>
                  <w:sz w:val="19"/>
                  <w:szCs w:val="19"/>
                  <w:color w:val="0000FF"/>
                  <w:w w:val="95"/>
                </w:rPr>
                <w:t>Form of Evergy, Inc. 2022 Performance-Based Restricted Stock Unit Agreement.</w:t>
              </w:r>
            </w:hyperlink>
          </w:p>
        </w:tc>
      </w:tr>
      <w:tr>
        <w:trPr>
          <w:trHeight w:val="831"/>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10.20</w:t>
            </w:r>
          </w:p>
        </w:tc>
        <w:tc>
          <w:tcPr>
            <w:tcW w:w="900" w:type="dxa"/>
            <w:vAlign w:val="bottom"/>
          </w:tcPr>
          <w:p>
            <w:pPr>
              <w:jc w:val="center"/>
              <w:ind w:left="186"/>
              <w:spacing w:after="0"/>
              <w:rPr>
                <w:sz w:val="20"/>
                <w:szCs w:val="20"/>
                <w:color w:val="auto"/>
              </w:rPr>
            </w:pPr>
            <w:r>
              <w:rPr>
                <w:rFonts w:ascii="Arial" w:cs="Arial" w:eastAsia="Arial" w:hAnsi="Arial"/>
                <w:sz w:val="19"/>
                <w:szCs w:val="19"/>
                <w:color w:val="auto"/>
                <w:w w:val="89"/>
              </w:rPr>
              <w:t>+</w:t>
            </w:r>
          </w:p>
        </w:tc>
        <w:tc>
          <w:tcPr>
            <w:tcW w:w="5580" w:type="dxa"/>
            <w:vAlign w:val="bottom"/>
            <w:tcBorders>
              <w:top w:val="single" w:sz="8" w:color="0000FF"/>
              <w:bottom w:val="single" w:sz="8" w:color="0000FF"/>
            </w:tcBorders>
            <w:gridSpan w:val="10"/>
          </w:tcPr>
          <w:p>
            <w:pPr>
              <w:spacing w:after="0"/>
              <w:rPr>
                <w:rFonts w:ascii="Arial" w:cs="Arial" w:eastAsia="Arial" w:hAnsi="Arial"/>
                <w:sz w:val="19"/>
                <w:szCs w:val="19"/>
                <w:color w:val="0000FF"/>
                <w:w w:val="90"/>
              </w:rPr>
            </w:pPr>
            <w:hyperlink w:anchor="page197">
              <w:r>
                <w:rPr>
                  <w:rFonts w:ascii="Arial" w:cs="Arial" w:eastAsia="Arial" w:hAnsi="Arial"/>
                  <w:sz w:val="19"/>
                  <w:szCs w:val="19"/>
                  <w:color w:val="0000FF"/>
                  <w:w w:val="90"/>
                </w:rPr>
                <w:t>Form of Evergy, Inc. 2022 Time-Based Restricted Stock Unit Agreement.</w:t>
              </w:r>
            </w:hyperlink>
          </w:p>
        </w:tc>
        <w:tc>
          <w:tcPr>
            <w:tcW w:w="560" w:type="dxa"/>
            <w:vAlign w:val="bottom"/>
            <w:tcBorders>
              <w:top w:val="single" w:sz="8" w:color="0000FF"/>
            </w:tcBorders>
            <w:gridSpan w:val="4"/>
          </w:tcPr>
          <w:p>
            <w:pPr>
              <w:spacing w:after="0"/>
              <w:rPr>
                <w:sz w:val="24"/>
                <w:szCs w:val="24"/>
                <w:color w:val="auto"/>
              </w:rPr>
            </w:pPr>
          </w:p>
        </w:tc>
        <w:tc>
          <w:tcPr>
            <w:tcW w:w="340" w:type="dxa"/>
            <w:vAlign w:val="bottom"/>
            <w:gridSpan w:val="12"/>
          </w:tcPr>
          <w:p>
            <w:pPr>
              <w:spacing w:after="0"/>
              <w:rPr>
                <w:sz w:val="24"/>
                <w:szCs w:val="24"/>
                <w:color w:val="auto"/>
              </w:rPr>
            </w:pPr>
          </w:p>
        </w:tc>
      </w:tr>
      <w:tr>
        <w:trPr>
          <w:trHeight w:val="831"/>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10.21</w:t>
            </w:r>
          </w:p>
        </w:tc>
        <w:tc>
          <w:tcPr>
            <w:tcW w:w="900" w:type="dxa"/>
            <w:vAlign w:val="bottom"/>
          </w:tcPr>
          <w:p>
            <w:pPr>
              <w:jc w:val="center"/>
              <w:ind w:left="186"/>
              <w:spacing w:after="0"/>
              <w:rPr>
                <w:sz w:val="20"/>
                <w:szCs w:val="20"/>
                <w:color w:val="auto"/>
              </w:rPr>
            </w:pPr>
            <w:r>
              <w:rPr>
                <w:rFonts w:ascii="Arial" w:cs="Arial" w:eastAsia="Arial" w:hAnsi="Arial"/>
                <w:sz w:val="19"/>
                <w:szCs w:val="19"/>
                <w:color w:val="auto"/>
                <w:w w:val="89"/>
              </w:rPr>
              <w:t>+</w:t>
            </w:r>
          </w:p>
        </w:tc>
        <w:tc>
          <w:tcPr>
            <w:tcW w:w="6480" w:type="dxa"/>
            <w:vAlign w:val="bottom"/>
            <w:gridSpan w:val="26"/>
          </w:tcPr>
          <w:p>
            <w:pPr>
              <w:spacing w:after="0"/>
              <w:rPr>
                <w:rFonts w:ascii="Arial" w:cs="Arial" w:eastAsia="Arial" w:hAnsi="Arial"/>
                <w:sz w:val="19"/>
                <w:szCs w:val="19"/>
                <w:color w:val="0000FF"/>
              </w:rPr>
            </w:pPr>
            <w:hyperlink w:anchor="page202">
              <w:r>
                <w:rPr>
                  <w:rFonts w:ascii="Arial" w:cs="Arial" w:eastAsia="Arial" w:hAnsi="Arial"/>
                  <w:sz w:val="19"/>
                  <w:szCs w:val="19"/>
                  <w:color w:val="0000FF"/>
                </w:rPr>
                <w:t>Evergy, Inc. 2022 Annual Incentive Plan.</w:t>
              </w:r>
            </w:hyperlink>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10.22</w:t>
            </w:r>
          </w:p>
        </w:tc>
        <w:tc>
          <w:tcPr>
            <w:tcW w:w="900" w:type="dxa"/>
            <w:vAlign w:val="bottom"/>
          </w:tcPr>
          <w:p>
            <w:pPr>
              <w:jc w:val="center"/>
              <w:ind w:left="166"/>
              <w:spacing w:after="0"/>
              <w:rPr>
                <w:sz w:val="20"/>
                <w:szCs w:val="20"/>
                <w:color w:val="auto"/>
              </w:rPr>
            </w:pPr>
            <w:r>
              <w:rPr>
                <w:rFonts w:ascii="Arial" w:cs="Arial" w:eastAsia="Arial" w:hAnsi="Arial"/>
                <w:sz w:val="19"/>
                <w:szCs w:val="19"/>
                <w:color w:val="auto"/>
              </w:rPr>
              <w:t>*+</w:t>
            </w:r>
          </w:p>
        </w:tc>
        <w:tc>
          <w:tcPr>
            <w:tcW w:w="6300" w:type="dxa"/>
            <w:vAlign w:val="bottom"/>
            <w:tcBorders>
              <w:bottom w:val="single" w:sz="8" w:color="0000FF"/>
            </w:tcBorders>
            <w:gridSpan w:val="19"/>
          </w:tcPr>
          <w:p>
            <w:pPr>
              <w:spacing w:after="0"/>
              <w:rPr>
                <w:rFonts w:ascii="Arial" w:cs="Arial" w:eastAsia="Arial" w:hAnsi="Arial"/>
                <w:sz w:val="19"/>
                <w:szCs w:val="19"/>
                <w:color w:val="0000FF"/>
                <w:w w:val="89"/>
              </w:rPr>
            </w:pPr>
            <w:hyperlink r:id="rId296">
              <w:r>
                <w:rPr>
                  <w:rFonts w:ascii="Arial" w:cs="Arial" w:eastAsia="Arial" w:hAnsi="Arial"/>
                  <w:sz w:val="19"/>
                  <w:szCs w:val="19"/>
                  <w:color w:val="0000FF"/>
                  <w:w w:val="89"/>
                </w:rPr>
                <w:t>Evergy Kansas Central, Inc. (formerly Westar Energy, Inc.) Amended and Restated</w:t>
              </w:r>
            </w:hyperlink>
          </w:p>
        </w:tc>
        <w:tc>
          <w:tcPr>
            <w:tcW w:w="180" w:type="dxa"/>
            <w:vAlign w:val="bottom"/>
            <w:gridSpan w:val="7"/>
          </w:tcPr>
          <w:p>
            <w:pPr>
              <w:spacing w:after="0"/>
              <w:rPr>
                <w:sz w:val="24"/>
                <w:szCs w:val="24"/>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80" w:type="dxa"/>
            <w:vAlign w:val="bottom"/>
            <w:gridSpan w:val="26"/>
          </w:tcPr>
          <w:p>
            <w:pPr>
              <w:spacing w:after="0" w:line="161" w:lineRule="exact"/>
              <w:rPr>
                <w:rFonts w:ascii="Arial" w:cs="Arial" w:eastAsia="Arial" w:hAnsi="Arial"/>
                <w:sz w:val="18"/>
                <w:szCs w:val="18"/>
                <w:color w:val="0000FF"/>
                <w:w w:val="97"/>
              </w:rPr>
            </w:pPr>
            <w:hyperlink r:id="rId296">
              <w:r>
                <w:rPr>
                  <w:rFonts w:ascii="Arial" w:cs="Arial" w:eastAsia="Arial" w:hAnsi="Arial"/>
                  <w:sz w:val="18"/>
                  <w:szCs w:val="18"/>
                  <w:color w:val="0000FF"/>
                  <w:w w:val="97"/>
                </w:rPr>
                <w:t>Long-Term Incentive and Share Award Plan, effective January 1, 2016 (Appendix B</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380" w:type="dxa"/>
            <w:vAlign w:val="bottom"/>
            <w:tcBorders>
              <w:top w:val="single" w:sz="8" w:color="0000FF"/>
            </w:tcBorders>
            <w:gridSpan w:val="22"/>
          </w:tcPr>
          <w:p>
            <w:pPr>
              <w:spacing w:after="0" w:line="161" w:lineRule="exact"/>
              <w:rPr>
                <w:rFonts w:ascii="Arial" w:cs="Arial" w:eastAsia="Arial" w:hAnsi="Arial"/>
                <w:sz w:val="18"/>
                <w:szCs w:val="18"/>
                <w:color w:val="0000FF"/>
              </w:rPr>
            </w:pPr>
            <w:hyperlink r:id="rId296">
              <w:r>
                <w:rPr>
                  <w:rFonts w:ascii="Arial" w:cs="Arial" w:eastAsia="Arial" w:hAnsi="Arial"/>
                  <w:sz w:val="18"/>
                  <w:szCs w:val="18"/>
                  <w:color w:val="0000FF"/>
                </w:rPr>
                <w:t>to Evergy Kansas Central's Proxy Statement filed on April 1, 2016).</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10.23</w:t>
            </w:r>
          </w:p>
        </w:tc>
        <w:tc>
          <w:tcPr>
            <w:tcW w:w="900" w:type="dxa"/>
            <w:vAlign w:val="bottom"/>
          </w:tcPr>
          <w:p>
            <w:pPr>
              <w:jc w:val="center"/>
              <w:ind w:left="166"/>
              <w:spacing w:after="0"/>
              <w:rPr>
                <w:sz w:val="20"/>
                <w:szCs w:val="20"/>
                <w:color w:val="auto"/>
              </w:rPr>
            </w:pPr>
            <w:r>
              <w:rPr>
                <w:rFonts w:ascii="Arial" w:cs="Arial" w:eastAsia="Arial" w:hAnsi="Arial"/>
                <w:sz w:val="19"/>
                <w:szCs w:val="19"/>
                <w:color w:val="auto"/>
              </w:rPr>
              <w:t>*+</w:t>
            </w:r>
          </w:p>
        </w:tc>
        <w:tc>
          <w:tcPr>
            <w:tcW w:w="6480" w:type="dxa"/>
            <w:vAlign w:val="bottom"/>
            <w:gridSpan w:val="26"/>
          </w:tcPr>
          <w:p>
            <w:pPr>
              <w:spacing w:after="0"/>
              <w:rPr>
                <w:rFonts w:ascii="Arial" w:cs="Arial" w:eastAsia="Arial" w:hAnsi="Arial"/>
                <w:sz w:val="19"/>
                <w:szCs w:val="19"/>
                <w:color w:val="0000FF"/>
                <w:w w:val="91"/>
              </w:rPr>
            </w:pPr>
            <w:hyperlink r:id="rId297">
              <w:r>
                <w:rPr>
                  <w:rFonts w:ascii="Arial" w:cs="Arial" w:eastAsia="Arial" w:hAnsi="Arial"/>
                  <w:sz w:val="19"/>
                  <w:szCs w:val="19"/>
                  <w:color w:val="0000FF"/>
                  <w:w w:val="91"/>
                </w:rPr>
                <w:t>Form of Evergy Kansas Central, Inc. (formerly Westar Energy, Inc.) 2018 Restricted</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0" w:type="dxa"/>
            <w:vAlign w:val="bottom"/>
            <w:tcBorders>
              <w:top w:val="single" w:sz="8" w:color="0000FF"/>
            </w:tcBorders>
            <w:gridSpan w:val="23"/>
          </w:tcPr>
          <w:p>
            <w:pPr>
              <w:spacing w:after="0" w:line="161" w:lineRule="exact"/>
              <w:rPr>
                <w:rFonts w:ascii="Arial" w:cs="Arial" w:eastAsia="Arial" w:hAnsi="Arial"/>
                <w:sz w:val="18"/>
                <w:szCs w:val="18"/>
                <w:color w:val="0000FF"/>
                <w:w w:val="98"/>
              </w:rPr>
            </w:pPr>
            <w:hyperlink r:id="rId297">
              <w:r>
                <w:rPr>
                  <w:rFonts w:ascii="Arial" w:cs="Arial" w:eastAsia="Arial" w:hAnsi="Arial"/>
                  <w:sz w:val="18"/>
                  <w:szCs w:val="18"/>
                  <w:color w:val="0000FF"/>
                  <w:w w:val="98"/>
                </w:rPr>
                <w:t>Share Unit Agreement (Exhibit 10.1 to Evergy Kansas Central's Form 8-K filed on</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2"/>
              </w:rPr>
            </w:pPr>
            <w:hyperlink r:id="rId297">
              <w:r>
                <w:rPr>
                  <w:rFonts w:ascii="Arial" w:cs="Arial" w:eastAsia="Arial" w:hAnsi="Arial"/>
                  <w:sz w:val="18"/>
                  <w:szCs w:val="18"/>
                  <w:color w:val="0000FF"/>
                  <w:w w:val="92"/>
                </w:rPr>
                <w:t>June 4, 2018).</w:t>
              </w:r>
            </w:hyperlink>
          </w:p>
        </w:tc>
        <w:tc>
          <w:tcPr>
            <w:tcW w:w="51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10.24</w:t>
            </w:r>
          </w:p>
        </w:tc>
        <w:tc>
          <w:tcPr>
            <w:tcW w:w="900" w:type="dxa"/>
            <w:vAlign w:val="bottom"/>
          </w:tcPr>
          <w:p>
            <w:pPr>
              <w:jc w:val="center"/>
              <w:ind w:left="166"/>
              <w:spacing w:after="0"/>
              <w:rPr>
                <w:sz w:val="20"/>
                <w:szCs w:val="20"/>
                <w:color w:val="auto"/>
              </w:rPr>
            </w:pPr>
            <w:r>
              <w:rPr>
                <w:rFonts w:ascii="Arial" w:cs="Arial" w:eastAsia="Arial" w:hAnsi="Arial"/>
                <w:sz w:val="19"/>
                <w:szCs w:val="19"/>
                <w:color w:val="auto"/>
              </w:rPr>
              <w:t>*+</w:t>
            </w:r>
          </w:p>
        </w:tc>
        <w:tc>
          <w:tcPr>
            <w:tcW w:w="6480" w:type="dxa"/>
            <w:vAlign w:val="bottom"/>
            <w:gridSpan w:val="26"/>
          </w:tcPr>
          <w:p>
            <w:pPr>
              <w:spacing w:after="0"/>
              <w:rPr>
                <w:rFonts w:ascii="Arial" w:cs="Arial" w:eastAsia="Arial" w:hAnsi="Arial"/>
                <w:sz w:val="19"/>
                <w:szCs w:val="19"/>
                <w:color w:val="0000FF"/>
                <w:w w:val="91"/>
              </w:rPr>
            </w:pPr>
            <w:hyperlink r:id="rId298">
              <w:r>
                <w:rPr>
                  <w:rFonts w:ascii="Arial" w:cs="Arial" w:eastAsia="Arial" w:hAnsi="Arial"/>
                  <w:sz w:val="19"/>
                  <w:szCs w:val="19"/>
                  <w:color w:val="0000FF"/>
                  <w:w w:val="91"/>
                </w:rPr>
                <w:t>Evergy, Inc. 2019 Annual Incentive Plan (Exhibit 10.5 to Evergy's Form 10-Q for the</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2"/>
          </w:tcPr>
          <w:p>
            <w:pPr>
              <w:spacing w:after="0" w:line="161" w:lineRule="exact"/>
              <w:rPr>
                <w:rFonts w:ascii="Arial" w:cs="Arial" w:eastAsia="Arial" w:hAnsi="Arial"/>
                <w:sz w:val="18"/>
                <w:szCs w:val="18"/>
                <w:color w:val="0000FF"/>
                <w:w w:val="94"/>
              </w:rPr>
            </w:pPr>
            <w:hyperlink r:id="rId298">
              <w:r>
                <w:rPr>
                  <w:rFonts w:ascii="Arial" w:cs="Arial" w:eastAsia="Arial" w:hAnsi="Arial"/>
                  <w:sz w:val="18"/>
                  <w:szCs w:val="18"/>
                  <w:color w:val="0000FF"/>
                  <w:w w:val="94"/>
                </w:rPr>
                <w:t>quarter ended March 31, 2019).</w:t>
              </w:r>
            </w:hyperlink>
          </w:p>
        </w:tc>
        <w:tc>
          <w:tcPr>
            <w:tcW w:w="40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r>
      <w:tr>
        <w:trPr>
          <w:trHeight w:val="65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10.25</w:t>
            </w:r>
          </w:p>
        </w:tc>
        <w:tc>
          <w:tcPr>
            <w:tcW w:w="900" w:type="dxa"/>
            <w:vAlign w:val="bottom"/>
          </w:tcPr>
          <w:p>
            <w:pPr>
              <w:jc w:val="center"/>
              <w:ind w:left="166"/>
              <w:spacing w:after="0"/>
              <w:rPr>
                <w:sz w:val="20"/>
                <w:szCs w:val="20"/>
                <w:color w:val="auto"/>
              </w:rPr>
            </w:pPr>
            <w:r>
              <w:rPr>
                <w:rFonts w:ascii="Arial" w:cs="Arial" w:eastAsia="Arial" w:hAnsi="Arial"/>
                <w:sz w:val="19"/>
                <w:szCs w:val="19"/>
                <w:color w:val="auto"/>
              </w:rPr>
              <w:t>*+</w:t>
            </w:r>
          </w:p>
        </w:tc>
        <w:tc>
          <w:tcPr>
            <w:tcW w:w="6480" w:type="dxa"/>
            <w:vAlign w:val="bottom"/>
            <w:gridSpan w:val="26"/>
          </w:tcPr>
          <w:p>
            <w:pPr>
              <w:spacing w:after="0"/>
              <w:rPr>
                <w:rFonts w:ascii="Arial" w:cs="Arial" w:eastAsia="Arial" w:hAnsi="Arial"/>
                <w:sz w:val="19"/>
                <w:szCs w:val="19"/>
                <w:color w:val="0000FF"/>
                <w:w w:val="95"/>
              </w:rPr>
            </w:pPr>
            <w:hyperlink r:id="rId299">
              <w:r>
                <w:rPr>
                  <w:rFonts w:ascii="Arial" w:cs="Arial" w:eastAsia="Arial" w:hAnsi="Arial"/>
                  <w:sz w:val="19"/>
                  <w:szCs w:val="19"/>
                  <w:color w:val="0000FF"/>
                  <w:w w:val="95"/>
                </w:rPr>
                <w:t>Evergy, Inc. 2020 Annual Incentive Plan (Exhibit 10.24 to Evergy's Form 10-K for</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7"/>
          </w:tcPr>
          <w:p>
            <w:pPr>
              <w:spacing w:after="0" w:line="161" w:lineRule="exact"/>
              <w:rPr>
                <w:rFonts w:ascii="Arial" w:cs="Arial" w:eastAsia="Arial" w:hAnsi="Arial"/>
                <w:sz w:val="18"/>
                <w:szCs w:val="18"/>
                <w:color w:val="0000FF"/>
                <w:w w:val="94"/>
              </w:rPr>
            </w:pPr>
            <w:hyperlink r:id="rId299">
              <w:r>
                <w:rPr>
                  <w:rFonts w:ascii="Arial" w:cs="Arial" w:eastAsia="Arial" w:hAnsi="Arial"/>
                  <w:sz w:val="18"/>
                  <w:szCs w:val="18"/>
                  <w:color w:val="0000FF"/>
                  <w:w w:val="94"/>
                </w:rPr>
                <w:t>the fiscal year ended December 31, 2019).</w:t>
              </w:r>
            </w:hyperlink>
          </w:p>
        </w:tc>
        <w:tc>
          <w:tcPr>
            <w:tcW w:w="30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65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10.26</w:t>
            </w:r>
          </w:p>
        </w:tc>
        <w:tc>
          <w:tcPr>
            <w:tcW w:w="900" w:type="dxa"/>
            <w:vAlign w:val="bottom"/>
          </w:tcPr>
          <w:p>
            <w:pPr>
              <w:jc w:val="center"/>
              <w:ind w:left="166"/>
              <w:spacing w:after="0"/>
              <w:rPr>
                <w:sz w:val="20"/>
                <w:szCs w:val="20"/>
                <w:color w:val="auto"/>
              </w:rPr>
            </w:pPr>
            <w:r>
              <w:rPr>
                <w:rFonts w:ascii="Arial" w:cs="Arial" w:eastAsia="Arial" w:hAnsi="Arial"/>
                <w:sz w:val="19"/>
                <w:szCs w:val="19"/>
                <w:color w:val="auto"/>
              </w:rPr>
              <w:t>*+</w:t>
            </w:r>
          </w:p>
        </w:tc>
        <w:tc>
          <w:tcPr>
            <w:tcW w:w="6480" w:type="dxa"/>
            <w:vAlign w:val="bottom"/>
            <w:gridSpan w:val="26"/>
          </w:tcPr>
          <w:p>
            <w:pPr>
              <w:spacing w:after="0"/>
              <w:rPr>
                <w:rFonts w:ascii="Arial" w:cs="Arial" w:eastAsia="Arial" w:hAnsi="Arial"/>
                <w:sz w:val="19"/>
                <w:szCs w:val="19"/>
                <w:color w:val="0000FF"/>
                <w:w w:val="94"/>
              </w:rPr>
            </w:pPr>
            <w:hyperlink r:id="rId300">
              <w:r>
                <w:rPr>
                  <w:rFonts w:ascii="Arial" w:cs="Arial" w:eastAsia="Arial" w:hAnsi="Arial"/>
                  <w:sz w:val="19"/>
                  <w:szCs w:val="19"/>
                  <w:color w:val="0000FF"/>
                  <w:w w:val="94"/>
                </w:rPr>
                <w:t>Evergy, Inc. 2021 Annual Incentive Plan. (Exhibit 10.27 to Evergy's Form 10-K for</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320" w:type="dxa"/>
            <w:vAlign w:val="bottom"/>
            <w:tcBorders>
              <w:top w:val="single" w:sz="8" w:color="0000FF"/>
            </w:tcBorders>
            <w:gridSpan w:val="20"/>
          </w:tcPr>
          <w:p>
            <w:pPr>
              <w:spacing w:after="0" w:line="161" w:lineRule="exact"/>
              <w:rPr>
                <w:rFonts w:ascii="Arial" w:cs="Arial" w:eastAsia="Arial" w:hAnsi="Arial"/>
                <w:sz w:val="18"/>
                <w:szCs w:val="18"/>
                <w:color w:val="0000FF"/>
              </w:rPr>
            </w:pPr>
            <w:hyperlink r:id="rId300">
              <w:r>
                <w:rPr>
                  <w:rFonts w:ascii="Arial" w:cs="Arial" w:eastAsia="Arial" w:hAnsi="Arial"/>
                  <w:sz w:val="18"/>
                  <w:szCs w:val="18"/>
                  <w:color w:val="0000FF"/>
                </w:rPr>
                <w:t>the fiscal year ended December 31, 2020).</w:t>
              </w:r>
            </w:hyperlink>
          </w:p>
        </w:tc>
        <w:tc>
          <w:tcPr>
            <w:tcW w:w="4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65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10.27</w:t>
            </w:r>
          </w:p>
        </w:tc>
        <w:tc>
          <w:tcPr>
            <w:tcW w:w="900" w:type="dxa"/>
            <w:vAlign w:val="bottom"/>
          </w:tcPr>
          <w:p>
            <w:pPr>
              <w:jc w:val="center"/>
              <w:ind w:left="166"/>
              <w:spacing w:after="0"/>
              <w:rPr>
                <w:sz w:val="20"/>
                <w:szCs w:val="20"/>
                <w:color w:val="auto"/>
              </w:rPr>
            </w:pPr>
            <w:r>
              <w:rPr>
                <w:rFonts w:ascii="Arial" w:cs="Arial" w:eastAsia="Arial" w:hAnsi="Arial"/>
                <w:sz w:val="19"/>
                <w:szCs w:val="19"/>
                <w:color w:val="auto"/>
              </w:rPr>
              <w:t>*+</w:t>
            </w:r>
          </w:p>
        </w:tc>
        <w:tc>
          <w:tcPr>
            <w:tcW w:w="6480" w:type="dxa"/>
            <w:vAlign w:val="bottom"/>
            <w:gridSpan w:val="26"/>
          </w:tcPr>
          <w:p>
            <w:pPr>
              <w:spacing w:after="0"/>
              <w:rPr>
                <w:rFonts w:ascii="Arial" w:cs="Arial" w:eastAsia="Arial" w:hAnsi="Arial"/>
                <w:sz w:val="19"/>
                <w:szCs w:val="19"/>
                <w:color w:val="0000FF"/>
                <w:w w:val="93"/>
              </w:rPr>
            </w:pPr>
            <w:hyperlink r:id="rId301">
              <w:r>
                <w:rPr>
                  <w:rFonts w:ascii="Arial" w:cs="Arial" w:eastAsia="Arial" w:hAnsi="Arial"/>
                  <w:sz w:val="19"/>
                  <w:szCs w:val="19"/>
                  <w:color w:val="0000FF"/>
                  <w:w w:val="93"/>
                </w:rPr>
                <w:t>David A. Campbell Offer Letter, dated December 3, 2020 (Exhibit 10.1 to Evergy's</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6"/>
              </w:rPr>
            </w:pPr>
            <w:hyperlink r:id="rId301">
              <w:r>
                <w:rPr>
                  <w:rFonts w:ascii="Arial" w:cs="Arial" w:eastAsia="Arial" w:hAnsi="Arial"/>
                  <w:sz w:val="18"/>
                  <w:szCs w:val="18"/>
                  <w:color w:val="0000FF"/>
                  <w:w w:val="96"/>
                </w:rPr>
                <w:t>Form 8-K filed on December 8, 2020).</w:t>
              </w:r>
            </w:hyperlink>
          </w:p>
        </w:tc>
        <w:tc>
          <w:tcPr>
            <w:tcW w:w="336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65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10.28</w:t>
            </w:r>
          </w:p>
        </w:tc>
        <w:tc>
          <w:tcPr>
            <w:tcW w:w="900" w:type="dxa"/>
            <w:vAlign w:val="bottom"/>
          </w:tcPr>
          <w:p>
            <w:pPr>
              <w:jc w:val="center"/>
              <w:ind w:left="166"/>
              <w:spacing w:after="0"/>
              <w:rPr>
                <w:sz w:val="20"/>
                <w:szCs w:val="20"/>
                <w:color w:val="auto"/>
              </w:rPr>
            </w:pPr>
            <w:r>
              <w:rPr>
                <w:rFonts w:ascii="Arial" w:cs="Arial" w:eastAsia="Arial" w:hAnsi="Arial"/>
                <w:sz w:val="19"/>
                <w:szCs w:val="19"/>
                <w:color w:val="auto"/>
              </w:rPr>
              <w:t>*+</w:t>
            </w:r>
          </w:p>
        </w:tc>
        <w:tc>
          <w:tcPr>
            <w:tcW w:w="6480" w:type="dxa"/>
            <w:vAlign w:val="bottom"/>
            <w:gridSpan w:val="26"/>
          </w:tcPr>
          <w:p>
            <w:pPr>
              <w:spacing w:after="0"/>
              <w:rPr>
                <w:rFonts w:ascii="Arial" w:cs="Arial" w:eastAsia="Arial" w:hAnsi="Arial"/>
                <w:sz w:val="19"/>
                <w:szCs w:val="19"/>
                <w:color w:val="0000FF"/>
                <w:w w:val="97"/>
              </w:rPr>
            </w:pPr>
            <w:hyperlink r:id="rId302">
              <w:r>
                <w:rPr>
                  <w:rFonts w:ascii="Arial" w:cs="Arial" w:eastAsia="Arial" w:hAnsi="Arial"/>
                  <w:sz w:val="19"/>
                  <w:szCs w:val="19"/>
                  <w:color w:val="0000FF"/>
                  <w:w w:val="97"/>
                </w:rPr>
                <w:t>Form of Time-Based Restricted Stock Award Agreement for David A. Campbell</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9"/>
          </w:tcPr>
          <w:p>
            <w:pPr>
              <w:spacing w:after="0" w:line="161" w:lineRule="exact"/>
              <w:rPr>
                <w:rFonts w:ascii="Arial" w:cs="Arial" w:eastAsia="Arial" w:hAnsi="Arial"/>
                <w:sz w:val="18"/>
                <w:szCs w:val="18"/>
                <w:color w:val="0000FF"/>
                <w:w w:val="97"/>
              </w:rPr>
            </w:pPr>
            <w:hyperlink r:id="rId302">
              <w:r>
                <w:rPr>
                  <w:rFonts w:ascii="Arial" w:cs="Arial" w:eastAsia="Arial" w:hAnsi="Arial"/>
                  <w:sz w:val="18"/>
                  <w:szCs w:val="18"/>
                  <w:color w:val="0000FF"/>
                  <w:w w:val="97"/>
                </w:rPr>
                <w:t>(Exhibit 10.3 to Evergy's Form 8-K/A filed on December 22, 2020).</w:t>
              </w:r>
            </w:hyperlink>
          </w:p>
        </w:tc>
        <w:tc>
          <w:tcPr>
            <w:tcW w:w="940" w:type="dxa"/>
            <w:vAlign w:val="bottom"/>
            <w:tcBorders>
              <w:top w:val="single" w:sz="8" w:color="0000FF"/>
            </w:tcBorders>
            <w:gridSpan w:val="4"/>
          </w:tcPr>
          <w:p>
            <w:pPr>
              <w:spacing w:after="0"/>
              <w:rPr>
                <w:sz w:val="13"/>
                <w:szCs w:val="13"/>
                <w:color w:val="auto"/>
              </w:rPr>
            </w:pPr>
          </w:p>
        </w:tc>
        <w:tc>
          <w:tcPr>
            <w:tcW w:w="260" w:type="dxa"/>
            <w:vAlign w:val="bottom"/>
            <w:gridSpan w:val="8"/>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65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10.29</w:t>
            </w:r>
          </w:p>
        </w:tc>
        <w:tc>
          <w:tcPr>
            <w:tcW w:w="900" w:type="dxa"/>
            <w:vAlign w:val="bottom"/>
          </w:tcPr>
          <w:p>
            <w:pPr>
              <w:jc w:val="center"/>
              <w:ind w:left="166"/>
              <w:spacing w:after="0"/>
              <w:rPr>
                <w:sz w:val="20"/>
                <w:szCs w:val="20"/>
                <w:color w:val="auto"/>
              </w:rPr>
            </w:pPr>
            <w:r>
              <w:rPr>
                <w:rFonts w:ascii="Arial" w:cs="Arial" w:eastAsia="Arial" w:hAnsi="Arial"/>
                <w:sz w:val="19"/>
                <w:szCs w:val="19"/>
                <w:color w:val="auto"/>
              </w:rPr>
              <w:t>*+</w:t>
            </w:r>
          </w:p>
        </w:tc>
        <w:tc>
          <w:tcPr>
            <w:tcW w:w="6480" w:type="dxa"/>
            <w:vAlign w:val="bottom"/>
            <w:gridSpan w:val="26"/>
          </w:tcPr>
          <w:p>
            <w:pPr>
              <w:spacing w:after="0"/>
              <w:rPr>
                <w:rFonts w:ascii="Arial" w:cs="Arial" w:eastAsia="Arial" w:hAnsi="Arial"/>
                <w:sz w:val="19"/>
                <w:szCs w:val="19"/>
                <w:color w:val="0000FF"/>
                <w:w w:val="93"/>
              </w:rPr>
            </w:pPr>
            <w:hyperlink r:id="rId303">
              <w:r>
                <w:rPr>
                  <w:rFonts w:ascii="Arial" w:cs="Arial" w:eastAsia="Arial" w:hAnsi="Arial"/>
                  <w:sz w:val="19"/>
                  <w:szCs w:val="19"/>
                  <w:color w:val="0000FF"/>
                  <w:w w:val="93"/>
                </w:rPr>
                <w:t>Kirkland B. Andrews Offer Letter, dated January 30, 2021 (Exhibit 10.1 to Evergy's</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3"/>
          </w:tcPr>
          <w:p>
            <w:pPr>
              <w:spacing w:after="0" w:line="161" w:lineRule="exact"/>
              <w:rPr>
                <w:rFonts w:ascii="Arial" w:cs="Arial" w:eastAsia="Arial" w:hAnsi="Arial"/>
                <w:sz w:val="18"/>
                <w:szCs w:val="18"/>
                <w:color w:val="0000FF"/>
                <w:w w:val="96"/>
              </w:rPr>
            </w:pPr>
            <w:hyperlink r:id="rId303">
              <w:r>
                <w:rPr>
                  <w:rFonts w:ascii="Arial" w:cs="Arial" w:eastAsia="Arial" w:hAnsi="Arial"/>
                  <w:sz w:val="18"/>
                  <w:szCs w:val="18"/>
                  <w:color w:val="0000FF"/>
                  <w:w w:val="96"/>
                </w:rPr>
                <w:t>Form 8-K filed on February 4, 2021).</w:t>
              </w:r>
            </w:hyperlink>
          </w:p>
        </w:tc>
        <w:tc>
          <w:tcPr>
            <w:tcW w:w="3520" w:type="dxa"/>
            <w:vAlign w:val="bottom"/>
            <w:tcBorders>
              <w:top w:val="single" w:sz="8" w:color="0000FF"/>
            </w:tcBorders>
            <w:gridSpan w:val="18"/>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1113"/>
        </w:trPr>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40" w:type="dxa"/>
            <w:vAlign w:val="bottom"/>
            <w:gridSpan w:val="8"/>
          </w:tcPr>
          <w:p>
            <w:pPr>
              <w:ind w:left="3680"/>
              <w:spacing w:after="0"/>
              <w:rPr>
                <w:sz w:val="20"/>
                <w:szCs w:val="20"/>
                <w:color w:val="auto"/>
              </w:rPr>
            </w:pPr>
            <w:r>
              <w:rPr>
                <w:rFonts w:ascii="Arial" w:cs="Arial" w:eastAsia="Arial" w:hAnsi="Arial"/>
                <w:sz w:val="17"/>
                <w:szCs w:val="17"/>
                <w:color w:val="auto"/>
              </w:rPr>
              <w:t>172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ectPr>
          <w:pgSz w:w="11900" w:h="16838" w:orient="portrait"/>
          <w:cols w:equalWidth="0" w:num="2">
            <w:col w:w="8280" w:space="560"/>
            <w:col w:w="1740"/>
          </w:cols>
          <w:pgMar w:left="320" w:top="124" w:right="999" w:bottom="1440" w:gutter="0" w:footer="0" w:header="0"/>
        </w:sectPr>
      </w:pPr>
    </w:p>
    <w:bookmarkStart w:id="174" w:name="page175"/>
    <w:bookmarkEnd w:id="17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10.30</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40" w:type="dxa"/>
            <w:vAlign w:val="bottom"/>
            <w:gridSpan w:val="29"/>
          </w:tcPr>
          <w:p>
            <w:pPr>
              <w:spacing w:after="0"/>
              <w:rPr>
                <w:rFonts w:ascii="Arial" w:cs="Arial" w:eastAsia="Arial" w:hAnsi="Arial"/>
                <w:sz w:val="19"/>
                <w:szCs w:val="19"/>
                <w:color w:val="0000FF"/>
                <w:w w:val="93"/>
              </w:rPr>
            </w:pPr>
            <w:hyperlink r:id="rId305">
              <w:r>
                <w:rPr>
                  <w:rFonts w:ascii="Arial" w:cs="Arial" w:eastAsia="Arial" w:hAnsi="Arial"/>
                  <w:sz w:val="19"/>
                  <w:szCs w:val="19"/>
                  <w:color w:val="0000FF"/>
                  <w:w w:val="93"/>
                </w:rPr>
                <w:t>Form of Time-Based Restricted Stock Unit Award Agreement for Kirkland Andrews</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14"/>
          </w:tcPr>
          <w:p>
            <w:pPr>
              <w:spacing w:after="0" w:line="161" w:lineRule="exact"/>
              <w:rPr>
                <w:rFonts w:ascii="Arial" w:cs="Arial" w:eastAsia="Arial" w:hAnsi="Arial"/>
                <w:sz w:val="18"/>
                <w:szCs w:val="18"/>
                <w:color w:val="0000FF"/>
                <w:w w:val="95"/>
              </w:rPr>
            </w:pPr>
            <w:hyperlink r:id="rId305">
              <w:r>
                <w:rPr>
                  <w:rFonts w:ascii="Arial" w:cs="Arial" w:eastAsia="Arial" w:hAnsi="Arial"/>
                  <w:sz w:val="18"/>
                  <w:szCs w:val="18"/>
                  <w:color w:val="0000FF"/>
                  <w:w w:val="95"/>
                </w:rPr>
                <w:t>(Exhibit 10.31 to Evergy's Form 10-K for the period ended December 31, 2020).</w:t>
              </w:r>
            </w:hyperlink>
          </w:p>
        </w:tc>
        <w:tc>
          <w:tcPr>
            <w:tcW w:w="3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5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10.31</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40" w:type="dxa"/>
            <w:vAlign w:val="bottom"/>
            <w:gridSpan w:val="29"/>
          </w:tcPr>
          <w:p>
            <w:pPr>
              <w:spacing w:after="0"/>
              <w:rPr>
                <w:rFonts w:ascii="Arial" w:cs="Arial" w:eastAsia="Arial" w:hAnsi="Arial"/>
                <w:sz w:val="19"/>
                <w:szCs w:val="19"/>
                <w:color w:val="0000FF"/>
                <w:w w:val="94"/>
              </w:rPr>
            </w:pPr>
            <w:hyperlink r:id="rId306">
              <w:r>
                <w:rPr>
                  <w:rFonts w:ascii="Arial" w:cs="Arial" w:eastAsia="Arial" w:hAnsi="Arial"/>
                  <w:sz w:val="19"/>
                  <w:szCs w:val="19"/>
                  <w:color w:val="0000FF"/>
                  <w:w w:val="94"/>
                </w:rPr>
                <w:t>Form of Indemnification Agreement with Evergy, Inc. officers and directors (Exhibit</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7"/>
          </w:tcPr>
          <w:p>
            <w:pPr>
              <w:spacing w:after="0" w:line="161" w:lineRule="exact"/>
              <w:rPr>
                <w:rFonts w:ascii="Arial" w:cs="Arial" w:eastAsia="Arial" w:hAnsi="Arial"/>
                <w:sz w:val="18"/>
                <w:szCs w:val="18"/>
                <w:color w:val="0000FF"/>
                <w:w w:val="94"/>
              </w:rPr>
            </w:pPr>
            <w:hyperlink r:id="rId306">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2</w:t>
              </w:r>
              <w:r>
                <w:rPr>
                  <w:rFonts w:ascii="Arial" w:cs="Arial" w:eastAsia="Arial" w:hAnsi="Arial"/>
                  <w:sz w:val="18"/>
                  <w:szCs w:val="18"/>
                  <w:color w:val="0000FF"/>
                  <w:w w:val="94"/>
                </w:rPr>
                <w:t xml:space="preserve"> to Evergy's Form 10-Q for the quarter ended September 30, 2018).</w:t>
              </w:r>
            </w:hyperlink>
          </w:p>
        </w:tc>
        <w:tc>
          <w:tcPr>
            <w:tcW w:w="10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5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10.32</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080" w:type="dxa"/>
            <w:vAlign w:val="bottom"/>
            <w:tcBorders>
              <w:bottom w:val="single" w:sz="8" w:color="0000FF"/>
            </w:tcBorders>
            <w:gridSpan w:val="13"/>
          </w:tcPr>
          <w:p>
            <w:pPr>
              <w:spacing w:after="0"/>
              <w:rPr>
                <w:rFonts w:ascii="Arial" w:cs="Arial" w:eastAsia="Arial" w:hAnsi="Arial"/>
                <w:sz w:val="19"/>
                <w:szCs w:val="19"/>
                <w:color w:val="0000FF"/>
                <w:w w:val="89"/>
              </w:rPr>
            </w:pPr>
            <w:hyperlink r:id="rId307">
              <w:r>
                <w:rPr>
                  <w:rFonts w:ascii="Arial" w:cs="Arial" w:eastAsia="Arial" w:hAnsi="Arial"/>
                  <w:sz w:val="19"/>
                  <w:szCs w:val="19"/>
                  <w:color w:val="0000FF"/>
                  <w:w w:val="89"/>
                </w:rPr>
                <w:t>Form of Evergy, Inc. (successor to Great Plains Energy Incorporated) Change in</w:t>
              </w:r>
            </w:hyperlink>
          </w:p>
        </w:tc>
        <w:tc>
          <w:tcPr>
            <w:tcW w:w="460" w:type="dxa"/>
            <w:vAlign w:val="bottom"/>
            <w:gridSpan w:val="16"/>
          </w:tcPr>
          <w:p>
            <w:pPr>
              <w:spacing w:after="0"/>
              <w:rPr>
                <w:sz w:val="24"/>
                <w:szCs w:val="24"/>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540" w:type="dxa"/>
            <w:vAlign w:val="bottom"/>
            <w:gridSpan w:val="29"/>
          </w:tcPr>
          <w:p>
            <w:pPr>
              <w:spacing w:after="0" w:line="161" w:lineRule="exact"/>
              <w:rPr>
                <w:rFonts w:ascii="Arial" w:cs="Arial" w:eastAsia="Arial" w:hAnsi="Arial"/>
                <w:sz w:val="18"/>
                <w:szCs w:val="18"/>
                <w:color w:val="0000FF"/>
                <w:w w:val="96"/>
              </w:rPr>
            </w:pPr>
            <w:hyperlink r:id="rId307">
              <w:r>
                <w:rPr>
                  <w:rFonts w:ascii="Arial" w:cs="Arial" w:eastAsia="Arial" w:hAnsi="Arial"/>
                  <w:sz w:val="18"/>
                  <w:szCs w:val="18"/>
                  <w:color w:val="0000FF"/>
                  <w:w w:val="96"/>
                </w:rPr>
                <w:t>Control Severance Agreement (Exhibit 10.1.e to Great Plains Energy's Form 10-Q for</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2"/>
          </w:tcPr>
          <w:p>
            <w:pPr>
              <w:spacing w:after="0" w:line="161" w:lineRule="exact"/>
              <w:rPr>
                <w:rFonts w:ascii="Arial" w:cs="Arial" w:eastAsia="Arial" w:hAnsi="Arial"/>
                <w:sz w:val="18"/>
                <w:szCs w:val="18"/>
                <w:color w:val="0000FF"/>
                <w:w w:val="92"/>
              </w:rPr>
            </w:pPr>
            <w:hyperlink r:id="rId307">
              <w:r>
                <w:rPr>
                  <w:rFonts w:ascii="Arial" w:cs="Arial" w:eastAsia="Arial" w:hAnsi="Arial"/>
                  <w:sz w:val="18"/>
                  <w:szCs w:val="18"/>
                  <w:color w:val="0000FF"/>
                  <w:w w:val="92"/>
                </w:rPr>
                <w:t>the quarter ended September 30, 2006).</w:t>
              </w:r>
            </w:hyperlink>
          </w:p>
        </w:tc>
        <w:tc>
          <w:tcPr>
            <w:tcW w:w="35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10.33</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40" w:type="dxa"/>
            <w:vAlign w:val="bottom"/>
            <w:gridSpan w:val="29"/>
          </w:tcPr>
          <w:p>
            <w:pPr>
              <w:spacing w:after="0"/>
              <w:rPr>
                <w:rFonts w:ascii="Arial" w:cs="Arial" w:eastAsia="Arial" w:hAnsi="Arial"/>
                <w:sz w:val="19"/>
                <w:szCs w:val="19"/>
                <w:color w:val="0000FF"/>
                <w:w w:val="94"/>
              </w:rPr>
            </w:pPr>
            <w:hyperlink r:id="rId308">
              <w:r>
                <w:rPr>
                  <w:rFonts w:ascii="Arial" w:cs="Arial" w:eastAsia="Arial" w:hAnsi="Arial"/>
                  <w:sz w:val="19"/>
                  <w:szCs w:val="19"/>
                  <w:color w:val="0000FF"/>
                  <w:w w:val="94"/>
                </w:rPr>
                <w:t>Form of Evergy Kansas Central, Inc. (formerly Westar Energy, Inc.) Amended and</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60" w:type="dxa"/>
            <w:vAlign w:val="bottom"/>
            <w:tcBorders>
              <w:top w:val="single" w:sz="8" w:color="0000FF"/>
            </w:tcBorders>
            <w:gridSpan w:val="17"/>
          </w:tcPr>
          <w:p>
            <w:pPr>
              <w:spacing w:after="0" w:line="161" w:lineRule="exact"/>
              <w:rPr>
                <w:rFonts w:ascii="Arial" w:cs="Arial" w:eastAsia="Arial" w:hAnsi="Arial"/>
                <w:sz w:val="18"/>
                <w:szCs w:val="18"/>
                <w:color w:val="0000FF"/>
                <w:w w:val="96"/>
              </w:rPr>
            </w:pPr>
            <w:hyperlink r:id="rId308">
              <w:r>
                <w:rPr>
                  <w:rFonts w:ascii="Arial" w:cs="Arial" w:eastAsia="Arial" w:hAnsi="Arial"/>
                  <w:sz w:val="18"/>
                  <w:szCs w:val="18"/>
                  <w:color w:val="0000FF"/>
                  <w:w w:val="96"/>
                </w:rPr>
                <w:t>Restated Change in Control Agreement (Exhibit 10(g) to Evergy Kansas Central's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0" w:type="dxa"/>
            <w:vAlign w:val="bottom"/>
            <w:tcBorders>
              <w:top w:val="single" w:sz="8" w:color="0000FF"/>
            </w:tcBorders>
            <w:gridSpan w:val="16"/>
          </w:tcPr>
          <w:p>
            <w:pPr>
              <w:spacing w:after="0" w:line="161" w:lineRule="exact"/>
              <w:rPr>
                <w:rFonts w:ascii="Arial" w:cs="Arial" w:eastAsia="Arial" w:hAnsi="Arial"/>
                <w:sz w:val="18"/>
                <w:szCs w:val="18"/>
                <w:color w:val="0000FF"/>
              </w:rPr>
            </w:pPr>
            <w:hyperlink r:id="rId308">
              <w:r>
                <w:rPr>
                  <w:rFonts w:ascii="Arial" w:cs="Arial" w:eastAsia="Arial" w:hAnsi="Arial"/>
                  <w:sz w:val="18"/>
                  <w:szCs w:val="18"/>
                  <w:color w:val="0000FF"/>
                </w:rPr>
                <w:t>Form 10-K for the period ended December 31, 2015).</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10.34</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5680" w:type="dxa"/>
            <w:vAlign w:val="bottom"/>
            <w:tcBorders>
              <w:bottom w:val="single" w:sz="8" w:color="0000FF"/>
            </w:tcBorders>
            <w:gridSpan w:val="9"/>
          </w:tcPr>
          <w:p>
            <w:pPr>
              <w:spacing w:after="0"/>
              <w:rPr>
                <w:rFonts w:ascii="Arial" w:cs="Arial" w:eastAsia="Arial" w:hAnsi="Arial"/>
                <w:sz w:val="19"/>
                <w:szCs w:val="19"/>
                <w:color w:val="0000FF"/>
                <w:w w:val="89"/>
              </w:rPr>
            </w:pPr>
            <w:hyperlink r:id="rId309">
              <w:r>
                <w:rPr>
                  <w:rFonts w:ascii="Arial" w:cs="Arial" w:eastAsia="Arial" w:hAnsi="Arial"/>
                  <w:sz w:val="19"/>
                  <w:szCs w:val="19"/>
                  <w:color w:val="0000FF"/>
                  <w:w w:val="89"/>
                </w:rPr>
                <w:t>Form of Evergy, Inc. Amended and Restated Change-in-Control Severance</w:t>
              </w:r>
            </w:hyperlink>
          </w:p>
        </w:tc>
        <w:tc>
          <w:tcPr>
            <w:tcW w:w="860" w:type="dxa"/>
            <w:vAlign w:val="bottom"/>
            <w:gridSpan w:val="20"/>
          </w:tcPr>
          <w:p>
            <w:pPr>
              <w:spacing w:after="0"/>
              <w:rPr>
                <w:sz w:val="24"/>
                <w:szCs w:val="24"/>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540" w:type="dxa"/>
            <w:vAlign w:val="bottom"/>
            <w:gridSpan w:val="29"/>
          </w:tcPr>
          <w:p>
            <w:pPr>
              <w:spacing w:after="0" w:line="161" w:lineRule="exact"/>
              <w:rPr>
                <w:rFonts w:ascii="Arial" w:cs="Arial" w:eastAsia="Arial" w:hAnsi="Arial"/>
                <w:sz w:val="18"/>
                <w:szCs w:val="18"/>
                <w:color w:val="0000FF"/>
              </w:rPr>
            </w:pPr>
            <w:hyperlink r:id="rId309">
              <w:r>
                <w:rPr>
                  <w:rFonts w:ascii="Arial" w:cs="Arial" w:eastAsia="Arial" w:hAnsi="Arial"/>
                  <w:sz w:val="18"/>
                  <w:szCs w:val="18"/>
                  <w:color w:val="0000FF"/>
                </w:rPr>
                <w:t>Agreement (Exhibit 10.4 to Evergy's Form 10-Q for the quarter ended March 31,</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3"/>
              </w:rPr>
            </w:pPr>
            <w:hyperlink r:id="rId309">
              <w:r>
                <w:rPr>
                  <w:rFonts w:ascii="Arial" w:cs="Arial" w:eastAsia="Arial" w:hAnsi="Arial"/>
                  <w:sz w:val="18"/>
                  <w:szCs w:val="18"/>
                  <w:color w:val="0000FF"/>
                  <w:w w:val="93"/>
                </w:rPr>
                <w:t>2019).</w:t>
              </w:r>
            </w:hyperlink>
          </w:p>
        </w:tc>
        <w:tc>
          <w:tcPr>
            <w:tcW w:w="250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10.35</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40" w:type="dxa"/>
            <w:vAlign w:val="bottom"/>
            <w:gridSpan w:val="29"/>
          </w:tcPr>
          <w:p>
            <w:pPr>
              <w:spacing w:after="0"/>
              <w:rPr>
                <w:rFonts w:ascii="Arial" w:cs="Arial" w:eastAsia="Arial" w:hAnsi="Arial"/>
                <w:sz w:val="19"/>
                <w:szCs w:val="19"/>
                <w:color w:val="0000FF"/>
                <w:w w:val="96"/>
              </w:rPr>
            </w:pPr>
            <w:hyperlink r:id="rId310">
              <w:r>
                <w:rPr>
                  <w:rFonts w:ascii="Arial" w:cs="Arial" w:eastAsia="Arial" w:hAnsi="Arial"/>
                  <w:sz w:val="19"/>
                  <w:szCs w:val="19"/>
                  <w:color w:val="0000FF"/>
                  <w:w w:val="96"/>
                </w:rPr>
                <w:t>Evergy, Inc. Executive Severance Plan, dated November 6, 2019 (Exhibit 10.1 to</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120" w:type="dxa"/>
            <w:vAlign w:val="bottom"/>
            <w:tcBorders>
              <w:top w:val="single" w:sz="8" w:color="0000FF"/>
            </w:tcBorders>
            <w:gridSpan w:val="15"/>
          </w:tcPr>
          <w:p>
            <w:pPr>
              <w:spacing w:after="0" w:line="161" w:lineRule="exact"/>
              <w:rPr>
                <w:rFonts w:ascii="Arial" w:cs="Arial" w:eastAsia="Arial" w:hAnsi="Arial"/>
                <w:sz w:val="18"/>
                <w:szCs w:val="18"/>
                <w:color w:val="0000FF"/>
              </w:rPr>
            </w:pPr>
            <w:hyperlink r:id="rId310">
              <w:r>
                <w:rPr>
                  <w:rFonts w:ascii="Arial" w:cs="Arial" w:eastAsia="Arial" w:hAnsi="Arial"/>
                  <w:sz w:val="18"/>
                  <w:szCs w:val="18"/>
                  <w:color w:val="0000FF"/>
                </w:rPr>
                <w:t>Evergy's Form 10-Q for the quarter ended September 30, 2019).</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10.36</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40" w:type="dxa"/>
            <w:vAlign w:val="bottom"/>
            <w:gridSpan w:val="29"/>
          </w:tcPr>
          <w:p>
            <w:pPr>
              <w:spacing w:after="0"/>
              <w:rPr>
                <w:rFonts w:ascii="Arial" w:cs="Arial" w:eastAsia="Arial" w:hAnsi="Arial"/>
                <w:sz w:val="19"/>
                <w:szCs w:val="19"/>
                <w:color w:val="0000FF"/>
                <w:w w:val="91"/>
              </w:rPr>
            </w:pPr>
            <w:hyperlink r:id="rId311">
              <w:r>
                <w:rPr>
                  <w:rFonts w:ascii="Arial" w:cs="Arial" w:eastAsia="Arial" w:hAnsi="Arial"/>
                  <w:sz w:val="19"/>
                  <w:szCs w:val="19"/>
                  <w:color w:val="0000FF"/>
                  <w:w w:val="91"/>
                </w:rPr>
                <w:t>Evergy, Inc. Supplemental Executive Retirement Plan, effective June 4, 2018 (Exhibit</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6"/>
          </w:tcPr>
          <w:p>
            <w:pPr>
              <w:spacing w:after="0" w:line="161" w:lineRule="exact"/>
              <w:rPr>
                <w:rFonts w:ascii="Arial" w:cs="Arial" w:eastAsia="Arial" w:hAnsi="Arial"/>
                <w:sz w:val="18"/>
                <w:szCs w:val="18"/>
                <w:color w:val="0000FF"/>
                <w:w w:val="94"/>
              </w:rPr>
            </w:pPr>
            <w:hyperlink r:id="rId311">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6</w:t>
              </w:r>
              <w:r>
                <w:rPr>
                  <w:rFonts w:ascii="Arial" w:cs="Arial" w:eastAsia="Arial" w:hAnsi="Arial"/>
                  <w:sz w:val="18"/>
                  <w:szCs w:val="18"/>
                  <w:color w:val="0000FF"/>
                  <w:w w:val="94"/>
                </w:rPr>
                <w:t xml:space="preserve"> to Evergy's Form 10-Q for the quarter ended June 30, 2018).</w:t>
              </w:r>
            </w:hyperlink>
          </w:p>
        </w:tc>
        <w:tc>
          <w:tcPr>
            <w:tcW w:w="15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65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10.37</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5980" w:type="dxa"/>
            <w:vAlign w:val="bottom"/>
            <w:tcBorders>
              <w:bottom w:val="single" w:sz="8" w:color="0000FF"/>
            </w:tcBorders>
            <w:gridSpan w:val="11"/>
          </w:tcPr>
          <w:p>
            <w:pPr>
              <w:spacing w:after="0"/>
              <w:rPr>
                <w:rFonts w:ascii="Arial" w:cs="Arial" w:eastAsia="Arial" w:hAnsi="Arial"/>
                <w:sz w:val="19"/>
                <w:szCs w:val="19"/>
                <w:color w:val="0000FF"/>
                <w:w w:val="90"/>
              </w:rPr>
            </w:pPr>
            <w:hyperlink r:id="rId312">
              <w:r>
                <w:rPr>
                  <w:rFonts w:ascii="Arial" w:cs="Arial" w:eastAsia="Arial" w:hAnsi="Arial"/>
                  <w:sz w:val="19"/>
                  <w:szCs w:val="19"/>
                  <w:color w:val="0000FF"/>
                  <w:w w:val="90"/>
                </w:rPr>
                <w:t>Evergy Kansas Central, Inc. (formerly Westar Energy, Inc.) Retirement Benefit</w:t>
              </w:r>
            </w:hyperlink>
          </w:p>
        </w:tc>
        <w:tc>
          <w:tcPr>
            <w:tcW w:w="560" w:type="dxa"/>
            <w:vAlign w:val="bottom"/>
            <w:gridSpan w:val="18"/>
          </w:tcPr>
          <w:p>
            <w:pPr>
              <w:spacing w:after="0"/>
              <w:rPr>
                <w:sz w:val="24"/>
                <w:szCs w:val="24"/>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540" w:type="dxa"/>
            <w:vAlign w:val="bottom"/>
            <w:gridSpan w:val="29"/>
          </w:tcPr>
          <w:p>
            <w:pPr>
              <w:spacing w:after="0" w:line="161" w:lineRule="exact"/>
              <w:rPr>
                <w:rFonts w:ascii="Arial" w:cs="Arial" w:eastAsia="Arial" w:hAnsi="Arial"/>
                <w:sz w:val="18"/>
                <w:szCs w:val="18"/>
                <w:color w:val="0000FF"/>
                <w:w w:val="98"/>
              </w:rPr>
            </w:pPr>
            <w:hyperlink r:id="rId312">
              <w:r>
                <w:rPr>
                  <w:rFonts w:ascii="Arial" w:cs="Arial" w:eastAsia="Arial" w:hAnsi="Arial"/>
                  <w:sz w:val="18"/>
                  <w:szCs w:val="18"/>
                  <w:color w:val="0000FF"/>
                  <w:w w:val="98"/>
                </w:rPr>
                <w:t>Restoration Plan (Exhibit 10.1 to Evergy Kansas Central's Form 8-K filed on April 2,</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3"/>
              </w:rPr>
            </w:pPr>
            <w:hyperlink r:id="rId312">
              <w:r>
                <w:rPr>
                  <w:rFonts w:ascii="Arial" w:cs="Arial" w:eastAsia="Arial" w:hAnsi="Arial"/>
                  <w:sz w:val="18"/>
                  <w:szCs w:val="18"/>
                  <w:color w:val="0000FF"/>
                  <w:w w:val="93"/>
                </w:rPr>
                <w:t>2010).</w:t>
              </w:r>
            </w:hyperlink>
          </w:p>
        </w:tc>
        <w:tc>
          <w:tcPr>
            <w:tcW w:w="250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10.38</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40" w:type="dxa"/>
            <w:vAlign w:val="bottom"/>
            <w:gridSpan w:val="29"/>
          </w:tcPr>
          <w:p>
            <w:pPr>
              <w:spacing w:after="0"/>
              <w:rPr>
                <w:rFonts w:ascii="Arial" w:cs="Arial" w:eastAsia="Arial" w:hAnsi="Arial"/>
                <w:sz w:val="19"/>
                <w:szCs w:val="19"/>
                <w:color w:val="0000FF"/>
                <w:w w:val="97"/>
              </w:rPr>
            </w:pPr>
            <w:hyperlink r:id="rId313">
              <w:r>
                <w:rPr>
                  <w:rFonts w:ascii="Arial" w:cs="Arial" w:eastAsia="Arial" w:hAnsi="Arial"/>
                  <w:sz w:val="19"/>
                  <w:szCs w:val="19"/>
                  <w:color w:val="0000FF"/>
                  <w:w w:val="97"/>
                </w:rPr>
                <w:t>Amendment dated December 12, 2018 to Evergy Kansas Central, Inc. (formerly</w:t>
              </w:r>
            </w:hyperlink>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540" w:type="dxa"/>
            <w:vAlign w:val="bottom"/>
            <w:gridSpan w:val="29"/>
          </w:tcPr>
          <w:p>
            <w:pPr>
              <w:spacing w:after="0" w:line="161" w:lineRule="exact"/>
              <w:rPr>
                <w:rFonts w:ascii="Arial" w:cs="Arial" w:eastAsia="Arial" w:hAnsi="Arial"/>
                <w:sz w:val="18"/>
                <w:szCs w:val="18"/>
                <w:color w:val="0000FF"/>
                <w:w w:val="99"/>
              </w:rPr>
            </w:pPr>
            <w:hyperlink r:id="rId313">
              <w:r>
                <w:rPr>
                  <w:rFonts w:ascii="Arial" w:cs="Arial" w:eastAsia="Arial" w:hAnsi="Arial"/>
                  <w:sz w:val="18"/>
                  <w:szCs w:val="18"/>
                  <w:color w:val="0000FF"/>
                  <w:w w:val="99"/>
                </w:rPr>
                <w:t>Westar Energy, Inc.) Retirement Benefit Restoration Plan (Exhibit 10.35 to Evergy</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300" w:type="dxa"/>
            <w:vAlign w:val="bottom"/>
            <w:tcBorders>
              <w:top w:val="single" w:sz="8" w:color="0000FF"/>
            </w:tcBorders>
            <w:gridSpan w:val="19"/>
          </w:tcPr>
          <w:p>
            <w:pPr>
              <w:spacing w:after="0" w:line="161" w:lineRule="exact"/>
              <w:rPr>
                <w:rFonts w:ascii="Arial" w:cs="Arial" w:eastAsia="Arial" w:hAnsi="Arial"/>
                <w:sz w:val="18"/>
                <w:szCs w:val="18"/>
                <w:color w:val="0000FF"/>
              </w:rPr>
            </w:pPr>
            <w:hyperlink r:id="rId313">
              <w:r>
                <w:rPr>
                  <w:rFonts w:ascii="Arial" w:cs="Arial" w:eastAsia="Arial" w:hAnsi="Arial"/>
                  <w:sz w:val="18"/>
                  <w:szCs w:val="18"/>
                  <w:color w:val="0000FF"/>
                </w:rPr>
                <w:t>Kansas Central's Form 10-K for the fiscal year ended December 31,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47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10.39</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40" w:type="dxa"/>
            <w:vAlign w:val="bottom"/>
            <w:gridSpan w:val="29"/>
          </w:tcPr>
          <w:p>
            <w:pPr>
              <w:spacing w:after="0"/>
              <w:rPr>
                <w:rFonts w:ascii="Arial" w:cs="Arial" w:eastAsia="Arial" w:hAnsi="Arial"/>
                <w:sz w:val="19"/>
                <w:szCs w:val="19"/>
                <w:color w:val="0000FF"/>
                <w:w w:val="93"/>
              </w:rPr>
            </w:pPr>
            <w:hyperlink r:id="rId314">
              <w:r>
                <w:rPr>
                  <w:rFonts w:ascii="Arial" w:cs="Arial" w:eastAsia="Arial" w:hAnsi="Arial"/>
                  <w:sz w:val="19"/>
                  <w:szCs w:val="19"/>
                  <w:color w:val="0000FF"/>
                  <w:w w:val="93"/>
                </w:rPr>
                <w:t>Evergy Kansas Central, Inc. (formerly Westar Energy, Inc.) Non-Employee Director</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360" w:type="dxa"/>
            <w:vAlign w:val="bottom"/>
            <w:tcBorders>
              <w:top w:val="single" w:sz="8" w:color="0000FF"/>
            </w:tcBorders>
            <w:gridSpan w:val="22"/>
          </w:tcPr>
          <w:p>
            <w:pPr>
              <w:spacing w:after="0" w:line="161" w:lineRule="exact"/>
              <w:rPr>
                <w:rFonts w:ascii="Arial" w:cs="Arial" w:eastAsia="Arial" w:hAnsi="Arial"/>
                <w:sz w:val="18"/>
                <w:szCs w:val="18"/>
                <w:color w:val="0000FF"/>
                <w:w w:val="95"/>
              </w:rPr>
            </w:pPr>
            <w:hyperlink r:id="rId314">
              <w:r>
                <w:rPr>
                  <w:rFonts w:ascii="Arial" w:cs="Arial" w:eastAsia="Arial" w:hAnsi="Arial"/>
                  <w:sz w:val="18"/>
                  <w:szCs w:val="18"/>
                  <w:color w:val="0000FF"/>
                  <w:w w:val="95"/>
                </w:rPr>
                <w:t>Nonqualified Deferred Compensation Plan, as amended and restated May 17, 2018</w:t>
              </w:r>
            </w:hyperlink>
          </w:p>
        </w:tc>
        <w:tc>
          <w:tcPr>
            <w:tcW w:w="4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20"/>
          </w:tcPr>
          <w:p>
            <w:pPr>
              <w:spacing w:after="0" w:line="161" w:lineRule="exact"/>
              <w:rPr>
                <w:rFonts w:ascii="Arial" w:cs="Arial" w:eastAsia="Arial" w:hAnsi="Arial"/>
                <w:sz w:val="18"/>
                <w:szCs w:val="18"/>
                <w:color w:val="0000FF"/>
                <w:w w:val="95"/>
              </w:rPr>
            </w:pPr>
            <w:hyperlink r:id="rId314">
              <w:r>
                <w:rPr>
                  <w:rFonts w:ascii="Arial" w:cs="Arial" w:eastAsia="Arial" w:hAnsi="Arial"/>
                  <w:sz w:val="18"/>
                  <w:szCs w:val="18"/>
                  <w:color w:val="0000FF"/>
                  <w:w w:val="95"/>
                </w:rPr>
                <w:t>(Exhibit 10.8 to Evergy Kansas Central's Form 10-Q for the quarter ended June 30,</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Borders>
              <w:bottom w:val="single" w:sz="8" w:color="0000FF"/>
            </w:tcBorders>
          </w:tcPr>
          <w:p>
            <w:pPr>
              <w:spacing w:after="0" w:line="161" w:lineRule="exact"/>
              <w:rPr>
                <w:rFonts w:ascii="Arial" w:cs="Arial" w:eastAsia="Arial" w:hAnsi="Arial"/>
                <w:sz w:val="18"/>
                <w:szCs w:val="18"/>
                <w:color w:val="0000FF"/>
                <w:w w:val="93"/>
              </w:rPr>
            </w:pPr>
            <w:hyperlink r:id="rId314">
              <w:r>
                <w:rPr>
                  <w:rFonts w:ascii="Arial" w:cs="Arial" w:eastAsia="Arial" w:hAnsi="Arial"/>
                  <w:sz w:val="18"/>
                  <w:szCs w:val="18"/>
                  <w:color w:val="0000FF"/>
                  <w:w w:val="93"/>
                </w:rPr>
                <w:t>2018).</w:t>
              </w:r>
            </w:hyperlink>
          </w:p>
        </w:tc>
        <w:tc>
          <w:tcPr>
            <w:tcW w:w="2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3"/>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10.40</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40" w:type="dxa"/>
            <w:vAlign w:val="bottom"/>
            <w:gridSpan w:val="29"/>
          </w:tcPr>
          <w:p>
            <w:pPr>
              <w:spacing w:after="0"/>
              <w:rPr>
                <w:rFonts w:ascii="Arial" w:cs="Arial" w:eastAsia="Arial" w:hAnsi="Arial"/>
                <w:sz w:val="19"/>
                <w:szCs w:val="19"/>
                <w:color w:val="0000FF"/>
                <w:w w:val="99"/>
              </w:rPr>
            </w:pPr>
            <w:hyperlink r:id="rId315">
              <w:r>
                <w:rPr>
                  <w:rFonts w:ascii="Arial" w:cs="Arial" w:eastAsia="Arial" w:hAnsi="Arial"/>
                  <w:sz w:val="19"/>
                  <w:szCs w:val="19"/>
                  <w:color w:val="0000FF"/>
                  <w:w w:val="99"/>
                </w:rPr>
                <w:t>Evergy, Inc. Nonqualified Deferred Compensation Plan, effective June 4, 2018</w:t>
              </w:r>
            </w:hyperlink>
          </w:p>
        </w:tc>
      </w:tr>
      <w:tr>
        <w:trPr>
          <w:trHeight w:val="168"/>
        </w:trPr>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960" w:type="dxa"/>
            <w:vAlign w:val="bottom"/>
            <w:tcBorders>
              <w:top w:val="single" w:sz="8" w:color="0000FF"/>
              <w:bottom w:val="single" w:sz="8" w:color="0000FF"/>
            </w:tcBorders>
            <w:gridSpan w:val="10"/>
          </w:tcPr>
          <w:p>
            <w:pPr>
              <w:spacing w:after="0" w:line="168" w:lineRule="exact"/>
              <w:rPr>
                <w:rFonts w:ascii="Arial" w:cs="Arial" w:eastAsia="Arial" w:hAnsi="Arial"/>
                <w:sz w:val="19"/>
                <w:szCs w:val="19"/>
                <w:color w:val="0000FF"/>
                <w:w w:val="92"/>
              </w:rPr>
            </w:pPr>
            <w:hyperlink r:id="rId315">
              <w:r>
                <w:rPr>
                  <w:rFonts w:ascii="Arial" w:cs="Arial" w:eastAsia="Arial" w:hAnsi="Arial"/>
                  <w:sz w:val="19"/>
                  <w:szCs w:val="19"/>
                  <w:color w:val="0000FF"/>
                  <w:w w:val="92"/>
                </w:rPr>
                <w:t>(Exhibit 10.39 to Evergy's Form 10-K for the fiscal year ended December 31,</w:t>
              </w:r>
            </w:hyperlink>
          </w:p>
        </w:tc>
        <w:tc>
          <w:tcPr>
            <w:tcW w:w="440" w:type="dxa"/>
            <w:vAlign w:val="bottom"/>
            <w:tcBorders>
              <w:bottom w:val="single" w:sz="8" w:color="0000FF"/>
            </w:tcBorders>
            <w:gridSpan w:val="13"/>
          </w:tcPr>
          <w:p>
            <w:pPr>
              <w:jc w:val="right"/>
              <w:spacing w:after="0" w:line="168" w:lineRule="exact"/>
              <w:rPr>
                <w:rFonts w:ascii="Arial" w:cs="Arial" w:eastAsia="Arial" w:hAnsi="Arial"/>
                <w:sz w:val="19"/>
                <w:szCs w:val="19"/>
                <w:color w:val="0000FF"/>
                <w:w w:val="77"/>
              </w:rPr>
            </w:pPr>
            <w:hyperlink r:id="rId315">
              <w:r>
                <w:rPr>
                  <w:rFonts w:ascii="Arial" w:cs="Arial" w:eastAsia="Arial" w:hAnsi="Arial"/>
                  <w:sz w:val="19"/>
                  <w:szCs w:val="19"/>
                  <w:color w:val="0000FF"/>
                  <w:w w:val="77"/>
                </w:rPr>
                <w:t>2018).</w:t>
              </w:r>
            </w:hyperlink>
          </w:p>
        </w:tc>
        <w:tc>
          <w:tcPr>
            <w:tcW w:w="140" w:type="dxa"/>
            <w:vAlign w:val="bottom"/>
            <w:gridSpan w:val="6"/>
          </w:tcPr>
          <w:p>
            <w:pPr>
              <w:spacing w:after="0"/>
              <w:rPr>
                <w:sz w:val="14"/>
                <w:szCs w:val="14"/>
                <w:color w:val="auto"/>
              </w:rPr>
            </w:pPr>
          </w:p>
        </w:tc>
      </w:tr>
      <w:tr>
        <w:trPr>
          <w:trHeight w:val="650"/>
        </w:trPr>
        <w:tc>
          <w:tcPr>
            <w:tcW w:w="900" w:type="dxa"/>
            <w:vAlign w:val="bottom"/>
          </w:tcPr>
          <w:p>
            <w:pPr>
              <w:jc w:val="right"/>
              <w:ind w:right="386"/>
              <w:spacing w:after="0"/>
              <w:rPr>
                <w:sz w:val="20"/>
                <w:szCs w:val="20"/>
                <w:color w:val="auto"/>
              </w:rPr>
            </w:pPr>
            <w:r>
              <w:rPr>
                <w:rFonts w:ascii="Arial" w:cs="Arial" w:eastAsia="Arial" w:hAnsi="Arial"/>
                <w:sz w:val="19"/>
                <w:szCs w:val="19"/>
                <w:color w:val="auto"/>
                <w:w w:val="84"/>
              </w:rPr>
              <w:t>10.41</w:t>
            </w:r>
          </w:p>
        </w:tc>
        <w:tc>
          <w:tcPr>
            <w:tcW w:w="90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6540" w:type="dxa"/>
            <w:vAlign w:val="bottom"/>
            <w:gridSpan w:val="29"/>
          </w:tcPr>
          <w:p>
            <w:pPr>
              <w:spacing w:after="0"/>
              <w:rPr>
                <w:rFonts w:ascii="Arial" w:cs="Arial" w:eastAsia="Arial" w:hAnsi="Arial"/>
                <w:sz w:val="19"/>
                <w:szCs w:val="19"/>
                <w:color w:val="0000FF"/>
                <w:w w:val="95"/>
              </w:rPr>
            </w:pPr>
            <w:hyperlink r:id="rId316">
              <w:r>
                <w:rPr>
                  <w:rFonts w:ascii="Arial" w:cs="Arial" w:eastAsia="Arial" w:hAnsi="Arial"/>
                  <w:sz w:val="19"/>
                  <w:szCs w:val="19"/>
                  <w:color w:val="0000FF"/>
                  <w:w w:val="95"/>
                </w:rPr>
                <w:t>Summary of Evergy, Inc. Non-Employee Director Compensation (Exhibit 10.14 to</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80" w:type="dxa"/>
            <w:vAlign w:val="bottom"/>
            <w:tcBorders>
              <w:top w:val="single" w:sz="8" w:color="0000FF"/>
            </w:tcBorders>
            <w:gridSpan w:val="18"/>
          </w:tcPr>
          <w:p>
            <w:pPr>
              <w:spacing w:after="0" w:line="161" w:lineRule="exact"/>
              <w:rPr>
                <w:rFonts w:ascii="Arial" w:cs="Arial" w:eastAsia="Arial" w:hAnsi="Arial"/>
                <w:sz w:val="18"/>
                <w:szCs w:val="18"/>
                <w:color w:val="0000FF"/>
              </w:rPr>
            </w:pPr>
            <w:hyperlink r:id="rId316">
              <w:r>
                <w:rPr>
                  <w:rFonts w:ascii="Arial" w:cs="Arial" w:eastAsia="Arial" w:hAnsi="Arial"/>
                  <w:sz w:val="18"/>
                  <w:szCs w:val="18"/>
                  <w:color w:val="0000FF"/>
                </w:rPr>
                <w:t>Evergy's For 10-Q for the quarter ended March 31, 2021).</w:t>
              </w:r>
            </w:hyperlink>
          </w:p>
        </w:tc>
        <w:tc>
          <w:tcPr>
            <w:tcW w:w="260" w:type="dxa"/>
            <w:vAlign w:val="bottom"/>
            <w:gridSpan w:val="11"/>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9"/>
          <w:szCs w:val="19"/>
          <w:color w:val="auto"/>
        </w:rPr>
        <w:t>Evergy Metro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ectPr>
          <w:pgSz w:w="11900" w:h="16838" w:orient="portrait"/>
          <w:cols w:equalWidth="0" w:num="2">
            <w:col w:w="8320" w:space="520"/>
            <w:col w:w="1740"/>
          </w:cols>
          <w:pgMar w:left="320" w:top="124" w:right="999" w:bottom="1440" w:gutter="0" w:footer="0" w:header="0"/>
        </w:sectPr>
      </w:pPr>
    </w:p>
    <w:bookmarkStart w:id="175" w:name="page176"/>
    <w:bookmarkEnd w:id="175"/>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9"/>
          <w:szCs w:val="19"/>
          <w:color w:val="auto"/>
        </w:rPr>
        <w:t>10.42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hanging="359"/>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w:t>
      </w:r>
      <w:r>
        <w:rPr>
          <w:sz w:val="20"/>
          <w:szCs w:val="20"/>
          <w:color w:val="auto"/>
        </w:rPr>
        <w:t xml:space="preserve"> </w:t>
      </w:r>
      <w:hyperlink r:id="rId318">
        <w:r>
          <w:rPr>
            <w:rFonts w:ascii="Arial" w:cs="Arial" w:eastAsia="Arial" w:hAnsi="Arial"/>
            <w:sz w:val="18"/>
            <w:szCs w:val="18"/>
            <w:u w:val="single" w:color="auto"/>
            <w:color w:val="0000FF"/>
          </w:rPr>
          <w:t>Credit Agreement, dated September 18, 2018, among Evergy, Inc., Evergy Metro, Inc.</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(formerly Kansas City Power &amp; Light Company), Evergy Missouri West, Inc.</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(formerly KCP&amp;L Greater Missouri Operations Company), Evergy Kansas Central,</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Inc. (formerly Westar Energy, Inc.), the several lenders from time to time parties</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thereto, Wells Fargo Bank, National Association, as Administrative Agent, Swingline</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Lender and Issuing Lender and the other issuing lenders and agents party thereto</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(Exhibit 10.1 to Evergy's Form 8-K filed September 18,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949" w:lineRule="exact"/>
        <w:rPr>
          <w:rFonts w:ascii="Arial" w:cs="Arial" w:eastAsia="Arial" w:hAnsi="Arial"/>
          <w:sz w:val="18"/>
          <w:szCs w:val="18"/>
          <w:u w:val="single" w:color="auto"/>
          <w:color w:val="0000FF"/>
        </w:rPr>
      </w:pPr>
    </w:p>
    <w:p>
      <w:pPr>
        <w:sectPr>
          <w:pgSz w:w="11900" w:h="16838" w:orient="portrait"/>
          <w:cols w:equalWidth="0" w:num="3">
            <w:col w:w="1340" w:space="480"/>
            <w:col w:w="6520" w:space="500"/>
            <w:col w:w="1740"/>
          </w:cols>
          <w:pgMar w:left="320" w:top="124" w:right="999" w:bottom="1440" w:gutter="0" w:footer="0" w:header="0"/>
        </w:sectPr>
      </w:pPr>
    </w:p>
    <w:p>
      <w:pPr>
        <w:spacing w:after="0" w:line="29"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18"/>
        </w:trPr>
        <w:tc>
          <w:tcPr>
            <w:tcW w:w="940" w:type="dxa"/>
            <w:vAlign w:val="bottom"/>
          </w:tcPr>
          <w:p>
            <w:pPr>
              <w:jc w:val="right"/>
              <w:ind w:right="426"/>
              <w:spacing w:after="0"/>
              <w:rPr>
                <w:sz w:val="20"/>
                <w:szCs w:val="20"/>
                <w:color w:val="auto"/>
              </w:rPr>
            </w:pPr>
            <w:r>
              <w:rPr>
                <w:rFonts w:ascii="Arial" w:cs="Arial" w:eastAsia="Arial" w:hAnsi="Arial"/>
                <w:sz w:val="19"/>
                <w:szCs w:val="19"/>
                <w:color w:val="auto"/>
                <w:w w:val="84"/>
              </w:rPr>
              <w:t>10.43</w:t>
            </w:r>
          </w:p>
        </w:tc>
        <w:tc>
          <w:tcPr>
            <w:tcW w:w="7440" w:type="dxa"/>
            <w:vAlign w:val="bottom"/>
            <w:gridSpan w:val="31"/>
          </w:tcPr>
          <w:p>
            <w:pPr>
              <w:ind w:left="50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319">
              <w:r>
                <w:rPr>
                  <w:rFonts w:ascii="Arial" w:cs="Arial" w:eastAsia="Arial" w:hAnsi="Arial"/>
                  <w:sz w:val="19"/>
                  <w:szCs w:val="19"/>
                  <w:color w:val="0000FF"/>
                  <w:w w:val="94"/>
                </w:rPr>
                <w:t>First Amendment, dated November 30, 2018, to Credit Agreement, dated September</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40" w:type="dxa"/>
            <w:vAlign w:val="bottom"/>
            <w:tcBorders>
              <w:top w:val="single" w:sz="8" w:color="0000FF"/>
            </w:tcBorders>
            <w:gridSpan w:val="23"/>
          </w:tcPr>
          <w:p>
            <w:pPr>
              <w:spacing w:after="0" w:line="161" w:lineRule="exact"/>
              <w:rPr>
                <w:rFonts w:ascii="Arial" w:cs="Arial" w:eastAsia="Arial" w:hAnsi="Arial"/>
                <w:sz w:val="18"/>
                <w:szCs w:val="18"/>
                <w:color w:val="0000FF"/>
              </w:rPr>
            </w:pPr>
            <w:hyperlink r:id="rId319">
              <w:r>
                <w:rPr>
                  <w:rFonts w:ascii="Arial" w:cs="Arial" w:eastAsia="Arial" w:hAnsi="Arial"/>
                  <w:sz w:val="18"/>
                  <w:szCs w:val="18"/>
                  <w:color w:val="0000FF"/>
                </w:rPr>
                <w:t>18, 2018, among Evergy, Inc., Evergy Metro, Inc. (formerly Kansas City Power &amp;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40" w:type="dxa"/>
            <w:vAlign w:val="bottom"/>
            <w:tcBorders>
              <w:top w:val="single" w:sz="8" w:color="0000FF"/>
            </w:tcBorders>
            <w:gridSpan w:val="15"/>
          </w:tcPr>
          <w:p>
            <w:pPr>
              <w:spacing w:after="0" w:line="148" w:lineRule="exact"/>
              <w:rPr>
                <w:rFonts w:ascii="Arial" w:cs="Arial" w:eastAsia="Arial" w:hAnsi="Arial"/>
                <w:sz w:val="17"/>
                <w:szCs w:val="17"/>
                <w:color w:val="0000FF"/>
              </w:rPr>
            </w:pPr>
            <w:hyperlink r:id="rId319">
              <w:r>
                <w:rPr>
                  <w:rFonts w:ascii="Arial" w:cs="Arial" w:eastAsia="Arial" w:hAnsi="Arial"/>
                  <w:sz w:val="17"/>
                  <w:szCs w:val="17"/>
                  <w:color w:val="0000FF"/>
                </w:rPr>
                <w:t>Light Company), Evergy Missouri West (formerly KCP&amp;L Greater Missouri</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20" w:type="dxa"/>
            <w:vAlign w:val="bottom"/>
            <w:tcBorders>
              <w:top w:val="single" w:sz="8" w:color="0000FF"/>
            </w:tcBorders>
            <w:gridSpan w:val="6"/>
          </w:tcPr>
          <w:p>
            <w:pPr>
              <w:spacing w:after="0" w:line="168" w:lineRule="exact"/>
              <w:rPr>
                <w:rFonts w:ascii="Arial" w:cs="Arial" w:eastAsia="Arial" w:hAnsi="Arial"/>
                <w:sz w:val="19"/>
                <w:szCs w:val="19"/>
                <w:color w:val="0000FF"/>
                <w:w w:val="89"/>
              </w:rPr>
            </w:pPr>
            <w:hyperlink r:id="rId319">
              <w:r>
                <w:rPr>
                  <w:rFonts w:ascii="Arial" w:cs="Arial" w:eastAsia="Arial" w:hAnsi="Arial"/>
                  <w:sz w:val="19"/>
                  <w:szCs w:val="19"/>
                  <w:color w:val="0000FF"/>
                  <w:w w:val="89"/>
                </w:rPr>
                <w:t>Operations Company), Evergy Kansas Central, Inc. (formerly Westar Energy,</w:t>
              </w:r>
            </w:hyperlink>
          </w:p>
        </w:tc>
        <w:tc>
          <w:tcPr>
            <w:tcW w:w="40" w:type="dxa"/>
            <w:vAlign w:val="bottom"/>
          </w:tcPr>
          <w:p>
            <w:pPr>
              <w:spacing w:after="0"/>
              <w:rPr>
                <w:sz w:val="14"/>
                <w:szCs w:val="14"/>
                <w:color w:val="auto"/>
              </w:rPr>
            </w:pPr>
          </w:p>
        </w:tc>
        <w:tc>
          <w:tcPr>
            <w:tcW w:w="720" w:type="dxa"/>
            <w:vAlign w:val="bottom"/>
            <w:gridSpan w:val="23"/>
          </w:tcPr>
          <w:p>
            <w:pPr>
              <w:ind w:left="40"/>
              <w:spacing w:after="0" w:line="168" w:lineRule="exact"/>
              <w:rPr>
                <w:rFonts w:ascii="Arial" w:cs="Arial" w:eastAsia="Arial" w:hAnsi="Arial"/>
                <w:sz w:val="19"/>
                <w:szCs w:val="19"/>
                <w:color w:val="0000FF"/>
              </w:rPr>
            </w:pPr>
            <w:hyperlink r:id="rId319">
              <w:r>
                <w:rPr>
                  <w:rFonts w:ascii="Arial" w:cs="Arial" w:eastAsia="Arial" w:hAnsi="Arial"/>
                  <w:sz w:val="19"/>
                  <w:szCs w:val="19"/>
                  <w:color w:val="0000FF"/>
                </w:rPr>
                <w:t>Inc.),</w:t>
              </w:r>
            </w:hyperlink>
          </w:p>
        </w:tc>
      </w:tr>
      <w:tr>
        <w:trPr>
          <w:trHeight w:val="153"/>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320" w:type="dxa"/>
            <w:vAlign w:val="bottom"/>
            <w:tcBorders>
              <w:top w:val="single" w:sz="8" w:color="0000FF"/>
            </w:tcBorders>
            <w:gridSpan w:val="17"/>
          </w:tcPr>
          <w:p>
            <w:pPr>
              <w:spacing w:after="0" w:line="148" w:lineRule="exact"/>
              <w:rPr>
                <w:rFonts w:ascii="Arial" w:cs="Arial" w:eastAsia="Arial" w:hAnsi="Arial"/>
                <w:sz w:val="17"/>
                <w:szCs w:val="17"/>
                <w:color w:val="0000FF"/>
              </w:rPr>
            </w:pPr>
            <w:hyperlink r:id="rId319">
              <w:r>
                <w:rPr>
                  <w:rFonts w:ascii="Arial" w:cs="Arial" w:eastAsia="Arial" w:hAnsi="Arial"/>
                  <w:sz w:val="17"/>
                  <w:szCs w:val="17"/>
                  <w:color w:val="0000FF"/>
                </w:rPr>
                <w:t>the several lenders from time to time parties thereto, Wells Fargo 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00" w:type="dxa"/>
            <w:vAlign w:val="bottom"/>
            <w:tcBorders>
              <w:top w:val="single" w:sz="8" w:color="0000FF"/>
            </w:tcBorders>
            <w:gridSpan w:val="9"/>
          </w:tcPr>
          <w:p>
            <w:pPr>
              <w:spacing w:after="0" w:line="168" w:lineRule="exact"/>
              <w:rPr>
                <w:rFonts w:ascii="Arial" w:cs="Arial" w:eastAsia="Arial" w:hAnsi="Arial"/>
                <w:sz w:val="19"/>
                <w:szCs w:val="19"/>
                <w:color w:val="0000FF"/>
                <w:w w:val="91"/>
              </w:rPr>
            </w:pPr>
            <w:hyperlink r:id="rId319">
              <w:r>
                <w:rPr>
                  <w:rFonts w:ascii="Arial" w:cs="Arial" w:eastAsia="Arial" w:hAnsi="Arial"/>
                  <w:sz w:val="19"/>
                  <w:szCs w:val="19"/>
                  <w:color w:val="0000FF"/>
                  <w:w w:val="91"/>
                </w:rPr>
                <w:t>Association, as Administrative Agent, Swingline Lender and Issuing Lender and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40" w:type="dxa"/>
            <w:vAlign w:val="bottom"/>
            <w:gridSpan w:val="18"/>
          </w:tcPr>
          <w:p>
            <w:pPr>
              <w:spacing w:after="0" w:line="168" w:lineRule="exact"/>
              <w:rPr>
                <w:rFonts w:ascii="Arial" w:cs="Arial" w:eastAsia="Arial" w:hAnsi="Arial"/>
                <w:sz w:val="19"/>
                <w:szCs w:val="19"/>
                <w:color w:val="0000FF"/>
              </w:rPr>
            </w:pPr>
            <w:hyperlink r:id="rId319">
              <w:r>
                <w:rPr>
                  <w:rFonts w:ascii="Arial" w:cs="Arial" w:eastAsia="Arial" w:hAnsi="Arial"/>
                  <w:sz w:val="19"/>
                  <w:szCs w:val="19"/>
                  <w:color w:val="0000FF"/>
                </w:rPr>
                <w:t>the</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20" w:type="dxa"/>
            <w:vAlign w:val="bottom"/>
            <w:tcBorders>
              <w:top w:val="single" w:sz="8" w:color="0000FF"/>
            </w:tcBorders>
            <w:gridSpan w:val="22"/>
          </w:tcPr>
          <w:p>
            <w:pPr>
              <w:spacing w:after="0" w:line="161" w:lineRule="exact"/>
              <w:rPr>
                <w:rFonts w:ascii="Arial" w:cs="Arial" w:eastAsia="Arial" w:hAnsi="Arial"/>
                <w:sz w:val="18"/>
                <w:szCs w:val="18"/>
                <w:color w:val="0000FF"/>
                <w:w w:val="96"/>
              </w:rPr>
            </w:pPr>
            <w:hyperlink r:id="rId319">
              <w:r>
                <w:rPr>
                  <w:rFonts w:ascii="Arial" w:cs="Arial" w:eastAsia="Arial" w:hAnsi="Arial"/>
                  <w:sz w:val="18"/>
                  <w:szCs w:val="18"/>
                  <w:color w:val="0000FF"/>
                  <w:w w:val="96"/>
                </w:rPr>
                <w:t>other issuing lenders and agents party thereto (Exhibit 10.42 to Evergy's Form 10-K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3"/>
          </w:tcPr>
          <w:p>
            <w:pPr>
              <w:spacing w:after="0" w:line="161" w:lineRule="exact"/>
              <w:rPr>
                <w:rFonts w:ascii="Arial" w:cs="Arial" w:eastAsia="Arial" w:hAnsi="Arial"/>
                <w:sz w:val="18"/>
                <w:szCs w:val="18"/>
                <w:color w:val="0000FF"/>
                <w:w w:val="94"/>
              </w:rPr>
            </w:pPr>
            <w:hyperlink r:id="rId319">
              <w:r>
                <w:rPr>
                  <w:rFonts w:ascii="Arial" w:cs="Arial" w:eastAsia="Arial" w:hAnsi="Arial"/>
                  <w:sz w:val="18"/>
                  <w:szCs w:val="18"/>
                  <w:color w:val="0000FF"/>
                  <w:w w:val="94"/>
                </w:rPr>
                <w:t>for the fiscal year ended December 31, 2018).</w:t>
              </w:r>
            </w:hyperlink>
          </w:p>
        </w:tc>
        <w:tc>
          <w:tcPr>
            <w:tcW w:w="29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940" w:type="dxa"/>
            <w:vAlign w:val="bottom"/>
          </w:tcPr>
          <w:p>
            <w:pPr>
              <w:jc w:val="right"/>
              <w:ind w:right="426"/>
              <w:spacing w:after="0"/>
              <w:rPr>
                <w:sz w:val="20"/>
                <w:szCs w:val="20"/>
                <w:color w:val="auto"/>
              </w:rPr>
            </w:pPr>
            <w:r>
              <w:rPr>
                <w:rFonts w:ascii="Arial" w:cs="Arial" w:eastAsia="Arial" w:hAnsi="Arial"/>
                <w:sz w:val="19"/>
                <w:szCs w:val="19"/>
                <w:color w:val="auto"/>
                <w:w w:val="84"/>
              </w:rPr>
              <w:t>10.44</w:t>
            </w:r>
          </w:p>
        </w:tc>
        <w:tc>
          <w:tcPr>
            <w:tcW w:w="7440" w:type="dxa"/>
            <w:vAlign w:val="bottom"/>
            <w:gridSpan w:val="31"/>
          </w:tcPr>
          <w:p>
            <w:pPr>
              <w:ind w:left="500"/>
              <w:spacing w:after="0"/>
              <w:rPr>
                <w:rFonts w:ascii="Arial" w:cs="Arial" w:eastAsia="Arial" w:hAnsi="Arial"/>
                <w:sz w:val="19"/>
                <w:szCs w:val="19"/>
                <w:color w:val="auto"/>
                <w:w w:val="97"/>
              </w:rPr>
            </w:pPr>
            <w:r>
              <w:rPr>
                <w:rFonts w:ascii="Arial" w:cs="Arial" w:eastAsia="Arial" w:hAnsi="Arial"/>
                <w:sz w:val="19"/>
                <w:szCs w:val="19"/>
                <w:color w:val="auto"/>
                <w:w w:val="97"/>
              </w:rPr>
              <w:t xml:space="preserve">*   </w:t>
            </w:r>
            <w:hyperlink r:id="rId320">
              <w:r>
                <w:rPr>
                  <w:rFonts w:ascii="Arial" w:cs="Arial" w:eastAsia="Arial" w:hAnsi="Arial"/>
                  <w:sz w:val="19"/>
                  <w:szCs w:val="19"/>
                  <w:color w:val="0000FF"/>
                  <w:w w:val="97"/>
                </w:rPr>
                <w:t>Amended and Restated Credit Agreement, dated August 31, 2021, by and among</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7"/>
          </w:tcPr>
          <w:p>
            <w:pPr>
              <w:spacing w:after="0" w:line="161" w:lineRule="exact"/>
              <w:rPr>
                <w:rFonts w:ascii="Arial" w:cs="Arial" w:eastAsia="Arial" w:hAnsi="Arial"/>
                <w:sz w:val="18"/>
                <w:szCs w:val="18"/>
                <w:color w:val="0000FF"/>
                <w:w w:val="97"/>
              </w:rPr>
            </w:pPr>
            <w:hyperlink r:id="rId320">
              <w:r>
                <w:rPr>
                  <w:rFonts w:ascii="Arial" w:cs="Arial" w:eastAsia="Arial" w:hAnsi="Arial"/>
                  <w:sz w:val="18"/>
                  <w:szCs w:val="18"/>
                  <w:color w:val="0000FF"/>
                  <w:w w:val="97"/>
                </w:rPr>
                <w:t>Evergy, Inc., Evergy Missouri West, Inc. (formerly KCP&amp;L Greater Missouri</w:t>
              </w:r>
            </w:hyperlink>
          </w:p>
        </w:tc>
        <w:tc>
          <w:tcPr>
            <w:tcW w:w="28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140" w:type="dxa"/>
            <w:vAlign w:val="bottom"/>
            <w:tcBorders>
              <w:bottom w:val="single" w:sz="8" w:color="0000FF"/>
            </w:tcBorders>
            <w:gridSpan w:val="12"/>
          </w:tcPr>
          <w:p>
            <w:pPr>
              <w:spacing w:after="0" w:line="161" w:lineRule="exact"/>
              <w:rPr>
                <w:rFonts w:ascii="Arial" w:cs="Arial" w:eastAsia="Arial" w:hAnsi="Arial"/>
                <w:sz w:val="18"/>
                <w:szCs w:val="18"/>
                <w:color w:val="0000FF"/>
                <w:w w:val="97"/>
              </w:rPr>
            </w:pPr>
            <w:hyperlink r:id="rId320">
              <w:r>
                <w:rPr>
                  <w:rFonts w:ascii="Arial" w:cs="Arial" w:eastAsia="Arial" w:hAnsi="Arial"/>
                  <w:sz w:val="18"/>
                  <w:szCs w:val="18"/>
                  <w:color w:val="0000FF"/>
                  <w:w w:val="97"/>
                </w:rPr>
                <w:t>Operations Company), Evergy Metro, Inc. (formerly Kansas City Power &amp; Light</w:t>
              </w:r>
            </w:hyperlink>
          </w:p>
        </w:tc>
        <w:tc>
          <w:tcPr>
            <w:tcW w:w="440" w:type="dxa"/>
            <w:vAlign w:val="bottom"/>
            <w:gridSpan w:val="18"/>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580" w:type="dxa"/>
            <w:vAlign w:val="bottom"/>
            <w:gridSpan w:val="30"/>
          </w:tcPr>
          <w:p>
            <w:pPr>
              <w:spacing w:after="0" w:line="161" w:lineRule="exact"/>
              <w:rPr>
                <w:rFonts w:ascii="Arial" w:cs="Arial" w:eastAsia="Arial" w:hAnsi="Arial"/>
                <w:sz w:val="18"/>
                <w:szCs w:val="18"/>
                <w:color w:val="0000FF"/>
                <w:w w:val="96"/>
              </w:rPr>
            </w:pPr>
            <w:hyperlink r:id="rId320">
              <w:r>
                <w:rPr>
                  <w:rFonts w:ascii="Arial" w:cs="Arial" w:eastAsia="Arial" w:hAnsi="Arial"/>
                  <w:sz w:val="18"/>
                  <w:szCs w:val="18"/>
                  <w:color w:val="0000FF"/>
                  <w:w w:val="96"/>
                </w:rPr>
                <w:t>Company), Evergy Kansas Central, Inc. (formerly Westar Energy, Inc.), as Borrowers,</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540" w:type="dxa"/>
            <w:vAlign w:val="bottom"/>
            <w:tcBorders>
              <w:top w:val="single" w:sz="8" w:color="0000FF"/>
            </w:tcBorders>
            <w:gridSpan w:val="28"/>
          </w:tcPr>
          <w:p>
            <w:pPr>
              <w:spacing w:after="0" w:line="161" w:lineRule="exact"/>
              <w:rPr>
                <w:rFonts w:ascii="Arial" w:cs="Arial" w:eastAsia="Arial" w:hAnsi="Arial"/>
                <w:sz w:val="18"/>
                <w:szCs w:val="18"/>
                <w:color w:val="0000FF"/>
              </w:rPr>
            </w:pPr>
            <w:hyperlink r:id="rId320">
              <w:r>
                <w:rPr>
                  <w:rFonts w:ascii="Arial" w:cs="Arial" w:eastAsia="Arial" w:hAnsi="Arial"/>
                  <w:sz w:val="18"/>
                  <w:szCs w:val="18"/>
                  <w:color w:val="0000FF"/>
                </w:rPr>
                <w:t>the lenders referred to therein, as Lenders, and Wells Fargo 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580" w:type="dxa"/>
            <w:vAlign w:val="bottom"/>
            <w:gridSpan w:val="30"/>
          </w:tcPr>
          <w:p>
            <w:pPr>
              <w:spacing w:after="0" w:line="161" w:lineRule="exact"/>
              <w:rPr>
                <w:rFonts w:ascii="Arial" w:cs="Arial" w:eastAsia="Arial" w:hAnsi="Arial"/>
                <w:sz w:val="18"/>
                <w:szCs w:val="18"/>
                <w:color w:val="0000FF"/>
                <w:w w:val="98"/>
              </w:rPr>
            </w:pPr>
            <w:hyperlink r:id="rId320">
              <w:r>
                <w:rPr>
                  <w:rFonts w:ascii="Arial" w:cs="Arial" w:eastAsia="Arial" w:hAnsi="Arial"/>
                  <w:sz w:val="18"/>
                  <w:szCs w:val="18"/>
                  <w:color w:val="0000FF"/>
                  <w:w w:val="98"/>
                </w:rPr>
                <w:t>Association, as Administrative Agent, Swingline Lender and Issuing Lender, Bank of</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4"/>
          </w:tcPr>
          <w:p>
            <w:pPr>
              <w:spacing w:after="0" w:line="161" w:lineRule="exact"/>
              <w:rPr>
                <w:rFonts w:ascii="Arial" w:cs="Arial" w:eastAsia="Arial" w:hAnsi="Arial"/>
                <w:sz w:val="18"/>
                <w:szCs w:val="18"/>
                <w:color w:val="0000FF"/>
                <w:w w:val="98"/>
              </w:rPr>
            </w:pPr>
            <w:hyperlink r:id="rId320">
              <w:r>
                <w:rPr>
                  <w:rFonts w:ascii="Arial" w:cs="Arial" w:eastAsia="Arial" w:hAnsi="Arial"/>
                  <w:sz w:val="18"/>
                  <w:szCs w:val="18"/>
                  <w:color w:val="0000FF"/>
                  <w:w w:val="98"/>
                </w:rPr>
                <w:t>America, N.A., Citibank, N.A., MUFG Bank, Ltd., TD Bank, N.A. and U.S. Bank</w:t>
              </w:r>
            </w:hyperlink>
          </w:p>
        </w:tc>
        <w:tc>
          <w:tcPr>
            <w:tcW w:w="30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580" w:type="dxa"/>
            <w:vAlign w:val="bottom"/>
            <w:gridSpan w:val="30"/>
          </w:tcPr>
          <w:p>
            <w:pPr>
              <w:spacing w:after="0" w:line="161" w:lineRule="exact"/>
              <w:rPr>
                <w:rFonts w:ascii="Arial" w:cs="Arial" w:eastAsia="Arial" w:hAnsi="Arial"/>
                <w:sz w:val="18"/>
                <w:szCs w:val="18"/>
                <w:color w:val="0000FF"/>
              </w:rPr>
            </w:pPr>
            <w:hyperlink r:id="rId320">
              <w:r>
                <w:rPr>
                  <w:rFonts w:ascii="Arial" w:cs="Arial" w:eastAsia="Arial" w:hAnsi="Arial"/>
                  <w:sz w:val="18"/>
                  <w:szCs w:val="18"/>
                  <w:color w:val="0000FF"/>
                </w:rPr>
                <w:t>National Association as Co-Syndication Agents and Issuing Lenders, Wells Fargo</w:t>
              </w:r>
            </w:hyperlink>
          </w:p>
        </w:tc>
      </w:tr>
      <w:tr>
        <w:trPr>
          <w:trHeight w:val="153"/>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18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320">
              <w:r>
                <w:rPr>
                  <w:rFonts w:ascii="Arial" w:cs="Arial" w:eastAsia="Arial" w:hAnsi="Arial"/>
                  <w:sz w:val="17"/>
                  <w:szCs w:val="17"/>
                  <w:color w:val="0000FF"/>
                </w:rPr>
                <w:t>Securities, LLC, as Sustainability Structuring Agent, and Wells Fargo Securities,</w:t>
              </w:r>
            </w:hyperlink>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20" w:type="dxa"/>
            <w:vAlign w:val="bottom"/>
            <w:tcBorders>
              <w:top w:val="single" w:sz="8" w:color="0000FF"/>
            </w:tcBorders>
            <w:gridSpan w:val="10"/>
          </w:tcPr>
          <w:p>
            <w:pPr>
              <w:spacing w:after="0" w:line="168" w:lineRule="exact"/>
              <w:rPr>
                <w:rFonts w:ascii="Arial" w:cs="Arial" w:eastAsia="Arial" w:hAnsi="Arial"/>
                <w:sz w:val="19"/>
                <w:szCs w:val="19"/>
                <w:color w:val="0000FF"/>
                <w:w w:val="94"/>
              </w:rPr>
            </w:pPr>
            <w:hyperlink r:id="rId320">
              <w:r>
                <w:rPr>
                  <w:rFonts w:ascii="Arial" w:cs="Arial" w:eastAsia="Arial" w:hAnsi="Arial"/>
                  <w:sz w:val="19"/>
                  <w:szCs w:val="19"/>
                  <w:color w:val="0000FF"/>
                  <w:w w:val="94"/>
                </w:rPr>
                <w:t>LLC, Citigroup Global Markets Inc., BOFA Securities, Inc., MUFG Bank, Ltd.,</w:t>
              </w:r>
            </w:hyperlink>
          </w:p>
        </w:tc>
        <w:tc>
          <w:tcPr>
            <w:tcW w:w="460" w:type="dxa"/>
            <w:vAlign w:val="bottom"/>
            <w:gridSpan w:val="20"/>
          </w:tcPr>
          <w:p>
            <w:pPr>
              <w:spacing w:after="0" w:line="168" w:lineRule="exact"/>
              <w:rPr>
                <w:rFonts w:ascii="Arial" w:cs="Arial" w:eastAsia="Arial" w:hAnsi="Arial"/>
                <w:sz w:val="19"/>
                <w:szCs w:val="19"/>
                <w:color w:val="0000FF"/>
              </w:rPr>
            </w:pPr>
            <w:hyperlink r:id="rId320">
              <w:r>
                <w:rPr>
                  <w:rFonts w:ascii="Arial" w:cs="Arial" w:eastAsia="Arial" w:hAnsi="Arial"/>
                  <w:sz w:val="19"/>
                  <w:szCs w:val="19"/>
                  <w:color w:val="0000FF"/>
                </w:rPr>
                <w:t>TD</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8"/>
          </w:tcPr>
          <w:p>
            <w:pPr>
              <w:spacing w:after="0" w:line="161" w:lineRule="exact"/>
              <w:rPr>
                <w:rFonts w:ascii="Arial" w:cs="Arial" w:eastAsia="Arial" w:hAnsi="Arial"/>
                <w:sz w:val="18"/>
                <w:szCs w:val="18"/>
                <w:color w:val="0000FF"/>
                <w:w w:val="96"/>
              </w:rPr>
            </w:pPr>
            <w:hyperlink r:id="rId320">
              <w:r>
                <w:rPr>
                  <w:rFonts w:ascii="Arial" w:cs="Arial" w:eastAsia="Arial" w:hAnsi="Arial"/>
                  <w:sz w:val="18"/>
                  <w:szCs w:val="18"/>
                  <w:color w:val="0000FF"/>
                  <w:w w:val="96"/>
                </w:rPr>
                <w:t>Securities (USA) LLC and U.S. Bank National Association as Joint Lead Arrangers</w:t>
              </w:r>
            </w:hyperlink>
          </w:p>
        </w:tc>
        <w:tc>
          <w:tcPr>
            <w:tcW w:w="2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580" w:type="dxa"/>
            <w:vAlign w:val="bottom"/>
            <w:tcBorders>
              <w:bottom w:val="single" w:sz="8" w:color="0000FF"/>
            </w:tcBorders>
            <w:gridSpan w:val="30"/>
          </w:tcPr>
          <w:p>
            <w:pPr>
              <w:spacing w:after="0" w:line="161" w:lineRule="exact"/>
              <w:rPr>
                <w:rFonts w:ascii="Arial" w:cs="Arial" w:eastAsia="Arial" w:hAnsi="Arial"/>
                <w:sz w:val="18"/>
                <w:szCs w:val="18"/>
                <w:color w:val="0000FF"/>
                <w:w w:val="97"/>
              </w:rPr>
            </w:pPr>
            <w:hyperlink r:id="rId320">
              <w:r>
                <w:rPr>
                  <w:rFonts w:ascii="Arial" w:cs="Arial" w:eastAsia="Arial" w:hAnsi="Arial"/>
                  <w:sz w:val="18"/>
                  <w:szCs w:val="18"/>
                  <w:color w:val="0000FF"/>
                  <w:w w:val="97"/>
                </w:rPr>
                <w:t>and Joint Bookrunners. (Exhibit 10.1 to Evergy's Form 8-K filed on August 31, 2021).</w:t>
              </w:r>
            </w:hyperlink>
          </w:p>
        </w:tc>
      </w:tr>
      <w:tr>
        <w:trPr>
          <w:trHeight w:val="470"/>
        </w:trPr>
        <w:tc>
          <w:tcPr>
            <w:tcW w:w="940" w:type="dxa"/>
            <w:vAlign w:val="bottom"/>
          </w:tcPr>
          <w:p>
            <w:pPr>
              <w:jc w:val="right"/>
              <w:ind w:right="426"/>
              <w:spacing w:after="0"/>
              <w:rPr>
                <w:sz w:val="20"/>
                <w:szCs w:val="20"/>
                <w:color w:val="auto"/>
              </w:rPr>
            </w:pPr>
            <w:r>
              <w:rPr>
                <w:rFonts w:ascii="Arial" w:cs="Arial" w:eastAsia="Arial" w:hAnsi="Arial"/>
                <w:sz w:val="19"/>
                <w:szCs w:val="19"/>
                <w:color w:val="auto"/>
                <w:w w:val="84"/>
              </w:rPr>
              <w:t>10.45</w:t>
            </w:r>
          </w:p>
        </w:tc>
        <w:tc>
          <w:tcPr>
            <w:tcW w:w="7440" w:type="dxa"/>
            <w:vAlign w:val="bottom"/>
            <w:gridSpan w:val="31"/>
          </w:tcPr>
          <w:p>
            <w:pPr>
              <w:ind w:left="500"/>
              <w:spacing w:after="0"/>
              <w:rPr>
                <w:rFonts w:ascii="Arial" w:cs="Arial" w:eastAsia="Arial" w:hAnsi="Arial"/>
                <w:sz w:val="19"/>
                <w:szCs w:val="19"/>
                <w:color w:val="auto"/>
                <w:w w:val="98"/>
              </w:rPr>
            </w:pPr>
            <w:r>
              <w:rPr>
                <w:rFonts w:ascii="Arial" w:cs="Arial" w:eastAsia="Arial" w:hAnsi="Arial"/>
                <w:sz w:val="19"/>
                <w:szCs w:val="19"/>
                <w:color w:val="auto"/>
                <w:w w:val="98"/>
              </w:rPr>
              <w:t xml:space="preserve">*   </w:t>
            </w:r>
            <w:hyperlink r:id="rId321">
              <w:r>
                <w:rPr>
                  <w:rFonts w:ascii="Arial" w:cs="Arial" w:eastAsia="Arial" w:hAnsi="Arial"/>
                  <w:sz w:val="19"/>
                  <w:szCs w:val="19"/>
                  <w:color w:val="0000FF"/>
                  <w:w w:val="98"/>
                </w:rPr>
                <w:t>Term Loan Agreement, dated March 15, 2019, by and among Evergy, Inc., Wells</w:t>
              </w:r>
            </w:hyperlink>
          </w:p>
        </w:tc>
      </w:tr>
      <w:tr>
        <w:trPr>
          <w:trHeight w:val="20"/>
        </w:trPr>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580" w:type="dxa"/>
            <w:vAlign w:val="bottom"/>
            <w:gridSpan w:val="30"/>
          </w:tcPr>
          <w:p>
            <w:pPr>
              <w:spacing w:after="0" w:line="161" w:lineRule="exact"/>
              <w:rPr>
                <w:rFonts w:ascii="Arial" w:cs="Arial" w:eastAsia="Arial" w:hAnsi="Arial"/>
                <w:sz w:val="18"/>
                <w:szCs w:val="18"/>
                <w:color w:val="0000FF"/>
                <w:w w:val="98"/>
              </w:rPr>
            </w:pPr>
            <w:hyperlink r:id="rId321">
              <w:r>
                <w:rPr>
                  <w:rFonts w:ascii="Arial" w:cs="Arial" w:eastAsia="Arial" w:hAnsi="Arial"/>
                  <w:sz w:val="18"/>
                  <w:szCs w:val="18"/>
                  <w:color w:val="0000FF"/>
                  <w:w w:val="98"/>
                </w:rPr>
                <w:t>Fargo Bank, National Association, as Administrative Agent, and the lenders referred</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6"/>
              </w:rPr>
            </w:pPr>
            <w:hyperlink r:id="rId321">
              <w:r>
                <w:rPr>
                  <w:rFonts w:ascii="Arial" w:cs="Arial" w:eastAsia="Arial" w:hAnsi="Arial"/>
                  <w:sz w:val="18"/>
                  <w:szCs w:val="18"/>
                  <w:color w:val="0000FF"/>
                  <w:w w:val="96"/>
                </w:rPr>
                <w:t>to therein (Exhibit 10.1 to Evergy's Form 8-K on March 15, 2019).</w:t>
              </w:r>
            </w:hyperlink>
          </w:p>
        </w:tc>
        <w:tc>
          <w:tcPr>
            <w:tcW w:w="14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463"/>
        </w:trPr>
        <w:tc>
          <w:tcPr>
            <w:tcW w:w="940" w:type="dxa"/>
            <w:vAlign w:val="bottom"/>
          </w:tcPr>
          <w:p>
            <w:pPr>
              <w:jc w:val="right"/>
              <w:ind w:right="426"/>
              <w:spacing w:after="0"/>
              <w:rPr>
                <w:sz w:val="20"/>
                <w:szCs w:val="20"/>
                <w:color w:val="auto"/>
              </w:rPr>
            </w:pPr>
            <w:r>
              <w:rPr>
                <w:rFonts w:ascii="Arial" w:cs="Arial" w:eastAsia="Arial" w:hAnsi="Arial"/>
                <w:sz w:val="19"/>
                <w:szCs w:val="19"/>
                <w:color w:val="auto"/>
                <w:w w:val="84"/>
              </w:rPr>
              <w:t>10.46</w:t>
            </w:r>
          </w:p>
        </w:tc>
        <w:tc>
          <w:tcPr>
            <w:tcW w:w="7440" w:type="dxa"/>
            <w:vAlign w:val="bottom"/>
            <w:gridSpan w:val="31"/>
          </w:tcPr>
          <w:p>
            <w:pPr>
              <w:ind w:left="500"/>
              <w:spacing w:after="0"/>
              <w:rPr>
                <w:rFonts w:ascii="Arial" w:cs="Arial" w:eastAsia="Arial" w:hAnsi="Arial"/>
                <w:sz w:val="19"/>
                <w:szCs w:val="19"/>
                <w:color w:val="auto"/>
                <w:w w:val="98"/>
              </w:rPr>
            </w:pPr>
            <w:r>
              <w:rPr>
                <w:rFonts w:ascii="Arial" w:cs="Arial" w:eastAsia="Arial" w:hAnsi="Arial"/>
                <w:sz w:val="19"/>
                <w:szCs w:val="19"/>
                <w:color w:val="auto"/>
                <w:w w:val="98"/>
              </w:rPr>
              <w:t xml:space="preserve">*   </w:t>
            </w:r>
            <w:hyperlink r:id="rId322">
              <w:r>
                <w:rPr>
                  <w:rFonts w:ascii="Arial" w:cs="Arial" w:eastAsia="Arial" w:hAnsi="Arial"/>
                  <w:sz w:val="19"/>
                  <w:szCs w:val="19"/>
                  <w:color w:val="0000FF"/>
                  <w:w w:val="98"/>
                </w:rPr>
                <w:t>Guaranty, dated July 15, 2008, issued by Evergy, Inc. (successor to Great Plains</w:t>
              </w:r>
            </w:hyperlink>
          </w:p>
        </w:tc>
      </w:tr>
      <w:tr>
        <w:trPr>
          <w:trHeight w:val="168"/>
        </w:trPr>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40" w:type="dxa"/>
            <w:vAlign w:val="bottom"/>
            <w:tcBorders>
              <w:top w:val="single" w:sz="8" w:color="0000FF"/>
            </w:tcBorders>
            <w:gridSpan w:val="8"/>
          </w:tcPr>
          <w:p>
            <w:pPr>
              <w:spacing w:after="0" w:line="168" w:lineRule="exact"/>
              <w:rPr>
                <w:rFonts w:ascii="Arial" w:cs="Arial" w:eastAsia="Arial" w:hAnsi="Arial"/>
                <w:sz w:val="19"/>
                <w:szCs w:val="19"/>
                <w:color w:val="0000FF"/>
                <w:w w:val="93"/>
              </w:rPr>
            </w:pPr>
            <w:hyperlink r:id="rId322">
              <w:r>
                <w:rPr>
                  <w:rFonts w:ascii="Arial" w:cs="Arial" w:eastAsia="Arial" w:hAnsi="Arial"/>
                  <w:sz w:val="19"/>
                  <w:szCs w:val="19"/>
                  <w:color w:val="0000FF"/>
                  <w:w w:val="93"/>
                </w:rPr>
                <w:t>Energy Incorporated) in favor of Union Bank of California, N.A., as successor</w:t>
              </w:r>
            </w:hyperlink>
          </w:p>
        </w:tc>
        <w:tc>
          <w:tcPr>
            <w:tcW w:w="540" w:type="dxa"/>
            <w:vAlign w:val="bottom"/>
            <w:gridSpan w:val="22"/>
          </w:tcPr>
          <w:p>
            <w:pPr>
              <w:spacing w:after="0" w:line="168" w:lineRule="exact"/>
              <w:rPr>
                <w:rFonts w:ascii="Arial" w:cs="Arial" w:eastAsia="Arial" w:hAnsi="Arial"/>
                <w:sz w:val="19"/>
                <w:szCs w:val="19"/>
                <w:color w:val="0000FF"/>
                <w:w w:val="81"/>
              </w:rPr>
            </w:pPr>
            <w:hyperlink r:id="rId322">
              <w:r>
                <w:rPr>
                  <w:rFonts w:ascii="Arial" w:cs="Arial" w:eastAsia="Arial" w:hAnsi="Arial"/>
                  <w:sz w:val="19"/>
                  <w:szCs w:val="19"/>
                  <w:color w:val="0000FF"/>
                  <w:w w:val="81"/>
                </w:rPr>
                <w:t>trustee,</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11"/>
          </w:tcPr>
          <w:p>
            <w:pPr>
              <w:spacing w:after="0" w:line="161" w:lineRule="exact"/>
              <w:rPr>
                <w:rFonts w:ascii="Arial" w:cs="Arial" w:eastAsia="Arial" w:hAnsi="Arial"/>
                <w:sz w:val="18"/>
                <w:szCs w:val="18"/>
                <w:color w:val="0000FF"/>
                <w:w w:val="97"/>
              </w:rPr>
            </w:pPr>
            <w:hyperlink r:id="rId322">
              <w:r>
                <w:rPr>
                  <w:rFonts w:ascii="Arial" w:cs="Arial" w:eastAsia="Arial" w:hAnsi="Arial"/>
                  <w:sz w:val="18"/>
                  <w:szCs w:val="18"/>
                  <w:color w:val="0000FF"/>
                  <w:w w:val="97"/>
                </w:rPr>
                <w:t>and the holders of the Evergy Missouri West, Inc. (formerly Aquila, Inc.), 8.27%</w:t>
              </w:r>
            </w:hyperlink>
          </w:p>
        </w:tc>
        <w:tc>
          <w:tcPr>
            <w:tcW w:w="4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580" w:type="dxa"/>
            <w:vAlign w:val="bottom"/>
            <w:gridSpan w:val="30"/>
          </w:tcPr>
          <w:p>
            <w:pPr>
              <w:spacing w:after="0" w:line="161" w:lineRule="exact"/>
              <w:rPr>
                <w:rFonts w:ascii="Arial" w:cs="Arial" w:eastAsia="Arial" w:hAnsi="Arial"/>
                <w:sz w:val="18"/>
                <w:szCs w:val="18"/>
                <w:color w:val="0000FF"/>
                <w:w w:val="97"/>
              </w:rPr>
            </w:pPr>
            <w:hyperlink r:id="rId322">
              <w:r>
                <w:rPr>
                  <w:rFonts w:ascii="Arial" w:cs="Arial" w:eastAsia="Arial" w:hAnsi="Arial"/>
                  <w:sz w:val="18"/>
                  <w:szCs w:val="18"/>
                  <w:color w:val="0000FF"/>
                  <w:w w:val="97"/>
                </w:rPr>
                <w:t>Senior Notes due November 15, 2021 (Exhibit 10.6 to Great Plains Energy's Form 8-</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6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7"/>
              </w:rPr>
            </w:pPr>
            <w:hyperlink r:id="rId322">
              <w:r>
                <w:rPr>
                  <w:rFonts w:ascii="Arial" w:cs="Arial" w:eastAsia="Arial" w:hAnsi="Arial"/>
                  <w:sz w:val="18"/>
                  <w:szCs w:val="18"/>
                  <w:color w:val="0000FF"/>
                  <w:w w:val="97"/>
                </w:rPr>
                <w:t>K filed on July 18, 2008).</w:t>
              </w:r>
            </w:hyperlink>
          </w:p>
        </w:tc>
        <w:tc>
          <w:tcPr>
            <w:tcW w:w="452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470"/>
        </w:trPr>
        <w:tc>
          <w:tcPr>
            <w:tcW w:w="940" w:type="dxa"/>
            <w:vAlign w:val="bottom"/>
          </w:tcPr>
          <w:p>
            <w:pPr>
              <w:jc w:val="right"/>
              <w:ind w:right="426"/>
              <w:spacing w:after="0"/>
              <w:rPr>
                <w:sz w:val="20"/>
                <w:szCs w:val="20"/>
                <w:color w:val="auto"/>
              </w:rPr>
            </w:pPr>
            <w:r>
              <w:rPr>
                <w:rFonts w:ascii="Arial" w:cs="Arial" w:eastAsia="Arial" w:hAnsi="Arial"/>
                <w:sz w:val="19"/>
                <w:szCs w:val="19"/>
                <w:color w:val="auto"/>
                <w:w w:val="84"/>
              </w:rPr>
              <w:t>10.47</w:t>
            </w:r>
          </w:p>
        </w:tc>
        <w:tc>
          <w:tcPr>
            <w:tcW w:w="7440" w:type="dxa"/>
            <w:vAlign w:val="bottom"/>
            <w:gridSpan w:val="31"/>
          </w:tcPr>
          <w:p>
            <w:pPr>
              <w:ind w:left="50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323">
              <w:r>
                <w:rPr>
                  <w:rFonts w:ascii="Arial" w:cs="Arial" w:eastAsia="Arial" w:hAnsi="Arial"/>
                  <w:sz w:val="19"/>
                  <w:szCs w:val="19"/>
                  <w:color w:val="0000FF"/>
                  <w:w w:val="95"/>
                </w:rPr>
                <w:t>Guaranty Agreement, dated April 20, 2021, issued by Evergy in favor of the holders</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0" w:type="dxa"/>
            <w:vAlign w:val="bottom"/>
            <w:tcBorders>
              <w:top w:val="single" w:sz="8" w:color="0000FF"/>
            </w:tcBorders>
            <w:gridSpan w:val="21"/>
          </w:tcPr>
          <w:p>
            <w:pPr>
              <w:spacing w:after="0" w:line="161" w:lineRule="exact"/>
              <w:rPr>
                <w:rFonts w:ascii="Arial" w:cs="Arial" w:eastAsia="Arial" w:hAnsi="Arial"/>
                <w:sz w:val="18"/>
                <w:szCs w:val="18"/>
                <w:color w:val="0000FF"/>
                <w:w w:val="96"/>
              </w:rPr>
            </w:pPr>
            <w:hyperlink r:id="rId323">
              <w:r>
                <w:rPr>
                  <w:rFonts w:ascii="Arial" w:cs="Arial" w:eastAsia="Arial" w:hAnsi="Arial"/>
                  <w:sz w:val="18"/>
                  <w:szCs w:val="18"/>
                  <w:color w:val="0000FF"/>
                  <w:w w:val="96"/>
                </w:rPr>
                <w:t>of Evergy Missouri West, Inc.'s 2.86% Senior Notes due 2031, 3.01% Senior Notes</w:t>
              </w:r>
            </w:hyperlink>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3420" w:type="dxa"/>
            <w:vAlign w:val="bottom"/>
            <w:gridSpan w:val="14"/>
            <w:shd w:val="clear" w:color="auto" w:fill="0000FF"/>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580" w:type="dxa"/>
            <w:vAlign w:val="bottom"/>
            <w:gridSpan w:val="30"/>
          </w:tcPr>
          <w:p>
            <w:pPr>
              <w:spacing w:after="0" w:line="161" w:lineRule="exact"/>
              <w:rPr>
                <w:rFonts w:ascii="Arial" w:cs="Arial" w:eastAsia="Arial" w:hAnsi="Arial"/>
                <w:sz w:val="18"/>
                <w:szCs w:val="18"/>
                <w:color w:val="0000FF"/>
                <w:w w:val="96"/>
              </w:rPr>
            </w:pPr>
            <w:hyperlink r:id="rId323">
              <w:r>
                <w:rPr>
                  <w:rFonts w:ascii="Arial" w:cs="Arial" w:eastAsia="Arial" w:hAnsi="Arial"/>
                  <w:sz w:val="18"/>
                  <w:szCs w:val="18"/>
                  <w:color w:val="0000FF"/>
                  <w:w w:val="96"/>
                </w:rPr>
                <w:t>due 2033 and 3.21% Senior Notes due 2033 (Exhibit 10.1 to Evergy's Current Report</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500" w:type="dxa"/>
            <w:vAlign w:val="bottom"/>
            <w:tcBorders>
              <w:top w:val="single" w:sz="8" w:color="0000FF"/>
            </w:tcBorders>
            <w:gridSpan w:val="26"/>
          </w:tcPr>
          <w:p>
            <w:pPr>
              <w:spacing w:after="0" w:line="161" w:lineRule="exact"/>
              <w:rPr>
                <w:rFonts w:ascii="Arial" w:cs="Arial" w:eastAsia="Arial" w:hAnsi="Arial"/>
                <w:sz w:val="18"/>
                <w:szCs w:val="18"/>
                <w:color w:val="0000FF"/>
              </w:rPr>
            </w:pPr>
            <w:hyperlink r:id="rId323">
              <w:r>
                <w:rPr>
                  <w:rFonts w:ascii="Arial" w:cs="Arial" w:eastAsia="Arial" w:hAnsi="Arial"/>
                  <w:sz w:val="18"/>
                  <w:szCs w:val="18"/>
                  <w:color w:val="0000FF"/>
                </w:rPr>
                <w:t>on Form 8-K filed on April 20, 2021).</w:t>
              </w:r>
            </w:hyperlink>
          </w:p>
        </w:tc>
        <w:tc>
          <w:tcPr>
            <w:tcW w:w="8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198" w:lineRule="auto"/>
        <w:rPr>
          <w:sz w:val="20"/>
          <w:szCs w:val="20"/>
          <w:color w:val="auto"/>
        </w:rPr>
      </w:pPr>
      <w:r>
        <w:rPr>
          <w:rFonts w:ascii="Arial" w:cs="Arial" w:eastAsia="Arial" w:hAnsi="Arial"/>
          <w:sz w:val="19"/>
          <w:szCs w:val="19"/>
          <w:color w:val="auto"/>
        </w:rPr>
        <w:t>Evergy Metro</w:t>
      </w:r>
    </w:p>
    <w:p>
      <w:pPr>
        <w:spacing w:after="0"/>
        <w:rPr>
          <w:sz w:val="20"/>
          <w:szCs w:val="20"/>
          <w:color w:val="auto"/>
        </w:rPr>
      </w:pPr>
      <w:r>
        <w:rPr>
          <w:rFonts w:ascii="Arial" w:cs="Arial" w:eastAsia="Arial" w:hAnsi="Arial"/>
          <w:sz w:val="17"/>
          <w:szCs w:val="17"/>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ectPr>
          <w:pgSz w:w="11900" w:h="16838" w:orient="portrait"/>
          <w:cols w:equalWidth="0" w:num="2">
            <w:col w:w="8360" w:space="480"/>
            <w:col w:w="1740"/>
          </w:cols>
          <w:pgMar w:left="320" w:top="124" w:right="999" w:bottom="1440" w:gutter="0" w:footer="0" w:header="0"/>
          <w:type w:val="continuous"/>
        </w:sectPr>
      </w:pPr>
    </w:p>
    <w:bookmarkStart w:id="176" w:name="page177"/>
    <w:bookmarkEnd w:id="176"/>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rFonts w:ascii="Arial" w:cs="Arial" w:eastAsia="Arial" w:hAnsi="Arial"/>
                <w:sz w:val="19"/>
                <w:szCs w:val="19"/>
                <w:color w:val="0000FF"/>
                <w:w w:val="91"/>
              </w:rPr>
            </w:pPr>
            <w:hyperlink w:anchor="page3">
              <w:r>
                <w:rPr>
                  <w:rFonts w:ascii="Arial" w:cs="Arial" w:eastAsia="Arial" w:hAnsi="Arial"/>
                  <w:sz w:val="19"/>
                  <w:szCs w:val="19"/>
                  <w:color w:val="0000FF"/>
                  <w:w w:val="91"/>
                </w:rPr>
                <w:t>Table of Contents</w:t>
              </w:r>
            </w:hyperlink>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Arial" w:cs="Arial" w:eastAsia="Arial" w:hAnsi="Arial"/>
                <w:sz w:val="19"/>
                <w:szCs w:val="19"/>
                <w:color w:val="auto"/>
              </w:rPr>
              <w:t>10.48</w:t>
            </w:r>
          </w:p>
        </w:tc>
        <w:tc>
          <w:tcPr>
            <w:tcW w:w="60" w:type="dxa"/>
            <w:vAlign w:val="bottom"/>
          </w:tcPr>
          <w:p>
            <w:pPr>
              <w:spacing w:after="0"/>
              <w:rPr>
                <w:sz w:val="24"/>
                <w:szCs w:val="24"/>
                <w:color w:val="auto"/>
              </w:rPr>
            </w:pPr>
          </w:p>
        </w:tc>
        <w:tc>
          <w:tcPr>
            <w:tcW w:w="6980" w:type="dxa"/>
            <w:vAlign w:val="bottom"/>
            <w:gridSpan w:val="27"/>
          </w:tcPr>
          <w:p>
            <w:pPr>
              <w:ind w:left="60"/>
              <w:spacing w:after="0"/>
              <w:rPr>
                <w:rFonts w:ascii="Arial" w:cs="Arial" w:eastAsia="Arial" w:hAnsi="Arial"/>
                <w:sz w:val="19"/>
                <w:szCs w:val="19"/>
                <w:color w:val="auto"/>
                <w:w w:val="98"/>
              </w:rPr>
            </w:pPr>
            <w:r>
              <w:rPr>
                <w:rFonts w:ascii="Arial" w:cs="Arial" w:eastAsia="Arial" w:hAnsi="Arial"/>
                <w:sz w:val="19"/>
                <w:szCs w:val="19"/>
                <w:color w:val="auto"/>
                <w:w w:val="98"/>
              </w:rPr>
              <w:t xml:space="preserve">*   </w:t>
            </w:r>
            <w:hyperlink r:id="rId325">
              <w:r>
                <w:rPr>
                  <w:rFonts w:ascii="Arial" w:cs="Arial" w:eastAsia="Arial" w:hAnsi="Arial"/>
                  <w:sz w:val="19"/>
                  <w:szCs w:val="19"/>
                  <w:color w:val="0000FF"/>
                  <w:w w:val="98"/>
                </w:rPr>
                <w:t>Guaranty Agreement, dated April 20, 2021, issued by Evergy, Inc. in favor of the</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26"/>
          </w:tcPr>
          <w:p>
            <w:pPr>
              <w:spacing w:after="0" w:line="161" w:lineRule="exact"/>
              <w:rPr>
                <w:rFonts w:ascii="Arial" w:cs="Arial" w:eastAsia="Arial" w:hAnsi="Arial"/>
                <w:sz w:val="18"/>
                <w:szCs w:val="18"/>
                <w:color w:val="0000FF"/>
                <w:w w:val="97"/>
              </w:rPr>
            </w:pPr>
            <w:hyperlink r:id="rId325">
              <w:r>
                <w:rPr>
                  <w:rFonts w:ascii="Arial" w:cs="Arial" w:eastAsia="Arial" w:hAnsi="Arial"/>
                  <w:sz w:val="18"/>
                  <w:szCs w:val="18"/>
                  <w:color w:val="0000FF"/>
                  <w:w w:val="97"/>
                </w:rPr>
                <w:t>holders of Evergy Missouri West, Inc.'s 3.49% Senior Notes due 2025, 4.06% Senior</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60" w:type="dxa"/>
            <w:vAlign w:val="bottom"/>
            <w:tcBorders>
              <w:top w:val="single" w:sz="8" w:color="0000FF"/>
            </w:tcBorders>
            <w:gridSpan w:val="22"/>
          </w:tcPr>
          <w:p>
            <w:pPr>
              <w:spacing w:after="0" w:line="161" w:lineRule="exact"/>
              <w:rPr>
                <w:rFonts w:ascii="Arial" w:cs="Arial" w:eastAsia="Arial" w:hAnsi="Arial"/>
                <w:sz w:val="18"/>
                <w:szCs w:val="18"/>
                <w:color w:val="0000FF"/>
                <w:w w:val="95"/>
              </w:rPr>
            </w:pPr>
            <w:hyperlink r:id="rId325">
              <w:r>
                <w:rPr>
                  <w:rFonts w:ascii="Arial" w:cs="Arial" w:eastAsia="Arial" w:hAnsi="Arial"/>
                  <w:sz w:val="18"/>
                  <w:szCs w:val="18"/>
                  <w:color w:val="0000FF"/>
                  <w:w w:val="95"/>
                </w:rPr>
                <w:t>Notes due 2033 and 4.74% Senior Notes due 2043 (Exhibit 10.2 to Evergy's Form 8-</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6"/>
          </w:tcPr>
          <w:p>
            <w:pPr>
              <w:spacing w:after="0" w:line="161" w:lineRule="exact"/>
              <w:rPr>
                <w:rFonts w:ascii="Arial" w:cs="Arial" w:eastAsia="Arial" w:hAnsi="Arial"/>
                <w:sz w:val="18"/>
                <w:szCs w:val="18"/>
                <w:color w:val="0000FF"/>
                <w:w w:val="99"/>
              </w:rPr>
            </w:pPr>
            <w:hyperlink r:id="rId325">
              <w:r>
                <w:rPr>
                  <w:rFonts w:ascii="Arial" w:cs="Arial" w:eastAsia="Arial" w:hAnsi="Arial"/>
                  <w:sz w:val="18"/>
                  <w:szCs w:val="18"/>
                  <w:color w:val="0000FF"/>
                  <w:w w:val="99"/>
                </w:rPr>
                <w:t>K filed on April 20, 2021).</w:t>
              </w:r>
            </w:hyperlink>
          </w:p>
        </w:tc>
        <w:tc>
          <w:tcPr>
            <w:tcW w:w="440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10.49</w:t>
            </w:r>
          </w:p>
        </w:tc>
        <w:tc>
          <w:tcPr>
            <w:tcW w:w="60" w:type="dxa"/>
            <w:vAlign w:val="bottom"/>
          </w:tcPr>
          <w:p>
            <w:pPr>
              <w:spacing w:after="0"/>
              <w:rPr>
                <w:sz w:val="24"/>
                <w:szCs w:val="24"/>
                <w:color w:val="auto"/>
              </w:rPr>
            </w:pPr>
          </w:p>
        </w:tc>
        <w:tc>
          <w:tcPr>
            <w:tcW w:w="6980" w:type="dxa"/>
            <w:vAlign w:val="bottom"/>
            <w:gridSpan w:val="27"/>
          </w:tcPr>
          <w:p>
            <w:pPr>
              <w:ind w:left="60"/>
              <w:spacing w:after="0"/>
              <w:rPr>
                <w:rFonts w:ascii="Arial" w:cs="Arial" w:eastAsia="Arial" w:hAnsi="Arial"/>
                <w:sz w:val="19"/>
                <w:szCs w:val="19"/>
                <w:color w:val="auto"/>
                <w:w w:val="98"/>
              </w:rPr>
            </w:pPr>
            <w:r>
              <w:rPr>
                <w:rFonts w:ascii="Arial" w:cs="Arial" w:eastAsia="Arial" w:hAnsi="Arial"/>
                <w:sz w:val="19"/>
                <w:szCs w:val="19"/>
                <w:color w:val="auto"/>
                <w:w w:val="98"/>
              </w:rPr>
              <w:t xml:space="preserve">*   </w:t>
            </w:r>
            <w:hyperlink r:id="rId326">
              <w:r>
                <w:rPr>
                  <w:rFonts w:ascii="Arial" w:cs="Arial" w:eastAsia="Arial" w:hAnsi="Arial"/>
                  <w:sz w:val="19"/>
                  <w:szCs w:val="19"/>
                  <w:color w:val="0000FF"/>
                  <w:w w:val="98"/>
                </w:rPr>
                <w:t>Guaranty Agreement, dated April 20, 2021, issued by Evergy, Inc. in favor of the</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26"/>
          </w:tcPr>
          <w:p>
            <w:pPr>
              <w:spacing w:after="0" w:line="161" w:lineRule="exact"/>
              <w:rPr>
                <w:rFonts w:ascii="Arial" w:cs="Arial" w:eastAsia="Arial" w:hAnsi="Arial"/>
                <w:sz w:val="18"/>
                <w:szCs w:val="18"/>
                <w:color w:val="0000FF"/>
                <w:w w:val="96"/>
              </w:rPr>
            </w:pPr>
            <w:hyperlink r:id="rId326">
              <w:r>
                <w:rPr>
                  <w:rFonts w:ascii="Arial" w:cs="Arial" w:eastAsia="Arial" w:hAnsi="Arial"/>
                  <w:sz w:val="18"/>
                  <w:szCs w:val="18"/>
                  <w:color w:val="0000FF"/>
                  <w:w w:val="96"/>
                </w:rPr>
                <w:t>holders of Evergy Missouri West, Inc.'s 3.75% Senior Notes due 2022 (Exhibit 10.3 to</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tcBorders>
              <w:top w:val="single" w:sz="8" w:color="0000FF"/>
            </w:tcBorders>
            <w:gridSpan w:val="25"/>
          </w:tcPr>
          <w:p>
            <w:pPr>
              <w:spacing w:after="0" w:line="161" w:lineRule="exact"/>
              <w:rPr>
                <w:rFonts w:ascii="Arial" w:cs="Arial" w:eastAsia="Arial" w:hAnsi="Arial"/>
                <w:sz w:val="18"/>
                <w:szCs w:val="18"/>
                <w:color w:val="0000FF"/>
              </w:rPr>
            </w:pPr>
            <w:hyperlink r:id="rId326">
              <w:r>
                <w:rPr>
                  <w:rFonts w:ascii="Arial" w:cs="Arial" w:eastAsia="Arial" w:hAnsi="Arial"/>
                  <w:sz w:val="18"/>
                  <w:szCs w:val="18"/>
                  <w:color w:val="0000FF"/>
                </w:rPr>
                <w:t>Evergy's Form 8-K filed on April 20, 2021).</w:t>
              </w:r>
            </w:hyperlink>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10.50</w:t>
            </w:r>
          </w:p>
        </w:tc>
        <w:tc>
          <w:tcPr>
            <w:tcW w:w="60" w:type="dxa"/>
            <w:vAlign w:val="bottom"/>
          </w:tcPr>
          <w:p>
            <w:pPr>
              <w:spacing w:after="0"/>
              <w:rPr>
                <w:sz w:val="24"/>
                <w:szCs w:val="24"/>
                <w:color w:val="auto"/>
              </w:rPr>
            </w:pPr>
          </w:p>
        </w:tc>
        <w:tc>
          <w:tcPr>
            <w:tcW w:w="6980" w:type="dxa"/>
            <w:vAlign w:val="bottom"/>
            <w:gridSpan w:val="27"/>
          </w:tcPr>
          <w:p>
            <w:pPr>
              <w:ind w:left="60"/>
              <w:spacing w:after="0"/>
              <w:rPr>
                <w:rFonts w:ascii="Arial" w:cs="Arial" w:eastAsia="Arial" w:hAnsi="Arial"/>
                <w:sz w:val="19"/>
                <w:szCs w:val="19"/>
                <w:color w:val="auto"/>
              </w:rPr>
            </w:pPr>
            <w:r>
              <w:rPr>
                <w:rFonts w:ascii="Arial" w:cs="Arial" w:eastAsia="Arial" w:hAnsi="Arial"/>
                <w:sz w:val="19"/>
                <w:szCs w:val="19"/>
                <w:color w:val="auto"/>
              </w:rPr>
              <w:t xml:space="preserve">*   </w:t>
            </w:r>
            <w:hyperlink r:id="rId327">
              <w:r>
                <w:rPr>
                  <w:rFonts w:ascii="Arial" w:cs="Arial" w:eastAsia="Arial" w:hAnsi="Arial"/>
                  <w:sz w:val="19"/>
                  <w:szCs w:val="19"/>
                  <w:color w:val="0000FF"/>
                </w:rPr>
                <w:t>Agreement, dated February 28, 2020, among Evergy, Inc., Elliott Investment</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26"/>
          </w:tcPr>
          <w:p>
            <w:pPr>
              <w:spacing w:after="0" w:line="161" w:lineRule="exact"/>
              <w:rPr>
                <w:rFonts w:ascii="Arial" w:cs="Arial" w:eastAsia="Arial" w:hAnsi="Arial"/>
                <w:sz w:val="18"/>
                <w:szCs w:val="18"/>
                <w:color w:val="0000FF"/>
                <w:w w:val="98"/>
              </w:rPr>
            </w:pPr>
            <w:hyperlink r:id="rId327">
              <w:r>
                <w:rPr>
                  <w:rFonts w:ascii="Arial" w:cs="Arial" w:eastAsia="Arial" w:hAnsi="Arial"/>
                  <w:sz w:val="18"/>
                  <w:szCs w:val="18"/>
                  <w:color w:val="0000FF"/>
                  <w:w w:val="98"/>
                </w:rPr>
                <w:t>Management L.P., Elliott Associates, L.P. and Elliott International, L.P. (Exhibit 10.1</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80" w:type="dxa"/>
            <w:vAlign w:val="bottom"/>
            <w:tcBorders>
              <w:top w:val="single" w:sz="8" w:color="0000FF"/>
            </w:tcBorders>
            <w:gridSpan w:val="23"/>
          </w:tcPr>
          <w:p>
            <w:pPr>
              <w:spacing w:after="0" w:line="161" w:lineRule="exact"/>
              <w:rPr>
                <w:rFonts w:ascii="Arial" w:cs="Arial" w:eastAsia="Arial" w:hAnsi="Arial"/>
                <w:sz w:val="18"/>
                <w:szCs w:val="18"/>
                <w:color w:val="0000FF"/>
              </w:rPr>
            </w:pPr>
            <w:hyperlink r:id="rId327">
              <w:r>
                <w:rPr>
                  <w:rFonts w:ascii="Arial" w:cs="Arial" w:eastAsia="Arial" w:hAnsi="Arial"/>
                  <w:sz w:val="18"/>
                  <w:szCs w:val="18"/>
                  <w:color w:val="0000FF"/>
                </w:rPr>
                <w:t>to Evergy's Form 8-K filed on March 2, 2020).</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10.51</w:t>
            </w:r>
          </w:p>
        </w:tc>
        <w:tc>
          <w:tcPr>
            <w:tcW w:w="60" w:type="dxa"/>
            <w:vAlign w:val="bottom"/>
          </w:tcPr>
          <w:p>
            <w:pPr>
              <w:spacing w:after="0"/>
              <w:rPr>
                <w:sz w:val="24"/>
                <w:szCs w:val="24"/>
                <w:color w:val="auto"/>
              </w:rPr>
            </w:pPr>
          </w:p>
        </w:tc>
        <w:tc>
          <w:tcPr>
            <w:tcW w:w="6980" w:type="dxa"/>
            <w:vAlign w:val="bottom"/>
            <w:gridSpan w:val="27"/>
          </w:tcPr>
          <w:p>
            <w:pPr>
              <w:ind w:left="60"/>
              <w:spacing w:after="0"/>
              <w:rPr>
                <w:rFonts w:ascii="Arial" w:cs="Arial" w:eastAsia="Arial" w:hAnsi="Arial"/>
                <w:sz w:val="19"/>
                <w:szCs w:val="19"/>
                <w:color w:val="auto"/>
              </w:rPr>
            </w:pPr>
            <w:r>
              <w:rPr>
                <w:rFonts w:ascii="Arial" w:cs="Arial" w:eastAsia="Arial" w:hAnsi="Arial"/>
                <w:sz w:val="19"/>
                <w:szCs w:val="19"/>
                <w:color w:val="auto"/>
              </w:rPr>
              <w:t xml:space="preserve">*   </w:t>
            </w:r>
            <w:hyperlink r:id="rId328">
              <w:r>
                <w:rPr>
                  <w:rFonts w:ascii="Arial" w:cs="Arial" w:eastAsia="Arial" w:hAnsi="Arial"/>
                  <w:sz w:val="19"/>
                  <w:szCs w:val="19"/>
                  <w:color w:val="0000FF"/>
                </w:rPr>
                <w:t>Amendment, dated March 25, 2020 among Evergy, Inc., Elliott Investment</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26"/>
          </w:tcPr>
          <w:p>
            <w:pPr>
              <w:spacing w:after="0" w:line="161" w:lineRule="exact"/>
              <w:rPr>
                <w:rFonts w:ascii="Arial" w:cs="Arial" w:eastAsia="Arial" w:hAnsi="Arial"/>
                <w:sz w:val="18"/>
                <w:szCs w:val="18"/>
                <w:color w:val="0000FF"/>
                <w:w w:val="98"/>
              </w:rPr>
            </w:pPr>
            <w:hyperlink r:id="rId328">
              <w:r>
                <w:rPr>
                  <w:rFonts w:ascii="Arial" w:cs="Arial" w:eastAsia="Arial" w:hAnsi="Arial"/>
                  <w:sz w:val="18"/>
                  <w:szCs w:val="18"/>
                  <w:color w:val="0000FF"/>
                  <w:w w:val="98"/>
                </w:rPr>
                <w:t>Management L.P., Elliott Associates, L.P. and Elliott International, L.P. (Exhibit 10.1</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0"/>
          </w:tcPr>
          <w:p>
            <w:pPr>
              <w:spacing w:after="0" w:line="161" w:lineRule="exact"/>
              <w:rPr>
                <w:rFonts w:ascii="Arial" w:cs="Arial" w:eastAsia="Arial" w:hAnsi="Arial"/>
                <w:sz w:val="18"/>
                <w:szCs w:val="18"/>
                <w:color w:val="0000FF"/>
                <w:w w:val="97"/>
              </w:rPr>
            </w:pPr>
            <w:hyperlink r:id="rId328">
              <w:r>
                <w:rPr>
                  <w:rFonts w:ascii="Arial" w:cs="Arial" w:eastAsia="Arial" w:hAnsi="Arial"/>
                  <w:sz w:val="18"/>
                  <w:szCs w:val="18"/>
                  <w:color w:val="0000FF"/>
                  <w:w w:val="97"/>
                </w:rPr>
                <w:t>to Evergy's Form 8-K filed on March 26, 2020).</w:t>
              </w:r>
            </w:hyperlink>
          </w:p>
        </w:tc>
        <w:tc>
          <w:tcPr>
            <w:tcW w:w="284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10.52</w:t>
            </w:r>
          </w:p>
        </w:tc>
        <w:tc>
          <w:tcPr>
            <w:tcW w:w="60" w:type="dxa"/>
            <w:vAlign w:val="bottom"/>
          </w:tcPr>
          <w:p>
            <w:pPr>
              <w:spacing w:after="0"/>
              <w:rPr>
                <w:sz w:val="24"/>
                <w:szCs w:val="24"/>
                <w:color w:val="auto"/>
              </w:rPr>
            </w:pPr>
          </w:p>
        </w:tc>
        <w:tc>
          <w:tcPr>
            <w:tcW w:w="6980" w:type="dxa"/>
            <w:vAlign w:val="bottom"/>
            <w:gridSpan w:val="27"/>
          </w:tcPr>
          <w:p>
            <w:pPr>
              <w:ind w:left="60"/>
              <w:spacing w:after="0"/>
              <w:rPr>
                <w:rFonts w:ascii="Arial" w:cs="Arial" w:eastAsia="Arial" w:hAnsi="Arial"/>
                <w:sz w:val="19"/>
                <w:szCs w:val="19"/>
                <w:color w:val="auto"/>
                <w:w w:val="94"/>
              </w:rPr>
            </w:pPr>
            <w:r>
              <w:rPr>
                <w:rFonts w:ascii="Arial" w:cs="Arial" w:eastAsia="Arial" w:hAnsi="Arial"/>
                <w:sz w:val="19"/>
                <w:szCs w:val="19"/>
                <w:color w:val="auto"/>
                <w:w w:val="94"/>
              </w:rPr>
              <w:t xml:space="preserve">*   </w:t>
            </w:r>
            <w:hyperlink r:id="rId329">
              <w:r>
                <w:rPr>
                  <w:rFonts w:ascii="Arial" w:cs="Arial" w:eastAsia="Arial" w:hAnsi="Arial"/>
                  <w:sz w:val="19"/>
                  <w:szCs w:val="19"/>
                  <w:color w:val="0000FF"/>
                  <w:w w:val="94"/>
                </w:rPr>
                <w:t>Cooperation Agreement, dated February 25, 2021, by and between Evergy, Inc. and</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20" w:type="dxa"/>
            <w:vAlign w:val="bottom"/>
            <w:tcBorders>
              <w:top w:val="single" w:sz="8" w:color="0000FF"/>
            </w:tcBorders>
            <w:gridSpan w:val="19"/>
          </w:tcPr>
          <w:p>
            <w:pPr>
              <w:spacing w:after="0" w:line="161" w:lineRule="exact"/>
              <w:rPr>
                <w:rFonts w:ascii="Arial" w:cs="Arial" w:eastAsia="Arial" w:hAnsi="Arial"/>
                <w:sz w:val="18"/>
                <w:szCs w:val="18"/>
                <w:color w:val="0000FF"/>
              </w:rPr>
            </w:pPr>
            <w:hyperlink r:id="rId329">
              <w:r>
                <w:rPr>
                  <w:rFonts w:ascii="Arial" w:cs="Arial" w:eastAsia="Arial" w:hAnsi="Arial"/>
                  <w:sz w:val="18"/>
                  <w:szCs w:val="18"/>
                  <w:color w:val="0000FF"/>
                </w:rPr>
                <w:t>Bluescape Energy Partners, LLC (Exhibit 10.1 to Evergy's Form 8-K filed on</w:t>
              </w:r>
            </w:hyperlink>
          </w:p>
        </w:tc>
        <w:tc>
          <w:tcPr>
            <w:tcW w:w="10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60" w:type="dxa"/>
            <w:vAlign w:val="bottom"/>
            <w:tcBorders>
              <w:top w:val="single" w:sz="8" w:color="0000FF"/>
            </w:tcBorders>
            <w:gridSpan w:val="15"/>
          </w:tcPr>
          <w:p>
            <w:pPr>
              <w:spacing w:after="0" w:line="161" w:lineRule="exact"/>
              <w:rPr>
                <w:rFonts w:ascii="Arial" w:cs="Arial" w:eastAsia="Arial" w:hAnsi="Arial"/>
                <w:sz w:val="18"/>
                <w:szCs w:val="18"/>
                <w:color w:val="0000FF"/>
              </w:rPr>
            </w:pPr>
            <w:hyperlink r:id="rId329">
              <w:r>
                <w:rPr>
                  <w:rFonts w:ascii="Arial" w:cs="Arial" w:eastAsia="Arial" w:hAnsi="Arial"/>
                  <w:sz w:val="18"/>
                  <w:szCs w:val="18"/>
                  <w:color w:val="0000FF"/>
                </w:rPr>
                <w:t>February 26, 2021).</w:t>
              </w:r>
            </w:hyperlink>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669"/>
        </w:trPr>
        <w:tc>
          <w:tcPr>
            <w:tcW w:w="1340" w:type="dxa"/>
            <w:vAlign w:val="bottom"/>
          </w:tcPr>
          <w:p>
            <w:pPr>
              <w:ind w:left="20"/>
              <w:spacing w:after="0"/>
              <w:rPr>
                <w:sz w:val="20"/>
                <w:szCs w:val="20"/>
                <w:color w:val="auto"/>
              </w:rPr>
            </w:pPr>
            <w:r>
              <w:rPr>
                <w:rFonts w:ascii="Arial" w:cs="Arial" w:eastAsia="Arial" w:hAnsi="Arial"/>
                <w:sz w:val="19"/>
                <w:szCs w:val="19"/>
                <w:color w:val="auto"/>
              </w:rPr>
              <w:t>10.53</w:t>
            </w:r>
          </w:p>
        </w:tc>
        <w:tc>
          <w:tcPr>
            <w:tcW w:w="60" w:type="dxa"/>
            <w:vAlign w:val="bottom"/>
          </w:tcPr>
          <w:p>
            <w:pPr>
              <w:spacing w:after="0"/>
              <w:rPr>
                <w:sz w:val="24"/>
                <w:szCs w:val="24"/>
                <w:color w:val="auto"/>
              </w:rPr>
            </w:pPr>
          </w:p>
        </w:tc>
        <w:tc>
          <w:tcPr>
            <w:tcW w:w="6980" w:type="dxa"/>
            <w:vAlign w:val="bottom"/>
            <w:gridSpan w:val="27"/>
          </w:tcPr>
          <w:p>
            <w:pPr>
              <w:ind w:left="60"/>
              <w:spacing w:after="0"/>
              <w:rPr>
                <w:rFonts w:ascii="Arial" w:cs="Arial" w:eastAsia="Arial" w:hAnsi="Arial"/>
                <w:sz w:val="19"/>
                <w:szCs w:val="19"/>
                <w:color w:val="auto"/>
                <w:w w:val="95"/>
              </w:rPr>
            </w:pPr>
            <w:r>
              <w:rPr>
                <w:rFonts w:ascii="Arial" w:cs="Arial" w:eastAsia="Arial" w:hAnsi="Arial"/>
                <w:sz w:val="19"/>
                <w:szCs w:val="19"/>
                <w:color w:val="auto"/>
                <w:w w:val="95"/>
              </w:rPr>
              <w:t xml:space="preserve">*   </w:t>
            </w:r>
            <w:hyperlink r:id="rId330">
              <w:r>
                <w:rPr>
                  <w:rFonts w:ascii="Arial" w:cs="Arial" w:eastAsia="Arial" w:hAnsi="Arial"/>
                  <w:sz w:val="19"/>
                  <w:szCs w:val="19"/>
                  <w:color w:val="0000FF"/>
                  <w:w w:val="95"/>
                </w:rPr>
                <w:t>Securities Purchase Agreement, dated February 25, 2021, by and between Evergy,</w:t>
              </w:r>
            </w:hyperlink>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20" w:type="dxa"/>
            <w:vAlign w:val="bottom"/>
            <w:tcBorders>
              <w:top w:val="single" w:sz="8" w:color="0000FF"/>
            </w:tcBorders>
            <w:gridSpan w:val="17"/>
          </w:tcPr>
          <w:p>
            <w:pPr>
              <w:spacing w:after="0" w:line="168" w:lineRule="exact"/>
              <w:rPr>
                <w:rFonts w:ascii="Arial" w:cs="Arial" w:eastAsia="Arial" w:hAnsi="Arial"/>
                <w:sz w:val="19"/>
                <w:szCs w:val="19"/>
                <w:color w:val="0000FF"/>
                <w:w w:val="93"/>
              </w:rPr>
            </w:pPr>
            <w:hyperlink r:id="rId330">
              <w:r>
                <w:rPr>
                  <w:rFonts w:ascii="Arial" w:cs="Arial" w:eastAsia="Arial" w:hAnsi="Arial"/>
                  <w:sz w:val="19"/>
                  <w:szCs w:val="19"/>
                  <w:color w:val="0000FF"/>
                  <w:w w:val="93"/>
                </w:rPr>
                <w:t>Inc. and BEP Special Situations V LLC. (Exhibit 10.2 to Evergy's Form 8-K filed</w:t>
              </w:r>
            </w:hyperlink>
          </w:p>
        </w:tc>
        <w:tc>
          <w:tcPr>
            <w:tcW w:w="340" w:type="dxa"/>
            <w:vAlign w:val="bottom"/>
            <w:gridSpan w:val="9"/>
          </w:tcPr>
          <w:p>
            <w:pPr>
              <w:spacing w:after="0" w:line="168" w:lineRule="exact"/>
              <w:rPr>
                <w:rFonts w:ascii="Arial" w:cs="Arial" w:eastAsia="Arial" w:hAnsi="Arial"/>
                <w:sz w:val="19"/>
                <w:szCs w:val="19"/>
                <w:color w:val="0000FF"/>
              </w:rPr>
            </w:pPr>
            <w:hyperlink r:id="rId330">
              <w:r>
                <w:rPr>
                  <w:rFonts w:ascii="Arial" w:cs="Arial" w:eastAsia="Arial" w:hAnsi="Arial"/>
                  <w:sz w:val="19"/>
                  <w:szCs w:val="19"/>
                  <w:color w:val="0000FF"/>
                </w:rPr>
                <w:t>on</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20" w:type="dxa"/>
            <w:vAlign w:val="bottom"/>
            <w:tcBorders>
              <w:top w:val="single" w:sz="8" w:color="0000FF"/>
            </w:tcBorders>
            <w:gridSpan w:val="20"/>
          </w:tcPr>
          <w:p>
            <w:pPr>
              <w:spacing w:after="0" w:line="161" w:lineRule="exact"/>
              <w:rPr>
                <w:rFonts w:ascii="Arial" w:cs="Arial" w:eastAsia="Arial" w:hAnsi="Arial"/>
                <w:sz w:val="18"/>
                <w:szCs w:val="18"/>
                <w:color w:val="0000FF"/>
              </w:rPr>
            </w:pPr>
            <w:hyperlink r:id="rId330">
              <w:r>
                <w:rPr>
                  <w:rFonts w:ascii="Arial" w:cs="Arial" w:eastAsia="Arial" w:hAnsi="Arial"/>
                  <w:sz w:val="18"/>
                  <w:szCs w:val="18"/>
                  <w:color w:val="0000FF"/>
                </w:rPr>
                <w:t>February 26, 2021).</w:t>
              </w:r>
            </w:hyperlink>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676"/>
        </w:trPr>
        <w:tc>
          <w:tcPr>
            <w:tcW w:w="1340" w:type="dxa"/>
            <w:vAlign w:val="bottom"/>
          </w:tcPr>
          <w:p>
            <w:pPr>
              <w:ind w:left="20"/>
              <w:spacing w:after="0"/>
              <w:rPr>
                <w:sz w:val="20"/>
                <w:szCs w:val="20"/>
                <w:color w:val="auto"/>
              </w:rPr>
            </w:pPr>
            <w:r>
              <w:rPr>
                <w:rFonts w:ascii="Arial" w:cs="Arial" w:eastAsia="Arial" w:hAnsi="Arial"/>
                <w:sz w:val="19"/>
                <w:szCs w:val="19"/>
                <w:color w:val="auto"/>
              </w:rPr>
              <w:t>10.54</w:t>
            </w:r>
          </w:p>
        </w:tc>
        <w:tc>
          <w:tcPr>
            <w:tcW w:w="60" w:type="dxa"/>
            <w:vAlign w:val="bottom"/>
          </w:tcPr>
          <w:p>
            <w:pPr>
              <w:spacing w:after="0"/>
              <w:rPr>
                <w:sz w:val="24"/>
                <w:szCs w:val="24"/>
                <w:color w:val="auto"/>
              </w:rPr>
            </w:pPr>
          </w:p>
        </w:tc>
        <w:tc>
          <w:tcPr>
            <w:tcW w:w="6980" w:type="dxa"/>
            <w:vAlign w:val="bottom"/>
            <w:gridSpan w:val="27"/>
          </w:tcPr>
          <w:p>
            <w:pPr>
              <w:ind w:left="60"/>
              <w:spacing w:after="0"/>
              <w:rPr>
                <w:rFonts w:ascii="Arial" w:cs="Arial" w:eastAsia="Arial" w:hAnsi="Arial"/>
                <w:sz w:val="19"/>
                <w:szCs w:val="19"/>
                <w:color w:val="auto"/>
                <w:w w:val="96"/>
              </w:rPr>
            </w:pPr>
            <w:r>
              <w:rPr>
                <w:rFonts w:ascii="Arial" w:cs="Arial" w:eastAsia="Arial" w:hAnsi="Arial"/>
                <w:sz w:val="19"/>
                <w:szCs w:val="19"/>
                <w:color w:val="auto"/>
                <w:w w:val="96"/>
              </w:rPr>
              <w:t xml:space="preserve">*   </w:t>
            </w:r>
            <w:hyperlink r:id="rId331">
              <w:r>
                <w:rPr>
                  <w:rFonts w:ascii="Arial" w:cs="Arial" w:eastAsia="Arial" w:hAnsi="Arial"/>
                  <w:sz w:val="19"/>
                  <w:szCs w:val="19"/>
                  <w:color w:val="0000FF"/>
                  <w:w w:val="96"/>
                </w:rPr>
                <w:t>Registration Rights Agreement, dated April 14, 2021, by and between Evergy, Inc.</w:t>
              </w:r>
            </w:hyperlink>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26"/>
          </w:tcPr>
          <w:p>
            <w:pPr>
              <w:spacing w:after="0" w:line="161" w:lineRule="exact"/>
              <w:rPr>
                <w:rFonts w:ascii="Arial" w:cs="Arial" w:eastAsia="Arial" w:hAnsi="Arial"/>
                <w:sz w:val="18"/>
                <w:szCs w:val="18"/>
                <w:color w:val="0000FF"/>
                <w:w w:val="98"/>
              </w:rPr>
            </w:pPr>
            <w:hyperlink r:id="rId331">
              <w:r>
                <w:rPr>
                  <w:rFonts w:ascii="Arial" w:cs="Arial" w:eastAsia="Arial" w:hAnsi="Arial"/>
                  <w:sz w:val="18"/>
                  <w:szCs w:val="18"/>
                  <w:color w:val="0000FF"/>
                  <w:w w:val="98"/>
                </w:rPr>
                <w:t>and BEP Special Situations V LLC. (Exhibit 10.1 to Evergy's Form 8-K filed on April</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Borders>
              <w:top w:val="single" w:sz="8" w:color="0000FF"/>
              <w:bottom w:val="single" w:sz="8" w:color="0000FF"/>
            </w:tcBorders>
          </w:tcPr>
          <w:p>
            <w:pPr>
              <w:spacing w:after="0" w:line="161" w:lineRule="exact"/>
              <w:rPr>
                <w:rFonts w:ascii="Arial" w:cs="Arial" w:eastAsia="Arial" w:hAnsi="Arial"/>
                <w:sz w:val="18"/>
                <w:szCs w:val="18"/>
                <w:color w:val="0000FF"/>
                <w:w w:val="93"/>
              </w:rPr>
            </w:pPr>
            <w:hyperlink r:id="rId331">
              <w:r>
                <w:rPr>
                  <w:rFonts w:ascii="Arial" w:cs="Arial" w:eastAsia="Arial" w:hAnsi="Arial"/>
                  <w:sz w:val="18"/>
                  <w:szCs w:val="18"/>
                  <w:color w:val="0000FF"/>
                  <w:w w:val="93"/>
                </w:rPr>
                <w:t>14, 2021.</w:t>
              </w:r>
            </w:hyperlink>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Arial" w:cs="Arial" w:eastAsia="Arial" w:hAnsi="Arial"/>
                <w:sz w:val="19"/>
                <w:szCs w:val="19"/>
                <w:color w:val="auto"/>
              </w:rPr>
              <w:t>10.55</w:t>
            </w:r>
          </w:p>
        </w:tc>
        <w:tc>
          <w:tcPr>
            <w:tcW w:w="60" w:type="dxa"/>
            <w:vAlign w:val="bottom"/>
          </w:tcPr>
          <w:p>
            <w:pPr>
              <w:spacing w:after="0"/>
              <w:rPr>
                <w:sz w:val="24"/>
                <w:szCs w:val="24"/>
                <w:color w:val="auto"/>
              </w:rPr>
            </w:pPr>
          </w:p>
        </w:tc>
        <w:tc>
          <w:tcPr>
            <w:tcW w:w="6980" w:type="dxa"/>
            <w:vAlign w:val="bottom"/>
            <w:gridSpan w:val="27"/>
          </w:tcPr>
          <w:p>
            <w:pPr>
              <w:ind w:left="60"/>
              <w:spacing w:after="0"/>
              <w:rPr>
                <w:rFonts w:ascii="Arial" w:cs="Arial" w:eastAsia="Arial" w:hAnsi="Arial"/>
                <w:sz w:val="19"/>
                <w:szCs w:val="19"/>
                <w:color w:val="auto"/>
                <w:w w:val="99"/>
              </w:rPr>
            </w:pPr>
            <w:r>
              <w:rPr>
                <w:rFonts w:ascii="Arial" w:cs="Arial" w:eastAsia="Arial" w:hAnsi="Arial"/>
                <w:sz w:val="19"/>
                <w:szCs w:val="19"/>
                <w:color w:val="auto"/>
                <w:w w:val="99"/>
              </w:rPr>
              <w:t xml:space="preserve">*   </w:t>
            </w:r>
            <w:hyperlink r:id="rId332">
              <w:r>
                <w:rPr>
                  <w:rFonts w:ascii="Arial" w:cs="Arial" w:eastAsia="Arial" w:hAnsi="Arial"/>
                  <w:sz w:val="19"/>
                  <w:szCs w:val="19"/>
                  <w:color w:val="0000FF"/>
                  <w:w w:val="99"/>
                </w:rPr>
                <w:t>Warrant No. 1 issued by Evergy, Inc. on April 14, 2021 (Exhibit 10.2 to Evergy's</w:t>
              </w:r>
            </w:hyperlink>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160" w:type="dxa"/>
            <w:vAlign w:val="bottom"/>
            <w:tcBorders>
              <w:top w:val="single" w:sz="8" w:color="0000FF"/>
            </w:tcBorders>
            <w:gridSpan w:val="16"/>
          </w:tcPr>
          <w:p>
            <w:pPr>
              <w:spacing w:after="0" w:line="161" w:lineRule="exact"/>
              <w:rPr>
                <w:rFonts w:ascii="Arial" w:cs="Arial" w:eastAsia="Arial" w:hAnsi="Arial"/>
                <w:sz w:val="18"/>
                <w:szCs w:val="18"/>
                <w:color w:val="0000FF"/>
              </w:rPr>
            </w:pPr>
            <w:hyperlink r:id="rId332">
              <w:r>
                <w:rPr>
                  <w:rFonts w:ascii="Arial" w:cs="Arial" w:eastAsia="Arial" w:hAnsi="Arial"/>
                  <w:sz w:val="18"/>
                  <w:szCs w:val="18"/>
                  <w:color w:val="0000FF"/>
                </w:rPr>
                <w:t>Form 8-K filed on April 14, 2021).</w:t>
              </w:r>
            </w:hyperlink>
          </w:p>
        </w:tc>
        <w:tc>
          <w:tcPr>
            <w:tcW w:w="400" w:type="dxa"/>
            <w:vAlign w:val="bottom"/>
            <w:gridSpan w:val="10"/>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Arial" w:cs="Arial" w:eastAsia="Arial" w:hAnsi="Arial"/>
                <w:sz w:val="19"/>
                <w:szCs w:val="19"/>
                <w:color w:val="auto"/>
              </w:rPr>
              <w:t>21.1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Borders>
              <w:top w:val="single" w:sz="8" w:color="0000FF"/>
              <w:bottom w:val="single" w:sz="8" w:color="0000FF"/>
            </w:tcBorders>
            <w:gridSpan w:val="5"/>
          </w:tcPr>
          <w:p>
            <w:pPr>
              <w:spacing w:after="0"/>
              <w:rPr>
                <w:rFonts w:ascii="Arial" w:cs="Arial" w:eastAsia="Arial" w:hAnsi="Arial"/>
                <w:sz w:val="19"/>
                <w:szCs w:val="19"/>
                <w:color w:val="0000FF"/>
                <w:w w:val="93"/>
              </w:rPr>
            </w:pPr>
            <w:hyperlink w:anchor="page206">
              <w:r>
                <w:rPr>
                  <w:rFonts w:ascii="Arial" w:cs="Arial" w:eastAsia="Arial" w:hAnsi="Arial"/>
                  <w:sz w:val="19"/>
                  <w:szCs w:val="19"/>
                  <w:color w:val="0000FF"/>
                  <w:w w:val="93"/>
                </w:rPr>
                <w:t>List of Subsidiaries.</w:t>
              </w:r>
            </w:hyperlink>
          </w:p>
        </w:tc>
        <w:tc>
          <w:tcPr>
            <w:tcW w:w="1080" w:type="dxa"/>
            <w:vAlign w:val="bottom"/>
            <w:tcBorders>
              <w:top w:val="single" w:sz="8" w:color="0000FF"/>
            </w:tcBorders>
            <w:gridSpan w:val="2"/>
          </w:tcPr>
          <w:p>
            <w:pPr>
              <w:spacing w:after="0"/>
              <w:rPr>
                <w:sz w:val="24"/>
                <w:szCs w:val="24"/>
                <w:color w:val="auto"/>
              </w:rPr>
            </w:pPr>
          </w:p>
        </w:tc>
        <w:tc>
          <w:tcPr>
            <w:tcW w:w="3920" w:type="dxa"/>
            <w:vAlign w:val="bottom"/>
            <w:gridSpan w:val="19"/>
          </w:tcPr>
          <w:p>
            <w:pPr>
              <w:spacing w:after="0"/>
              <w:rPr>
                <w:sz w:val="24"/>
                <w:szCs w:val="24"/>
                <w:color w:val="auto"/>
              </w:rPr>
            </w:pPr>
          </w:p>
        </w:tc>
      </w:tr>
      <w:tr>
        <w:trPr>
          <w:trHeight w:val="650"/>
        </w:trPr>
        <w:tc>
          <w:tcPr>
            <w:tcW w:w="1340" w:type="dxa"/>
            <w:vAlign w:val="bottom"/>
          </w:tcPr>
          <w:p>
            <w:pPr>
              <w:ind w:left="20"/>
              <w:spacing w:after="0"/>
              <w:rPr>
                <w:sz w:val="20"/>
                <w:szCs w:val="20"/>
                <w:color w:val="auto"/>
              </w:rPr>
            </w:pPr>
            <w:r>
              <w:rPr>
                <w:rFonts w:ascii="Arial" w:cs="Arial" w:eastAsia="Arial" w:hAnsi="Arial"/>
                <w:sz w:val="19"/>
                <w:szCs w:val="19"/>
                <w:color w:val="auto"/>
              </w:rPr>
              <w:t>23.1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0" w:type="dxa"/>
            <w:vAlign w:val="bottom"/>
            <w:tcBorders>
              <w:bottom w:val="single" w:sz="8" w:color="0000FF"/>
            </w:tcBorders>
            <w:gridSpan w:val="12"/>
          </w:tcPr>
          <w:p>
            <w:pPr>
              <w:spacing w:after="0"/>
              <w:rPr>
                <w:rFonts w:ascii="Arial" w:cs="Arial" w:eastAsia="Arial" w:hAnsi="Arial"/>
                <w:sz w:val="19"/>
                <w:szCs w:val="19"/>
                <w:color w:val="0000FF"/>
                <w:w w:val="90"/>
              </w:rPr>
            </w:pPr>
            <w:hyperlink w:anchor="page207">
              <w:r>
                <w:rPr>
                  <w:rFonts w:ascii="Arial" w:cs="Arial" w:eastAsia="Arial" w:hAnsi="Arial"/>
                  <w:sz w:val="19"/>
                  <w:szCs w:val="19"/>
                  <w:color w:val="0000FF"/>
                  <w:w w:val="90"/>
                </w:rPr>
                <w:t>Consent of Independent Registered Public Accounting Firm.</w:t>
              </w:r>
            </w:hyperlink>
          </w:p>
        </w:tc>
        <w:tc>
          <w:tcPr>
            <w:tcW w:w="1960" w:type="dxa"/>
            <w:vAlign w:val="bottom"/>
            <w:gridSpan w:val="14"/>
          </w:tcPr>
          <w:p>
            <w:pPr>
              <w:spacing w:after="0"/>
              <w:rPr>
                <w:sz w:val="24"/>
                <w:szCs w:val="24"/>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23.2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0" w:type="dxa"/>
            <w:vAlign w:val="bottom"/>
            <w:tcBorders>
              <w:bottom w:val="single" w:sz="8" w:color="0000FF"/>
            </w:tcBorders>
            <w:gridSpan w:val="12"/>
          </w:tcPr>
          <w:p>
            <w:pPr>
              <w:spacing w:after="0"/>
              <w:rPr>
                <w:rFonts w:ascii="Arial" w:cs="Arial" w:eastAsia="Arial" w:hAnsi="Arial"/>
                <w:sz w:val="19"/>
                <w:szCs w:val="19"/>
                <w:color w:val="0000FF"/>
                <w:w w:val="90"/>
              </w:rPr>
            </w:pPr>
            <w:hyperlink w:anchor="page208">
              <w:r>
                <w:rPr>
                  <w:rFonts w:ascii="Arial" w:cs="Arial" w:eastAsia="Arial" w:hAnsi="Arial"/>
                  <w:sz w:val="19"/>
                  <w:szCs w:val="19"/>
                  <w:color w:val="0000FF"/>
                  <w:w w:val="90"/>
                </w:rPr>
                <w:t>Consent of Independent Registered Public Accounting Firm.</w:t>
              </w:r>
            </w:hyperlink>
          </w:p>
        </w:tc>
        <w:tc>
          <w:tcPr>
            <w:tcW w:w="1960" w:type="dxa"/>
            <w:vAlign w:val="bottom"/>
            <w:gridSpan w:val="14"/>
          </w:tcPr>
          <w:p>
            <w:pPr>
              <w:spacing w:after="0"/>
              <w:rPr>
                <w:sz w:val="24"/>
                <w:szCs w:val="24"/>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23.3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60" w:type="dxa"/>
            <w:vAlign w:val="bottom"/>
            <w:gridSpan w:val="26"/>
          </w:tcPr>
          <w:p>
            <w:pPr>
              <w:spacing w:after="0"/>
              <w:rPr>
                <w:rFonts w:ascii="Arial" w:cs="Arial" w:eastAsia="Arial" w:hAnsi="Arial"/>
                <w:sz w:val="19"/>
                <w:szCs w:val="19"/>
                <w:color w:val="0000FF"/>
              </w:rPr>
            </w:pPr>
            <w:hyperlink w:anchor="page209">
              <w:r>
                <w:rPr>
                  <w:rFonts w:ascii="Arial" w:cs="Arial" w:eastAsia="Arial" w:hAnsi="Arial"/>
                  <w:sz w:val="19"/>
                  <w:szCs w:val="19"/>
                  <w:color w:val="0000FF"/>
                </w:rPr>
                <w:t>Consent of Independent Registered Public Accounting Firm.</w:t>
              </w:r>
            </w:hyperlink>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24.1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Borders>
              <w:top w:val="single" w:sz="8" w:color="0000FF"/>
              <w:bottom w:val="single" w:sz="8" w:color="0000FF"/>
            </w:tcBorders>
            <w:gridSpan w:val="4"/>
          </w:tcPr>
          <w:p>
            <w:pPr>
              <w:spacing w:after="0"/>
              <w:rPr>
                <w:rFonts w:ascii="Arial" w:cs="Arial" w:eastAsia="Arial" w:hAnsi="Arial"/>
                <w:sz w:val="19"/>
                <w:szCs w:val="19"/>
                <w:color w:val="0000FF"/>
                <w:w w:val="91"/>
              </w:rPr>
            </w:pPr>
            <w:hyperlink w:anchor="page210">
              <w:r>
                <w:rPr>
                  <w:rFonts w:ascii="Arial" w:cs="Arial" w:eastAsia="Arial" w:hAnsi="Arial"/>
                  <w:sz w:val="19"/>
                  <w:szCs w:val="19"/>
                  <w:color w:val="0000FF"/>
                  <w:w w:val="91"/>
                </w:rPr>
                <w:t>Powers of Attorney.</w:t>
              </w:r>
            </w:hyperlink>
          </w:p>
        </w:tc>
        <w:tc>
          <w:tcPr>
            <w:tcW w:w="3040" w:type="dxa"/>
            <w:vAlign w:val="bottom"/>
            <w:tcBorders>
              <w:top w:val="single" w:sz="8" w:color="0000FF"/>
            </w:tcBorders>
            <w:gridSpan w:val="7"/>
          </w:tcPr>
          <w:p>
            <w:pPr>
              <w:spacing w:after="0"/>
              <w:rPr>
                <w:sz w:val="24"/>
                <w:szCs w:val="24"/>
                <w:color w:val="auto"/>
              </w:rPr>
            </w:pPr>
          </w:p>
        </w:tc>
        <w:tc>
          <w:tcPr>
            <w:tcW w:w="1980" w:type="dxa"/>
            <w:vAlign w:val="bottom"/>
            <w:gridSpan w:val="15"/>
          </w:tcPr>
          <w:p>
            <w:pPr>
              <w:spacing w:after="0"/>
              <w:rPr>
                <w:sz w:val="24"/>
                <w:szCs w:val="24"/>
                <w:color w:val="auto"/>
              </w:rPr>
            </w:pP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24.2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Borders>
              <w:bottom w:val="single" w:sz="8" w:color="0000FF"/>
            </w:tcBorders>
            <w:gridSpan w:val="3"/>
          </w:tcPr>
          <w:p>
            <w:pPr>
              <w:spacing w:after="0"/>
              <w:rPr>
                <w:rFonts w:ascii="Arial" w:cs="Arial" w:eastAsia="Arial" w:hAnsi="Arial"/>
                <w:sz w:val="19"/>
                <w:szCs w:val="19"/>
                <w:color w:val="0000FF"/>
                <w:w w:val="90"/>
              </w:rPr>
            </w:pPr>
            <w:hyperlink w:anchor="page211">
              <w:r>
                <w:rPr>
                  <w:rFonts w:ascii="Arial" w:cs="Arial" w:eastAsia="Arial" w:hAnsi="Arial"/>
                  <w:sz w:val="19"/>
                  <w:szCs w:val="19"/>
                  <w:color w:val="0000FF"/>
                  <w:w w:val="90"/>
                </w:rPr>
                <w:t>Powers of Attorney.</w:t>
              </w:r>
            </w:hyperlink>
          </w:p>
        </w:tc>
        <w:tc>
          <w:tcPr>
            <w:tcW w:w="5040" w:type="dxa"/>
            <w:vAlign w:val="bottom"/>
            <w:gridSpan w:val="23"/>
          </w:tcPr>
          <w:p>
            <w:pPr>
              <w:spacing w:after="0"/>
              <w:rPr>
                <w:sz w:val="24"/>
                <w:szCs w:val="24"/>
                <w:color w:val="auto"/>
              </w:rPr>
            </w:pPr>
          </w:p>
        </w:tc>
      </w:tr>
      <w:tr>
        <w:trPr>
          <w:trHeight w:val="1190"/>
        </w:trPr>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gridSpan w:val="12"/>
          </w:tcPr>
          <w:p>
            <w:pPr>
              <w:ind w:left="4100"/>
              <w:spacing w:after="0"/>
              <w:rPr>
                <w:sz w:val="20"/>
                <w:szCs w:val="20"/>
                <w:color w:val="auto"/>
              </w:rPr>
            </w:pPr>
            <w:r>
              <w:rPr>
                <w:rFonts w:ascii="Arial" w:cs="Arial" w:eastAsia="Arial" w:hAnsi="Arial"/>
                <w:sz w:val="17"/>
                <w:szCs w:val="17"/>
                <w:color w:val="auto"/>
              </w:rPr>
              <w:t>175</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rPr>
          <w:sz w:val="20"/>
          <w:szCs w:val="20"/>
          <w:color w:val="auto"/>
        </w:rPr>
      </w:pPr>
      <w:r>
        <w:rPr>
          <w:rFonts w:ascii="Arial" w:cs="Arial" w:eastAsia="Arial" w:hAnsi="Arial"/>
          <w:sz w:val="17"/>
          <w:szCs w:val="17"/>
          <w:color w:val="auto"/>
        </w:rPr>
        <w:t>Evergy Kansas Central</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Evergy</w:t>
      </w: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Evergy Metro</w:t>
      </w:r>
    </w:p>
    <w:p>
      <w:pPr>
        <w:spacing w:after="0" w:line="271" w:lineRule="exact"/>
        <w:rPr>
          <w:sz w:val="20"/>
          <w:szCs w:val="20"/>
          <w:color w:val="auto"/>
        </w:rPr>
      </w:pPr>
    </w:p>
    <w:p>
      <w:pPr>
        <w:spacing w:after="0" w:line="538" w:lineRule="auto"/>
        <w:rPr>
          <w:sz w:val="20"/>
          <w:szCs w:val="20"/>
          <w:color w:val="auto"/>
        </w:rPr>
      </w:pPr>
      <w:r>
        <w:rPr>
          <w:rFonts w:ascii="Arial" w:cs="Arial" w:eastAsia="Arial" w:hAnsi="Arial"/>
          <w:sz w:val="19"/>
          <w:szCs w:val="19"/>
          <w:color w:val="auto"/>
        </w:rPr>
        <w:t>Evergy Kansas Central Evergy</w:t>
      </w:r>
    </w:p>
    <w:p>
      <w:pPr>
        <w:spacing w:after="0"/>
        <w:rPr>
          <w:sz w:val="20"/>
          <w:szCs w:val="20"/>
          <w:color w:val="auto"/>
        </w:rPr>
      </w:pPr>
      <w:r>
        <w:rPr>
          <w:rFonts w:ascii="Arial" w:cs="Arial" w:eastAsia="Arial" w:hAnsi="Arial"/>
          <w:sz w:val="17"/>
          <w:szCs w:val="17"/>
          <w:color w:val="auto"/>
        </w:rPr>
        <w:t>Evergy Kansas Central</w:t>
      </w:r>
    </w:p>
    <w:p>
      <w:pPr>
        <w:sectPr>
          <w:pgSz w:w="11900" w:h="16838" w:orient="portrait"/>
          <w:cols w:equalWidth="0" w:num="2">
            <w:col w:w="8360" w:space="480"/>
            <w:col w:w="1740"/>
          </w:cols>
          <w:pgMar w:left="320" w:top="102" w:right="99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18"/>
        </w:trPr>
        <w:tc>
          <w:tcPr>
            <w:tcW w:w="1360" w:type="dxa"/>
            <w:vAlign w:val="bottom"/>
            <w:gridSpan w:val="2"/>
          </w:tcPr>
          <w:p>
            <w:pPr>
              <w:spacing w:after="0"/>
              <w:rPr>
                <w:rFonts w:ascii="Arial" w:cs="Arial" w:eastAsia="Arial" w:hAnsi="Arial"/>
                <w:sz w:val="19"/>
                <w:szCs w:val="19"/>
                <w:color w:val="0000FF"/>
                <w:w w:val="89"/>
              </w:rPr>
            </w:pPr>
            <w:hyperlink w:anchor="page3">
              <w:r>
                <w:rPr>
                  <w:rFonts w:ascii="Arial" w:cs="Arial" w:eastAsia="Arial" w:hAnsi="Arial"/>
                  <w:sz w:val="19"/>
                  <w:szCs w:val="19"/>
                  <w:color w:val="0000FF"/>
                  <w:w w:val="89"/>
                </w:rPr>
                <w:t>Table of Contents</w:t>
              </w:r>
            </w:hyperlink>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Arial" w:cs="Arial" w:eastAsia="Arial" w:hAnsi="Arial"/>
                <w:sz w:val="19"/>
                <w:szCs w:val="19"/>
                <w:color w:val="auto"/>
              </w:rPr>
              <w:t>24.3</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Borders>
              <w:bottom w:val="single" w:sz="8" w:color="0000FF"/>
            </w:tcBorders>
          </w:tcPr>
          <w:p>
            <w:pPr>
              <w:spacing w:after="0"/>
              <w:rPr>
                <w:rFonts w:ascii="Arial" w:cs="Arial" w:eastAsia="Arial" w:hAnsi="Arial"/>
                <w:sz w:val="19"/>
                <w:szCs w:val="19"/>
                <w:color w:val="0000FF"/>
                <w:w w:val="90"/>
              </w:rPr>
            </w:pPr>
            <w:hyperlink w:anchor="page212">
              <w:r>
                <w:rPr>
                  <w:rFonts w:ascii="Arial" w:cs="Arial" w:eastAsia="Arial" w:hAnsi="Arial"/>
                  <w:sz w:val="19"/>
                  <w:szCs w:val="19"/>
                  <w:color w:val="0000FF"/>
                  <w:w w:val="90"/>
                </w:rPr>
                <w:t>Powers of Attorney.</w:t>
              </w:r>
            </w:hyperlink>
          </w:p>
        </w:tc>
        <w:tc>
          <w:tcPr>
            <w:tcW w:w="5040" w:type="dxa"/>
            <w:vAlign w:val="bottom"/>
            <w:gridSpan w:val="5"/>
          </w:tcPr>
          <w:p>
            <w:pPr>
              <w:spacing w:after="0"/>
              <w:rPr>
                <w:sz w:val="24"/>
                <w:szCs w:val="24"/>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rPr>
              <w:t>Evergy Metro</w:t>
            </w: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31.1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20" w:type="dxa"/>
            <w:vAlign w:val="bottom"/>
            <w:tcBorders>
              <w:bottom w:val="single" w:sz="8" w:color="0000FF"/>
            </w:tcBorders>
            <w:gridSpan w:val="4"/>
          </w:tcPr>
          <w:p>
            <w:pPr>
              <w:spacing w:after="0"/>
              <w:rPr>
                <w:rFonts w:ascii="Arial" w:cs="Arial" w:eastAsia="Arial" w:hAnsi="Arial"/>
                <w:sz w:val="19"/>
                <w:szCs w:val="19"/>
                <w:color w:val="0000FF"/>
                <w:w w:val="92"/>
              </w:rPr>
            </w:pPr>
            <w:hyperlink w:anchor="page213">
              <w:r>
                <w:rPr>
                  <w:rFonts w:ascii="Arial" w:cs="Arial" w:eastAsia="Arial" w:hAnsi="Arial"/>
                  <w:sz w:val="19"/>
                  <w:szCs w:val="19"/>
                  <w:color w:val="0000FF"/>
                  <w:w w:val="92"/>
                </w:rPr>
                <w:t>Rule 13a-14(a)/15d-14(a) Certification of David A. Campbell.</w:t>
              </w:r>
            </w:hyperlink>
          </w:p>
        </w:tc>
        <w:tc>
          <w:tcPr>
            <w:tcW w:w="1840" w:type="dxa"/>
            <w:vAlign w:val="bottom"/>
            <w:gridSpan w:val="2"/>
          </w:tcPr>
          <w:p>
            <w:pPr>
              <w:spacing w:after="0"/>
              <w:rPr>
                <w:sz w:val="24"/>
                <w:szCs w:val="24"/>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rPr>
              <w:t>Evergy</w:t>
            </w: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31.2</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60" w:type="dxa"/>
            <w:vAlign w:val="bottom"/>
            <w:gridSpan w:val="6"/>
          </w:tcPr>
          <w:p>
            <w:pPr>
              <w:spacing w:after="0"/>
              <w:rPr>
                <w:rFonts w:ascii="Arial" w:cs="Arial" w:eastAsia="Arial" w:hAnsi="Arial"/>
                <w:sz w:val="19"/>
                <w:szCs w:val="19"/>
                <w:color w:val="0000FF"/>
              </w:rPr>
            </w:pPr>
            <w:hyperlink w:anchor="page214">
              <w:r>
                <w:rPr>
                  <w:rFonts w:ascii="Arial" w:cs="Arial" w:eastAsia="Arial" w:hAnsi="Arial"/>
                  <w:sz w:val="19"/>
                  <w:szCs w:val="19"/>
                  <w:color w:val="0000FF"/>
                </w:rPr>
                <w:t>Rule 13a-14(a)/15d-14(a) Certification of Kirkland B. Andrews.</w:t>
              </w:r>
            </w:hyperlink>
          </w:p>
        </w:tc>
        <w:tc>
          <w:tcPr>
            <w:tcW w:w="2200" w:type="dxa"/>
            <w:vAlign w:val="bottom"/>
          </w:tcPr>
          <w:p>
            <w:pPr>
              <w:ind w:left="460"/>
              <w:spacing w:after="0"/>
              <w:rPr>
                <w:sz w:val="20"/>
                <w:szCs w:val="20"/>
                <w:color w:val="auto"/>
              </w:rPr>
            </w:pPr>
            <w:r>
              <w:rPr>
                <w:rFonts w:ascii="Arial" w:cs="Arial" w:eastAsia="Arial" w:hAnsi="Arial"/>
                <w:sz w:val="19"/>
                <w:szCs w:val="19"/>
                <w:color w:val="auto"/>
              </w:rPr>
              <w:t>Evergy</w:t>
            </w: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31.3</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20" w:type="dxa"/>
            <w:vAlign w:val="bottom"/>
            <w:tcBorders>
              <w:top w:val="single" w:sz="8" w:color="0000FF"/>
              <w:bottom w:val="single" w:sz="8" w:color="0000FF"/>
            </w:tcBorders>
            <w:gridSpan w:val="4"/>
          </w:tcPr>
          <w:p>
            <w:pPr>
              <w:spacing w:after="0"/>
              <w:rPr>
                <w:rFonts w:ascii="Arial" w:cs="Arial" w:eastAsia="Arial" w:hAnsi="Arial"/>
                <w:sz w:val="19"/>
                <w:szCs w:val="19"/>
                <w:color w:val="0000FF"/>
                <w:w w:val="92"/>
              </w:rPr>
            </w:pPr>
            <w:hyperlink w:anchor="page215">
              <w:r>
                <w:rPr>
                  <w:rFonts w:ascii="Arial" w:cs="Arial" w:eastAsia="Arial" w:hAnsi="Arial"/>
                  <w:sz w:val="19"/>
                  <w:szCs w:val="19"/>
                  <w:color w:val="0000FF"/>
                  <w:w w:val="92"/>
                </w:rPr>
                <w:t>Rule 13a-14(a)/15d-14(a) Certification of David A. Campbell.</w:t>
              </w:r>
            </w:hyperlink>
          </w:p>
        </w:tc>
        <w:tc>
          <w:tcPr>
            <w:tcW w:w="140" w:type="dxa"/>
            <w:vAlign w:val="bottom"/>
            <w:tcBorders>
              <w:top w:val="single" w:sz="8" w:color="0000FF"/>
            </w:tcBorders>
          </w:tcPr>
          <w:p>
            <w:pPr>
              <w:spacing w:after="0"/>
              <w:rPr>
                <w:sz w:val="24"/>
                <w:szCs w:val="24"/>
                <w:color w:val="auto"/>
              </w:rPr>
            </w:pPr>
          </w:p>
        </w:tc>
        <w:tc>
          <w:tcPr>
            <w:tcW w:w="1700" w:type="dxa"/>
            <w:vAlign w:val="bottom"/>
          </w:tcPr>
          <w:p>
            <w:pPr>
              <w:spacing w:after="0"/>
              <w:rPr>
                <w:sz w:val="24"/>
                <w:szCs w:val="24"/>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rPr>
              <w:t>Evergy Metro</w:t>
            </w:r>
          </w:p>
        </w:tc>
      </w:tr>
      <w:tr>
        <w:trPr>
          <w:trHeight w:val="470"/>
        </w:trPr>
        <w:tc>
          <w:tcPr>
            <w:tcW w:w="1340" w:type="dxa"/>
            <w:vAlign w:val="bottom"/>
          </w:tcPr>
          <w:p>
            <w:pPr>
              <w:ind w:left="20"/>
              <w:spacing w:after="0"/>
              <w:rPr>
                <w:sz w:val="20"/>
                <w:szCs w:val="20"/>
                <w:color w:val="auto"/>
              </w:rPr>
            </w:pPr>
            <w:r>
              <w:rPr>
                <w:rFonts w:ascii="Arial" w:cs="Arial" w:eastAsia="Arial" w:hAnsi="Arial"/>
                <w:sz w:val="19"/>
                <w:szCs w:val="19"/>
                <w:color w:val="auto"/>
              </w:rPr>
              <w:t>31.4</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60" w:type="dxa"/>
            <w:vAlign w:val="bottom"/>
            <w:gridSpan w:val="6"/>
          </w:tcPr>
          <w:p>
            <w:pPr>
              <w:spacing w:after="0"/>
              <w:rPr>
                <w:rFonts w:ascii="Arial" w:cs="Arial" w:eastAsia="Arial" w:hAnsi="Arial"/>
                <w:sz w:val="19"/>
                <w:szCs w:val="19"/>
                <w:color w:val="0000FF"/>
              </w:rPr>
            </w:pPr>
            <w:hyperlink w:anchor="page216">
              <w:r>
                <w:rPr>
                  <w:rFonts w:ascii="Arial" w:cs="Arial" w:eastAsia="Arial" w:hAnsi="Arial"/>
                  <w:sz w:val="19"/>
                  <w:szCs w:val="19"/>
                  <w:color w:val="0000FF"/>
                </w:rPr>
                <w:t>Rule 13a-14(a)/15d-14(a) Certification of Kirkland B. Andrews.</w:t>
              </w:r>
            </w:hyperlink>
          </w:p>
        </w:tc>
        <w:tc>
          <w:tcPr>
            <w:tcW w:w="2200" w:type="dxa"/>
            <w:vAlign w:val="bottom"/>
          </w:tcPr>
          <w:p>
            <w:pPr>
              <w:ind w:left="460"/>
              <w:spacing w:after="0"/>
              <w:rPr>
                <w:sz w:val="20"/>
                <w:szCs w:val="20"/>
                <w:color w:val="auto"/>
              </w:rPr>
            </w:pPr>
            <w:r>
              <w:rPr>
                <w:rFonts w:ascii="Arial" w:cs="Arial" w:eastAsia="Arial" w:hAnsi="Arial"/>
                <w:sz w:val="19"/>
                <w:szCs w:val="19"/>
                <w:color w:val="auto"/>
              </w:rPr>
              <w:t>Evergy Metro</w:t>
            </w:r>
          </w:p>
        </w:tc>
      </w:tr>
      <w:tr>
        <w:trPr>
          <w:trHeight w:val="418"/>
        </w:trPr>
        <w:tc>
          <w:tcPr>
            <w:tcW w:w="1340" w:type="dxa"/>
            <w:vAlign w:val="bottom"/>
          </w:tcPr>
          <w:p>
            <w:pPr>
              <w:ind w:left="20"/>
              <w:spacing w:after="0"/>
              <w:rPr>
                <w:sz w:val="20"/>
                <w:szCs w:val="20"/>
                <w:color w:val="auto"/>
              </w:rPr>
            </w:pPr>
            <w:r>
              <w:rPr>
                <w:rFonts w:ascii="Arial" w:cs="Arial" w:eastAsia="Arial" w:hAnsi="Arial"/>
                <w:sz w:val="19"/>
                <w:szCs w:val="19"/>
                <w:color w:val="auto"/>
              </w:rPr>
              <w:t>31.5</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20" w:type="dxa"/>
            <w:vAlign w:val="bottom"/>
            <w:tcBorders>
              <w:top w:val="single" w:sz="8" w:color="0000FF"/>
              <w:bottom w:val="single" w:sz="8" w:color="0000FF"/>
            </w:tcBorders>
            <w:gridSpan w:val="4"/>
          </w:tcPr>
          <w:p>
            <w:pPr>
              <w:spacing w:after="0"/>
              <w:rPr>
                <w:rFonts w:ascii="Arial" w:cs="Arial" w:eastAsia="Arial" w:hAnsi="Arial"/>
                <w:sz w:val="19"/>
                <w:szCs w:val="19"/>
                <w:color w:val="0000FF"/>
                <w:w w:val="92"/>
              </w:rPr>
            </w:pPr>
            <w:hyperlink w:anchor="page217">
              <w:r>
                <w:rPr>
                  <w:rFonts w:ascii="Arial" w:cs="Arial" w:eastAsia="Arial" w:hAnsi="Arial"/>
                  <w:sz w:val="19"/>
                  <w:szCs w:val="19"/>
                  <w:color w:val="0000FF"/>
                  <w:w w:val="92"/>
                </w:rPr>
                <w:t>Rule 13a-14(a)/15d-14(a) Certification of David A. Campbell.</w:t>
              </w:r>
            </w:hyperlink>
          </w:p>
        </w:tc>
        <w:tc>
          <w:tcPr>
            <w:tcW w:w="140" w:type="dxa"/>
            <w:vAlign w:val="bottom"/>
            <w:tcBorders>
              <w:top w:val="single" w:sz="8" w:color="0000FF"/>
            </w:tcBorders>
          </w:tcPr>
          <w:p>
            <w:pPr>
              <w:spacing w:after="0"/>
              <w:rPr>
                <w:sz w:val="24"/>
                <w:szCs w:val="24"/>
                <w:color w:val="auto"/>
              </w:rPr>
            </w:pPr>
          </w:p>
        </w:tc>
        <w:tc>
          <w:tcPr>
            <w:tcW w:w="1700" w:type="dxa"/>
            <w:vAlign w:val="bottom"/>
          </w:tcPr>
          <w:p>
            <w:pPr>
              <w:spacing w:after="0"/>
              <w:rPr>
                <w:sz w:val="24"/>
                <w:szCs w:val="24"/>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w w:val="88"/>
              </w:rPr>
              <w:t>Evergy Kansas Central</w:t>
            </w:r>
          </w:p>
        </w:tc>
      </w:tr>
      <w:tr>
        <w:trPr>
          <w:trHeight w:val="418"/>
        </w:trPr>
        <w:tc>
          <w:tcPr>
            <w:tcW w:w="1340" w:type="dxa"/>
            <w:vAlign w:val="bottom"/>
          </w:tcPr>
          <w:p>
            <w:pPr>
              <w:ind w:left="20"/>
              <w:spacing w:after="0"/>
              <w:rPr>
                <w:sz w:val="20"/>
                <w:szCs w:val="20"/>
                <w:color w:val="auto"/>
              </w:rPr>
            </w:pPr>
            <w:r>
              <w:rPr>
                <w:rFonts w:ascii="Arial" w:cs="Arial" w:eastAsia="Arial" w:hAnsi="Arial"/>
                <w:sz w:val="19"/>
                <w:szCs w:val="19"/>
                <w:color w:val="auto"/>
              </w:rPr>
              <w:t>31.6</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60" w:type="dxa"/>
            <w:vAlign w:val="bottom"/>
            <w:gridSpan w:val="6"/>
          </w:tcPr>
          <w:p>
            <w:pPr>
              <w:spacing w:after="0"/>
              <w:rPr>
                <w:rFonts w:ascii="Arial" w:cs="Arial" w:eastAsia="Arial" w:hAnsi="Arial"/>
                <w:sz w:val="19"/>
                <w:szCs w:val="19"/>
                <w:color w:val="0000FF"/>
              </w:rPr>
            </w:pPr>
            <w:hyperlink w:anchor="page218">
              <w:r>
                <w:rPr>
                  <w:rFonts w:ascii="Arial" w:cs="Arial" w:eastAsia="Arial" w:hAnsi="Arial"/>
                  <w:sz w:val="19"/>
                  <w:szCs w:val="19"/>
                  <w:color w:val="0000FF"/>
                </w:rPr>
                <w:t>Rule 13a-14(a)/15d-14(a) Certification of Kirkland B. Andrews.</w:t>
              </w:r>
            </w:hyperlink>
          </w:p>
        </w:tc>
        <w:tc>
          <w:tcPr>
            <w:tcW w:w="2200" w:type="dxa"/>
            <w:vAlign w:val="bottom"/>
          </w:tcPr>
          <w:p>
            <w:pPr>
              <w:ind w:left="460"/>
              <w:spacing w:after="0"/>
              <w:rPr>
                <w:sz w:val="20"/>
                <w:szCs w:val="20"/>
                <w:color w:val="auto"/>
              </w:rPr>
            </w:pPr>
            <w:r>
              <w:rPr>
                <w:rFonts w:ascii="Arial" w:cs="Arial" w:eastAsia="Arial" w:hAnsi="Arial"/>
                <w:sz w:val="19"/>
                <w:szCs w:val="19"/>
                <w:color w:val="auto"/>
                <w:w w:val="88"/>
              </w:rPr>
              <w:t>Evergy Kansas Central</w:t>
            </w:r>
          </w:p>
        </w:tc>
      </w:tr>
      <w:tr>
        <w:trPr>
          <w:trHeight w:val="418"/>
        </w:trPr>
        <w:tc>
          <w:tcPr>
            <w:tcW w:w="1340" w:type="dxa"/>
            <w:vAlign w:val="bottom"/>
          </w:tcPr>
          <w:p>
            <w:pPr>
              <w:ind w:left="20"/>
              <w:spacing w:after="0"/>
              <w:rPr>
                <w:sz w:val="20"/>
                <w:szCs w:val="20"/>
                <w:color w:val="auto"/>
              </w:rPr>
            </w:pPr>
            <w:r>
              <w:rPr>
                <w:rFonts w:ascii="Arial" w:cs="Arial" w:eastAsia="Arial" w:hAnsi="Arial"/>
                <w:sz w:val="19"/>
                <w:szCs w:val="19"/>
                <w:color w:val="auto"/>
              </w:rPr>
              <w:t>32.1</w:t>
            </w:r>
          </w:p>
        </w:tc>
        <w:tc>
          <w:tcPr>
            <w:tcW w:w="20" w:type="dxa"/>
            <w:vAlign w:val="bottom"/>
          </w:tcPr>
          <w:p>
            <w:pPr>
              <w:spacing w:after="0"/>
              <w:rPr>
                <w:sz w:val="24"/>
                <w:szCs w:val="24"/>
                <w:color w:val="auto"/>
              </w:rPr>
            </w:pPr>
          </w:p>
        </w:tc>
        <w:tc>
          <w:tcPr>
            <w:tcW w:w="460" w:type="dxa"/>
            <w:vAlign w:val="bottom"/>
          </w:tcPr>
          <w:p>
            <w:pPr>
              <w:jc w:val="center"/>
              <w:ind w:right="66"/>
              <w:spacing w:after="0"/>
              <w:rPr>
                <w:sz w:val="20"/>
                <w:szCs w:val="20"/>
                <w:color w:val="auto"/>
              </w:rPr>
            </w:pPr>
            <w:r>
              <w:rPr>
                <w:rFonts w:ascii="Arial" w:cs="Arial" w:eastAsia="Arial" w:hAnsi="Arial"/>
                <w:sz w:val="19"/>
                <w:szCs w:val="19"/>
                <w:color w:val="auto"/>
              </w:rPr>
              <w:t>**</w:t>
            </w:r>
          </w:p>
        </w:tc>
        <w:tc>
          <w:tcPr>
            <w:tcW w:w="2140" w:type="dxa"/>
            <w:vAlign w:val="bottom"/>
            <w:tcBorders>
              <w:top w:val="single" w:sz="8" w:color="0000FF"/>
              <w:bottom w:val="single" w:sz="8" w:color="0000FF"/>
            </w:tcBorders>
            <w:gridSpan w:val="3"/>
          </w:tcPr>
          <w:p>
            <w:pPr>
              <w:spacing w:after="0"/>
              <w:rPr>
                <w:rFonts w:ascii="Arial" w:cs="Arial" w:eastAsia="Arial" w:hAnsi="Arial"/>
                <w:sz w:val="19"/>
                <w:szCs w:val="19"/>
                <w:color w:val="0000FF"/>
                <w:w w:val="91"/>
              </w:rPr>
            </w:pPr>
            <w:hyperlink w:anchor="page219">
              <w:r>
                <w:rPr>
                  <w:rFonts w:ascii="Arial" w:cs="Arial" w:eastAsia="Arial" w:hAnsi="Arial"/>
                  <w:sz w:val="19"/>
                  <w:szCs w:val="19"/>
                  <w:color w:val="0000FF"/>
                  <w:w w:val="91"/>
                </w:rPr>
                <w:t>Section 1350 Certifications.</w:t>
              </w:r>
            </w:hyperlink>
          </w:p>
        </w:tc>
        <w:tc>
          <w:tcPr>
            <w:tcW w:w="2720" w:type="dxa"/>
            <w:vAlign w:val="bottom"/>
            <w:tcBorders>
              <w:top w:val="single" w:sz="8" w:color="0000FF"/>
            </w:tcBorders>
            <w:gridSpan w:val="2"/>
          </w:tcPr>
          <w:p>
            <w:pPr>
              <w:spacing w:after="0"/>
              <w:rPr>
                <w:sz w:val="24"/>
                <w:szCs w:val="24"/>
                <w:color w:val="auto"/>
              </w:rPr>
            </w:pPr>
          </w:p>
        </w:tc>
        <w:tc>
          <w:tcPr>
            <w:tcW w:w="1700" w:type="dxa"/>
            <w:vAlign w:val="bottom"/>
          </w:tcPr>
          <w:p>
            <w:pPr>
              <w:spacing w:after="0"/>
              <w:rPr>
                <w:sz w:val="24"/>
                <w:szCs w:val="24"/>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rPr>
              <w:t>Evergy</w:t>
            </w:r>
          </w:p>
        </w:tc>
      </w:tr>
      <w:tr>
        <w:trPr>
          <w:trHeight w:val="457"/>
        </w:trPr>
        <w:tc>
          <w:tcPr>
            <w:tcW w:w="1340" w:type="dxa"/>
            <w:vAlign w:val="bottom"/>
          </w:tcPr>
          <w:p>
            <w:pPr>
              <w:ind w:left="20"/>
              <w:spacing w:after="0"/>
              <w:rPr>
                <w:sz w:val="20"/>
                <w:szCs w:val="20"/>
                <w:color w:val="auto"/>
              </w:rPr>
            </w:pPr>
            <w:r>
              <w:rPr>
                <w:rFonts w:ascii="Arial" w:cs="Arial" w:eastAsia="Arial" w:hAnsi="Arial"/>
                <w:sz w:val="19"/>
                <w:szCs w:val="19"/>
                <w:color w:val="auto"/>
              </w:rPr>
              <w:t>32.2</w:t>
            </w:r>
          </w:p>
        </w:tc>
        <w:tc>
          <w:tcPr>
            <w:tcW w:w="20" w:type="dxa"/>
            <w:vAlign w:val="bottom"/>
          </w:tcPr>
          <w:p>
            <w:pPr>
              <w:spacing w:after="0"/>
              <w:rPr>
                <w:sz w:val="24"/>
                <w:szCs w:val="24"/>
                <w:color w:val="auto"/>
              </w:rPr>
            </w:pPr>
          </w:p>
        </w:tc>
        <w:tc>
          <w:tcPr>
            <w:tcW w:w="460" w:type="dxa"/>
            <w:vAlign w:val="bottom"/>
          </w:tcPr>
          <w:p>
            <w:pPr>
              <w:jc w:val="center"/>
              <w:ind w:right="66"/>
              <w:spacing w:after="0"/>
              <w:rPr>
                <w:sz w:val="20"/>
                <w:szCs w:val="20"/>
                <w:color w:val="auto"/>
              </w:rPr>
            </w:pPr>
            <w:r>
              <w:rPr>
                <w:rFonts w:ascii="Arial" w:cs="Arial" w:eastAsia="Arial" w:hAnsi="Arial"/>
                <w:sz w:val="19"/>
                <w:szCs w:val="19"/>
                <w:color w:val="auto"/>
              </w:rPr>
              <w:t>**</w:t>
            </w:r>
          </w:p>
        </w:tc>
        <w:tc>
          <w:tcPr>
            <w:tcW w:w="2140" w:type="dxa"/>
            <w:vAlign w:val="bottom"/>
            <w:tcBorders>
              <w:bottom w:val="single" w:sz="8" w:color="0000FF"/>
            </w:tcBorders>
            <w:gridSpan w:val="3"/>
          </w:tcPr>
          <w:p>
            <w:pPr>
              <w:spacing w:after="0"/>
              <w:rPr>
                <w:rFonts w:ascii="Arial" w:cs="Arial" w:eastAsia="Arial" w:hAnsi="Arial"/>
                <w:sz w:val="19"/>
                <w:szCs w:val="19"/>
                <w:color w:val="0000FF"/>
                <w:w w:val="91"/>
              </w:rPr>
            </w:pPr>
            <w:hyperlink w:anchor="page220">
              <w:r>
                <w:rPr>
                  <w:rFonts w:ascii="Arial" w:cs="Arial" w:eastAsia="Arial" w:hAnsi="Arial"/>
                  <w:sz w:val="19"/>
                  <w:szCs w:val="19"/>
                  <w:color w:val="0000FF"/>
                  <w:w w:val="91"/>
                </w:rPr>
                <w:t>Section 1350 Certifications.</w:t>
              </w:r>
            </w:hyperlink>
          </w:p>
        </w:tc>
        <w:tc>
          <w:tcPr>
            <w:tcW w:w="4420" w:type="dxa"/>
            <w:vAlign w:val="bottom"/>
            <w:gridSpan w:val="3"/>
          </w:tcPr>
          <w:p>
            <w:pPr>
              <w:spacing w:after="0"/>
              <w:rPr>
                <w:sz w:val="24"/>
                <w:szCs w:val="24"/>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rPr>
              <w:t>Evergy Metro</w:t>
            </w:r>
          </w:p>
        </w:tc>
      </w:tr>
      <w:tr>
        <w:trPr>
          <w:trHeight w:val="457"/>
        </w:trPr>
        <w:tc>
          <w:tcPr>
            <w:tcW w:w="1340" w:type="dxa"/>
            <w:vAlign w:val="bottom"/>
          </w:tcPr>
          <w:p>
            <w:pPr>
              <w:ind w:left="20"/>
              <w:spacing w:after="0"/>
              <w:rPr>
                <w:sz w:val="20"/>
                <w:szCs w:val="20"/>
                <w:color w:val="auto"/>
              </w:rPr>
            </w:pPr>
            <w:r>
              <w:rPr>
                <w:rFonts w:ascii="Arial" w:cs="Arial" w:eastAsia="Arial" w:hAnsi="Arial"/>
                <w:sz w:val="19"/>
                <w:szCs w:val="19"/>
                <w:color w:val="auto"/>
              </w:rPr>
              <w:t>32.3</w:t>
            </w:r>
          </w:p>
        </w:tc>
        <w:tc>
          <w:tcPr>
            <w:tcW w:w="20" w:type="dxa"/>
            <w:vAlign w:val="bottom"/>
          </w:tcPr>
          <w:p>
            <w:pPr>
              <w:spacing w:after="0"/>
              <w:rPr>
                <w:sz w:val="24"/>
                <w:szCs w:val="24"/>
                <w:color w:val="auto"/>
              </w:rPr>
            </w:pPr>
          </w:p>
        </w:tc>
        <w:tc>
          <w:tcPr>
            <w:tcW w:w="460" w:type="dxa"/>
            <w:vAlign w:val="bottom"/>
          </w:tcPr>
          <w:p>
            <w:pPr>
              <w:jc w:val="center"/>
              <w:ind w:right="66"/>
              <w:spacing w:after="0"/>
              <w:rPr>
                <w:sz w:val="20"/>
                <w:szCs w:val="20"/>
                <w:color w:val="auto"/>
              </w:rPr>
            </w:pPr>
            <w:r>
              <w:rPr>
                <w:rFonts w:ascii="Arial" w:cs="Arial" w:eastAsia="Arial" w:hAnsi="Arial"/>
                <w:sz w:val="19"/>
                <w:szCs w:val="19"/>
                <w:color w:val="auto"/>
              </w:rPr>
              <w:t>**</w:t>
            </w:r>
          </w:p>
        </w:tc>
        <w:tc>
          <w:tcPr>
            <w:tcW w:w="2120" w:type="dxa"/>
            <w:vAlign w:val="bottom"/>
            <w:tcBorders>
              <w:bottom w:val="single" w:sz="8" w:color="0000FF"/>
            </w:tcBorders>
            <w:gridSpan w:val="2"/>
          </w:tcPr>
          <w:p>
            <w:pPr>
              <w:spacing w:after="0"/>
              <w:rPr>
                <w:rFonts w:ascii="Arial" w:cs="Arial" w:eastAsia="Arial" w:hAnsi="Arial"/>
                <w:sz w:val="19"/>
                <w:szCs w:val="19"/>
                <w:color w:val="0000FF"/>
                <w:w w:val="90"/>
              </w:rPr>
            </w:pPr>
            <w:hyperlink w:anchor="page221">
              <w:r>
                <w:rPr>
                  <w:rFonts w:ascii="Arial" w:cs="Arial" w:eastAsia="Arial" w:hAnsi="Arial"/>
                  <w:sz w:val="19"/>
                  <w:szCs w:val="19"/>
                  <w:color w:val="0000FF"/>
                  <w:w w:val="90"/>
                </w:rPr>
                <w:t>Section 1350 Certifications.</w:t>
              </w:r>
            </w:hyperlink>
          </w:p>
        </w:tc>
        <w:tc>
          <w:tcPr>
            <w:tcW w:w="4440" w:type="dxa"/>
            <w:vAlign w:val="bottom"/>
            <w:gridSpan w:val="4"/>
          </w:tcPr>
          <w:p>
            <w:pPr>
              <w:spacing w:after="0"/>
              <w:rPr>
                <w:sz w:val="24"/>
                <w:szCs w:val="24"/>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w w:val="88"/>
              </w:rPr>
              <w:t>Evergy Kansas Central</w:t>
            </w:r>
          </w:p>
        </w:tc>
      </w:tr>
      <w:tr>
        <w:trPr>
          <w:trHeight w:val="500"/>
        </w:trPr>
        <w:tc>
          <w:tcPr>
            <w:tcW w:w="1360" w:type="dxa"/>
            <w:vAlign w:val="bottom"/>
            <w:gridSpan w:val="2"/>
          </w:tcPr>
          <w:p>
            <w:pPr>
              <w:ind w:left="20"/>
              <w:spacing w:after="0"/>
              <w:rPr>
                <w:sz w:val="20"/>
                <w:szCs w:val="20"/>
                <w:color w:val="auto"/>
              </w:rPr>
            </w:pPr>
            <w:r>
              <w:rPr>
                <w:rFonts w:ascii="Arial" w:cs="Arial" w:eastAsia="Arial" w:hAnsi="Arial"/>
                <w:sz w:val="19"/>
                <w:szCs w:val="19"/>
                <w:color w:val="auto"/>
              </w:rPr>
              <w:t>101.INS</w:t>
            </w:r>
          </w:p>
        </w:tc>
        <w:tc>
          <w:tcPr>
            <w:tcW w:w="460" w:type="dxa"/>
            <w:vAlign w:val="bottom"/>
          </w:tcPr>
          <w:p>
            <w:pPr>
              <w:jc w:val="center"/>
              <w:ind w:right="86"/>
              <w:spacing w:after="0"/>
              <w:rPr>
                <w:sz w:val="20"/>
                <w:szCs w:val="20"/>
                <w:color w:val="auto"/>
              </w:rPr>
            </w:pPr>
            <w:r>
              <w:rPr>
                <w:rFonts w:ascii="Arial" w:cs="Arial" w:eastAsia="Arial" w:hAnsi="Arial"/>
                <w:sz w:val="19"/>
                <w:szCs w:val="19"/>
                <w:color w:val="auto"/>
              </w:rPr>
              <w:t>***</w:t>
            </w:r>
          </w:p>
        </w:tc>
        <w:tc>
          <w:tcPr>
            <w:tcW w:w="6560" w:type="dxa"/>
            <w:vAlign w:val="bottom"/>
            <w:gridSpan w:val="6"/>
          </w:tcPr>
          <w:p>
            <w:pPr>
              <w:spacing w:after="0"/>
              <w:rPr>
                <w:sz w:val="20"/>
                <w:szCs w:val="20"/>
                <w:color w:val="auto"/>
              </w:rPr>
            </w:pPr>
            <w:r>
              <w:rPr>
                <w:rFonts w:ascii="Arial" w:cs="Arial" w:eastAsia="Arial" w:hAnsi="Arial"/>
                <w:sz w:val="19"/>
                <w:szCs w:val="19"/>
                <w:color w:val="auto"/>
              </w:rPr>
              <w:t>XBRL Instance Document.</w:t>
            </w:r>
          </w:p>
        </w:tc>
        <w:tc>
          <w:tcPr>
            <w:tcW w:w="2200" w:type="dxa"/>
            <w:vAlign w:val="bottom"/>
          </w:tcPr>
          <w:p>
            <w:pPr>
              <w:ind w:left="460"/>
              <w:spacing w:after="0"/>
              <w:rPr>
                <w:sz w:val="20"/>
                <w:szCs w:val="20"/>
                <w:color w:val="auto"/>
              </w:rPr>
            </w:pPr>
            <w:r>
              <w:rPr>
                <w:rFonts w:ascii="Arial" w:cs="Arial" w:eastAsia="Arial" w:hAnsi="Arial"/>
                <w:sz w:val="19"/>
                <w:szCs w:val="19"/>
                <w:color w:val="auto"/>
              </w:rPr>
              <w:t>n/a</w:t>
            </w:r>
          </w:p>
        </w:tc>
      </w:tr>
      <w:tr>
        <w:trPr>
          <w:trHeight w:val="421"/>
        </w:trPr>
        <w:tc>
          <w:tcPr>
            <w:tcW w:w="1360" w:type="dxa"/>
            <w:vAlign w:val="bottom"/>
            <w:gridSpan w:val="2"/>
          </w:tcPr>
          <w:p>
            <w:pPr>
              <w:ind w:left="20"/>
              <w:spacing w:after="0"/>
              <w:rPr>
                <w:sz w:val="20"/>
                <w:szCs w:val="20"/>
                <w:color w:val="auto"/>
              </w:rPr>
            </w:pPr>
            <w:r>
              <w:rPr>
                <w:rFonts w:ascii="Arial" w:cs="Arial" w:eastAsia="Arial" w:hAnsi="Arial"/>
                <w:sz w:val="19"/>
                <w:szCs w:val="19"/>
                <w:color w:val="auto"/>
              </w:rPr>
              <w:t>101.SCH</w:t>
            </w:r>
          </w:p>
        </w:tc>
        <w:tc>
          <w:tcPr>
            <w:tcW w:w="460" w:type="dxa"/>
            <w:vAlign w:val="bottom"/>
          </w:tcPr>
          <w:p>
            <w:pPr>
              <w:spacing w:after="0"/>
              <w:rPr>
                <w:sz w:val="24"/>
                <w:szCs w:val="24"/>
                <w:color w:val="auto"/>
              </w:rPr>
            </w:pPr>
          </w:p>
        </w:tc>
        <w:tc>
          <w:tcPr>
            <w:tcW w:w="6560" w:type="dxa"/>
            <w:vAlign w:val="bottom"/>
            <w:gridSpan w:val="6"/>
          </w:tcPr>
          <w:p>
            <w:pPr>
              <w:spacing w:after="0"/>
              <w:rPr>
                <w:sz w:val="20"/>
                <w:szCs w:val="20"/>
                <w:color w:val="auto"/>
              </w:rPr>
            </w:pPr>
            <w:r>
              <w:rPr>
                <w:rFonts w:ascii="Arial" w:cs="Arial" w:eastAsia="Arial" w:hAnsi="Arial"/>
                <w:sz w:val="19"/>
                <w:szCs w:val="19"/>
                <w:color w:val="auto"/>
              </w:rPr>
              <w:t>Inline XBRL Taxonomy Extension Schema Document.</w:t>
            </w:r>
          </w:p>
        </w:tc>
        <w:tc>
          <w:tcPr>
            <w:tcW w:w="2200" w:type="dxa"/>
            <w:vAlign w:val="bottom"/>
          </w:tcPr>
          <w:p>
            <w:pPr>
              <w:ind w:left="460"/>
              <w:spacing w:after="0"/>
              <w:rPr>
                <w:sz w:val="20"/>
                <w:szCs w:val="20"/>
                <w:color w:val="auto"/>
              </w:rPr>
            </w:pPr>
            <w:r>
              <w:rPr>
                <w:rFonts w:ascii="Arial" w:cs="Arial" w:eastAsia="Arial" w:hAnsi="Arial"/>
                <w:sz w:val="19"/>
                <w:szCs w:val="19"/>
                <w:color w:val="auto"/>
              </w:rPr>
              <w:t>Evergy</w:t>
            </w:r>
          </w:p>
        </w:tc>
      </w:tr>
      <w:tr>
        <w:trPr>
          <w:trHeight w:val="180"/>
        </w:trPr>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0" w:type="dxa"/>
            <w:vAlign w:val="bottom"/>
          </w:tcPr>
          <w:p>
            <w:pPr>
              <w:ind w:left="460"/>
              <w:spacing w:after="0" w:line="181" w:lineRule="exact"/>
              <w:rPr>
                <w:sz w:val="20"/>
                <w:szCs w:val="20"/>
                <w:color w:val="auto"/>
              </w:rPr>
            </w:pPr>
            <w:r>
              <w:rPr>
                <w:rFonts w:ascii="Arial" w:cs="Arial" w:eastAsia="Arial" w:hAnsi="Arial"/>
                <w:sz w:val="19"/>
                <w:szCs w:val="19"/>
                <w:color w:val="auto"/>
              </w:rPr>
              <w:t>Evergy Metro</w:t>
            </w:r>
          </w:p>
        </w:tc>
      </w:tr>
      <w:tr>
        <w:trPr>
          <w:trHeight w:val="240"/>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w w:val="88"/>
              </w:rPr>
              <w:t>Evergy Kansas Central</w:t>
            </w:r>
          </w:p>
        </w:tc>
      </w:tr>
      <w:tr>
        <w:trPr>
          <w:trHeight w:val="417"/>
        </w:trPr>
        <w:tc>
          <w:tcPr>
            <w:tcW w:w="1360" w:type="dxa"/>
            <w:vAlign w:val="bottom"/>
            <w:gridSpan w:val="2"/>
          </w:tcPr>
          <w:p>
            <w:pPr>
              <w:ind w:left="20"/>
              <w:spacing w:after="0"/>
              <w:rPr>
                <w:sz w:val="20"/>
                <w:szCs w:val="20"/>
                <w:color w:val="auto"/>
              </w:rPr>
            </w:pPr>
            <w:r>
              <w:rPr>
                <w:rFonts w:ascii="Arial" w:cs="Arial" w:eastAsia="Arial" w:hAnsi="Arial"/>
                <w:sz w:val="19"/>
                <w:szCs w:val="19"/>
                <w:color w:val="auto"/>
              </w:rPr>
              <w:t>101.CAL</w:t>
            </w:r>
          </w:p>
        </w:tc>
        <w:tc>
          <w:tcPr>
            <w:tcW w:w="460" w:type="dxa"/>
            <w:vAlign w:val="bottom"/>
          </w:tcPr>
          <w:p>
            <w:pPr>
              <w:spacing w:after="0"/>
              <w:rPr>
                <w:sz w:val="24"/>
                <w:szCs w:val="24"/>
                <w:color w:val="auto"/>
              </w:rPr>
            </w:pPr>
          </w:p>
        </w:tc>
        <w:tc>
          <w:tcPr>
            <w:tcW w:w="6560" w:type="dxa"/>
            <w:vAlign w:val="bottom"/>
            <w:gridSpan w:val="6"/>
          </w:tcPr>
          <w:p>
            <w:pPr>
              <w:spacing w:after="0"/>
              <w:rPr>
                <w:sz w:val="20"/>
                <w:szCs w:val="20"/>
                <w:color w:val="auto"/>
              </w:rPr>
            </w:pPr>
            <w:r>
              <w:rPr>
                <w:rFonts w:ascii="Arial" w:cs="Arial" w:eastAsia="Arial" w:hAnsi="Arial"/>
                <w:sz w:val="19"/>
                <w:szCs w:val="19"/>
                <w:color w:val="auto"/>
              </w:rPr>
              <w:t>Inline XBRL Taxonomy Extension Calculation Linkbase Document.</w:t>
            </w:r>
          </w:p>
        </w:tc>
        <w:tc>
          <w:tcPr>
            <w:tcW w:w="2200" w:type="dxa"/>
            <w:vAlign w:val="bottom"/>
          </w:tcPr>
          <w:p>
            <w:pPr>
              <w:ind w:left="460"/>
              <w:spacing w:after="0"/>
              <w:rPr>
                <w:sz w:val="20"/>
                <w:szCs w:val="20"/>
                <w:color w:val="auto"/>
              </w:rPr>
            </w:pPr>
            <w:r>
              <w:rPr>
                <w:rFonts w:ascii="Arial" w:cs="Arial" w:eastAsia="Arial" w:hAnsi="Arial"/>
                <w:sz w:val="19"/>
                <w:szCs w:val="19"/>
                <w:color w:val="auto"/>
              </w:rPr>
              <w:t>Evergy</w:t>
            </w:r>
          </w:p>
        </w:tc>
      </w:tr>
      <w:tr>
        <w:trPr>
          <w:trHeight w:val="180"/>
        </w:trPr>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0" w:type="dxa"/>
            <w:vAlign w:val="bottom"/>
          </w:tcPr>
          <w:p>
            <w:pPr>
              <w:ind w:left="460"/>
              <w:spacing w:after="0" w:line="181" w:lineRule="exact"/>
              <w:rPr>
                <w:sz w:val="20"/>
                <w:szCs w:val="20"/>
                <w:color w:val="auto"/>
              </w:rPr>
            </w:pPr>
            <w:r>
              <w:rPr>
                <w:rFonts w:ascii="Arial" w:cs="Arial" w:eastAsia="Arial" w:hAnsi="Arial"/>
                <w:sz w:val="19"/>
                <w:szCs w:val="19"/>
                <w:color w:val="auto"/>
              </w:rPr>
              <w:t>Evergy Metro</w:t>
            </w:r>
          </w:p>
        </w:tc>
      </w:tr>
      <w:tr>
        <w:trPr>
          <w:trHeight w:val="240"/>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w w:val="88"/>
              </w:rPr>
              <w:t>Evergy Kansas Central</w:t>
            </w:r>
          </w:p>
        </w:tc>
      </w:tr>
      <w:tr>
        <w:trPr>
          <w:trHeight w:val="417"/>
        </w:trPr>
        <w:tc>
          <w:tcPr>
            <w:tcW w:w="1360" w:type="dxa"/>
            <w:vAlign w:val="bottom"/>
            <w:gridSpan w:val="2"/>
          </w:tcPr>
          <w:p>
            <w:pPr>
              <w:ind w:left="20"/>
              <w:spacing w:after="0"/>
              <w:rPr>
                <w:sz w:val="20"/>
                <w:szCs w:val="20"/>
                <w:color w:val="auto"/>
              </w:rPr>
            </w:pPr>
            <w:r>
              <w:rPr>
                <w:rFonts w:ascii="Arial" w:cs="Arial" w:eastAsia="Arial" w:hAnsi="Arial"/>
                <w:sz w:val="19"/>
                <w:szCs w:val="19"/>
                <w:color w:val="auto"/>
              </w:rPr>
              <w:t>101.DEF</w:t>
            </w:r>
          </w:p>
        </w:tc>
        <w:tc>
          <w:tcPr>
            <w:tcW w:w="460" w:type="dxa"/>
            <w:vAlign w:val="bottom"/>
          </w:tcPr>
          <w:p>
            <w:pPr>
              <w:spacing w:after="0"/>
              <w:rPr>
                <w:sz w:val="24"/>
                <w:szCs w:val="24"/>
                <w:color w:val="auto"/>
              </w:rPr>
            </w:pPr>
          </w:p>
        </w:tc>
        <w:tc>
          <w:tcPr>
            <w:tcW w:w="6560" w:type="dxa"/>
            <w:vAlign w:val="bottom"/>
            <w:gridSpan w:val="6"/>
          </w:tcPr>
          <w:p>
            <w:pPr>
              <w:spacing w:after="0"/>
              <w:rPr>
                <w:sz w:val="20"/>
                <w:szCs w:val="20"/>
                <w:color w:val="auto"/>
              </w:rPr>
            </w:pPr>
            <w:r>
              <w:rPr>
                <w:rFonts w:ascii="Arial" w:cs="Arial" w:eastAsia="Arial" w:hAnsi="Arial"/>
                <w:sz w:val="19"/>
                <w:szCs w:val="19"/>
                <w:color w:val="auto"/>
              </w:rPr>
              <w:t>Inline XBRL Taxonomy Extension Definition Linkbase Document.</w:t>
            </w:r>
          </w:p>
        </w:tc>
        <w:tc>
          <w:tcPr>
            <w:tcW w:w="2200" w:type="dxa"/>
            <w:vAlign w:val="bottom"/>
          </w:tcPr>
          <w:p>
            <w:pPr>
              <w:ind w:left="460"/>
              <w:spacing w:after="0"/>
              <w:rPr>
                <w:sz w:val="20"/>
                <w:szCs w:val="20"/>
                <w:color w:val="auto"/>
              </w:rPr>
            </w:pPr>
            <w:r>
              <w:rPr>
                <w:rFonts w:ascii="Arial" w:cs="Arial" w:eastAsia="Arial" w:hAnsi="Arial"/>
                <w:sz w:val="19"/>
                <w:szCs w:val="19"/>
                <w:color w:val="auto"/>
              </w:rPr>
              <w:t>Evergy</w:t>
            </w:r>
          </w:p>
        </w:tc>
      </w:tr>
      <w:tr>
        <w:trPr>
          <w:trHeight w:val="180"/>
        </w:trPr>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0" w:type="dxa"/>
            <w:vAlign w:val="bottom"/>
          </w:tcPr>
          <w:p>
            <w:pPr>
              <w:ind w:left="460"/>
              <w:spacing w:after="0" w:line="181" w:lineRule="exact"/>
              <w:rPr>
                <w:sz w:val="20"/>
                <w:szCs w:val="20"/>
                <w:color w:val="auto"/>
              </w:rPr>
            </w:pPr>
            <w:r>
              <w:rPr>
                <w:rFonts w:ascii="Arial" w:cs="Arial" w:eastAsia="Arial" w:hAnsi="Arial"/>
                <w:sz w:val="19"/>
                <w:szCs w:val="19"/>
                <w:color w:val="auto"/>
              </w:rPr>
              <w:t>Evergy Metro</w:t>
            </w:r>
          </w:p>
        </w:tc>
      </w:tr>
      <w:tr>
        <w:trPr>
          <w:trHeight w:val="240"/>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w w:val="88"/>
              </w:rPr>
              <w:t>Evergy Kansas Central</w:t>
            </w:r>
          </w:p>
        </w:tc>
      </w:tr>
      <w:tr>
        <w:trPr>
          <w:trHeight w:val="417"/>
        </w:trPr>
        <w:tc>
          <w:tcPr>
            <w:tcW w:w="1360" w:type="dxa"/>
            <w:vAlign w:val="bottom"/>
            <w:gridSpan w:val="2"/>
          </w:tcPr>
          <w:p>
            <w:pPr>
              <w:ind w:left="20"/>
              <w:spacing w:after="0"/>
              <w:rPr>
                <w:sz w:val="20"/>
                <w:szCs w:val="20"/>
                <w:color w:val="auto"/>
              </w:rPr>
            </w:pPr>
            <w:r>
              <w:rPr>
                <w:rFonts w:ascii="Arial" w:cs="Arial" w:eastAsia="Arial" w:hAnsi="Arial"/>
                <w:sz w:val="19"/>
                <w:szCs w:val="19"/>
                <w:color w:val="auto"/>
              </w:rPr>
              <w:t>101.LAB</w:t>
            </w:r>
          </w:p>
        </w:tc>
        <w:tc>
          <w:tcPr>
            <w:tcW w:w="460" w:type="dxa"/>
            <w:vAlign w:val="bottom"/>
          </w:tcPr>
          <w:p>
            <w:pPr>
              <w:spacing w:after="0"/>
              <w:rPr>
                <w:sz w:val="24"/>
                <w:szCs w:val="24"/>
                <w:color w:val="auto"/>
              </w:rPr>
            </w:pPr>
          </w:p>
        </w:tc>
        <w:tc>
          <w:tcPr>
            <w:tcW w:w="6560" w:type="dxa"/>
            <w:vAlign w:val="bottom"/>
            <w:gridSpan w:val="6"/>
          </w:tcPr>
          <w:p>
            <w:pPr>
              <w:spacing w:after="0"/>
              <w:rPr>
                <w:sz w:val="20"/>
                <w:szCs w:val="20"/>
                <w:color w:val="auto"/>
              </w:rPr>
            </w:pPr>
            <w:r>
              <w:rPr>
                <w:rFonts w:ascii="Arial" w:cs="Arial" w:eastAsia="Arial" w:hAnsi="Arial"/>
                <w:sz w:val="19"/>
                <w:szCs w:val="19"/>
                <w:color w:val="auto"/>
              </w:rPr>
              <w:t>Inline XBRL Taxonomy Extension Labels Linkbase Document.</w:t>
            </w:r>
          </w:p>
        </w:tc>
        <w:tc>
          <w:tcPr>
            <w:tcW w:w="2200" w:type="dxa"/>
            <w:vAlign w:val="bottom"/>
          </w:tcPr>
          <w:p>
            <w:pPr>
              <w:ind w:left="460"/>
              <w:spacing w:after="0"/>
              <w:rPr>
                <w:sz w:val="20"/>
                <w:szCs w:val="20"/>
                <w:color w:val="auto"/>
              </w:rPr>
            </w:pPr>
            <w:r>
              <w:rPr>
                <w:rFonts w:ascii="Arial" w:cs="Arial" w:eastAsia="Arial" w:hAnsi="Arial"/>
                <w:sz w:val="19"/>
                <w:szCs w:val="19"/>
                <w:color w:val="auto"/>
              </w:rPr>
              <w:t>Evergy</w:t>
            </w:r>
          </w:p>
        </w:tc>
      </w:tr>
      <w:tr>
        <w:trPr>
          <w:trHeight w:val="180"/>
        </w:trPr>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0" w:type="dxa"/>
            <w:vAlign w:val="bottom"/>
          </w:tcPr>
          <w:p>
            <w:pPr>
              <w:ind w:left="460"/>
              <w:spacing w:after="0" w:line="181" w:lineRule="exact"/>
              <w:rPr>
                <w:sz w:val="20"/>
                <w:szCs w:val="20"/>
                <w:color w:val="auto"/>
              </w:rPr>
            </w:pPr>
            <w:r>
              <w:rPr>
                <w:rFonts w:ascii="Arial" w:cs="Arial" w:eastAsia="Arial" w:hAnsi="Arial"/>
                <w:sz w:val="19"/>
                <w:szCs w:val="19"/>
                <w:color w:val="auto"/>
              </w:rPr>
              <w:t>Evergy Metro</w:t>
            </w:r>
          </w:p>
        </w:tc>
      </w:tr>
      <w:tr>
        <w:trPr>
          <w:trHeight w:val="240"/>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w w:val="88"/>
              </w:rPr>
              <w:t>Evergy Kansas Central</w:t>
            </w:r>
          </w:p>
        </w:tc>
      </w:tr>
      <w:tr>
        <w:trPr>
          <w:trHeight w:val="417"/>
        </w:trPr>
        <w:tc>
          <w:tcPr>
            <w:tcW w:w="1360" w:type="dxa"/>
            <w:vAlign w:val="bottom"/>
            <w:gridSpan w:val="2"/>
          </w:tcPr>
          <w:p>
            <w:pPr>
              <w:ind w:left="20"/>
              <w:spacing w:after="0"/>
              <w:rPr>
                <w:sz w:val="20"/>
                <w:szCs w:val="20"/>
                <w:color w:val="auto"/>
              </w:rPr>
            </w:pPr>
            <w:r>
              <w:rPr>
                <w:rFonts w:ascii="Arial" w:cs="Arial" w:eastAsia="Arial" w:hAnsi="Arial"/>
                <w:sz w:val="19"/>
                <w:szCs w:val="19"/>
                <w:color w:val="auto"/>
              </w:rPr>
              <w:t>101.PRE</w:t>
            </w:r>
          </w:p>
        </w:tc>
        <w:tc>
          <w:tcPr>
            <w:tcW w:w="460" w:type="dxa"/>
            <w:vAlign w:val="bottom"/>
          </w:tcPr>
          <w:p>
            <w:pPr>
              <w:spacing w:after="0"/>
              <w:rPr>
                <w:sz w:val="24"/>
                <w:szCs w:val="24"/>
                <w:color w:val="auto"/>
              </w:rPr>
            </w:pPr>
          </w:p>
        </w:tc>
        <w:tc>
          <w:tcPr>
            <w:tcW w:w="6560" w:type="dxa"/>
            <w:vAlign w:val="bottom"/>
            <w:gridSpan w:val="6"/>
          </w:tcPr>
          <w:p>
            <w:pPr>
              <w:spacing w:after="0"/>
              <w:rPr>
                <w:sz w:val="20"/>
                <w:szCs w:val="20"/>
                <w:color w:val="auto"/>
              </w:rPr>
            </w:pPr>
            <w:r>
              <w:rPr>
                <w:rFonts w:ascii="Arial" w:cs="Arial" w:eastAsia="Arial" w:hAnsi="Arial"/>
                <w:sz w:val="19"/>
                <w:szCs w:val="19"/>
                <w:color w:val="auto"/>
              </w:rPr>
              <w:t>Inline XBRL Taxonomy Extension Presentation Linkbase Document.</w:t>
            </w:r>
          </w:p>
        </w:tc>
        <w:tc>
          <w:tcPr>
            <w:tcW w:w="2200" w:type="dxa"/>
            <w:vAlign w:val="bottom"/>
          </w:tcPr>
          <w:p>
            <w:pPr>
              <w:ind w:left="460"/>
              <w:spacing w:after="0"/>
              <w:rPr>
                <w:sz w:val="20"/>
                <w:szCs w:val="20"/>
                <w:color w:val="auto"/>
              </w:rPr>
            </w:pPr>
            <w:r>
              <w:rPr>
                <w:rFonts w:ascii="Arial" w:cs="Arial" w:eastAsia="Arial" w:hAnsi="Arial"/>
                <w:sz w:val="19"/>
                <w:szCs w:val="19"/>
                <w:color w:val="auto"/>
              </w:rPr>
              <w:t>Evergy</w:t>
            </w:r>
          </w:p>
        </w:tc>
      </w:tr>
      <w:tr>
        <w:trPr>
          <w:trHeight w:val="180"/>
        </w:trPr>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0" w:type="dxa"/>
            <w:vAlign w:val="bottom"/>
          </w:tcPr>
          <w:p>
            <w:pPr>
              <w:ind w:left="460"/>
              <w:spacing w:after="0" w:line="181" w:lineRule="exact"/>
              <w:rPr>
                <w:sz w:val="20"/>
                <w:szCs w:val="20"/>
                <w:color w:val="auto"/>
              </w:rPr>
            </w:pPr>
            <w:r>
              <w:rPr>
                <w:rFonts w:ascii="Arial" w:cs="Arial" w:eastAsia="Arial" w:hAnsi="Arial"/>
                <w:sz w:val="19"/>
                <w:szCs w:val="19"/>
                <w:color w:val="auto"/>
              </w:rPr>
              <w:t>Evergy Metro</w:t>
            </w:r>
          </w:p>
        </w:tc>
      </w:tr>
      <w:tr>
        <w:trPr>
          <w:trHeight w:val="240"/>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w w:val="88"/>
              </w:rPr>
              <w:t>Evergy Kansas Central</w:t>
            </w:r>
          </w:p>
        </w:tc>
      </w:tr>
      <w:tr>
        <w:trPr>
          <w:trHeight w:val="430"/>
        </w:trPr>
        <w:tc>
          <w:tcPr>
            <w:tcW w:w="1340" w:type="dxa"/>
            <w:vAlign w:val="bottom"/>
          </w:tcPr>
          <w:p>
            <w:pPr>
              <w:ind w:left="20"/>
              <w:spacing w:after="0"/>
              <w:rPr>
                <w:sz w:val="20"/>
                <w:szCs w:val="20"/>
                <w:color w:val="auto"/>
              </w:rPr>
            </w:pPr>
            <w:r>
              <w:rPr>
                <w:rFonts w:ascii="Arial" w:cs="Arial" w:eastAsia="Arial" w:hAnsi="Arial"/>
                <w:sz w:val="19"/>
                <w:szCs w:val="19"/>
                <w:color w:val="auto"/>
              </w:rPr>
              <w:t>104</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60" w:type="dxa"/>
            <w:vAlign w:val="bottom"/>
            <w:gridSpan w:val="6"/>
          </w:tcPr>
          <w:p>
            <w:pPr>
              <w:spacing w:after="0"/>
              <w:rPr>
                <w:sz w:val="20"/>
                <w:szCs w:val="20"/>
                <w:color w:val="auto"/>
              </w:rPr>
            </w:pPr>
            <w:r>
              <w:rPr>
                <w:rFonts w:ascii="Arial" w:cs="Arial" w:eastAsia="Arial" w:hAnsi="Arial"/>
                <w:sz w:val="19"/>
                <w:szCs w:val="19"/>
                <w:color w:val="auto"/>
                <w:w w:val="97"/>
              </w:rPr>
              <w:t>Cover Page Interactive Data File (embedded within the Inline XBRL document).</w:t>
            </w:r>
          </w:p>
        </w:tc>
        <w:tc>
          <w:tcPr>
            <w:tcW w:w="2200" w:type="dxa"/>
            <w:vAlign w:val="bottom"/>
          </w:tcPr>
          <w:p>
            <w:pPr>
              <w:ind w:left="460"/>
              <w:spacing w:after="0"/>
              <w:rPr>
                <w:sz w:val="20"/>
                <w:szCs w:val="20"/>
                <w:color w:val="auto"/>
              </w:rPr>
            </w:pPr>
            <w:r>
              <w:rPr>
                <w:rFonts w:ascii="Arial" w:cs="Arial" w:eastAsia="Arial" w:hAnsi="Arial"/>
                <w:sz w:val="19"/>
                <w:szCs w:val="19"/>
                <w:color w:val="auto"/>
              </w:rPr>
              <w:t>Evergy</w:t>
            </w:r>
          </w:p>
        </w:tc>
      </w:tr>
      <w:tr>
        <w:trPr>
          <w:trHeight w:val="180"/>
        </w:trPr>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0" w:type="dxa"/>
            <w:vAlign w:val="bottom"/>
          </w:tcPr>
          <w:p>
            <w:pPr>
              <w:ind w:left="460"/>
              <w:spacing w:after="0" w:line="181" w:lineRule="exact"/>
              <w:rPr>
                <w:sz w:val="20"/>
                <w:szCs w:val="20"/>
                <w:color w:val="auto"/>
              </w:rPr>
            </w:pPr>
            <w:r>
              <w:rPr>
                <w:rFonts w:ascii="Arial" w:cs="Arial" w:eastAsia="Arial" w:hAnsi="Arial"/>
                <w:sz w:val="19"/>
                <w:szCs w:val="19"/>
                <w:color w:val="auto"/>
              </w:rPr>
              <w:t>Evergy Metro</w:t>
            </w:r>
          </w:p>
        </w:tc>
      </w:tr>
      <w:tr>
        <w:trPr>
          <w:trHeight w:val="240"/>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0" w:type="dxa"/>
            <w:vAlign w:val="bottom"/>
          </w:tcPr>
          <w:p>
            <w:pPr>
              <w:ind w:left="460"/>
              <w:spacing w:after="0"/>
              <w:rPr>
                <w:sz w:val="20"/>
                <w:szCs w:val="20"/>
                <w:color w:val="auto"/>
              </w:rPr>
            </w:pPr>
            <w:r>
              <w:rPr>
                <w:rFonts w:ascii="Arial" w:cs="Arial" w:eastAsia="Arial" w:hAnsi="Arial"/>
                <w:sz w:val="19"/>
                <w:szCs w:val="19"/>
                <w:color w:val="auto"/>
                <w:w w:val="88"/>
              </w:rPr>
              <w:t>Evergy Kansas Central</w:t>
            </w:r>
          </w:p>
        </w:tc>
      </w:tr>
    </w:tbl>
    <w:p>
      <w:pPr>
        <w:spacing w:after="0" w:line="155" w:lineRule="exact"/>
        <w:rPr>
          <w:sz w:val="20"/>
          <w:szCs w:val="20"/>
          <w:color w:val="auto"/>
        </w:rPr>
      </w:pPr>
    </w:p>
    <w:p>
      <w:pPr>
        <w:ind w:firstLine="3"/>
        <w:spacing w:after="0" w:line="324" w:lineRule="auto"/>
        <w:tabs>
          <w:tab w:leader="none" w:pos="142" w:val="left"/>
        </w:tabs>
        <w:numPr>
          <w:ilvl w:val="0"/>
          <w:numId w:val="72"/>
        </w:numPr>
        <w:rPr>
          <w:rFonts w:ascii="Arial" w:cs="Arial" w:eastAsia="Arial" w:hAnsi="Arial"/>
          <w:sz w:val="17"/>
          <w:szCs w:val="17"/>
          <w:color w:val="auto"/>
        </w:rPr>
      </w:pPr>
      <w:r>
        <w:rPr>
          <w:rFonts w:ascii="Arial" w:cs="Arial" w:eastAsia="Arial" w:hAnsi="Arial"/>
          <w:sz w:val="17"/>
          <w:szCs w:val="17"/>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320" w:top="102" w:right="779" w:bottom="1440" w:gutter="0" w:footer="0" w:header="0"/>
        </w:sectPr>
      </w:pPr>
    </w:p>
    <w:bookmarkStart w:id="178" w:name="page179"/>
    <w:bookmarkEnd w:id="178"/>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jc w:val="both"/>
        <w:ind w:right="540" w:firstLine="3"/>
        <w:spacing w:after="0" w:line="252" w:lineRule="auto"/>
        <w:tabs>
          <w:tab w:leader="none" w:pos="236" w:val="left"/>
        </w:tabs>
        <w:numPr>
          <w:ilvl w:val="0"/>
          <w:numId w:val="73"/>
        </w:numPr>
        <w:rPr>
          <w:rFonts w:ascii="Arial" w:cs="Arial" w:eastAsia="Arial" w:hAnsi="Arial"/>
          <w:sz w:val="19"/>
          <w:szCs w:val="19"/>
          <w:color w:val="auto"/>
        </w:rPr>
      </w:pPr>
      <w:r>
        <w:rPr>
          <w:rFonts w:ascii="Arial" w:cs="Arial" w:eastAsia="Arial" w:hAnsi="Arial"/>
          <w:sz w:val="19"/>
          <w:szCs w:val="19"/>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75" w:lineRule="exact"/>
        <w:rPr>
          <w:rFonts w:ascii="Arial" w:cs="Arial" w:eastAsia="Arial" w:hAnsi="Arial"/>
          <w:sz w:val="19"/>
          <w:szCs w:val="19"/>
          <w:color w:val="auto"/>
        </w:rPr>
      </w:pPr>
    </w:p>
    <w:p>
      <w:pPr>
        <w:ind w:right="280" w:firstLine="3"/>
        <w:spacing w:after="0" w:line="467" w:lineRule="auto"/>
        <w:tabs>
          <w:tab w:leader="none" w:pos="331"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instance document does not appear in the interactive data file because its XBRL tags are embedded within the inline XBRL document. + Indicates management contract or compensatory plan or arrangement.</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Copies of any of the exhibits filed with the SEC in connection with this report may be obtained from the applicable registrant upon written request. 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179" w:name="page180"/>
    <w:bookmarkEnd w:id="179"/>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Schedule I - Parent Company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Statements of Comprehensive Income of Parent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2021</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2020</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color w:val="auto"/>
              </w:rPr>
              <w:t>2019</w:t>
            </w:r>
          </w:p>
        </w:tc>
      </w:tr>
      <w:tr>
        <w:trPr>
          <w:trHeight w:val="203"/>
        </w:trPr>
        <w:tc>
          <w:tcPr>
            <w:tcW w:w="556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4"/>
                <w:szCs w:val="14"/>
                <w:color w:val="auto"/>
              </w:rPr>
              <w:t>(millions)</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5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and maintenance</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13.2</w:t>
            </w:r>
          </w:p>
        </w:tc>
        <w:tc>
          <w:tcPr>
            <w:tcW w:w="1360" w:type="dxa"/>
            <w:vAlign w:val="bottom"/>
            <w:tcBorders>
              <w:bottom w:val="single" w:sz="8" w:color="auto"/>
            </w:tcBorders>
            <w:shd w:val="clear" w:color="auto" w:fill="CCEEFF"/>
          </w:tcPr>
          <w:p>
            <w:pPr>
              <w:jc w:val="right"/>
              <w:ind w:right="110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39.3</w:t>
            </w:r>
          </w:p>
        </w:tc>
        <w:tc>
          <w:tcPr>
            <w:tcW w:w="5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w:t>
            </w:r>
          </w:p>
        </w:tc>
      </w:tr>
      <w:tr>
        <w:trPr>
          <w:trHeight w:val="197"/>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Operating Expenses</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13.2</w:t>
            </w:r>
          </w:p>
        </w:tc>
        <w:tc>
          <w:tcPr>
            <w:tcW w:w="1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39.3</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w:t>
            </w:r>
          </w:p>
        </w:tc>
      </w:tr>
      <w:tr>
        <w:trPr>
          <w:trHeight w:val="201"/>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(13.2)</w:t>
            </w:r>
          </w:p>
        </w:tc>
        <w:tc>
          <w:tcPr>
            <w:tcW w:w="13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(39.3)</w:t>
            </w:r>
          </w:p>
        </w:tc>
        <w:tc>
          <w:tcPr>
            <w:tcW w:w="5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w:t>
            </w:r>
          </w:p>
        </w:tc>
      </w:tr>
      <w:tr>
        <w:trPr>
          <w:trHeight w:val="183"/>
        </w:trPr>
        <w:tc>
          <w:tcPr>
            <w:tcW w:w="556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in earnings from subsidiaries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932.9</w:t>
            </w: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683.4</w:t>
            </w: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698.2</w:t>
            </w:r>
          </w:p>
        </w:tc>
      </w:tr>
      <w:tr>
        <w:trPr>
          <w:trHeight w:val="204"/>
        </w:trPr>
        <w:tc>
          <w:tcPr>
            <w:tcW w:w="5560" w:type="dxa"/>
            <w:vAlign w:val="bottom"/>
          </w:tcPr>
          <w:p>
            <w:pPr>
              <w:ind w:left="20"/>
              <w:spacing w:after="0"/>
              <w:rPr>
                <w:sz w:val="20"/>
                <w:szCs w:val="20"/>
                <w:color w:val="auto"/>
              </w:rPr>
            </w:pPr>
            <w:r>
              <w:rPr>
                <w:rFonts w:ascii="Arial" w:cs="Arial" w:eastAsia="Arial" w:hAnsi="Arial"/>
                <w:sz w:val="15"/>
                <w:szCs w:val="15"/>
                <w:color w:val="auto"/>
              </w:rPr>
              <w:t>Investment earnings</w:t>
            </w:r>
          </w:p>
        </w:tc>
        <w:tc>
          <w:tcPr>
            <w:tcW w:w="1220" w:type="dxa"/>
            <w:vAlign w:val="bottom"/>
          </w:tcPr>
          <w:p>
            <w:pPr>
              <w:spacing w:after="0"/>
              <w:rPr>
                <w:sz w:val="17"/>
                <w:szCs w:val="17"/>
                <w:color w:val="auto"/>
              </w:rPr>
            </w:pPr>
          </w:p>
        </w:tc>
        <w:tc>
          <w:tcPr>
            <w:tcW w:w="640" w:type="dxa"/>
            <w:vAlign w:val="bottom"/>
          </w:tcPr>
          <w:p>
            <w:pPr>
              <w:jc w:val="right"/>
              <w:ind w:right="63"/>
              <w:spacing w:after="0"/>
              <w:rPr>
                <w:sz w:val="20"/>
                <w:szCs w:val="20"/>
                <w:color w:val="auto"/>
              </w:rPr>
            </w:pPr>
            <w:r>
              <w:rPr>
                <w:rFonts w:ascii="Arial" w:cs="Arial" w:eastAsia="Arial" w:hAnsi="Arial"/>
                <w:sz w:val="15"/>
                <w:szCs w:val="15"/>
                <w:b w:val="1"/>
                <w:bCs w:val="1"/>
                <w:color w:val="auto"/>
              </w:rPr>
              <w:t>19.2</w:t>
            </w:r>
          </w:p>
        </w:tc>
        <w:tc>
          <w:tcPr>
            <w:tcW w:w="136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32.1</w:t>
            </w: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32.7</w:t>
            </w:r>
          </w:p>
        </w:tc>
      </w:tr>
      <w:tr>
        <w:trPr>
          <w:trHeight w:val="208"/>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(8.3)</w:t>
            </w:r>
          </w:p>
        </w:tc>
        <w:tc>
          <w:tcPr>
            <w:tcW w:w="13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(0.1)</w:t>
            </w: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197"/>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Other Income, Net</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943.8</w:t>
            </w:r>
          </w:p>
        </w:tc>
        <w:tc>
          <w:tcPr>
            <w:tcW w:w="1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715.4</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730.8</w:t>
            </w:r>
          </w:p>
        </w:tc>
      </w:tr>
      <w:tr>
        <w:trPr>
          <w:trHeight w:val="201"/>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74.3</w:t>
            </w:r>
          </w:p>
        </w:tc>
        <w:tc>
          <w:tcPr>
            <w:tcW w:w="13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86.3</w:t>
            </w:r>
          </w:p>
        </w:tc>
        <w:tc>
          <w:tcPr>
            <w:tcW w:w="5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w:t>
            </w:r>
          </w:p>
        </w:tc>
      </w:tr>
      <w:tr>
        <w:trPr>
          <w:trHeight w:val="197"/>
        </w:trPr>
        <w:tc>
          <w:tcPr>
            <w:tcW w:w="5560" w:type="dxa"/>
            <w:vAlign w:val="bottom"/>
          </w:tcPr>
          <w:p>
            <w:pPr>
              <w:ind w:left="20"/>
              <w:spacing w:after="0"/>
              <w:rPr>
                <w:sz w:val="20"/>
                <w:szCs w:val="20"/>
                <w:color w:val="auto"/>
              </w:rPr>
            </w:pPr>
            <w:r>
              <w:rPr>
                <w:rFonts w:ascii="Arial" w:cs="Arial" w:eastAsia="Arial" w:hAnsi="Arial"/>
                <w:sz w:val="15"/>
                <w:szCs w:val="15"/>
                <w:color w:val="auto"/>
              </w:rPr>
              <w:t>INCOME BEFORE INCOME TAXES</w:t>
            </w:r>
          </w:p>
        </w:tc>
        <w:tc>
          <w:tcPr>
            <w:tcW w:w="1220" w:type="dxa"/>
            <w:vAlign w:val="bottom"/>
          </w:tcPr>
          <w:p>
            <w:pPr>
              <w:spacing w:after="0"/>
              <w:rPr>
                <w:sz w:val="17"/>
                <w:szCs w:val="17"/>
                <w:color w:val="auto"/>
              </w:rPr>
            </w:pPr>
          </w:p>
        </w:tc>
        <w:tc>
          <w:tcPr>
            <w:tcW w:w="640" w:type="dxa"/>
            <w:vAlign w:val="bottom"/>
          </w:tcPr>
          <w:p>
            <w:pPr>
              <w:jc w:val="right"/>
              <w:ind w:right="63"/>
              <w:spacing w:after="0"/>
              <w:rPr>
                <w:sz w:val="20"/>
                <w:szCs w:val="20"/>
                <w:color w:val="auto"/>
              </w:rPr>
            </w:pPr>
            <w:r>
              <w:rPr>
                <w:rFonts w:ascii="Arial" w:cs="Arial" w:eastAsia="Arial" w:hAnsi="Arial"/>
                <w:sz w:val="15"/>
                <w:szCs w:val="15"/>
                <w:b w:val="1"/>
                <w:bCs w:val="1"/>
                <w:color w:val="auto"/>
              </w:rPr>
              <w:t>856.3</w:t>
            </w:r>
          </w:p>
        </w:tc>
        <w:tc>
          <w:tcPr>
            <w:tcW w:w="136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589.8</w:t>
            </w: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650.7</w:t>
            </w:r>
          </w:p>
        </w:tc>
      </w:tr>
      <w:tr>
        <w:trPr>
          <w:trHeight w:val="208"/>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(16.5)</w:t>
            </w:r>
          </w:p>
        </w:tc>
        <w:tc>
          <w:tcPr>
            <w:tcW w:w="13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(22.7)</w:t>
            </w: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r>
      <w:tr>
        <w:trPr>
          <w:trHeight w:val="205"/>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INCOME</w:t>
            </w:r>
          </w:p>
        </w:tc>
        <w:tc>
          <w:tcPr>
            <w:tcW w:w="1220" w:type="dxa"/>
            <w:vAlign w:val="bottom"/>
            <w:tcBorders>
              <w:bottom w:val="single" w:sz="8" w:color="auto"/>
            </w:tcBorders>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872.8</w:t>
            </w:r>
          </w:p>
        </w:tc>
        <w:tc>
          <w:tcPr>
            <w:tcW w:w="1360" w:type="dxa"/>
            <w:vAlign w:val="bottom"/>
            <w:tcBorders>
              <w:bottom w:val="single" w:sz="8" w:color="auto"/>
            </w:tcBorders>
          </w:tcPr>
          <w:p>
            <w:pPr>
              <w:jc w:val="right"/>
              <w:ind w:right="110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612.5</w:t>
            </w:r>
          </w:p>
        </w:tc>
        <w:tc>
          <w:tcPr>
            <w:tcW w:w="5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664.4</w:t>
            </w:r>
          </w:p>
        </w:tc>
      </w:tr>
      <w:tr>
        <w:trPr>
          <w:trHeight w:val="206"/>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4"/>
        </w:trPr>
        <w:tc>
          <w:tcPr>
            <w:tcW w:w="55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220" w:type="dxa"/>
            <w:vAlign w:val="bottom"/>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63"/>
              <w:spacing w:after="0"/>
              <w:rPr>
                <w:sz w:val="20"/>
                <w:szCs w:val="20"/>
                <w:color w:val="auto"/>
              </w:rPr>
            </w:pPr>
            <w:r>
              <w:rPr>
                <w:rFonts w:ascii="Arial" w:cs="Arial" w:eastAsia="Arial" w:hAnsi="Arial"/>
                <w:sz w:val="15"/>
                <w:szCs w:val="15"/>
                <w:b w:val="1"/>
                <w:bCs w:val="1"/>
                <w:color w:val="auto"/>
              </w:rPr>
              <w:t>872.8</w:t>
            </w:r>
          </w:p>
        </w:tc>
        <w:tc>
          <w:tcPr>
            <w:tcW w:w="1360" w:type="dxa"/>
            <w:vAlign w:val="bottom"/>
          </w:tcPr>
          <w:p>
            <w:pPr>
              <w:jc w:val="right"/>
              <w:ind w:right="1104"/>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612.5</w:t>
            </w:r>
          </w:p>
        </w:tc>
        <w:tc>
          <w:tcPr>
            <w:tcW w:w="5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664.4</w:t>
            </w:r>
          </w:p>
        </w:tc>
      </w:tr>
      <w:tr>
        <w:trPr>
          <w:trHeight w:val="208"/>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5560" w:type="dxa"/>
            <w:vAlign w:val="bottom"/>
          </w:tcPr>
          <w:p>
            <w:pPr>
              <w:ind w:left="140"/>
              <w:spacing w:after="0"/>
              <w:rPr>
                <w:sz w:val="20"/>
                <w:szCs w:val="20"/>
                <w:color w:val="auto"/>
              </w:rPr>
            </w:pPr>
            <w:r>
              <w:rPr>
                <w:rFonts w:ascii="Arial" w:cs="Arial" w:eastAsia="Arial" w:hAnsi="Arial"/>
                <w:sz w:val="15"/>
                <w:szCs w:val="15"/>
                <w:color w:val="auto"/>
              </w:rPr>
              <w:t>Derivative hedging activity</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55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derivative hedging instruments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w:t>
            </w:r>
          </w:p>
        </w:tc>
      </w:tr>
      <w:tr>
        <w:trPr>
          <w:trHeight w:val="204"/>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Income tax benefit</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w:t>
            </w:r>
          </w:p>
        </w:tc>
        <w:tc>
          <w:tcPr>
            <w:tcW w:w="1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w:t>
            </w:r>
          </w:p>
        </w:tc>
      </w:tr>
      <w:tr>
        <w:trPr>
          <w:trHeight w:val="201"/>
        </w:trPr>
        <w:tc>
          <w:tcPr>
            <w:tcW w:w="5560" w:type="dxa"/>
            <w:vAlign w:val="bottom"/>
            <w:shd w:val="clear" w:color="auto" w:fill="CCEEFF"/>
          </w:tcPr>
          <w:p>
            <w:pPr>
              <w:jc w:val="right"/>
              <w:ind w:right="2503"/>
              <w:spacing w:after="0"/>
              <w:rPr>
                <w:sz w:val="20"/>
                <w:szCs w:val="20"/>
                <w:color w:val="auto"/>
              </w:rPr>
            </w:pPr>
            <w:r>
              <w:rPr>
                <w:rFonts w:ascii="Arial" w:cs="Arial" w:eastAsia="Arial" w:hAnsi="Arial"/>
                <w:sz w:val="15"/>
                <w:szCs w:val="15"/>
                <w:color w:val="auto"/>
              </w:rPr>
              <w:t>Net loss on derivative hedging instruments</w:t>
            </w: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13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w:t>
            </w:r>
          </w:p>
        </w:tc>
      </w:tr>
      <w:tr>
        <w:trPr>
          <w:trHeight w:val="204"/>
        </w:trPr>
        <w:tc>
          <w:tcPr>
            <w:tcW w:w="5560" w:type="dxa"/>
            <w:vAlign w:val="bottom"/>
            <w:tcBorders>
              <w:bottom w:val="single" w:sz="8" w:color="CCEEFF"/>
            </w:tcBorders>
          </w:tcPr>
          <w:p>
            <w:pPr>
              <w:jc w:val="right"/>
              <w:ind w:right="2503"/>
              <w:spacing w:after="0"/>
              <w:rPr>
                <w:sz w:val="20"/>
                <w:szCs w:val="20"/>
                <w:color w:val="auto"/>
              </w:rPr>
            </w:pPr>
            <w:r>
              <w:rPr>
                <w:rFonts w:ascii="Arial" w:cs="Arial" w:eastAsia="Arial" w:hAnsi="Arial"/>
                <w:sz w:val="15"/>
                <w:szCs w:val="15"/>
                <w:color w:val="auto"/>
              </w:rPr>
              <w:t>Reclassification to expenses, net of taxes</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5.5</w:t>
            </w:r>
          </w:p>
        </w:tc>
        <w:tc>
          <w:tcPr>
            <w:tcW w:w="1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3.0</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r>
      <w:tr>
        <w:trPr>
          <w:trHeight w:val="201"/>
        </w:trPr>
        <w:tc>
          <w:tcPr>
            <w:tcW w:w="55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Derivative hedging activity, net of tax</w:t>
            </w: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5.5</w:t>
            </w:r>
          </w:p>
        </w:tc>
        <w:tc>
          <w:tcPr>
            <w:tcW w:w="13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3.0</w:t>
            </w:r>
          </w:p>
        </w:tc>
        <w:tc>
          <w:tcPr>
            <w:tcW w:w="5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w:t>
            </w:r>
          </w:p>
        </w:tc>
      </w:tr>
      <w:tr>
        <w:trPr>
          <w:trHeight w:val="204"/>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comprehensive loss from subsidiaries, net</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(0.1)</w:t>
            </w:r>
          </w:p>
        </w:tc>
        <w:tc>
          <w:tcPr>
            <w:tcW w:w="1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(2.4)</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r>
      <w:tr>
        <w:trPr>
          <w:trHeight w:val="201"/>
        </w:trPr>
        <w:tc>
          <w:tcPr>
            <w:tcW w:w="5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other comprehensive income (loss)</w:t>
            </w:r>
          </w:p>
        </w:tc>
        <w:tc>
          <w:tcPr>
            <w:tcW w:w="1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5.4</w:t>
            </w:r>
          </w:p>
        </w:tc>
        <w:tc>
          <w:tcPr>
            <w:tcW w:w="13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0.6</w:t>
            </w:r>
          </w:p>
        </w:tc>
        <w:tc>
          <w:tcPr>
            <w:tcW w:w="5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w:t>
            </w:r>
          </w:p>
        </w:tc>
      </w:tr>
      <w:tr>
        <w:trPr>
          <w:trHeight w:val="205"/>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COMPREHENSIVE INCOME</w:t>
            </w:r>
          </w:p>
        </w:tc>
        <w:tc>
          <w:tcPr>
            <w:tcW w:w="1220" w:type="dxa"/>
            <w:vAlign w:val="bottom"/>
            <w:tcBorders>
              <w:bottom w:val="single" w:sz="8" w:color="auto"/>
            </w:tcBorders>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878.2</w:t>
            </w:r>
          </w:p>
        </w:tc>
        <w:tc>
          <w:tcPr>
            <w:tcW w:w="1360" w:type="dxa"/>
            <w:vAlign w:val="bottom"/>
            <w:tcBorders>
              <w:bottom w:val="single" w:sz="8" w:color="auto"/>
            </w:tcBorders>
          </w:tcPr>
          <w:p>
            <w:pPr>
              <w:jc w:val="right"/>
              <w:ind w:right="110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613.1</w:t>
            </w:r>
          </w:p>
        </w:tc>
        <w:tc>
          <w:tcPr>
            <w:tcW w:w="5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617.4</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Financial Statements of Parent Company are an integral part of these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0" w:name="page181"/>
    <w:bookmarkEnd w:id="180"/>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00" w:type="dxa"/>
            <w:vAlign w:val="bottom"/>
          </w:tcPr>
          <w:p>
            <w:pPr>
              <w:ind w:left="5100"/>
              <w:spacing w:after="0"/>
              <w:rPr>
                <w:sz w:val="20"/>
                <w:szCs w:val="20"/>
                <w:color w:val="auto"/>
              </w:rPr>
            </w:pPr>
            <w:r>
              <w:rPr>
                <w:rFonts w:ascii="Arial" w:cs="Arial" w:eastAsia="Arial" w:hAnsi="Arial"/>
                <w:sz w:val="15"/>
                <w:szCs w:val="15"/>
                <w:b w:val="1"/>
                <w:bCs w:val="1"/>
                <w:color w:val="auto"/>
              </w:rPr>
              <w:t>EVERGY, INC.</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8100" w:type="dxa"/>
            <w:vAlign w:val="bottom"/>
          </w:tcPr>
          <w:p>
            <w:pPr>
              <w:ind w:left="4460"/>
              <w:spacing w:after="0"/>
              <w:rPr>
                <w:sz w:val="20"/>
                <w:szCs w:val="20"/>
                <w:color w:val="auto"/>
              </w:rPr>
            </w:pPr>
            <w:r>
              <w:rPr>
                <w:rFonts w:ascii="Arial" w:cs="Arial" w:eastAsia="Arial" w:hAnsi="Arial"/>
                <w:sz w:val="15"/>
                <w:szCs w:val="15"/>
                <w:b w:val="1"/>
                <w:bCs w:val="1"/>
                <w:color w:val="auto"/>
              </w:rPr>
              <w:t>Balance Sheets of Parent Company</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3"/>
              <w:spacing w:after="0"/>
              <w:rPr>
                <w:sz w:val="20"/>
                <w:szCs w:val="20"/>
                <w:color w:val="auto"/>
              </w:rPr>
            </w:pPr>
            <w:r>
              <w:rPr>
                <w:rFonts w:ascii="Arial" w:cs="Arial" w:eastAsia="Arial" w:hAnsi="Arial"/>
                <w:sz w:val="15"/>
                <w:szCs w:val="15"/>
                <w:b w:val="1"/>
                <w:bCs w:val="1"/>
                <w:color w:val="auto"/>
              </w:rPr>
              <w:t>December 31</w:t>
            </w:r>
          </w:p>
        </w:tc>
        <w:tc>
          <w:tcPr>
            <w:tcW w:w="1060" w:type="dxa"/>
            <w:vAlign w:val="bottom"/>
          </w:tcPr>
          <w:p>
            <w:pPr>
              <w:spacing w:after="0"/>
              <w:rPr>
                <w:sz w:val="17"/>
                <w:szCs w:val="17"/>
                <w:color w:val="auto"/>
              </w:rPr>
            </w:pPr>
          </w:p>
        </w:tc>
      </w:tr>
      <w:tr>
        <w:trPr>
          <w:trHeight w:val="218"/>
        </w:trPr>
        <w:tc>
          <w:tcPr>
            <w:tcW w:w="8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rPr>
              <w:t>2020</w:t>
            </w:r>
          </w:p>
        </w:tc>
      </w:tr>
      <w:tr>
        <w:trPr>
          <w:trHeight w:val="202"/>
        </w:trPr>
        <w:tc>
          <w:tcPr>
            <w:tcW w:w="810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340" w:type="dxa"/>
            <w:vAlign w:val="bottom"/>
          </w:tcPr>
          <w:p>
            <w:pPr>
              <w:spacing w:after="0"/>
              <w:rPr>
                <w:sz w:val="17"/>
                <w:szCs w:val="17"/>
                <w:color w:val="auto"/>
              </w:rPr>
            </w:pPr>
          </w:p>
        </w:tc>
        <w:tc>
          <w:tcPr>
            <w:tcW w:w="2800" w:type="dxa"/>
            <w:vAlign w:val="bottom"/>
            <w:gridSpan w:val="3"/>
          </w:tcPr>
          <w:p>
            <w:pPr>
              <w:jc w:val="right"/>
              <w:ind w:right="603"/>
              <w:spacing w:after="0"/>
              <w:rPr>
                <w:sz w:val="20"/>
                <w:szCs w:val="20"/>
                <w:color w:val="auto"/>
              </w:rPr>
            </w:pPr>
            <w:r>
              <w:rPr>
                <w:rFonts w:ascii="Arial" w:cs="Arial" w:eastAsia="Arial" w:hAnsi="Arial"/>
                <w:sz w:val="14"/>
                <w:szCs w:val="14"/>
                <w:color w:val="auto"/>
              </w:rPr>
              <w:t>(millions, except share amounts)</w:t>
            </w:r>
          </w:p>
        </w:tc>
      </w:tr>
      <w:tr>
        <w:trPr>
          <w:trHeight w:val="208"/>
        </w:trPr>
        <w:tc>
          <w:tcPr>
            <w:tcW w:w="81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7.5</w:t>
            </w:r>
          </w:p>
        </w:tc>
        <w:tc>
          <w:tcPr>
            <w:tcW w:w="5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r>
      <w:tr>
        <w:trPr>
          <w:trHeight w:val="204"/>
        </w:trPr>
        <w:tc>
          <w:tcPr>
            <w:tcW w:w="8100" w:type="dxa"/>
            <w:vAlign w:val="bottom"/>
          </w:tcPr>
          <w:p>
            <w:pPr>
              <w:ind w:left="140"/>
              <w:spacing w:after="0"/>
              <w:rPr>
                <w:sz w:val="20"/>
                <w:szCs w:val="20"/>
                <w:color w:val="auto"/>
              </w:rPr>
            </w:pPr>
            <w:r>
              <w:rPr>
                <w:rFonts w:ascii="Arial" w:cs="Arial" w:eastAsia="Arial" w:hAnsi="Arial"/>
                <w:sz w:val="15"/>
                <w:szCs w:val="15"/>
                <w:color w:val="auto"/>
              </w:rPr>
              <w:t>Accounts receivable from subsidiaries</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b w:val="1"/>
                <w:bCs w:val="1"/>
                <w:color w:val="auto"/>
              </w:rPr>
              <w:t>72.2</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54.1</w:t>
            </w:r>
          </w:p>
        </w:tc>
      </w:tr>
      <w:tr>
        <w:trPr>
          <w:trHeight w:val="208"/>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Notes receivable from subsidiaries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289.5</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349.4</w:t>
            </w:r>
          </w:p>
        </w:tc>
      </w:tr>
      <w:tr>
        <w:trPr>
          <w:trHeight w:val="204"/>
        </w:trPr>
        <w:tc>
          <w:tcPr>
            <w:tcW w:w="8100" w:type="dxa"/>
            <w:vAlign w:val="bottom"/>
          </w:tcPr>
          <w:p>
            <w:pPr>
              <w:ind w:left="140"/>
              <w:spacing w:after="0"/>
              <w:rPr>
                <w:sz w:val="20"/>
                <w:szCs w:val="20"/>
                <w:color w:val="auto"/>
              </w:rPr>
            </w:pPr>
            <w:r>
              <w:rPr>
                <w:rFonts w:ascii="Arial" w:cs="Arial" w:eastAsia="Arial" w:hAnsi="Arial"/>
                <w:sz w:val="15"/>
                <w:szCs w:val="15"/>
                <w:color w:val="auto"/>
              </w:rPr>
              <w:t>Income taxes receivable</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b w:val="1"/>
                <w:bCs w:val="1"/>
                <w:color w:val="auto"/>
              </w:rPr>
              <w:t>14.8</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08"/>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2.0</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197"/>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Current Assets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386.0</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423.8</w:t>
            </w:r>
          </w:p>
        </w:tc>
      </w:tr>
      <w:tr>
        <w:trPr>
          <w:trHeight w:val="201"/>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4"/>
        </w:trPr>
        <w:tc>
          <w:tcPr>
            <w:tcW w:w="8100" w:type="dxa"/>
            <w:vAlign w:val="bottom"/>
          </w:tcPr>
          <w:p>
            <w:pPr>
              <w:ind w:left="140"/>
              <w:spacing w:after="0"/>
              <w:rPr>
                <w:sz w:val="20"/>
                <w:szCs w:val="20"/>
                <w:color w:val="auto"/>
              </w:rPr>
            </w:pPr>
            <w:r>
              <w:rPr>
                <w:rFonts w:ascii="Arial" w:cs="Arial" w:eastAsia="Arial" w:hAnsi="Arial"/>
                <w:sz w:val="15"/>
                <w:szCs w:val="15"/>
                <w:color w:val="auto"/>
              </w:rPr>
              <w:t>Investment in subsidiaries</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b w:val="1"/>
                <w:bCs w:val="1"/>
                <w:color w:val="auto"/>
              </w:rPr>
              <w:t>10,992.1</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10,349.2</w:t>
            </w:r>
          </w:p>
        </w:tc>
      </w:tr>
      <w:tr>
        <w:trPr>
          <w:trHeight w:val="208"/>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Note receivable from subsidiaries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287.5</w:t>
            </w:r>
          </w:p>
        </w:tc>
      </w:tr>
      <w:tr>
        <w:trPr>
          <w:trHeight w:val="204"/>
        </w:trPr>
        <w:tc>
          <w:tcPr>
            <w:tcW w:w="8100" w:type="dxa"/>
            <w:vAlign w:val="bottom"/>
          </w:tcPr>
          <w:p>
            <w:pPr>
              <w:ind w:left="14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b w:val="1"/>
                <w:bCs w:val="1"/>
                <w:color w:val="auto"/>
              </w:rPr>
              <w:t>19.0</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20.5</w:t>
            </w:r>
          </w:p>
        </w:tc>
      </w:tr>
      <w:tr>
        <w:trPr>
          <w:trHeight w:val="208"/>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1.2</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r>
      <w:tr>
        <w:trPr>
          <w:trHeight w:val="197"/>
        </w:trPr>
        <w:tc>
          <w:tcPr>
            <w:tcW w:w="81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Other Assets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11,012.3</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10,657.7</w:t>
            </w:r>
          </w:p>
        </w:tc>
      </w:tr>
      <w:tr>
        <w:trPr>
          <w:trHeight w:val="201"/>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11,398.3</w:t>
            </w:r>
          </w:p>
        </w:tc>
        <w:tc>
          <w:tcPr>
            <w:tcW w:w="5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11,081.5</w:t>
            </w:r>
          </w:p>
        </w:tc>
      </w:tr>
      <w:tr>
        <w:trPr>
          <w:trHeight w:val="184"/>
        </w:trPr>
        <w:tc>
          <w:tcPr>
            <w:tcW w:w="8100" w:type="dxa"/>
            <w:vAlign w:val="bottom"/>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4"/>
        </w:trPr>
        <w:tc>
          <w:tcPr>
            <w:tcW w:w="8100" w:type="dxa"/>
            <w:vAlign w:val="bottom"/>
          </w:tcPr>
          <w:p>
            <w:pPr>
              <w:ind w:left="140"/>
              <w:spacing w:after="0"/>
              <w:rPr>
                <w:sz w:val="20"/>
                <w:szCs w:val="20"/>
                <w:color w:val="auto"/>
              </w:rPr>
            </w:pPr>
            <w:r>
              <w:rPr>
                <w:rFonts w:ascii="Arial" w:cs="Arial" w:eastAsia="Arial" w:hAnsi="Arial"/>
                <w:sz w:val="15"/>
                <w:szCs w:val="15"/>
                <w:color w:val="auto"/>
              </w:rPr>
              <w:t>Current maturities of long-term debt</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Pr>
          <w:p>
            <w:pPr>
              <w:jc w:val="right"/>
              <w:ind w:right="43"/>
              <w:spacing w:after="0"/>
              <w:rPr>
                <w:sz w:val="20"/>
                <w:szCs w:val="20"/>
                <w:color w:val="auto"/>
              </w:rPr>
            </w:pPr>
            <w:r>
              <w:rPr>
                <w:rFonts w:ascii="Arial" w:cs="Arial" w:eastAsia="Arial" w:hAnsi="Arial"/>
                <w:sz w:val="15"/>
                <w:szCs w:val="15"/>
                <w:b w:val="1"/>
                <w:bCs w:val="1"/>
                <w:color w:val="auto"/>
              </w:rPr>
              <w:t>287.5</w:t>
            </w:r>
          </w:p>
        </w:tc>
        <w:tc>
          <w:tcPr>
            <w:tcW w:w="5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350.0</w:t>
            </w:r>
          </w:p>
        </w:tc>
      </w:tr>
      <w:tr>
        <w:trPr>
          <w:trHeight w:val="208"/>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Notes payable and commercial paper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358.0</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r>
      <w:tr>
        <w:trPr>
          <w:trHeight w:val="204"/>
        </w:trPr>
        <w:tc>
          <w:tcPr>
            <w:tcW w:w="8100" w:type="dxa"/>
            <w:vAlign w:val="bottom"/>
          </w:tcPr>
          <w:p>
            <w:pPr>
              <w:ind w:left="140"/>
              <w:spacing w:after="0"/>
              <w:rPr>
                <w:sz w:val="20"/>
                <w:szCs w:val="20"/>
                <w:color w:val="auto"/>
              </w:rPr>
            </w:pPr>
            <w:r>
              <w:rPr>
                <w:rFonts w:ascii="Arial" w:cs="Arial" w:eastAsia="Arial" w:hAnsi="Arial"/>
                <w:sz w:val="15"/>
                <w:szCs w:val="15"/>
                <w:color w:val="auto"/>
              </w:rPr>
              <w:t>Accounts payable to subsidiaries</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b w:val="1"/>
                <w:bCs w:val="1"/>
                <w:color w:val="auto"/>
              </w:rPr>
              <w:t>22.3</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18.4</w:t>
            </w:r>
          </w:p>
        </w:tc>
      </w:tr>
      <w:tr>
        <w:trPr>
          <w:trHeight w:val="208"/>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interest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12.4</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r>
      <w:tr>
        <w:trPr>
          <w:trHeight w:val="204"/>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8.1</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w:t>
            </w:r>
          </w:p>
        </w:tc>
      </w:tr>
      <w:tr>
        <w:trPr>
          <w:trHeight w:val="201"/>
        </w:trPr>
        <w:tc>
          <w:tcPr>
            <w:tcW w:w="8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688.3</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593.3</w:t>
            </w:r>
          </w:p>
        </w:tc>
      </w:tr>
      <w:tr>
        <w:trPr>
          <w:trHeight w:val="183"/>
        </w:trPr>
        <w:tc>
          <w:tcPr>
            <w:tcW w:w="8100" w:type="dxa"/>
            <w:vAlign w:val="bottom"/>
          </w:tcPr>
          <w:p>
            <w:pPr>
              <w:ind w:left="20"/>
              <w:spacing w:after="0"/>
              <w:rPr>
                <w:sz w:val="20"/>
                <w:szCs w:val="20"/>
                <w:color w:val="auto"/>
              </w:rPr>
            </w:pPr>
            <w:r>
              <w:rPr>
                <w:rFonts w:ascii="Arial" w:cs="Arial" w:eastAsia="Arial" w:hAnsi="Arial"/>
                <w:sz w:val="15"/>
                <w:szCs w:val="15"/>
                <w:color w:val="auto"/>
              </w:rPr>
              <w:t>LONG-TERM LIABILITIES:</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9"/>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Long-term debt, net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1,590.1</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1,875.7</w:t>
            </w:r>
          </w:p>
        </w:tc>
      </w:tr>
      <w:tr>
        <w:trPr>
          <w:trHeight w:val="204"/>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14.9</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w:t>
            </w:r>
          </w:p>
        </w:tc>
      </w:tr>
      <w:tr>
        <w:trPr>
          <w:trHeight w:val="201"/>
        </w:trPr>
        <w:tc>
          <w:tcPr>
            <w:tcW w:w="8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Long-Term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1,605.0</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1,887.4</w:t>
            </w:r>
          </w:p>
        </w:tc>
      </w:tr>
      <w:tr>
        <w:trPr>
          <w:trHeight w:val="183"/>
        </w:trPr>
        <w:tc>
          <w:tcPr>
            <w:tcW w:w="8100" w:type="dxa"/>
            <w:vAlign w:val="bottom"/>
          </w:tcPr>
          <w:p>
            <w:pPr>
              <w:ind w:left="20"/>
              <w:spacing w:after="0"/>
              <w:rPr>
                <w:sz w:val="20"/>
                <w:szCs w:val="20"/>
                <w:color w:val="auto"/>
              </w:rPr>
            </w:pPr>
            <w:r>
              <w:rPr>
                <w:rFonts w:ascii="Arial" w:cs="Arial" w:eastAsia="Arial" w:hAnsi="Arial"/>
                <w:sz w:val="15"/>
                <w:szCs w:val="15"/>
                <w:color w:val="auto"/>
              </w:rPr>
              <w:t>Commitments and Contingencies (Note 14)</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3"/>
        </w:trPr>
        <w:tc>
          <w:tcPr>
            <w:tcW w:w="8100" w:type="dxa"/>
            <w:vAlign w:val="bottom"/>
          </w:tcPr>
          <w:p>
            <w:pPr>
              <w:ind w:left="140"/>
              <w:spacing w:after="0"/>
              <w:rPr>
                <w:sz w:val="20"/>
                <w:szCs w:val="20"/>
                <w:color w:val="auto"/>
              </w:rPr>
            </w:pPr>
            <w:r>
              <w:rPr>
                <w:rFonts w:ascii="Arial" w:cs="Arial" w:eastAsia="Arial" w:hAnsi="Arial"/>
                <w:sz w:val="15"/>
                <w:szCs w:val="15"/>
                <w:color w:val="auto"/>
              </w:rPr>
              <w:t>Evergy, Inc. Shareholders' Equity:</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8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Common stock - 600,000,000 shares authorized, without par value, 229,299,900 and 226,836,670 shares issued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7,188.7</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7,063.2</w:t>
            </w:r>
          </w:p>
        </w:tc>
      </w:tr>
      <w:tr>
        <w:trPr>
          <w:trHeight w:val="204"/>
        </w:trPr>
        <w:tc>
          <w:tcPr>
            <w:tcW w:w="8100" w:type="dxa"/>
            <w:vAlign w:val="bottom"/>
          </w:tcPr>
          <w:p>
            <w:pPr>
              <w:ind w:left="320"/>
              <w:spacing w:after="0"/>
              <w:rPr>
                <w:sz w:val="20"/>
                <w:szCs w:val="20"/>
                <w:color w:val="auto"/>
              </w:rPr>
            </w:pPr>
            <w:r>
              <w:rPr>
                <w:rFonts w:ascii="Arial" w:cs="Arial" w:eastAsia="Arial" w:hAnsi="Arial"/>
                <w:sz w:val="15"/>
                <w:szCs w:val="15"/>
                <w:color w:val="auto"/>
              </w:rPr>
              <w:t>Retained earnings</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b w:val="1"/>
                <w:bCs w:val="1"/>
                <w:color w:val="auto"/>
              </w:rPr>
              <w:t>1,960.3</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1,587.0</w:t>
            </w:r>
          </w:p>
        </w:tc>
      </w:tr>
      <w:tr>
        <w:trPr>
          <w:trHeight w:val="208"/>
        </w:trPr>
        <w:tc>
          <w:tcPr>
            <w:tcW w:w="8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(44.0)</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w:t>
            </w:r>
          </w:p>
        </w:tc>
      </w:tr>
      <w:tr>
        <w:trPr>
          <w:trHeight w:val="197"/>
        </w:trPr>
        <w:tc>
          <w:tcPr>
            <w:tcW w:w="810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Shareholders' Equity</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9,105.0</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8,600.8</w:t>
            </w:r>
          </w:p>
        </w:tc>
      </w:tr>
      <w:tr>
        <w:trPr>
          <w:trHeight w:val="207"/>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LIABILITIES AND EQUITY</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11,398.3</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11,081.5</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Financial Statements of Parent Company are an integral part of these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1" w:name="page182"/>
    <w:bookmarkEnd w:id="181"/>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Statements of Cash Flows of Parent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rPr>
              <w:t>2020</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2019</w:t>
            </w:r>
          </w:p>
        </w:tc>
      </w:tr>
      <w:tr>
        <w:trPr>
          <w:trHeight w:val="203"/>
        </w:trPr>
        <w:tc>
          <w:tcPr>
            <w:tcW w:w="6540" w:type="dxa"/>
            <w:vAlign w:val="bottom"/>
          </w:tcPr>
          <w:p>
            <w:pPr>
              <w:ind w:left="20"/>
              <w:spacing w:after="0"/>
              <w:rPr>
                <w:sz w:val="20"/>
                <w:szCs w:val="20"/>
                <w:color w:val="auto"/>
              </w:rPr>
            </w:pPr>
            <w:r>
              <w:rPr>
                <w:rFonts w:ascii="Arial" w:cs="Arial" w:eastAsia="Arial" w:hAnsi="Arial"/>
                <w:sz w:val="15"/>
                <w:szCs w:val="15"/>
                <w:color w:val="auto"/>
              </w:rPr>
              <w:t>CASH FLOWS FROM (USED IN) OPERATING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463"/>
              <w:spacing w:after="0"/>
              <w:rPr>
                <w:sz w:val="20"/>
                <w:szCs w:val="20"/>
                <w:color w:val="auto"/>
              </w:rPr>
            </w:pPr>
            <w:r>
              <w:rPr>
                <w:rFonts w:ascii="Arial" w:cs="Arial" w:eastAsia="Arial" w:hAnsi="Arial"/>
                <w:sz w:val="14"/>
                <w:szCs w:val="14"/>
                <w:color w:val="auto"/>
              </w:rPr>
              <w:t>(millions)</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5"/>
                <w:szCs w:val="15"/>
                <w:b w:val="1"/>
                <w:bCs w:val="1"/>
                <w:color w:val="auto"/>
                <w:w w:val="95"/>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872.8</w:t>
            </w:r>
          </w:p>
        </w:tc>
        <w:tc>
          <w:tcPr>
            <w:tcW w:w="3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612.5</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664.4</w:t>
            </w:r>
          </w:p>
        </w:tc>
      </w:tr>
      <w:tr>
        <w:trPr>
          <w:trHeight w:val="203"/>
        </w:trPr>
        <w:tc>
          <w:tcPr>
            <w:tcW w:w="6540" w:type="dxa"/>
            <w:vAlign w:val="bottom"/>
          </w:tcPr>
          <w:p>
            <w:pPr>
              <w:ind w:left="20"/>
              <w:spacing w:after="0"/>
              <w:rPr>
                <w:sz w:val="20"/>
                <w:szCs w:val="20"/>
                <w:color w:val="auto"/>
              </w:rPr>
            </w:pPr>
            <w:r>
              <w:rPr>
                <w:rFonts w:ascii="Arial" w:cs="Arial" w:eastAsia="Arial" w:hAnsi="Arial"/>
                <w:sz w:val="15"/>
                <w:szCs w:val="15"/>
                <w:color w:val="auto"/>
              </w:rPr>
              <w:t>Adjustments to reconcile income to net cash from operating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Non-cash compensation</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15.6</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16.0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r>
      <w:tr>
        <w:trPr>
          <w:trHeight w:val="204"/>
        </w:trPr>
        <w:tc>
          <w:tcPr>
            <w:tcW w:w="6540" w:type="dxa"/>
            <w:vAlign w:val="bottom"/>
          </w:tcPr>
          <w:p>
            <w:pPr>
              <w:ind w:left="220"/>
              <w:spacing w:after="0"/>
              <w:rPr>
                <w:sz w:val="20"/>
                <w:szCs w:val="20"/>
                <w:color w:val="auto"/>
              </w:rPr>
            </w:pPr>
            <w:r>
              <w:rPr>
                <w:rFonts w:ascii="Arial" w:cs="Arial" w:eastAsia="Arial" w:hAnsi="Arial"/>
                <w:sz w:val="15"/>
                <w:szCs w:val="15"/>
                <w:color w:val="auto"/>
              </w:rPr>
              <w:t>Net deferred income taxes and credits</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color w:val="auto"/>
              </w:rPr>
              <w:t>9.6</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21.4</w:t>
            </w:r>
          </w:p>
        </w:tc>
      </w:tr>
      <w:tr>
        <w:trPr>
          <w:trHeight w:val="208"/>
        </w:trPr>
        <w:tc>
          <w:tcPr>
            <w:tcW w:w="65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Equity in earnings from subsidiaries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(932.9)</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(683.4)</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(698.2)</w:t>
            </w:r>
          </w:p>
        </w:tc>
      </w:tr>
      <w:tr>
        <w:trPr>
          <w:trHeight w:val="204"/>
        </w:trPr>
        <w:tc>
          <w:tcPr>
            <w:tcW w:w="6540" w:type="dxa"/>
            <w:vAlign w:val="bottom"/>
          </w:tcPr>
          <w:p>
            <w:pPr>
              <w:ind w:left="220"/>
              <w:spacing w:after="0"/>
              <w:rPr>
                <w:sz w:val="20"/>
                <w:szCs w:val="20"/>
                <w:color w:val="auto"/>
              </w:rPr>
            </w:pPr>
            <w:r>
              <w:rPr>
                <w:rFonts w:ascii="Arial" w:cs="Arial" w:eastAsia="Arial" w:hAnsi="Arial"/>
                <w:sz w:val="15"/>
                <w:szCs w:val="15"/>
                <w:color w:val="auto"/>
              </w:rPr>
              <w:t>Other</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b w:val="1"/>
                <w:bCs w:val="1"/>
                <w:color w:val="auto"/>
              </w:rPr>
              <w:t>7.0</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color w:val="auto"/>
              </w:rPr>
              <w:t>7.0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8"/>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Changes in working capital items: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6540" w:type="dxa"/>
            <w:vAlign w:val="bottom"/>
          </w:tcPr>
          <w:p>
            <w:pPr>
              <w:ind w:left="220"/>
              <w:spacing w:after="0"/>
              <w:rPr>
                <w:sz w:val="20"/>
                <w:szCs w:val="20"/>
                <w:color w:val="auto"/>
              </w:rPr>
            </w:pPr>
            <w:r>
              <w:rPr>
                <w:rFonts w:ascii="Arial" w:cs="Arial" w:eastAsia="Arial" w:hAnsi="Arial"/>
                <w:sz w:val="15"/>
                <w:szCs w:val="15"/>
                <w:color w:val="auto"/>
              </w:rPr>
              <w:t>Accounts receivable from subsidiaries</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b w:val="1"/>
                <w:bCs w:val="1"/>
                <w:color w:val="auto"/>
              </w:rPr>
              <w:t>(18.2)</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(30.0)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08"/>
        </w:trPr>
        <w:tc>
          <w:tcPr>
            <w:tcW w:w="65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taxes receivable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(7.5)</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0.6</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r>
      <w:tr>
        <w:trPr>
          <w:trHeight w:val="204"/>
        </w:trPr>
        <w:tc>
          <w:tcPr>
            <w:tcW w:w="6540" w:type="dxa"/>
            <w:vAlign w:val="bottom"/>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color w:val="auto"/>
              </w:rPr>
              <w:t>0.8</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208"/>
        </w:trPr>
        <w:tc>
          <w:tcPr>
            <w:tcW w:w="65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payable to subsidiaries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3.9</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r>
      <w:tr>
        <w:trPr>
          <w:trHeight w:val="204"/>
        </w:trPr>
        <w:tc>
          <w:tcPr>
            <w:tcW w:w="6540" w:type="dxa"/>
            <w:vAlign w:val="bottom"/>
          </w:tcPr>
          <w:p>
            <w:pPr>
              <w:ind w:left="220"/>
              <w:spacing w:after="0"/>
              <w:rPr>
                <w:sz w:val="20"/>
                <w:szCs w:val="20"/>
                <w:color w:val="auto"/>
              </w:rPr>
            </w:pPr>
            <w:r>
              <w:rPr>
                <w:rFonts w:ascii="Arial" w:cs="Arial" w:eastAsia="Arial" w:hAnsi="Arial"/>
                <w:sz w:val="15"/>
                <w:szCs w:val="15"/>
                <w:color w:val="auto"/>
              </w:rPr>
              <w:t>Accrued interest</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b w:val="1"/>
                <w:bCs w:val="1"/>
                <w:color w:val="auto"/>
              </w:rPr>
              <w:t>(1.4)</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(0.7)</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208"/>
        </w:trPr>
        <w:tc>
          <w:tcPr>
            <w:tcW w:w="65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current liabilities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(3.2)</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2.9</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04"/>
        </w:trPr>
        <w:tc>
          <w:tcPr>
            <w:tcW w:w="6540" w:type="dxa"/>
            <w:vAlign w:val="bottom"/>
          </w:tcPr>
          <w:p>
            <w:pPr>
              <w:ind w:left="20"/>
              <w:spacing w:after="0"/>
              <w:rPr>
                <w:sz w:val="20"/>
                <w:szCs w:val="20"/>
                <w:color w:val="auto"/>
              </w:rPr>
            </w:pPr>
            <w:r>
              <w:rPr>
                <w:rFonts w:ascii="Arial" w:cs="Arial" w:eastAsia="Arial" w:hAnsi="Arial"/>
                <w:sz w:val="15"/>
                <w:szCs w:val="15"/>
                <w:color w:val="auto"/>
              </w:rPr>
              <w:t>Cash dividends from subsidiaries</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b w:val="1"/>
                <w:bCs w:val="1"/>
                <w:color w:val="auto"/>
              </w:rPr>
              <w:t>290.0</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color w:val="auto"/>
              </w:rPr>
              <w:t>355.0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460.0</w:t>
            </w:r>
          </w:p>
        </w:tc>
      </w:tr>
      <w:tr>
        <w:trPr>
          <w:trHeight w:val="208"/>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Changes in other assets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0.1</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0.3</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0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Changes in other liabilities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4.8</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(3.7)</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r>
      <w:tr>
        <w:trPr>
          <w:trHeight w:val="199"/>
        </w:trPr>
        <w:tc>
          <w:tcPr>
            <w:tcW w:w="65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rPr>
              <w:t>Cash Flows from Operating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231.0</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291.9</w:t>
            </w: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462.9</w:t>
            </w:r>
          </w:p>
        </w:tc>
      </w:tr>
      <w:tr>
        <w:trPr>
          <w:trHeight w:val="199"/>
        </w:trPr>
        <w:tc>
          <w:tcPr>
            <w:tcW w:w="6540" w:type="dxa"/>
            <w:vAlign w:val="bottom"/>
          </w:tcPr>
          <w:p>
            <w:pPr>
              <w:ind w:left="20"/>
              <w:spacing w:after="0"/>
              <w:rPr>
                <w:sz w:val="20"/>
                <w:szCs w:val="20"/>
                <w:color w:val="auto"/>
              </w:rPr>
            </w:pPr>
            <w:r>
              <w:rPr>
                <w:rFonts w:ascii="Arial" w:cs="Arial" w:eastAsia="Arial" w:hAnsi="Arial"/>
                <w:sz w:val="15"/>
                <w:szCs w:val="15"/>
                <w:color w:val="auto"/>
              </w:rPr>
              <w:t>CASH FLOWS FROM (USED IN) INVESTING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Repayment of intercompany note</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347.4</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654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Cash Flows from Investing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347.4</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(USED IN) FINANCING ACTIVITIES:</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4"/>
        </w:trPr>
        <w:tc>
          <w:tcPr>
            <w:tcW w:w="6540" w:type="dxa"/>
            <w:vAlign w:val="bottom"/>
          </w:tcPr>
          <w:p>
            <w:pPr>
              <w:ind w:left="20"/>
              <w:spacing w:after="0"/>
              <w:rPr>
                <w:sz w:val="20"/>
                <w:szCs w:val="20"/>
                <w:color w:val="auto"/>
              </w:rPr>
            </w:pPr>
            <w:r>
              <w:rPr>
                <w:rFonts w:ascii="Arial" w:cs="Arial" w:eastAsia="Arial" w:hAnsi="Arial"/>
                <w:sz w:val="15"/>
                <w:szCs w:val="15"/>
                <w:color w:val="auto"/>
              </w:rPr>
              <w:t>Short term debt, net</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b w:val="1"/>
                <w:bCs w:val="1"/>
                <w:color w:val="auto"/>
              </w:rPr>
              <w:t>157.1</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color w:val="auto"/>
              </w:rPr>
              <w:t>180.0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08"/>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long-term debt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1,585.0</w:t>
            </w:r>
          </w:p>
        </w:tc>
      </w:tr>
      <w:tr>
        <w:trPr>
          <w:trHeight w:val="204"/>
        </w:trPr>
        <w:tc>
          <w:tcPr>
            <w:tcW w:w="6540" w:type="dxa"/>
            <w:vAlign w:val="bottom"/>
          </w:tcPr>
          <w:p>
            <w:pPr>
              <w:ind w:left="20"/>
              <w:spacing w:after="0"/>
              <w:rPr>
                <w:sz w:val="20"/>
                <w:szCs w:val="20"/>
                <w:color w:val="auto"/>
              </w:rPr>
            </w:pPr>
            <w:r>
              <w:rPr>
                <w:rFonts w:ascii="Arial" w:cs="Arial" w:eastAsia="Arial" w:hAnsi="Arial"/>
                <w:sz w:val="15"/>
                <w:szCs w:val="15"/>
                <w:color w:val="auto"/>
              </w:rPr>
              <w:t>Retirements of long-term debt</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b w:val="1"/>
                <w:bCs w:val="1"/>
                <w:color w:val="auto"/>
              </w:rPr>
              <w:t>(350.0)</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 for settlement of interest rate swap accounted for as a cash flow hedge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r>
      <w:tr>
        <w:trPr>
          <w:trHeight w:val="204"/>
        </w:trPr>
        <w:tc>
          <w:tcPr>
            <w:tcW w:w="6540" w:type="dxa"/>
            <w:vAlign w:val="bottom"/>
          </w:tcPr>
          <w:p>
            <w:pPr>
              <w:ind w:left="20"/>
              <w:spacing w:after="0"/>
              <w:rPr>
                <w:sz w:val="20"/>
                <w:szCs w:val="20"/>
                <w:color w:val="auto"/>
              </w:rPr>
            </w:pPr>
            <w:r>
              <w:rPr>
                <w:rFonts w:ascii="Arial" w:cs="Arial" w:eastAsia="Arial" w:hAnsi="Arial"/>
                <w:sz w:val="15"/>
                <w:szCs w:val="15"/>
                <w:color w:val="auto"/>
              </w:rPr>
              <w:t>Cash dividends paid</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b w:val="1"/>
                <w:bCs w:val="1"/>
                <w:color w:val="auto"/>
              </w:rPr>
              <w:t>(497.9)</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(465.0)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(462.5)</w:t>
            </w:r>
          </w:p>
        </w:tc>
      </w:tr>
      <w:tr>
        <w:trPr>
          <w:trHeight w:val="208"/>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common stock</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112.5</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6540" w:type="dxa"/>
            <w:vAlign w:val="bottom"/>
          </w:tcPr>
          <w:p>
            <w:pPr>
              <w:ind w:left="20"/>
              <w:spacing w:after="0"/>
              <w:rPr>
                <w:sz w:val="20"/>
                <w:szCs w:val="20"/>
                <w:color w:val="auto"/>
              </w:rPr>
            </w:pPr>
            <w:r>
              <w:rPr>
                <w:rFonts w:ascii="Arial" w:cs="Arial" w:eastAsia="Arial" w:hAnsi="Arial"/>
                <w:sz w:val="15"/>
                <w:szCs w:val="15"/>
                <w:color w:val="auto"/>
              </w:rPr>
              <w:t>Repurchase of common stock</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(1,628.7)</w:t>
            </w:r>
          </w:p>
        </w:tc>
      </w:tr>
      <w:tr>
        <w:trPr>
          <w:trHeight w:val="208"/>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(3.6)</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(7.5)</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197"/>
        </w:trPr>
        <w:tc>
          <w:tcPr>
            <w:tcW w:w="654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Cash Flows used in Financing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(581.9)</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(292.5)</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(558.4)</w:t>
            </w:r>
          </w:p>
        </w:tc>
      </w:tr>
      <w:tr>
        <w:trPr>
          <w:trHeight w:val="201"/>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CASH AND CASH EQUIVALENTS</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(3.5)</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w:t>
            </w:r>
          </w:p>
        </w:tc>
      </w:tr>
      <w:tr>
        <w:trPr>
          <w:trHeight w:val="203"/>
        </w:trPr>
        <w:tc>
          <w:tcPr>
            <w:tcW w:w="654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11.0</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11.6</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107.1</w:t>
            </w:r>
          </w:p>
        </w:tc>
      </w:tr>
      <w:tr>
        <w:trPr>
          <w:trHeight w:val="205"/>
        </w:trPr>
        <w:tc>
          <w:tcPr>
            <w:tcW w:w="654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End of period</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b w:val="1"/>
                <w:bCs w:val="1"/>
                <w:color w:val="auto"/>
                <w:w w:val="95"/>
              </w:rPr>
              <w:t>$</w:t>
            </w: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7.5</w:t>
            </w: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11.0</w:t>
            </w:r>
          </w:p>
        </w:tc>
        <w:tc>
          <w:tcPr>
            <w:tcW w:w="4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Financial Statements of Parent Company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2" w:name="page183"/>
    <w:bookmarkEnd w:id="182"/>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EVERGY,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 OF PARENT COMPANY</w:t>
      </w:r>
    </w:p>
    <w:p>
      <w:pPr>
        <w:spacing w:after="0" w:line="191"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The Evergy, Inc. Notes to Consolidated Financial Statements in Part II, Item 8 should be read in conjunction with the Evergy, Inc. Parent Company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ORGANIZATION AND BASIS OF PRESENTATION</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The Evergy, Inc. Parent Company Financial Statements have been prepared to comply with Rule 12-04 of Regulation S-X.</w:t>
      </w:r>
    </w:p>
    <w:p>
      <w:pPr>
        <w:spacing w:after="0" w:line="207"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color w:val="auto"/>
        </w:rPr>
        <w:t>Evergy, Inc. was incorporated in 2017 as Monarch Energy, a wholly-owned subsidiary of Great Plains Energy. Prior to the closing of the merger transactions, Monarch Energy changed its name to Evergy, Inc. and did not conduct any business activities other than those required for its formation and matters contemplated by the Amended Merger Agreement. On June 4, 2018, in accordance with the Amended Merger Agreement, Great Plains Energy merged into Evergy, Inc., with Evergy, Inc. surviving the merger and King Energy merged into Evergy Kansas Central, with Evergy Kansas Central surviving the merger. These merger transactions resulted in Evergy, Inc. becoming the parent entity of Evergy Kansas Central and the direct subsidiaries of Great Plains Energy, including Evergy Metro and Evergy Missouri West.</w:t>
      </w:r>
    </w:p>
    <w:p>
      <w:pPr>
        <w:spacing w:after="0" w:line="153"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Evergy, Inc. operates primarily through its wholly-owned direct subsidiaries. Evergy, Inc.'s investments in subsidiaries are accounted for using the equity method. Fair value adjustments and goodwill related to the acquired assets and liabilities of Great Plains Energy and its direct subsidiaries are only reflected on Evergy's consolidated financial statements and as such, are not included in Evergy, Inc.'s Parent Company Financial Statements. See Note 1 to the consolidated financial statement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LONG-TERM DEBT</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See Note 12 to the consolidated financial statements for additional information on Evergy, Inc.'s long-term debt.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 GUARANTEES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See Note 15 to the consolidated financial statements for additional information regarding Evergy, Inc.'s guarantees.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DIVIDENDS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Cash dividends paid to Evergy, Inc. by its subsidiaries were $290.0 million for the year ended December 31, 2021, $355.0 million for the year ended December 31, 2020 and $460.0 million for the year ended December 31, 2019. See Note 17 to the consolidated financial statements for information regarding the dividend restrictions of Evergy, Inc. and its subsidiaries.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3" w:name="page184"/>
    <w:bookmarkEnd w:id="183"/>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Schedule II - Valuation and Qualifying Accounts and Reserves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Evergy,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2021, 2020 and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Additions</w:t>
            </w:r>
          </w:p>
        </w:tc>
        <w:tc>
          <w:tcPr>
            <w:tcW w:w="7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07"/>
        </w:trPr>
        <w:tc>
          <w:tcPr>
            <w:tcW w:w="3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2"/>
              </w:rPr>
              <w:t>Charged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460" w:type="dxa"/>
            <w:vAlign w:val="bottom"/>
          </w:tcPr>
          <w:p>
            <w:pPr>
              <w:spacing w:after="0"/>
              <w:rPr>
                <w:sz w:val="19"/>
                <w:szCs w:val="19"/>
                <w:color w:val="auto"/>
              </w:rPr>
            </w:pPr>
          </w:p>
        </w:tc>
        <w:tc>
          <w:tcPr>
            <w:tcW w:w="1860" w:type="dxa"/>
            <w:vAlign w:val="bottom"/>
            <w:gridSpan w:val="2"/>
          </w:tcPr>
          <w:p>
            <w:pPr>
              <w:jc w:val="center"/>
              <w:ind w:left="354"/>
              <w:spacing w:after="0"/>
              <w:rPr>
                <w:sz w:val="20"/>
                <w:szCs w:val="20"/>
                <w:color w:val="auto"/>
              </w:rPr>
            </w:pPr>
            <w:r>
              <w:rPr>
                <w:rFonts w:ascii="Arial" w:cs="Arial" w:eastAsia="Arial" w:hAnsi="Arial"/>
                <w:sz w:val="17"/>
                <w:szCs w:val="17"/>
                <w:b w:val="1"/>
                <w:bCs w:val="1"/>
                <w:color w:val="auto"/>
                <w:w w:val="93"/>
              </w:rPr>
              <w:t>Balance At</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5"/>
              </w:rPr>
              <w:t>To Costs</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w w:val="92"/>
              </w:rPr>
              <w:t>Charged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14"/>
              <w:spacing w:after="0"/>
              <w:rPr>
                <w:sz w:val="20"/>
                <w:szCs w:val="20"/>
                <w:color w:val="auto"/>
              </w:rPr>
            </w:pPr>
            <w:r>
              <w:rPr>
                <w:rFonts w:ascii="Arial" w:cs="Arial" w:eastAsia="Arial" w:hAnsi="Arial"/>
                <w:sz w:val="17"/>
                <w:szCs w:val="17"/>
                <w:b w:val="1"/>
                <w:bCs w:val="1"/>
                <w:color w:val="auto"/>
                <w:w w:val="88"/>
              </w:rPr>
              <w:t>Balance</w:t>
            </w:r>
          </w:p>
        </w:tc>
      </w:tr>
      <w:tr>
        <w:trPr>
          <w:trHeight w:val="219"/>
        </w:trPr>
        <w:tc>
          <w:tcPr>
            <w:tcW w:w="3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Arial" w:cs="Arial" w:eastAsia="Arial" w:hAnsi="Arial"/>
                <w:sz w:val="17"/>
                <w:szCs w:val="17"/>
                <w:b w:val="1"/>
                <w:bCs w:val="1"/>
                <w:color w:val="auto"/>
                <w:w w:val="88"/>
              </w:rPr>
              <w:t>Beginning</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0"/>
              </w:rPr>
              <w:t>And</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w w:val="93"/>
              </w:rPr>
              <w:t>To Other</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Arial" w:cs="Arial" w:eastAsia="Arial" w:hAnsi="Arial"/>
                <w:sz w:val="17"/>
                <w:szCs w:val="17"/>
                <w:b w:val="1"/>
                <w:bCs w:val="1"/>
                <w:color w:val="auto"/>
                <w:w w:val="94"/>
              </w:rPr>
              <w:t>At End</w:t>
            </w:r>
          </w:p>
        </w:tc>
      </w:tr>
      <w:tr>
        <w:trPr>
          <w:trHeight w:val="224"/>
        </w:trPr>
        <w:tc>
          <w:tcPr>
            <w:tcW w:w="3460" w:type="dxa"/>
            <w:vAlign w:val="bottom"/>
            <w:tcBorders>
              <w:bottom w:val="single" w:sz="8" w:color="auto"/>
            </w:tcBorders>
          </w:tcPr>
          <w:p>
            <w:pPr>
              <w:ind w:left="1540"/>
              <w:spacing w:after="0"/>
              <w:rPr>
                <w:sz w:val="20"/>
                <w:szCs w:val="20"/>
                <w:color w:val="auto"/>
              </w:rPr>
            </w:pPr>
            <w:r>
              <w:rPr>
                <w:rFonts w:ascii="Arial" w:cs="Arial" w:eastAsia="Arial" w:hAnsi="Arial"/>
                <w:sz w:val="17"/>
                <w:szCs w:val="17"/>
                <w:b w:val="1"/>
                <w:bCs w:val="1"/>
                <w:color w:val="auto"/>
              </w:rPr>
              <w:t>Description</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94"/>
              </w:rPr>
              <w:t>Of Period</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3"/>
              </w:rPr>
              <w:t>Expenses</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5"/>
              </w:rPr>
              <w:t>Accounts</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Deductions</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94"/>
              </w:rPr>
              <w:t>Of Period</w:t>
            </w:r>
          </w:p>
        </w:tc>
      </w:tr>
      <w:tr>
        <w:trPr>
          <w:trHeight w:val="212"/>
        </w:trPr>
        <w:tc>
          <w:tcPr>
            <w:tcW w:w="3460" w:type="dxa"/>
            <w:vAlign w:val="bottom"/>
          </w:tcPr>
          <w:p>
            <w:pPr>
              <w:ind w:left="20"/>
              <w:spacing w:after="0"/>
              <w:rPr>
                <w:sz w:val="20"/>
                <w:szCs w:val="20"/>
                <w:color w:val="auto"/>
              </w:rPr>
            </w:pPr>
            <w:r>
              <w:rPr>
                <w:rFonts w:ascii="Arial" w:cs="Arial" w:eastAsia="Arial" w:hAnsi="Arial"/>
                <w:sz w:val="17"/>
                <w:szCs w:val="17"/>
                <w:color w:val="auto"/>
              </w:rPr>
              <w:t>Year Ended December 31, 2021</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(millions)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3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Allowance for uncollectible accounts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19.3</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32.9</w:t>
            </w:r>
          </w:p>
        </w:tc>
      </w:tr>
      <w:tr>
        <w:trPr>
          <w:trHeight w:val="218"/>
        </w:trPr>
        <w:tc>
          <w:tcPr>
            <w:tcW w:w="3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Tax valuation allowance</w:t>
            </w:r>
          </w:p>
        </w:tc>
        <w:tc>
          <w:tcPr>
            <w:tcW w:w="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14.4</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12.8</w:t>
            </w:r>
          </w:p>
        </w:tc>
      </w:tr>
      <w:tr>
        <w:trPr>
          <w:trHeight w:val="21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2020</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8"/>
        </w:trPr>
        <w:tc>
          <w:tcPr>
            <w:tcW w:w="3460" w:type="dxa"/>
            <w:vAlign w:val="bottom"/>
          </w:tcPr>
          <w:p>
            <w:pPr>
              <w:ind w:left="220"/>
              <w:spacing w:after="0"/>
              <w:rPr>
                <w:sz w:val="20"/>
                <w:szCs w:val="20"/>
                <w:color w:val="auto"/>
              </w:rPr>
            </w:pPr>
            <w:r>
              <w:rPr>
                <w:rFonts w:ascii="Arial" w:cs="Arial" w:eastAsia="Arial" w:hAnsi="Arial"/>
                <w:sz w:val="17"/>
                <w:szCs w:val="17"/>
                <w:color w:val="auto"/>
              </w:rPr>
              <w:t>Allowance for uncollectible accounts</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214"/>
              <w:spacing w:after="0"/>
              <w:rPr>
                <w:sz w:val="20"/>
                <w:szCs w:val="20"/>
                <w:color w:val="auto"/>
              </w:rPr>
            </w:pPr>
            <w:r>
              <w:rPr>
                <w:rFonts w:ascii="Arial" w:cs="Arial" w:eastAsia="Arial" w:hAnsi="Arial"/>
                <w:sz w:val="17"/>
                <w:szCs w:val="17"/>
                <w:color w:val="auto"/>
              </w:rPr>
              <w:t>10.5</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24.9</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12.5</w:t>
            </w:r>
          </w:p>
        </w:tc>
        <w:tc>
          <w:tcPr>
            <w:tcW w:w="380" w:type="dxa"/>
            <w:vAlign w:val="bottom"/>
          </w:tcPr>
          <w:p>
            <w:pPr>
              <w:ind w:left="20"/>
              <w:spacing w:after="0"/>
              <w:rPr>
                <w:sz w:val="20"/>
                <w:szCs w:val="20"/>
                <w:color w:val="auto"/>
              </w:rPr>
            </w:pPr>
            <w:r>
              <w:rPr>
                <w:rFonts w:ascii="Arial" w:cs="Arial" w:eastAsia="Arial" w:hAnsi="Arial"/>
                <w:sz w:val="11"/>
                <w:szCs w:val="11"/>
                <w:color w:val="auto"/>
              </w:rPr>
              <w:t>(a)</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28.6</w:t>
            </w:r>
          </w:p>
        </w:tc>
        <w:tc>
          <w:tcPr>
            <w:tcW w:w="380" w:type="dxa"/>
            <w:vAlign w:val="bottom"/>
          </w:tcPr>
          <w:p>
            <w:pPr>
              <w:ind w:left="20"/>
              <w:spacing w:after="0"/>
              <w:rPr>
                <w:sz w:val="20"/>
                <w:szCs w:val="20"/>
                <w:color w:val="auto"/>
              </w:rPr>
            </w:pPr>
            <w:r>
              <w:rPr>
                <w:rFonts w:ascii="Arial" w:cs="Arial" w:eastAsia="Arial" w:hAnsi="Arial"/>
                <w:sz w:val="11"/>
                <w:szCs w:val="11"/>
                <w:color w:val="auto"/>
              </w:rPr>
              <w:t>(b)</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4"/>
              <w:spacing w:after="0"/>
              <w:rPr>
                <w:sz w:val="20"/>
                <w:szCs w:val="20"/>
                <w:color w:val="auto"/>
              </w:rPr>
            </w:pPr>
            <w:r>
              <w:rPr>
                <w:rFonts w:ascii="Arial" w:cs="Arial" w:eastAsia="Arial" w:hAnsi="Arial"/>
                <w:sz w:val="17"/>
                <w:szCs w:val="17"/>
                <w:color w:val="auto"/>
              </w:rPr>
              <w:t>19.3</w:t>
            </w:r>
          </w:p>
        </w:tc>
      </w:tr>
      <w:tr>
        <w:trPr>
          <w:trHeight w:val="232"/>
        </w:trPr>
        <w:tc>
          <w:tcPr>
            <w:tcW w:w="3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Tax valuation allowance</w:t>
            </w:r>
          </w:p>
        </w:tc>
        <w:tc>
          <w:tcPr>
            <w:tcW w:w="7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17.5</w:t>
            </w: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(c)</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14.4</w:t>
            </w:r>
          </w:p>
        </w:tc>
      </w:tr>
      <w:tr>
        <w:trPr>
          <w:trHeight w:val="212"/>
        </w:trPr>
        <w:tc>
          <w:tcPr>
            <w:tcW w:w="3460" w:type="dxa"/>
            <w:vAlign w:val="bottom"/>
          </w:tcPr>
          <w:p>
            <w:pPr>
              <w:ind w:left="20"/>
              <w:spacing w:after="0"/>
              <w:rPr>
                <w:sz w:val="20"/>
                <w:szCs w:val="20"/>
                <w:color w:val="auto"/>
              </w:rPr>
            </w:pPr>
            <w:r>
              <w:rPr>
                <w:rFonts w:ascii="Arial" w:cs="Arial" w:eastAsia="Arial" w:hAnsi="Arial"/>
                <w:sz w:val="17"/>
                <w:szCs w:val="17"/>
                <w:color w:val="auto"/>
              </w:rPr>
              <w:t>Year Ended December 31, 2019</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3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Allowance for uncollectible accounts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9.2</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10.5</w:t>
            </w:r>
          </w:p>
        </w:tc>
      </w:tr>
      <w:tr>
        <w:trPr>
          <w:trHeight w:val="225"/>
        </w:trPr>
        <w:tc>
          <w:tcPr>
            <w:tcW w:w="3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Tax valuation allowance</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27.3</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17.5</w:t>
            </w:r>
          </w:p>
        </w:tc>
      </w:tr>
    </w:tbl>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(a)</w:t>
      </w:r>
      <w:r>
        <w:rPr>
          <w:rFonts w:ascii="Arial" w:cs="Arial" w:eastAsia="Arial" w:hAnsi="Arial"/>
          <w:sz w:val="15"/>
          <w:szCs w:val="15"/>
          <w:color w:val="auto"/>
        </w:rPr>
        <w:t xml:space="preserve"> Recoveries.</w:t>
      </w:r>
    </w:p>
    <w:p>
      <w:pPr>
        <w:spacing w:after="0" w:line="188" w:lineRule="auto"/>
        <w:rPr>
          <w:sz w:val="20"/>
          <w:szCs w:val="20"/>
          <w:color w:val="auto"/>
        </w:rPr>
      </w:pPr>
      <w:r>
        <w:rPr>
          <w:rFonts w:ascii="Arial" w:cs="Arial" w:eastAsia="Arial" w:hAnsi="Arial"/>
          <w:sz w:val="20"/>
          <w:szCs w:val="20"/>
          <w:color w:val="auto"/>
          <w:vertAlign w:val="superscript"/>
        </w:rPr>
        <w:t>(b)</w:t>
      </w:r>
      <w:r>
        <w:rPr>
          <w:rFonts w:ascii="Arial" w:cs="Arial" w:eastAsia="Arial" w:hAnsi="Arial"/>
          <w:sz w:val="15"/>
          <w:szCs w:val="15"/>
          <w:color w:val="auto"/>
        </w:rPr>
        <w:t xml:space="preserve"> Uncollectible accounts charged off.</w:t>
      </w:r>
    </w:p>
    <w:p>
      <w:pPr>
        <w:spacing w:after="0"/>
        <w:rPr>
          <w:sz w:val="20"/>
          <w:szCs w:val="20"/>
          <w:color w:val="auto"/>
        </w:rPr>
      </w:pPr>
      <w:r>
        <w:rPr>
          <w:rFonts w:ascii="Arial" w:cs="Arial" w:eastAsia="Arial" w:hAnsi="Arial"/>
          <w:sz w:val="20"/>
          <w:szCs w:val="20"/>
          <w:color w:val="auto"/>
          <w:vertAlign w:val="superscript"/>
        </w:rPr>
        <w:t>(c)</w:t>
      </w:r>
      <w:r>
        <w:rPr>
          <w:rFonts w:ascii="Arial" w:cs="Arial" w:eastAsia="Arial" w:hAnsi="Arial"/>
          <w:sz w:val="15"/>
          <w:szCs w:val="15"/>
          <w:color w:val="auto"/>
        </w:rPr>
        <w:t xml:space="preserve"> Reversal of tax valuation allowance.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Evergy Kansas Central,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2021, 2020 and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Additions</w:t>
            </w:r>
          </w:p>
        </w:tc>
        <w:tc>
          <w:tcPr>
            <w:tcW w:w="7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07"/>
        </w:trPr>
        <w:tc>
          <w:tcPr>
            <w:tcW w:w="3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2"/>
              </w:rPr>
              <w:t>Charged</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380" w:type="dxa"/>
            <w:vAlign w:val="bottom"/>
          </w:tcPr>
          <w:p>
            <w:pPr>
              <w:spacing w:after="0"/>
              <w:rPr>
                <w:sz w:val="19"/>
                <w:szCs w:val="19"/>
                <w:color w:val="auto"/>
              </w:rPr>
            </w:pPr>
          </w:p>
        </w:tc>
        <w:tc>
          <w:tcPr>
            <w:tcW w:w="1760" w:type="dxa"/>
            <w:vAlign w:val="bottom"/>
            <w:gridSpan w:val="2"/>
          </w:tcPr>
          <w:p>
            <w:pPr>
              <w:jc w:val="right"/>
              <w:ind w:right="214"/>
              <w:spacing w:after="0"/>
              <w:rPr>
                <w:sz w:val="20"/>
                <w:szCs w:val="20"/>
                <w:color w:val="auto"/>
              </w:rPr>
            </w:pPr>
            <w:r>
              <w:rPr>
                <w:rFonts w:ascii="Arial" w:cs="Arial" w:eastAsia="Arial" w:hAnsi="Arial"/>
                <w:sz w:val="17"/>
                <w:szCs w:val="17"/>
                <w:b w:val="1"/>
                <w:bCs w:val="1"/>
                <w:color w:val="auto"/>
              </w:rPr>
              <w:t>Balance At</w:t>
            </w:r>
          </w:p>
        </w:tc>
        <w:tc>
          <w:tcPr>
            <w:tcW w:w="3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85"/>
              </w:rPr>
              <w:t>To Costs</w:t>
            </w:r>
          </w:p>
        </w:tc>
        <w:tc>
          <w:tcPr>
            <w:tcW w:w="8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2"/>
              </w:rPr>
              <w:t>Charged</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14"/>
              <w:spacing w:after="0"/>
              <w:rPr>
                <w:sz w:val="20"/>
                <w:szCs w:val="20"/>
                <w:color w:val="auto"/>
              </w:rPr>
            </w:pPr>
            <w:r>
              <w:rPr>
                <w:rFonts w:ascii="Arial" w:cs="Arial" w:eastAsia="Arial" w:hAnsi="Arial"/>
                <w:sz w:val="17"/>
                <w:szCs w:val="17"/>
                <w:b w:val="1"/>
                <w:bCs w:val="1"/>
                <w:color w:val="auto"/>
                <w:w w:val="88"/>
              </w:rPr>
              <w:t>Balance</w:t>
            </w:r>
          </w:p>
        </w:tc>
      </w:tr>
      <w:tr>
        <w:trPr>
          <w:trHeight w:val="219"/>
        </w:trPr>
        <w:tc>
          <w:tcPr>
            <w:tcW w:w="3380" w:type="dxa"/>
            <w:vAlign w:val="bottom"/>
          </w:tcPr>
          <w:p>
            <w:pPr>
              <w:spacing w:after="0"/>
              <w:rPr>
                <w:sz w:val="19"/>
                <w:szCs w:val="19"/>
                <w:color w:val="auto"/>
              </w:rPr>
            </w:pPr>
          </w:p>
        </w:tc>
        <w:tc>
          <w:tcPr>
            <w:tcW w:w="1760" w:type="dxa"/>
            <w:vAlign w:val="bottom"/>
            <w:gridSpan w:val="2"/>
          </w:tcPr>
          <w:p>
            <w:pPr>
              <w:jc w:val="right"/>
              <w:ind w:right="234"/>
              <w:spacing w:after="0"/>
              <w:rPr>
                <w:sz w:val="20"/>
                <w:szCs w:val="20"/>
                <w:color w:val="auto"/>
              </w:rPr>
            </w:pPr>
            <w:r>
              <w:rPr>
                <w:rFonts w:ascii="Arial" w:cs="Arial" w:eastAsia="Arial" w:hAnsi="Arial"/>
                <w:sz w:val="17"/>
                <w:szCs w:val="17"/>
                <w:b w:val="1"/>
                <w:bCs w:val="1"/>
                <w:color w:val="auto"/>
              </w:rPr>
              <w:t>Beginning</w:t>
            </w:r>
          </w:p>
        </w:tc>
        <w:tc>
          <w:tcPr>
            <w:tcW w:w="3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6"/>
              </w:rPr>
              <w:t>And</w:t>
            </w:r>
          </w:p>
        </w:tc>
        <w:tc>
          <w:tcPr>
            <w:tcW w:w="8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5"/>
              </w:rPr>
              <w:t>To Other</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Arial" w:cs="Arial" w:eastAsia="Arial" w:hAnsi="Arial"/>
                <w:sz w:val="17"/>
                <w:szCs w:val="17"/>
                <w:b w:val="1"/>
                <w:bCs w:val="1"/>
                <w:color w:val="auto"/>
                <w:w w:val="94"/>
              </w:rPr>
              <w:t>At End</w:t>
            </w:r>
          </w:p>
        </w:tc>
      </w:tr>
      <w:tr>
        <w:trPr>
          <w:trHeight w:val="224"/>
        </w:trPr>
        <w:tc>
          <w:tcPr>
            <w:tcW w:w="3380" w:type="dxa"/>
            <w:vAlign w:val="bottom"/>
            <w:tcBorders>
              <w:bottom w:val="single" w:sz="8" w:color="auto"/>
            </w:tcBorders>
          </w:tcPr>
          <w:p>
            <w:pPr>
              <w:ind w:left="1460"/>
              <w:spacing w:after="0"/>
              <w:rPr>
                <w:sz w:val="20"/>
                <w:szCs w:val="20"/>
                <w:color w:val="auto"/>
              </w:rPr>
            </w:pPr>
            <w:r>
              <w:rPr>
                <w:rFonts w:ascii="Arial" w:cs="Arial" w:eastAsia="Arial" w:hAnsi="Arial"/>
                <w:sz w:val="17"/>
                <w:szCs w:val="17"/>
                <w:b w:val="1"/>
                <w:bCs w:val="1"/>
                <w:color w:val="auto"/>
              </w:rPr>
              <w:t>Description</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91"/>
              </w:rPr>
              <w:t>Of Period</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Expenses</w:t>
            </w: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Accounts</w:t>
            </w: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Deductions</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94"/>
              </w:rPr>
              <w:t>Of Period</w:t>
            </w:r>
          </w:p>
        </w:tc>
      </w:tr>
      <w:tr>
        <w:trPr>
          <w:trHeight w:val="212"/>
        </w:trPr>
        <w:tc>
          <w:tcPr>
            <w:tcW w:w="3380" w:type="dxa"/>
            <w:vAlign w:val="bottom"/>
          </w:tcPr>
          <w:p>
            <w:pPr>
              <w:ind w:left="20"/>
              <w:spacing w:after="0"/>
              <w:rPr>
                <w:sz w:val="20"/>
                <w:szCs w:val="20"/>
                <w:color w:val="auto"/>
              </w:rPr>
            </w:pPr>
            <w:r>
              <w:rPr>
                <w:rFonts w:ascii="Arial" w:cs="Arial" w:eastAsia="Arial" w:hAnsi="Arial"/>
                <w:sz w:val="17"/>
                <w:szCs w:val="17"/>
                <w:color w:val="auto"/>
              </w:rPr>
              <w:t>Year Ended December 31, 2021</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99"/>
              </w:rPr>
              <w:t>(millions)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Allowance for uncollectible accounts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7.5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13.0</w:t>
            </w:r>
          </w:p>
        </w:tc>
      </w:tr>
      <w:tr>
        <w:trPr>
          <w:trHeight w:val="212"/>
        </w:trPr>
        <w:tc>
          <w:tcPr>
            <w:tcW w:w="3380" w:type="dxa"/>
            <w:vAlign w:val="bottom"/>
          </w:tcPr>
          <w:p>
            <w:pPr>
              <w:ind w:left="20"/>
              <w:spacing w:after="0"/>
              <w:rPr>
                <w:sz w:val="20"/>
                <w:szCs w:val="20"/>
                <w:color w:val="auto"/>
              </w:rPr>
            </w:pPr>
            <w:r>
              <w:rPr>
                <w:rFonts w:ascii="Arial" w:cs="Arial" w:eastAsia="Arial" w:hAnsi="Arial"/>
                <w:sz w:val="17"/>
                <w:szCs w:val="17"/>
                <w:color w:val="auto"/>
              </w:rPr>
              <w:t>Year Ended December 31, 2020</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Allowance for uncollectible accounts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3.8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7.5</w:t>
            </w:r>
          </w:p>
        </w:tc>
      </w:tr>
      <w:tr>
        <w:trPr>
          <w:trHeight w:val="212"/>
        </w:trPr>
        <w:tc>
          <w:tcPr>
            <w:tcW w:w="3380" w:type="dxa"/>
            <w:vAlign w:val="bottom"/>
          </w:tcPr>
          <w:p>
            <w:pPr>
              <w:ind w:left="20"/>
              <w:spacing w:after="0"/>
              <w:rPr>
                <w:sz w:val="20"/>
                <w:szCs w:val="20"/>
                <w:color w:val="auto"/>
              </w:rPr>
            </w:pPr>
            <w:r>
              <w:rPr>
                <w:rFonts w:ascii="Arial" w:cs="Arial" w:eastAsia="Arial" w:hAnsi="Arial"/>
                <w:sz w:val="17"/>
                <w:szCs w:val="17"/>
                <w:color w:val="auto"/>
              </w:rPr>
              <w:t>Year Ended December 31, 2019</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3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Allowance for uncollectible accounts</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3.9</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400" w:type="dxa"/>
            <w:vAlign w:val="bottom"/>
            <w:shd w:val="clear" w:color="auto" w:fill="CCEEFF"/>
          </w:tcPr>
          <w:p>
            <w:pPr>
              <w:ind w:left="40"/>
              <w:spacing w:after="0"/>
              <w:rPr>
                <w:sz w:val="20"/>
                <w:szCs w:val="20"/>
                <w:color w:val="auto"/>
              </w:rPr>
            </w:pPr>
            <w:r>
              <w:rPr>
                <w:rFonts w:ascii="Arial" w:cs="Arial" w:eastAsia="Arial" w:hAnsi="Arial"/>
                <w:sz w:val="11"/>
                <w:szCs w:val="11"/>
                <w:color w:val="auto"/>
              </w:rPr>
              <w:t>(a)</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3.8</w:t>
            </w:r>
          </w:p>
        </w:tc>
      </w:tr>
      <w:tr>
        <w:trPr>
          <w:trHeight w:val="238"/>
        </w:trPr>
        <w:tc>
          <w:tcPr>
            <w:tcW w:w="33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Tax valuation allowance</w:t>
            </w: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1.7</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r>
    </w:tbl>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(a)</w:t>
      </w:r>
      <w:r>
        <w:rPr>
          <w:rFonts w:ascii="Arial" w:cs="Arial" w:eastAsia="Arial" w:hAnsi="Arial"/>
          <w:sz w:val="15"/>
          <w:szCs w:val="15"/>
          <w:color w:val="auto"/>
        </w:rPr>
        <w:t xml:space="preserve"> Recoveries.</w:t>
      </w:r>
    </w:p>
    <w:p>
      <w:pPr>
        <w:spacing w:after="0" w:line="188" w:lineRule="auto"/>
        <w:rPr>
          <w:sz w:val="20"/>
          <w:szCs w:val="20"/>
          <w:color w:val="auto"/>
        </w:rPr>
      </w:pPr>
      <w:r>
        <w:rPr>
          <w:rFonts w:ascii="Arial" w:cs="Arial" w:eastAsia="Arial" w:hAnsi="Arial"/>
          <w:sz w:val="20"/>
          <w:szCs w:val="20"/>
          <w:color w:val="auto"/>
          <w:vertAlign w:val="superscript"/>
        </w:rPr>
        <w:t>(b)</w:t>
      </w:r>
      <w:r>
        <w:rPr>
          <w:rFonts w:ascii="Arial" w:cs="Arial" w:eastAsia="Arial" w:hAnsi="Arial"/>
          <w:sz w:val="15"/>
          <w:szCs w:val="15"/>
          <w:color w:val="auto"/>
        </w:rPr>
        <w:t xml:space="preserve"> Uncollectible accounts charged off.</w:t>
      </w:r>
    </w:p>
    <w:p>
      <w:pPr>
        <w:spacing w:after="0"/>
        <w:rPr>
          <w:sz w:val="20"/>
          <w:szCs w:val="20"/>
          <w:color w:val="auto"/>
        </w:rPr>
      </w:pPr>
      <w:r>
        <w:rPr>
          <w:rFonts w:ascii="Arial" w:cs="Arial" w:eastAsia="Arial" w:hAnsi="Arial"/>
          <w:sz w:val="20"/>
          <w:szCs w:val="20"/>
          <w:color w:val="auto"/>
          <w:vertAlign w:val="superscript"/>
        </w:rPr>
        <w:t>(c)</w:t>
      </w:r>
      <w:r>
        <w:rPr>
          <w:rFonts w:ascii="Arial" w:cs="Arial" w:eastAsia="Arial" w:hAnsi="Arial"/>
          <w:sz w:val="15"/>
          <w:szCs w:val="15"/>
          <w:color w:val="auto"/>
        </w:rPr>
        <w:t xml:space="preserve"> Reversal of tax valuation allowance.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4" w:name="page185"/>
    <w:bookmarkEnd w:id="184"/>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Evergy Metro,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2021, 2020 and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Additions</w:t>
            </w:r>
          </w:p>
        </w:tc>
        <w:tc>
          <w:tcPr>
            <w:tcW w:w="7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07"/>
        </w:trPr>
        <w:tc>
          <w:tcPr>
            <w:tcW w:w="3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2"/>
              </w:rPr>
              <w:t>Charged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460" w:type="dxa"/>
            <w:vAlign w:val="bottom"/>
          </w:tcPr>
          <w:p>
            <w:pPr>
              <w:spacing w:after="0"/>
              <w:rPr>
                <w:sz w:val="19"/>
                <w:szCs w:val="19"/>
                <w:color w:val="auto"/>
              </w:rPr>
            </w:pPr>
          </w:p>
        </w:tc>
        <w:tc>
          <w:tcPr>
            <w:tcW w:w="1860" w:type="dxa"/>
            <w:vAlign w:val="bottom"/>
            <w:gridSpan w:val="2"/>
          </w:tcPr>
          <w:p>
            <w:pPr>
              <w:jc w:val="center"/>
              <w:ind w:left="354"/>
              <w:spacing w:after="0"/>
              <w:rPr>
                <w:sz w:val="20"/>
                <w:szCs w:val="20"/>
                <w:color w:val="auto"/>
              </w:rPr>
            </w:pPr>
            <w:r>
              <w:rPr>
                <w:rFonts w:ascii="Arial" w:cs="Arial" w:eastAsia="Arial" w:hAnsi="Arial"/>
                <w:sz w:val="17"/>
                <w:szCs w:val="17"/>
                <w:b w:val="1"/>
                <w:bCs w:val="1"/>
                <w:color w:val="auto"/>
                <w:w w:val="93"/>
              </w:rPr>
              <w:t>Balance At</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5"/>
              </w:rPr>
              <w:t>To Costs</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w w:val="92"/>
              </w:rPr>
              <w:t>Charged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14"/>
              <w:spacing w:after="0"/>
              <w:rPr>
                <w:sz w:val="20"/>
                <w:szCs w:val="20"/>
                <w:color w:val="auto"/>
              </w:rPr>
            </w:pPr>
            <w:r>
              <w:rPr>
                <w:rFonts w:ascii="Arial" w:cs="Arial" w:eastAsia="Arial" w:hAnsi="Arial"/>
                <w:sz w:val="17"/>
                <w:szCs w:val="17"/>
                <w:b w:val="1"/>
                <w:bCs w:val="1"/>
                <w:color w:val="auto"/>
                <w:w w:val="88"/>
              </w:rPr>
              <w:t>Balance</w:t>
            </w:r>
          </w:p>
        </w:tc>
      </w:tr>
      <w:tr>
        <w:trPr>
          <w:trHeight w:val="219"/>
        </w:trPr>
        <w:tc>
          <w:tcPr>
            <w:tcW w:w="3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Arial" w:cs="Arial" w:eastAsia="Arial" w:hAnsi="Arial"/>
                <w:sz w:val="17"/>
                <w:szCs w:val="17"/>
                <w:b w:val="1"/>
                <w:bCs w:val="1"/>
                <w:color w:val="auto"/>
                <w:w w:val="88"/>
              </w:rPr>
              <w:t>Beginning</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0"/>
              </w:rPr>
              <w:t>And</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w w:val="93"/>
              </w:rPr>
              <w:t>To Other</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Arial" w:cs="Arial" w:eastAsia="Arial" w:hAnsi="Arial"/>
                <w:sz w:val="17"/>
                <w:szCs w:val="17"/>
                <w:b w:val="1"/>
                <w:bCs w:val="1"/>
                <w:color w:val="auto"/>
                <w:w w:val="94"/>
              </w:rPr>
              <w:t>At End</w:t>
            </w:r>
          </w:p>
        </w:tc>
      </w:tr>
      <w:tr>
        <w:trPr>
          <w:trHeight w:val="224"/>
        </w:trPr>
        <w:tc>
          <w:tcPr>
            <w:tcW w:w="3460" w:type="dxa"/>
            <w:vAlign w:val="bottom"/>
            <w:tcBorders>
              <w:bottom w:val="single" w:sz="8" w:color="auto"/>
            </w:tcBorders>
          </w:tcPr>
          <w:p>
            <w:pPr>
              <w:ind w:left="1540"/>
              <w:spacing w:after="0"/>
              <w:rPr>
                <w:sz w:val="20"/>
                <w:szCs w:val="20"/>
                <w:color w:val="auto"/>
              </w:rPr>
            </w:pPr>
            <w:r>
              <w:rPr>
                <w:rFonts w:ascii="Arial" w:cs="Arial" w:eastAsia="Arial" w:hAnsi="Arial"/>
                <w:sz w:val="17"/>
                <w:szCs w:val="17"/>
                <w:b w:val="1"/>
                <w:bCs w:val="1"/>
                <w:color w:val="auto"/>
              </w:rPr>
              <w:t>Description</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94"/>
              </w:rPr>
              <w:t>Of Period</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3"/>
              </w:rPr>
              <w:t>Expenses</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5"/>
              </w:rPr>
              <w:t>Accounts</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Deductions</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94"/>
              </w:rPr>
              <w:t>Of Period</w:t>
            </w:r>
          </w:p>
        </w:tc>
      </w:tr>
      <w:tr>
        <w:trPr>
          <w:trHeight w:val="212"/>
        </w:trPr>
        <w:tc>
          <w:tcPr>
            <w:tcW w:w="3460" w:type="dxa"/>
            <w:vAlign w:val="bottom"/>
          </w:tcPr>
          <w:p>
            <w:pPr>
              <w:ind w:left="20"/>
              <w:spacing w:after="0"/>
              <w:rPr>
                <w:sz w:val="20"/>
                <w:szCs w:val="20"/>
                <w:color w:val="auto"/>
              </w:rPr>
            </w:pPr>
            <w:r>
              <w:rPr>
                <w:rFonts w:ascii="Arial" w:cs="Arial" w:eastAsia="Arial" w:hAnsi="Arial"/>
                <w:sz w:val="17"/>
                <w:szCs w:val="17"/>
                <w:color w:val="auto"/>
              </w:rPr>
              <w:t>Year Ended December 31, 2021</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(millions)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Allowance for uncollectible accounts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8.1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13.3</w:t>
            </w:r>
          </w:p>
        </w:tc>
      </w:tr>
      <w:tr>
        <w:trPr>
          <w:trHeight w:val="212"/>
        </w:trPr>
        <w:tc>
          <w:tcPr>
            <w:tcW w:w="3460" w:type="dxa"/>
            <w:vAlign w:val="bottom"/>
          </w:tcPr>
          <w:p>
            <w:pPr>
              <w:ind w:left="20"/>
              <w:spacing w:after="0"/>
              <w:rPr>
                <w:sz w:val="20"/>
                <w:szCs w:val="20"/>
                <w:color w:val="auto"/>
              </w:rPr>
            </w:pPr>
            <w:r>
              <w:rPr>
                <w:rFonts w:ascii="Arial" w:cs="Arial" w:eastAsia="Arial" w:hAnsi="Arial"/>
                <w:sz w:val="17"/>
                <w:szCs w:val="17"/>
                <w:color w:val="auto"/>
              </w:rPr>
              <w:t>Year Ended December 31, 2020</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Allowance for uncollectible accounts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4.6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8.1</w:t>
            </w:r>
          </w:p>
        </w:tc>
      </w:tr>
      <w:tr>
        <w:trPr>
          <w:trHeight w:val="212"/>
        </w:trPr>
        <w:tc>
          <w:tcPr>
            <w:tcW w:w="3460" w:type="dxa"/>
            <w:vAlign w:val="bottom"/>
          </w:tcPr>
          <w:p>
            <w:pPr>
              <w:ind w:left="20"/>
              <w:spacing w:after="0"/>
              <w:rPr>
                <w:sz w:val="20"/>
                <w:szCs w:val="20"/>
                <w:color w:val="auto"/>
              </w:rPr>
            </w:pPr>
            <w:r>
              <w:rPr>
                <w:rFonts w:ascii="Arial" w:cs="Arial" w:eastAsia="Arial" w:hAnsi="Arial"/>
                <w:sz w:val="17"/>
                <w:szCs w:val="17"/>
                <w:color w:val="auto"/>
              </w:rPr>
              <w:t>Year Ended December 31, 2019</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6"/>
        </w:trPr>
        <w:tc>
          <w:tcPr>
            <w:tcW w:w="3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Allowance for uncollectible accounts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3.8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4.6</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(a)</w:t>
      </w:r>
      <w:r>
        <w:rPr>
          <w:rFonts w:ascii="Arial" w:cs="Arial" w:eastAsia="Arial" w:hAnsi="Arial"/>
          <w:sz w:val="15"/>
          <w:szCs w:val="15"/>
          <w:color w:val="auto"/>
        </w:rPr>
        <w:t xml:space="preserve"> Recoveries.</w:t>
      </w:r>
    </w:p>
    <w:p>
      <w:pPr>
        <w:spacing w:after="0"/>
        <w:rPr>
          <w:sz w:val="20"/>
          <w:szCs w:val="20"/>
          <w:color w:val="auto"/>
        </w:rPr>
      </w:pPr>
      <w:r>
        <w:rPr>
          <w:rFonts w:ascii="Arial" w:cs="Arial" w:eastAsia="Arial" w:hAnsi="Arial"/>
          <w:sz w:val="20"/>
          <w:szCs w:val="20"/>
          <w:color w:val="auto"/>
          <w:vertAlign w:val="superscript"/>
        </w:rPr>
        <w:t>(b)</w:t>
      </w:r>
      <w:r>
        <w:rPr>
          <w:rFonts w:ascii="Arial" w:cs="Arial" w:eastAsia="Arial" w:hAnsi="Arial"/>
          <w:sz w:val="15"/>
          <w:szCs w:val="15"/>
          <w:color w:val="auto"/>
        </w:rPr>
        <w:t xml:space="preserve"> Uncollectible accounts charged off.</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5" w:name="page186"/>
    <w:bookmarkEnd w:id="185"/>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SIGNATURES</w:t>
      </w: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3280" w:type="dxa"/>
            <w:vAlign w:val="bottom"/>
          </w:tcPr>
          <w:p>
            <w:pPr>
              <w:spacing w:after="0"/>
              <w:rPr>
                <w:sz w:val="20"/>
                <w:szCs w:val="20"/>
                <w:color w:val="auto"/>
              </w:rPr>
            </w:pPr>
          </w:p>
        </w:tc>
        <w:tc>
          <w:tcPr>
            <w:tcW w:w="4340" w:type="dxa"/>
            <w:vAlign w:val="bottom"/>
            <w:gridSpan w:val="3"/>
          </w:tcPr>
          <w:p>
            <w:pPr>
              <w:ind w:left="1460"/>
              <w:spacing w:after="0"/>
              <w:rPr>
                <w:sz w:val="20"/>
                <w:szCs w:val="20"/>
                <w:color w:val="auto"/>
              </w:rPr>
            </w:pPr>
            <w:r>
              <w:rPr>
                <w:rFonts w:ascii="Arial" w:cs="Arial" w:eastAsia="Arial" w:hAnsi="Arial"/>
                <w:sz w:val="19"/>
                <w:szCs w:val="19"/>
                <w:color w:val="auto"/>
              </w:rPr>
              <w:t>EVERGY, INC.</w:t>
            </w:r>
          </w:p>
        </w:tc>
      </w:tr>
      <w:tr>
        <w:trPr>
          <w:trHeight w:val="447"/>
        </w:trPr>
        <w:tc>
          <w:tcPr>
            <w:tcW w:w="3280" w:type="dxa"/>
            <w:vAlign w:val="bottom"/>
          </w:tcPr>
          <w:p>
            <w:pPr>
              <w:spacing w:after="0"/>
              <w:rPr>
                <w:sz w:val="20"/>
                <w:szCs w:val="20"/>
                <w:color w:val="auto"/>
              </w:rPr>
            </w:pPr>
            <w:r>
              <w:rPr>
                <w:rFonts w:ascii="Arial" w:cs="Arial" w:eastAsia="Arial" w:hAnsi="Arial"/>
                <w:sz w:val="19"/>
                <w:szCs w:val="19"/>
                <w:color w:val="auto"/>
              </w:rPr>
              <w:t>Date: February 24, 2022</w:t>
            </w:r>
          </w:p>
        </w:tc>
        <w:tc>
          <w:tcPr>
            <w:tcW w:w="4340" w:type="dxa"/>
            <w:vAlign w:val="bottom"/>
            <w:gridSpan w:val="3"/>
          </w:tcPr>
          <w:p>
            <w:pPr>
              <w:ind w:left="1460"/>
              <w:spacing w:after="0"/>
              <w:rPr>
                <w:sz w:val="20"/>
                <w:szCs w:val="20"/>
                <w:color w:val="auto"/>
              </w:rPr>
            </w:pPr>
            <w:r>
              <w:rPr>
                <w:rFonts w:ascii="Arial" w:cs="Arial" w:eastAsia="Arial" w:hAnsi="Arial"/>
                <w:sz w:val="19"/>
                <w:szCs w:val="19"/>
                <w:color w:val="auto"/>
              </w:rPr>
              <w:t>By: /s/ David Campbell</w:t>
            </w: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7"/>
        </w:trPr>
        <w:tc>
          <w:tcPr>
            <w:tcW w:w="3280" w:type="dxa"/>
            <w:vAlign w:val="bottom"/>
          </w:tcPr>
          <w:p>
            <w:pPr>
              <w:spacing w:after="0"/>
              <w:rPr>
                <w:sz w:val="21"/>
                <w:szCs w:val="21"/>
                <w:color w:val="auto"/>
              </w:rPr>
            </w:pPr>
          </w:p>
        </w:tc>
        <w:tc>
          <w:tcPr>
            <w:tcW w:w="4340" w:type="dxa"/>
            <w:vAlign w:val="bottom"/>
            <w:gridSpan w:val="3"/>
          </w:tcPr>
          <w:p>
            <w:pPr>
              <w:ind w:left="1460"/>
              <w:spacing w:after="0"/>
              <w:rPr>
                <w:sz w:val="20"/>
                <w:szCs w:val="20"/>
                <w:color w:val="auto"/>
              </w:rPr>
            </w:pPr>
            <w:r>
              <w:rPr>
                <w:rFonts w:ascii="Arial" w:cs="Arial" w:eastAsia="Arial" w:hAnsi="Arial"/>
                <w:sz w:val="19"/>
                <w:szCs w:val="19"/>
                <w:color w:val="auto"/>
              </w:rPr>
              <w:t>David Campbell</w:t>
            </w:r>
          </w:p>
        </w:tc>
      </w:tr>
      <w:tr>
        <w:trPr>
          <w:trHeight w:val="240"/>
        </w:trPr>
        <w:tc>
          <w:tcPr>
            <w:tcW w:w="3280" w:type="dxa"/>
            <w:vAlign w:val="bottom"/>
          </w:tcPr>
          <w:p>
            <w:pPr>
              <w:spacing w:after="0"/>
              <w:rPr>
                <w:sz w:val="20"/>
                <w:szCs w:val="20"/>
                <w:color w:val="auto"/>
              </w:rPr>
            </w:pPr>
          </w:p>
        </w:tc>
        <w:tc>
          <w:tcPr>
            <w:tcW w:w="4340" w:type="dxa"/>
            <w:vAlign w:val="bottom"/>
            <w:gridSpan w:val="3"/>
          </w:tcPr>
          <w:p>
            <w:pPr>
              <w:ind w:left="1460"/>
              <w:spacing w:after="0"/>
              <w:rPr>
                <w:sz w:val="20"/>
                <w:szCs w:val="20"/>
                <w:color w:val="auto"/>
              </w:rPr>
            </w:pPr>
            <w:r>
              <w:rPr>
                <w:rFonts w:ascii="Arial" w:cs="Arial" w:eastAsia="Arial" w:hAnsi="Arial"/>
                <w:sz w:val="19"/>
                <w:szCs w:val="19"/>
                <w:color w:val="auto"/>
                <w:w w:val="90"/>
              </w:rPr>
              <w:t>President and Chief Executive Officer</w:t>
            </w:r>
          </w:p>
        </w:tc>
      </w:tr>
    </w:tbl>
    <w:p>
      <w:pPr>
        <w:spacing w:after="0" w:line="301"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Pursuant to the requirements of the Securities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79"/>
              </w:rPr>
              <w:t>Signature</w:t>
            </w:r>
          </w:p>
        </w:tc>
        <w:tc>
          <w:tcPr>
            <w:tcW w:w="6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Arial" w:cs="Arial" w:eastAsia="Arial" w:hAnsi="Arial"/>
                <w:sz w:val="17"/>
                <w:szCs w:val="17"/>
                <w:color w:val="auto"/>
              </w:rPr>
              <w:t>Title</w:t>
            </w:r>
          </w:p>
        </w:tc>
        <w:tc>
          <w:tcPr>
            <w:tcW w:w="206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Arial" w:cs="Arial" w:eastAsia="Arial" w:hAnsi="Arial"/>
                <w:sz w:val="17"/>
                <w:szCs w:val="17"/>
                <w:color w:val="auto"/>
              </w:rPr>
              <w:t>Date</w:t>
            </w: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/s/ David Campbell</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 President and Chief Executive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62"/>
        </w:trPr>
        <w:tc>
          <w:tcPr>
            <w:tcW w:w="40" w:type="dxa"/>
            <w:vAlign w:val="bottom"/>
          </w:tcPr>
          <w:p>
            <w:pPr>
              <w:spacing w:after="0"/>
              <w:rPr>
                <w:sz w:val="22"/>
                <w:szCs w:val="22"/>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David Campbell</w:t>
            </w:r>
          </w:p>
        </w:tc>
        <w:tc>
          <w:tcPr>
            <w:tcW w:w="1260" w:type="dxa"/>
            <w:vAlign w:val="bottom"/>
            <w:gridSpan w:val="3"/>
          </w:tcPr>
          <w:p>
            <w:pPr>
              <w:spacing w:after="0"/>
              <w:rPr>
                <w:sz w:val="22"/>
                <w:szCs w:val="22"/>
                <w:color w:val="auto"/>
              </w:rPr>
            </w:pP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(Principal Executive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2"/>
        </w:trPr>
        <w:tc>
          <w:tcPr>
            <w:tcW w:w="40" w:type="dxa"/>
            <w:vAlign w:val="bottom"/>
          </w:tcPr>
          <w:p>
            <w:pPr>
              <w:spacing w:after="0"/>
              <w:rPr>
                <w:sz w:val="23"/>
                <w:szCs w:val="23"/>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4"/>
              </w:rPr>
              <w:t>/s/ Kirkland B. Andrews</w:t>
            </w:r>
          </w:p>
        </w:tc>
        <w:tc>
          <w:tcPr>
            <w:tcW w:w="920" w:type="dxa"/>
            <w:vAlign w:val="bottom"/>
            <w:gridSpan w:val="2"/>
          </w:tcPr>
          <w:p>
            <w:pPr>
              <w:spacing w:after="0"/>
              <w:rPr>
                <w:sz w:val="23"/>
                <w:szCs w:val="23"/>
                <w:color w:val="auto"/>
              </w:rPr>
            </w:pP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Executive Vice President and Chief Financial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2"/>
        </w:trPr>
        <w:tc>
          <w:tcPr>
            <w:tcW w:w="4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Kirkland B. Andrews</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(Principal Financial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8"/>
        </w:trPr>
        <w:tc>
          <w:tcPr>
            <w:tcW w:w="40" w:type="dxa"/>
            <w:vAlign w:val="bottom"/>
          </w:tcPr>
          <w:p>
            <w:pPr>
              <w:spacing w:after="0"/>
              <w:rPr>
                <w:sz w:val="18"/>
                <w:szCs w:val="18"/>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4"/>
              </w:rPr>
              <w:t>/s/ Steven P. Busser</w:t>
            </w:r>
          </w:p>
        </w:tc>
        <w:tc>
          <w:tcPr>
            <w:tcW w:w="1260" w:type="dxa"/>
            <w:vAlign w:val="bottom"/>
            <w:gridSpan w:val="3"/>
          </w:tcPr>
          <w:p>
            <w:pPr>
              <w:spacing w:after="0"/>
              <w:rPr>
                <w:sz w:val="18"/>
                <w:szCs w:val="18"/>
                <w:color w:val="auto"/>
              </w:rPr>
            </w:pP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Vice President and Chief Accounting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Steven P. Busser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(Principal Accounting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Mark A. Ruelle*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Chair of the Board of Directors</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Mollie Hale Carter*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Thomas D. Hyde*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7"/>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B. Anthony Isaac*</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580" w:type="dxa"/>
            <w:vAlign w:val="bottom"/>
            <w:gridSpan w:val="3"/>
          </w:tcPr>
          <w:p>
            <w:pPr>
              <w:ind w:left="1080"/>
              <w:spacing w:after="0"/>
              <w:rPr>
                <w:sz w:val="20"/>
                <w:szCs w:val="20"/>
                <w:color w:val="auto"/>
              </w:rPr>
            </w:pPr>
            <w:r>
              <w:rPr>
                <w:rFonts w:ascii="Arial" w:cs="Arial" w:eastAsia="Arial" w:hAnsi="Arial"/>
                <w:sz w:val="17"/>
                <w:szCs w:val="17"/>
                <w:color w:val="auto"/>
                <w:w w:val="96"/>
              </w:rPr>
              <w:t>)  February 24, 2022</w:t>
            </w: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Paul M. Keglevic*</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Mary L. Landrieu*</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87"/>
        </w:trPr>
        <w:tc>
          <w:tcPr>
            <w:tcW w:w="4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Sandra A.J. Lawrence*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Ann D. Murtlow*</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Sandra J. Price*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S. Carl Soderstrom Jr.*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John Arthur Stall*</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C. John Wilder*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466"/>
        </w:trPr>
        <w:tc>
          <w:tcPr>
            <w:tcW w:w="2640" w:type="dxa"/>
            <w:vAlign w:val="bottom"/>
            <w:gridSpan w:val="6"/>
          </w:tcPr>
          <w:p>
            <w:pPr>
              <w:jc w:val="right"/>
              <w:ind w:right="660"/>
              <w:spacing w:after="0"/>
              <w:rPr>
                <w:sz w:val="20"/>
                <w:szCs w:val="20"/>
                <w:color w:val="auto"/>
              </w:rPr>
            </w:pPr>
            <w:r>
              <w:rPr>
                <w:rFonts w:ascii="Arial" w:cs="Arial" w:eastAsia="Arial" w:hAnsi="Arial"/>
                <w:sz w:val="19"/>
                <w:szCs w:val="19"/>
                <w:color w:val="auto"/>
                <w:w w:val="98"/>
              </w:rPr>
              <w:t>*By  /s/ David Campbell</w:t>
            </w: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40" w:type="dxa"/>
            <w:vAlign w:val="bottom"/>
          </w:tcPr>
          <w:p>
            <w:pPr>
              <w:spacing w:after="0"/>
              <w:rPr>
                <w:sz w:val="19"/>
                <w:szCs w:val="19"/>
                <w:color w:val="auto"/>
              </w:rPr>
            </w:pPr>
          </w:p>
        </w:tc>
        <w:tc>
          <w:tcPr>
            <w:tcW w:w="2600" w:type="dxa"/>
            <w:vAlign w:val="bottom"/>
            <w:gridSpan w:val="5"/>
          </w:tcPr>
          <w:p>
            <w:pPr>
              <w:ind w:left="160"/>
              <w:spacing w:after="0"/>
              <w:rPr>
                <w:sz w:val="20"/>
                <w:szCs w:val="20"/>
                <w:color w:val="auto"/>
              </w:rPr>
            </w:pPr>
            <w:r>
              <w:rPr>
                <w:rFonts w:ascii="Arial" w:cs="Arial" w:eastAsia="Arial" w:hAnsi="Arial"/>
                <w:sz w:val="19"/>
                <w:szCs w:val="19"/>
                <w:color w:val="auto"/>
              </w:rPr>
              <w:t>David Campbell</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0"/>
        </w:trPr>
        <w:tc>
          <w:tcPr>
            <w:tcW w:w="40" w:type="dxa"/>
            <w:vAlign w:val="bottom"/>
          </w:tcPr>
          <w:p>
            <w:pPr>
              <w:spacing w:after="0"/>
              <w:rPr>
                <w:sz w:val="20"/>
                <w:szCs w:val="20"/>
                <w:color w:val="auto"/>
              </w:rPr>
            </w:pPr>
          </w:p>
        </w:tc>
        <w:tc>
          <w:tcPr>
            <w:tcW w:w="2600" w:type="dxa"/>
            <w:vAlign w:val="bottom"/>
            <w:gridSpan w:val="5"/>
          </w:tcPr>
          <w:p>
            <w:pPr>
              <w:ind w:left="140"/>
              <w:spacing w:after="0"/>
              <w:rPr>
                <w:sz w:val="20"/>
                <w:szCs w:val="20"/>
                <w:color w:val="auto"/>
              </w:rPr>
            </w:pPr>
            <w:r>
              <w:rPr>
                <w:rFonts w:ascii="Arial" w:cs="Arial" w:eastAsia="Arial" w:hAnsi="Arial"/>
                <w:sz w:val="19"/>
                <w:szCs w:val="19"/>
                <w:color w:val="auto"/>
              </w:rPr>
              <w:t>Attorney-in-Fact*</w:t>
            </w:r>
          </w:p>
        </w:tc>
        <w:tc>
          <w:tcPr>
            <w:tcW w:w="3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020"/>
          </w:cols>
          <w:pgMar w:left="320" w:top="124" w:right="5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24" w:right="559" w:bottom="1440" w:gutter="0" w:footer="0" w:header="0"/>
          <w:type w:val="continuous"/>
        </w:sectPr>
      </w:pPr>
    </w:p>
    <w:bookmarkStart w:id="186" w:name="page187"/>
    <w:bookmarkEnd w:id="186"/>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SIGNATURES</w:t>
      </w: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3280" w:type="dxa"/>
            <w:vAlign w:val="bottom"/>
          </w:tcPr>
          <w:p>
            <w:pPr>
              <w:spacing w:after="0"/>
              <w:rPr>
                <w:sz w:val="20"/>
                <w:szCs w:val="20"/>
                <w:color w:val="auto"/>
              </w:rPr>
            </w:pPr>
          </w:p>
        </w:tc>
        <w:tc>
          <w:tcPr>
            <w:tcW w:w="4400" w:type="dxa"/>
            <w:vAlign w:val="bottom"/>
            <w:gridSpan w:val="3"/>
          </w:tcPr>
          <w:p>
            <w:pPr>
              <w:ind w:left="1460"/>
              <w:spacing w:after="0"/>
              <w:rPr>
                <w:sz w:val="20"/>
                <w:szCs w:val="20"/>
                <w:color w:val="auto"/>
              </w:rPr>
            </w:pPr>
            <w:r>
              <w:rPr>
                <w:rFonts w:ascii="Arial" w:cs="Arial" w:eastAsia="Arial" w:hAnsi="Arial"/>
                <w:sz w:val="19"/>
                <w:szCs w:val="19"/>
                <w:color w:val="auto"/>
                <w:w w:val="96"/>
              </w:rPr>
              <w:t>EVERGY KANSAS CENTRAL, INC.</w:t>
            </w:r>
          </w:p>
        </w:tc>
      </w:tr>
      <w:tr>
        <w:trPr>
          <w:trHeight w:val="447"/>
        </w:trPr>
        <w:tc>
          <w:tcPr>
            <w:tcW w:w="3280" w:type="dxa"/>
            <w:vAlign w:val="bottom"/>
          </w:tcPr>
          <w:p>
            <w:pPr>
              <w:spacing w:after="0"/>
              <w:rPr>
                <w:sz w:val="20"/>
                <w:szCs w:val="20"/>
                <w:color w:val="auto"/>
              </w:rPr>
            </w:pPr>
            <w:r>
              <w:rPr>
                <w:rFonts w:ascii="Arial" w:cs="Arial" w:eastAsia="Arial" w:hAnsi="Arial"/>
                <w:sz w:val="19"/>
                <w:szCs w:val="19"/>
                <w:color w:val="auto"/>
              </w:rPr>
              <w:t>Date: February 24, 2022</w:t>
            </w:r>
          </w:p>
        </w:tc>
        <w:tc>
          <w:tcPr>
            <w:tcW w:w="4400" w:type="dxa"/>
            <w:vAlign w:val="bottom"/>
            <w:gridSpan w:val="3"/>
          </w:tcPr>
          <w:p>
            <w:pPr>
              <w:ind w:left="1460"/>
              <w:spacing w:after="0"/>
              <w:rPr>
                <w:sz w:val="20"/>
                <w:szCs w:val="20"/>
                <w:color w:val="auto"/>
              </w:rPr>
            </w:pPr>
            <w:r>
              <w:rPr>
                <w:rFonts w:ascii="Arial" w:cs="Arial" w:eastAsia="Arial" w:hAnsi="Arial"/>
                <w:sz w:val="19"/>
                <w:szCs w:val="19"/>
                <w:color w:val="auto"/>
              </w:rPr>
              <w:t>By: /s/ David Campbell</w:t>
            </w: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3280" w:type="dxa"/>
            <w:vAlign w:val="bottom"/>
          </w:tcPr>
          <w:p>
            <w:pPr>
              <w:spacing w:after="0"/>
              <w:rPr>
                <w:sz w:val="21"/>
                <w:szCs w:val="21"/>
                <w:color w:val="auto"/>
              </w:rPr>
            </w:pPr>
          </w:p>
        </w:tc>
        <w:tc>
          <w:tcPr>
            <w:tcW w:w="4400" w:type="dxa"/>
            <w:vAlign w:val="bottom"/>
            <w:gridSpan w:val="3"/>
          </w:tcPr>
          <w:p>
            <w:pPr>
              <w:ind w:left="1460"/>
              <w:spacing w:after="0"/>
              <w:rPr>
                <w:sz w:val="20"/>
                <w:szCs w:val="20"/>
                <w:color w:val="auto"/>
              </w:rPr>
            </w:pPr>
            <w:r>
              <w:rPr>
                <w:rFonts w:ascii="Arial" w:cs="Arial" w:eastAsia="Arial" w:hAnsi="Arial"/>
                <w:sz w:val="19"/>
                <w:szCs w:val="19"/>
                <w:color w:val="auto"/>
              </w:rPr>
              <w:t>David Campbell</w:t>
            </w:r>
          </w:p>
        </w:tc>
      </w:tr>
      <w:tr>
        <w:trPr>
          <w:trHeight w:val="240"/>
        </w:trPr>
        <w:tc>
          <w:tcPr>
            <w:tcW w:w="3280" w:type="dxa"/>
            <w:vAlign w:val="bottom"/>
          </w:tcPr>
          <w:p>
            <w:pPr>
              <w:spacing w:after="0"/>
              <w:rPr>
                <w:sz w:val="20"/>
                <w:szCs w:val="20"/>
                <w:color w:val="auto"/>
              </w:rPr>
            </w:pPr>
          </w:p>
        </w:tc>
        <w:tc>
          <w:tcPr>
            <w:tcW w:w="4400" w:type="dxa"/>
            <w:vAlign w:val="bottom"/>
            <w:gridSpan w:val="3"/>
          </w:tcPr>
          <w:p>
            <w:pPr>
              <w:ind w:left="1460"/>
              <w:spacing w:after="0"/>
              <w:rPr>
                <w:sz w:val="20"/>
                <w:szCs w:val="20"/>
                <w:color w:val="auto"/>
              </w:rPr>
            </w:pPr>
            <w:r>
              <w:rPr>
                <w:rFonts w:ascii="Arial" w:cs="Arial" w:eastAsia="Arial" w:hAnsi="Arial"/>
                <w:sz w:val="19"/>
                <w:szCs w:val="19"/>
                <w:color w:val="auto"/>
                <w:w w:val="92"/>
              </w:rPr>
              <w:t>President and Chief Executive Officer</w:t>
            </w:r>
          </w:p>
        </w:tc>
      </w:tr>
    </w:tbl>
    <w:p>
      <w:pPr>
        <w:spacing w:after="0" w:line="275"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Pursuant to the requirements of the Securities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rPr>
              <w:t>Signature</w:t>
            </w:r>
          </w:p>
        </w:tc>
        <w:tc>
          <w:tcPr>
            <w:tcW w:w="340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Arial" w:cs="Arial" w:eastAsia="Arial" w:hAnsi="Arial"/>
                <w:sz w:val="17"/>
                <w:szCs w:val="17"/>
                <w:color w:val="auto"/>
              </w:rPr>
              <w:t>Title</w:t>
            </w:r>
          </w:p>
        </w:tc>
        <w:tc>
          <w:tcPr>
            <w:tcW w:w="206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Arial" w:cs="Arial" w:eastAsia="Arial" w:hAnsi="Arial"/>
                <w:sz w:val="17"/>
                <w:szCs w:val="17"/>
                <w:color w:val="auto"/>
              </w:rPr>
              <w:t>Date</w:t>
            </w: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5"/>
        </w:trPr>
        <w:tc>
          <w:tcPr>
            <w:tcW w:w="2600" w:type="dxa"/>
            <w:vAlign w:val="bottom"/>
            <w:gridSpan w:val="4"/>
          </w:tcPr>
          <w:p>
            <w:pPr>
              <w:spacing w:after="0"/>
              <w:rPr>
                <w:sz w:val="20"/>
                <w:szCs w:val="20"/>
                <w:color w:val="auto"/>
              </w:rPr>
            </w:pPr>
            <w:r>
              <w:rPr>
                <w:rFonts w:ascii="Arial" w:cs="Arial" w:eastAsia="Arial" w:hAnsi="Arial"/>
                <w:sz w:val="17"/>
                <w:szCs w:val="17"/>
                <w:color w:val="auto"/>
              </w:rPr>
              <w:t>/s/ David Campbell</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 President and Chief Executive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62"/>
        </w:trPr>
        <w:tc>
          <w:tcPr>
            <w:tcW w:w="13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David Campbell</w:t>
            </w:r>
          </w:p>
        </w:tc>
        <w:tc>
          <w:tcPr>
            <w:tcW w:w="1260" w:type="dxa"/>
            <w:vAlign w:val="bottom"/>
            <w:gridSpan w:val="3"/>
          </w:tcPr>
          <w:p>
            <w:pPr>
              <w:spacing w:after="0"/>
              <w:rPr>
                <w:sz w:val="22"/>
                <w:szCs w:val="22"/>
                <w:color w:val="auto"/>
              </w:rPr>
            </w:pP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(Principal Executive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8"/>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4"/>
              </w:rPr>
              <w:t>/s/ Kirkland B. Andrews</w:t>
            </w:r>
          </w:p>
        </w:tc>
        <w:tc>
          <w:tcPr>
            <w:tcW w:w="920" w:type="dxa"/>
            <w:vAlign w:val="bottom"/>
            <w:gridSpan w:val="2"/>
          </w:tcPr>
          <w:p>
            <w:pPr>
              <w:spacing w:after="0"/>
              <w:rPr>
                <w:sz w:val="18"/>
                <w:szCs w:val="18"/>
                <w:color w:val="auto"/>
              </w:rPr>
            </w:pP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Executive Vice President and Chief Financial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62"/>
        </w:trPr>
        <w:tc>
          <w:tcPr>
            <w:tcW w:w="2600" w:type="dxa"/>
            <w:vAlign w:val="bottom"/>
            <w:gridSpan w:val="4"/>
          </w:tcPr>
          <w:p>
            <w:pPr>
              <w:spacing w:after="0"/>
              <w:rPr>
                <w:sz w:val="20"/>
                <w:szCs w:val="20"/>
                <w:color w:val="auto"/>
              </w:rPr>
            </w:pPr>
            <w:r>
              <w:rPr>
                <w:rFonts w:ascii="Arial" w:cs="Arial" w:eastAsia="Arial" w:hAnsi="Arial"/>
                <w:sz w:val="17"/>
                <w:szCs w:val="17"/>
                <w:color w:val="auto"/>
              </w:rPr>
              <w:t>Kirkland B. Andrews</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(Principal Financial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8"/>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/s/ Steven P. Busser</w:t>
            </w:r>
          </w:p>
        </w:tc>
        <w:tc>
          <w:tcPr>
            <w:tcW w:w="1260" w:type="dxa"/>
            <w:vAlign w:val="bottom"/>
            <w:gridSpan w:val="3"/>
          </w:tcPr>
          <w:p>
            <w:pPr>
              <w:spacing w:after="0"/>
              <w:rPr>
                <w:sz w:val="18"/>
                <w:szCs w:val="18"/>
                <w:color w:val="auto"/>
              </w:rPr>
            </w:pP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Vice President and Chief Accounting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62"/>
        </w:trPr>
        <w:tc>
          <w:tcPr>
            <w:tcW w:w="2600" w:type="dxa"/>
            <w:vAlign w:val="bottom"/>
            <w:gridSpan w:val="4"/>
          </w:tcPr>
          <w:p>
            <w:pPr>
              <w:spacing w:after="0"/>
              <w:rPr>
                <w:sz w:val="20"/>
                <w:szCs w:val="20"/>
                <w:color w:val="auto"/>
              </w:rPr>
            </w:pPr>
            <w:r>
              <w:rPr>
                <w:rFonts w:ascii="Arial" w:cs="Arial" w:eastAsia="Arial" w:hAnsi="Arial"/>
                <w:sz w:val="17"/>
                <w:szCs w:val="17"/>
                <w:color w:val="auto"/>
              </w:rPr>
              <w:t>Steven P. Busser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(Principal Accounting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600" w:type="dxa"/>
            <w:vAlign w:val="bottom"/>
            <w:gridSpan w:val="4"/>
          </w:tcPr>
          <w:p>
            <w:pPr>
              <w:spacing w:after="0"/>
              <w:rPr>
                <w:sz w:val="20"/>
                <w:szCs w:val="20"/>
                <w:color w:val="auto"/>
              </w:rPr>
            </w:pPr>
            <w:r>
              <w:rPr>
                <w:rFonts w:ascii="Arial" w:cs="Arial" w:eastAsia="Arial" w:hAnsi="Arial"/>
                <w:sz w:val="17"/>
                <w:szCs w:val="17"/>
                <w:color w:val="auto"/>
              </w:rPr>
              <w:t>Mark A. Ruelle*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Chair of the Board of Directors</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600" w:type="dxa"/>
            <w:vAlign w:val="bottom"/>
            <w:gridSpan w:val="4"/>
          </w:tcPr>
          <w:p>
            <w:pPr>
              <w:spacing w:after="0"/>
              <w:rPr>
                <w:sz w:val="20"/>
                <w:szCs w:val="20"/>
                <w:color w:val="auto"/>
              </w:rPr>
            </w:pPr>
            <w:r>
              <w:rPr>
                <w:rFonts w:ascii="Arial" w:cs="Arial" w:eastAsia="Arial" w:hAnsi="Arial"/>
                <w:sz w:val="17"/>
                <w:szCs w:val="17"/>
                <w:color w:val="auto"/>
              </w:rPr>
              <w:t>Mollie Hale Carter*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8"/>
        </w:trPr>
        <w:tc>
          <w:tcPr>
            <w:tcW w:w="2600" w:type="dxa"/>
            <w:vAlign w:val="bottom"/>
            <w:gridSpan w:val="4"/>
          </w:tcPr>
          <w:p>
            <w:pPr>
              <w:spacing w:after="0"/>
              <w:rPr>
                <w:sz w:val="20"/>
                <w:szCs w:val="20"/>
                <w:color w:val="auto"/>
              </w:rPr>
            </w:pPr>
            <w:r>
              <w:rPr>
                <w:rFonts w:ascii="Arial" w:cs="Arial" w:eastAsia="Arial" w:hAnsi="Arial"/>
                <w:sz w:val="17"/>
                <w:szCs w:val="17"/>
                <w:color w:val="auto"/>
              </w:rPr>
              <w:t>Thomas D. Hyde*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7"/>
        </w:trPr>
        <w:tc>
          <w:tcPr>
            <w:tcW w:w="2600" w:type="dxa"/>
            <w:vAlign w:val="bottom"/>
            <w:gridSpan w:val="4"/>
          </w:tcPr>
          <w:p>
            <w:pPr>
              <w:spacing w:after="0"/>
              <w:rPr>
                <w:sz w:val="20"/>
                <w:szCs w:val="20"/>
                <w:color w:val="auto"/>
              </w:rPr>
            </w:pPr>
            <w:r>
              <w:rPr>
                <w:rFonts w:ascii="Arial" w:cs="Arial" w:eastAsia="Arial" w:hAnsi="Arial"/>
                <w:sz w:val="17"/>
                <w:szCs w:val="17"/>
                <w:color w:val="auto"/>
              </w:rPr>
              <w:t>B. Anthony Isaac*</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580" w:type="dxa"/>
            <w:vAlign w:val="bottom"/>
            <w:gridSpan w:val="3"/>
          </w:tcPr>
          <w:p>
            <w:pPr>
              <w:ind w:left="1080"/>
              <w:spacing w:after="0" w:line="24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February 24, 2022</w:t>
            </w:r>
          </w:p>
        </w:tc>
      </w:tr>
      <w:tr>
        <w:trPr>
          <w:trHeight w:val="217"/>
        </w:trPr>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5"/>
        </w:trPr>
        <w:tc>
          <w:tcPr>
            <w:tcW w:w="2600" w:type="dxa"/>
            <w:vAlign w:val="bottom"/>
            <w:gridSpan w:val="4"/>
          </w:tcPr>
          <w:p>
            <w:pPr>
              <w:spacing w:after="0"/>
              <w:rPr>
                <w:sz w:val="20"/>
                <w:szCs w:val="20"/>
                <w:color w:val="auto"/>
              </w:rPr>
            </w:pPr>
            <w:r>
              <w:rPr>
                <w:rFonts w:ascii="Arial" w:cs="Arial" w:eastAsia="Arial" w:hAnsi="Arial"/>
                <w:sz w:val="17"/>
                <w:szCs w:val="17"/>
                <w:color w:val="auto"/>
              </w:rPr>
              <w:t>Paul M. Keglevic*</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600" w:type="dxa"/>
            <w:vAlign w:val="bottom"/>
            <w:gridSpan w:val="4"/>
          </w:tcPr>
          <w:p>
            <w:pPr>
              <w:spacing w:after="0"/>
              <w:rPr>
                <w:sz w:val="20"/>
                <w:szCs w:val="20"/>
                <w:color w:val="auto"/>
              </w:rPr>
            </w:pPr>
            <w:r>
              <w:rPr>
                <w:rFonts w:ascii="Arial" w:cs="Arial" w:eastAsia="Arial" w:hAnsi="Arial"/>
                <w:sz w:val="17"/>
                <w:szCs w:val="17"/>
                <w:color w:val="auto"/>
              </w:rPr>
              <w:t>Mary L. Landrieu*</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87"/>
        </w:trPr>
        <w:tc>
          <w:tcPr>
            <w:tcW w:w="2600" w:type="dxa"/>
            <w:vAlign w:val="bottom"/>
            <w:gridSpan w:val="4"/>
          </w:tcPr>
          <w:p>
            <w:pPr>
              <w:spacing w:after="0"/>
              <w:rPr>
                <w:sz w:val="20"/>
                <w:szCs w:val="20"/>
                <w:color w:val="auto"/>
              </w:rPr>
            </w:pPr>
            <w:r>
              <w:rPr>
                <w:rFonts w:ascii="Arial" w:cs="Arial" w:eastAsia="Arial" w:hAnsi="Arial"/>
                <w:sz w:val="17"/>
                <w:szCs w:val="17"/>
                <w:color w:val="auto"/>
              </w:rPr>
              <w:t>Sandra A.J. Lawrence*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600" w:type="dxa"/>
            <w:vAlign w:val="bottom"/>
            <w:gridSpan w:val="4"/>
          </w:tcPr>
          <w:p>
            <w:pPr>
              <w:spacing w:after="0"/>
              <w:rPr>
                <w:sz w:val="20"/>
                <w:szCs w:val="20"/>
                <w:color w:val="auto"/>
              </w:rPr>
            </w:pPr>
            <w:r>
              <w:rPr>
                <w:rFonts w:ascii="Arial" w:cs="Arial" w:eastAsia="Arial" w:hAnsi="Arial"/>
                <w:sz w:val="17"/>
                <w:szCs w:val="17"/>
                <w:color w:val="auto"/>
              </w:rPr>
              <w:t>Ann D. Murtlow*</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600" w:type="dxa"/>
            <w:vAlign w:val="bottom"/>
            <w:gridSpan w:val="4"/>
          </w:tcPr>
          <w:p>
            <w:pPr>
              <w:spacing w:after="0"/>
              <w:rPr>
                <w:sz w:val="20"/>
                <w:szCs w:val="20"/>
                <w:color w:val="auto"/>
              </w:rPr>
            </w:pPr>
            <w:r>
              <w:rPr>
                <w:rFonts w:ascii="Arial" w:cs="Arial" w:eastAsia="Arial" w:hAnsi="Arial"/>
                <w:sz w:val="17"/>
                <w:szCs w:val="17"/>
                <w:color w:val="auto"/>
              </w:rPr>
              <w:t>Sandra J. Price*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600" w:type="dxa"/>
            <w:vAlign w:val="bottom"/>
            <w:gridSpan w:val="4"/>
          </w:tcPr>
          <w:p>
            <w:pPr>
              <w:spacing w:after="0"/>
              <w:rPr>
                <w:sz w:val="20"/>
                <w:szCs w:val="20"/>
                <w:color w:val="auto"/>
              </w:rPr>
            </w:pPr>
            <w:r>
              <w:rPr>
                <w:rFonts w:ascii="Arial" w:cs="Arial" w:eastAsia="Arial" w:hAnsi="Arial"/>
                <w:sz w:val="17"/>
                <w:szCs w:val="17"/>
                <w:color w:val="auto"/>
              </w:rPr>
              <w:t>S. Carl Soderstrom Jr.*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600" w:type="dxa"/>
            <w:vAlign w:val="bottom"/>
            <w:gridSpan w:val="4"/>
          </w:tcPr>
          <w:p>
            <w:pPr>
              <w:spacing w:after="0"/>
              <w:rPr>
                <w:sz w:val="20"/>
                <w:szCs w:val="20"/>
                <w:color w:val="auto"/>
              </w:rPr>
            </w:pPr>
            <w:r>
              <w:rPr>
                <w:rFonts w:ascii="Arial" w:cs="Arial" w:eastAsia="Arial" w:hAnsi="Arial"/>
                <w:sz w:val="17"/>
                <w:szCs w:val="17"/>
                <w:color w:val="auto"/>
              </w:rPr>
              <w:t>John Arthur Stall*</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600" w:type="dxa"/>
            <w:vAlign w:val="bottom"/>
            <w:gridSpan w:val="4"/>
          </w:tcPr>
          <w:p>
            <w:pPr>
              <w:spacing w:after="0"/>
              <w:rPr>
                <w:sz w:val="20"/>
                <w:szCs w:val="20"/>
                <w:color w:val="auto"/>
              </w:rPr>
            </w:pPr>
            <w:r>
              <w:rPr>
                <w:rFonts w:ascii="Arial" w:cs="Arial" w:eastAsia="Arial" w:hAnsi="Arial"/>
                <w:sz w:val="17"/>
                <w:szCs w:val="17"/>
                <w:color w:val="auto"/>
              </w:rPr>
              <w:t>C. John Wilder*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68"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u w:val="single" w:color="auto"/>
          <w:color w:val="auto"/>
        </w:rPr>
        <w:t>/s/ David Campbell</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David Campbell</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Attorney-in-Fact*</w:t>
      </w: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24" w:right="559" w:bottom="1440" w:gutter="0" w:footer="0" w:header="0"/>
        </w:sectPr>
      </w:pPr>
    </w:p>
    <w:bookmarkStart w:id="187" w:name="page188"/>
    <w:bookmarkEnd w:id="187"/>
    <w:p>
      <w:pPr>
        <w:spacing w:after="0"/>
        <w:rPr>
          <w:rFonts w:ascii="Arial" w:cs="Arial" w:eastAsia="Arial" w:hAnsi="Arial"/>
          <w:sz w:val="19"/>
          <w:szCs w:val="19"/>
          <w:u w:val="single" w:color="auto"/>
          <w:color w:val="0000FF"/>
        </w:rPr>
      </w:pPr>
      <w:hyperlink w:anchor="page3">
        <w:r>
          <w:rPr>
            <w:rFonts w:ascii="Arial" w:cs="Arial" w:eastAsia="Arial" w:hAnsi="Arial"/>
            <w:sz w:val="19"/>
            <w:szCs w:val="19"/>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SIGNATURES</w:t>
      </w: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3280" w:type="dxa"/>
            <w:vAlign w:val="bottom"/>
          </w:tcPr>
          <w:p>
            <w:pPr>
              <w:spacing w:after="0"/>
              <w:rPr>
                <w:sz w:val="20"/>
                <w:szCs w:val="20"/>
                <w:color w:val="auto"/>
              </w:rPr>
            </w:pPr>
          </w:p>
        </w:tc>
        <w:tc>
          <w:tcPr>
            <w:tcW w:w="4340" w:type="dxa"/>
            <w:vAlign w:val="bottom"/>
            <w:gridSpan w:val="3"/>
          </w:tcPr>
          <w:p>
            <w:pPr>
              <w:ind w:left="1460"/>
              <w:spacing w:after="0"/>
              <w:rPr>
                <w:sz w:val="20"/>
                <w:szCs w:val="20"/>
                <w:color w:val="auto"/>
              </w:rPr>
            </w:pPr>
            <w:r>
              <w:rPr>
                <w:rFonts w:ascii="Arial" w:cs="Arial" w:eastAsia="Arial" w:hAnsi="Arial"/>
                <w:sz w:val="19"/>
                <w:szCs w:val="19"/>
                <w:color w:val="auto"/>
              </w:rPr>
              <w:t>EVERGY METRO, INC.</w:t>
            </w:r>
          </w:p>
        </w:tc>
      </w:tr>
      <w:tr>
        <w:trPr>
          <w:trHeight w:val="447"/>
        </w:trPr>
        <w:tc>
          <w:tcPr>
            <w:tcW w:w="3280" w:type="dxa"/>
            <w:vAlign w:val="bottom"/>
          </w:tcPr>
          <w:p>
            <w:pPr>
              <w:spacing w:after="0"/>
              <w:rPr>
                <w:sz w:val="20"/>
                <w:szCs w:val="20"/>
                <w:color w:val="auto"/>
              </w:rPr>
            </w:pPr>
            <w:r>
              <w:rPr>
                <w:rFonts w:ascii="Arial" w:cs="Arial" w:eastAsia="Arial" w:hAnsi="Arial"/>
                <w:sz w:val="19"/>
                <w:szCs w:val="19"/>
                <w:color w:val="auto"/>
              </w:rPr>
              <w:t>Date: February 24, 2022</w:t>
            </w:r>
          </w:p>
        </w:tc>
        <w:tc>
          <w:tcPr>
            <w:tcW w:w="4340" w:type="dxa"/>
            <w:vAlign w:val="bottom"/>
            <w:gridSpan w:val="3"/>
          </w:tcPr>
          <w:p>
            <w:pPr>
              <w:ind w:left="1460"/>
              <w:spacing w:after="0"/>
              <w:rPr>
                <w:sz w:val="20"/>
                <w:szCs w:val="20"/>
                <w:color w:val="auto"/>
              </w:rPr>
            </w:pPr>
            <w:r>
              <w:rPr>
                <w:rFonts w:ascii="Arial" w:cs="Arial" w:eastAsia="Arial" w:hAnsi="Arial"/>
                <w:sz w:val="19"/>
                <w:szCs w:val="19"/>
                <w:color w:val="auto"/>
              </w:rPr>
              <w:t>By: /s/ David Campbell</w:t>
            </w: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7"/>
        </w:trPr>
        <w:tc>
          <w:tcPr>
            <w:tcW w:w="3280" w:type="dxa"/>
            <w:vAlign w:val="bottom"/>
          </w:tcPr>
          <w:p>
            <w:pPr>
              <w:spacing w:after="0"/>
              <w:rPr>
                <w:sz w:val="21"/>
                <w:szCs w:val="21"/>
                <w:color w:val="auto"/>
              </w:rPr>
            </w:pPr>
          </w:p>
        </w:tc>
        <w:tc>
          <w:tcPr>
            <w:tcW w:w="4340" w:type="dxa"/>
            <w:vAlign w:val="bottom"/>
            <w:gridSpan w:val="3"/>
          </w:tcPr>
          <w:p>
            <w:pPr>
              <w:ind w:left="1460"/>
              <w:spacing w:after="0"/>
              <w:rPr>
                <w:sz w:val="20"/>
                <w:szCs w:val="20"/>
                <w:color w:val="auto"/>
              </w:rPr>
            </w:pPr>
            <w:r>
              <w:rPr>
                <w:rFonts w:ascii="Arial" w:cs="Arial" w:eastAsia="Arial" w:hAnsi="Arial"/>
                <w:sz w:val="19"/>
                <w:szCs w:val="19"/>
                <w:color w:val="auto"/>
              </w:rPr>
              <w:t>David Campbell</w:t>
            </w:r>
          </w:p>
        </w:tc>
      </w:tr>
      <w:tr>
        <w:trPr>
          <w:trHeight w:val="240"/>
        </w:trPr>
        <w:tc>
          <w:tcPr>
            <w:tcW w:w="3280" w:type="dxa"/>
            <w:vAlign w:val="bottom"/>
          </w:tcPr>
          <w:p>
            <w:pPr>
              <w:spacing w:after="0"/>
              <w:rPr>
                <w:sz w:val="20"/>
                <w:szCs w:val="20"/>
                <w:color w:val="auto"/>
              </w:rPr>
            </w:pPr>
          </w:p>
        </w:tc>
        <w:tc>
          <w:tcPr>
            <w:tcW w:w="4340" w:type="dxa"/>
            <w:vAlign w:val="bottom"/>
            <w:gridSpan w:val="3"/>
          </w:tcPr>
          <w:p>
            <w:pPr>
              <w:ind w:left="1460"/>
              <w:spacing w:after="0"/>
              <w:rPr>
                <w:sz w:val="20"/>
                <w:szCs w:val="20"/>
                <w:color w:val="auto"/>
              </w:rPr>
            </w:pPr>
            <w:r>
              <w:rPr>
                <w:rFonts w:ascii="Arial" w:cs="Arial" w:eastAsia="Arial" w:hAnsi="Arial"/>
                <w:sz w:val="19"/>
                <w:szCs w:val="19"/>
                <w:color w:val="auto"/>
                <w:w w:val="90"/>
              </w:rPr>
              <w:t>President and Chief Executive Officer</w:t>
            </w:r>
          </w:p>
        </w:tc>
      </w:tr>
    </w:tbl>
    <w:p>
      <w:pPr>
        <w:spacing w:after="0" w:line="275"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Pursuant to the requirements of the Securities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79"/>
              </w:rPr>
              <w:t>Signature</w:t>
            </w:r>
          </w:p>
        </w:tc>
        <w:tc>
          <w:tcPr>
            <w:tcW w:w="6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Arial" w:cs="Arial" w:eastAsia="Arial" w:hAnsi="Arial"/>
                <w:sz w:val="17"/>
                <w:szCs w:val="17"/>
                <w:color w:val="auto"/>
              </w:rPr>
              <w:t>Title</w:t>
            </w:r>
          </w:p>
        </w:tc>
        <w:tc>
          <w:tcPr>
            <w:tcW w:w="206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Arial" w:cs="Arial" w:eastAsia="Arial" w:hAnsi="Arial"/>
                <w:sz w:val="17"/>
                <w:szCs w:val="17"/>
                <w:color w:val="auto"/>
              </w:rPr>
              <w:t>Date</w:t>
            </w: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/s/ David Campbell</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 President and Chief Executive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62"/>
        </w:trPr>
        <w:tc>
          <w:tcPr>
            <w:tcW w:w="40" w:type="dxa"/>
            <w:vAlign w:val="bottom"/>
          </w:tcPr>
          <w:p>
            <w:pPr>
              <w:spacing w:after="0"/>
              <w:rPr>
                <w:sz w:val="22"/>
                <w:szCs w:val="22"/>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David Campbell</w:t>
            </w:r>
          </w:p>
        </w:tc>
        <w:tc>
          <w:tcPr>
            <w:tcW w:w="1260" w:type="dxa"/>
            <w:vAlign w:val="bottom"/>
            <w:gridSpan w:val="3"/>
          </w:tcPr>
          <w:p>
            <w:pPr>
              <w:spacing w:after="0"/>
              <w:rPr>
                <w:sz w:val="22"/>
                <w:szCs w:val="22"/>
                <w:color w:val="auto"/>
              </w:rPr>
            </w:pP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(Principal Executive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8"/>
        </w:trPr>
        <w:tc>
          <w:tcPr>
            <w:tcW w:w="40" w:type="dxa"/>
            <w:vAlign w:val="bottom"/>
          </w:tcPr>
          <w:p>
            <w:pPr>
              <w:spacing w:after="0"/>
              <w:rPr>
                <w:sz w:val="18"/>
                <w:szCs w:val="18"/>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4"/>
              </w:rPr>
              <w:t>/s/ Kirkland B. Andrews</w:t>
            </w:r>
          </w:p>
        </w:tc>
        <w:tc>
          <w:tcPr>
            <w:tcW w:w="920" w:type="dxa"/>
            <w:vAlign w:val="bottom"/>
            <w:gridSpan w:val="2"/>
          </w:tcPr>
          <w:p>
            <w:pPr>
              <w:spacing w:after="0"/>
              <w:rPr>
                <w:sz w:val="18"/>
                <w:szCs w:val="18"/>
                <w:color w:val="auto"/>
              </w:rPr>
            </w:pP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Executive Vice President and Chief Financial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Kirkland B. Andrews</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(Principal Financial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8"/>
        </w:trPr>
        <w:tc>
          <w:tcPr>
            <w:tcW w:w="40" w:type="dxa"/>
            <w:vAlign w:val="bottom"/>
          </w:tcPr>
          <w:p>
            <w:pPr>
              <w:spacing w:after="0"/>
              <w:rPr>
                <w:sz w:val="18"/>
                <w:szCs w:val="18"/>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4"/>
              </w:rPr>
              <w:t>/s/ Steven P. Busser</w:t>
            </w:r>
          </w:p>
        </w:tc>
        <w:tc>
          <w:tcPr>
            <w:tcW w:w="1260" w:type="dxa"/>
            <w:vAlign w:val="bottom"/>
            <w:gridSpan w:val="3"/>
          </w:tcPr>
          <w:p>
            <w:pPr>
              <w:spacing w:after="0"/>
              <w:rPr>
                <w:sz w:val="18"/>
                <w:szCs w:val="18"/>
                <w:color w:val="auto"/>
              </w:rPr>
            </w:pP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Vice President and Chief Accounting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62"/>
        </w:trPr>
        <w:tc>
          <w:tcPr>
            <w:tcW w:w="4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Steven P. Busser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(Principal Accounting Officer)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Mark A. Ruelle*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Chair of the Board of Directors</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Mollie Hale Carter*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Thomas D. Hyde*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7"/>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580" w:type="dxa"/>
            <w:vAlign w:val="bottom"/>
            <w:gridSpan w:val="3"/>
          </w:tcPr>
          <w:p>
            <w:pPr>
              <w:ind w:left="1080"/>
              <w:spacing w:after="0" w:line="24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February 24, 2022</w:t>
            </w:r>
          </w:p>
        </w:tc>
      </w:tr>
      <w:tr>
        <w:trPr>
          <w:trHeight w:val="217"/>
        </w:trPr>
        <w:tc>
          <w:tcPr>
            <w:tcW w:w="4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B. Anthony Isaac*</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Paul M. Keglevic*</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Mary L. Landrieu*</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87"/>
        </w:trPr>
        <w:tc>
          <w:tcPr>
            <w:tcW w:w="4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Sandra A.J. Lawrence*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Ann D. Murtlow*</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Sandra J. Price*</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S. Carl Soderstrom Jr.*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John Arthur Stall*</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auto"/>
              </w:rPr>
              <w:t>C. John Wilder*</w:t>
            </w:r>
          </w:p>
        </w:tc>
        <w:tc>
          <w:tcPr>
            <w:tcW w:w="5420" w:type="dxa"/>
            <w:vAlign w:val="bottom"/>
            <w:gridSpan w:val="3"/>
          </w:tcPr>
          <w:p>
            <w:pPr>
              <w:ind w:left="660"/>
              <w:spacing w:after="0"/>
              <w:rPr>
                <w:sz w:val="20"/>
                <w:szCs w:val="20"/>
                <w:color w:val="auto"/>
              </w:rPr>
            </w:pPr>
            <w:r>
              <w:rPr>
                <w:rFonts w:ascii="Arial" w:cs="Arial" w:eastAsia="Arial" w:hAnsi="Arial"/>
                <w:sz w:val="17"/>
                <w:szCs w:val="17"/>
                <w:color w:val="auto"/>
              </w:rPr>
              <w:t>Director</w:t>
            </w:r>
          </w:p>
        </w:tc>
        <w:tc>
          <w:tcPr>
            <w:tcW w:w="2060" w:type="dxa"/>
            <w:vAlign w:val="bottom"/>
          </w:tcPr>
          <w:p>
            <w:pPr>
              <w:ind w:left="10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66"/>
        </w:trPr>
        <w:tc>
          <w:tcPr>
            <w:tcW w:w="2640" w:type="dxa"/>
            <w:vAlign w:val="bottom"/>
            <w:gridSpan w:val="6"/>
          </w:tcPr>
          <w:p>
            <w:pPr>
              <w:jc w:val="right"/>
              <w:ind w:right="660"/>
              <w:spacing w:after="0"/>
              <w:rPr>
                <w:sz w:val="20"/>
                <w:szCs w:val="20"/>
                <w:color w:val="auto"/>
              </w:rPr>
            </w:pPr>
            <w:r>
              <w:rPr>
                <w:rFonts w:ascii="Arial" w:cs="Arial" w:eastAsia="Arial" w:hAnsi="Arial"/>
                <w:sz w:val="19"/>
                <w:szCs w:val="19"/>
                <w:color w:val="auto"/>
                <w:w w:val="98"/>
              </w:rPr>
              <w:t>*By  /s/ David Campbell</w:t>
            </w: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40" w:type="dxa"/>
            <w:vAlign w:val="bottom"/>
          </w:tcPr>
          <w:p>
            <w:pPr>
              <w:spacing w:after="0"/>
              <w:rPr>
                <w:sz w:val="19"/>
                <w:szCs w:val="19"/>
                <w:color w:val="auto"/>
              </w:rPr>
            </w:pPr>
          </w:p>
        </w:tc>
        <w:tc>
          <w:tcPr>
            <w:tcW w:w="2600" w:type="dxa"/>
            <w:vAlign w:val="bottom"/>
            <w:gridSpan w:val="5"/>
          </w:tcPr>
          <w:p>
            <w:pPr>
              <w:ind w:left="160"/>
              <w:spacing w:after="0"/>
              <w:rPr>
                <w:sz w:val="20"/>
                <w:szCs w:val="20"/>
                <w:color w:val="auto"/>
              </w:rPr>
            </w:pPr>
            <w:r>
              <w:rPr>
                <w:rFonts w:ascii="Arial" w:cs="Arial" w:eastAsia="Arial" w:hAnsi="Arial"/>
                <w:sz w:val="19"/>
                <w:szCs w:val="19"/>
                <w:color w:val="auto"/>
              </w:rPr>
              <w:t>David Campbell</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0"/>
        </w:trPr>
        <w:tc>
          <w:tcPr>
            <w:tcW w:w="40" w:type="dxa"/>
            <w:vAlign w:val="bottom"/>
          </w:tcPr>
          <w:p>
            <w:pPr>
              <w:spacing w:after="0"/>
              <w:rPr>
                <w:sz w:val="20"/>
                <w:szCs w:val="20"/>
                <w:color w:val="auto"/>
              </w:rPr>
            </w:pPr>
          </w:p>
        </w:tc>
        <w:tc>
          <w:tcPr>
            <w:tcW w:w="2600" w:type="dxa"/>
            <w:vAlign w:val="bottom"/>
            <w:gridSpan w:val="5"/>
          </w:tcPr>
          <w:p>
            <w:pPr>
              <w:ind w:left="140"/>
              <w:spacing w:after="0"/>
              <w:rPr>
                <w:sz w:val="20"/>
                <w:szCs w:val="20"/>
                <w:color w:val="auto"/>
              </w:rPr>
            </w:pPr>
            <w:r>
              <w:rPr>
                <w:rFonts w:ascii="Arial" w:cs="Arial" w:eastAsia="Arial" w:hAnsi="Arial"/>
                <w:sz w:val="19"/>
                <w:szCs w:val="19"/>
                <w:color w:val="auto"/>
              </w:rPr>
              <w:t>Attorney-in-Fact*</w:t>
            </w:r>
          </w:p>
        </w:tc>
        <w:tc>
          <w:tcPr>
            <w:tcW w:w="3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020"/>
          </w:cols>
          <w:pgMar w:left="320" w:top="124" w:right="559" w:bottom="1440" w:gutter="0" w:footer="0" w:header="0"/>
        </w:sectPr>
      </w:pPr>
    </w:p>
    <w:bookmarkStart w:id="188" w:name="page189"/>
    <w:bookmarkEnd w:id="188"/>
    <w:p>
      <w:pPr>
        <w:ind w:left="10080"/>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21"/>
          <w:szCs w:val="21"/>
          <w:b w:val="1"/>
          <w:bCs w:val="1"/>
          <w:color w:val="auto"/>
        </w:rPr>
        <w:t>EVERGY, INC.</w:t>
      </w:r>
    </w:p>
    <w:p>
      <w:pPr>
        <w:spacing w:after="0" w:line="5" w:lineRule="exact"/>
        <w:rPr>
          <w:sz w:val="20"/>
          <w:szCs w:val="20"/>
          <w:color w:val="auto"/>
        </w:rPr>
      </w:pPr>
    </w:p>
    <w:p>
      <w:pPr>
        <w:ind w:left="3360"/>
        <w:spacing w:after="0"/>
        <w:rPr>
          <w:sz w:val="20"/>
          <w:szCs w:val="20"/>
          <w:color w:val="auto"/>
        </w:rPr>
      </w:pPr>
      <w:r>
        <w:rPr>
          <w:rFonts w:ascii="Arial" w:cs="Arial" w:eastAsia="Arial" w:hAnsi="Arial"/>
          <w:sz w:val="21"/>
          <w:szCs w:val="21"/>
          <w:b w:val="1"/>
          <w:bCs w:val="1"/>
          <w:color w:val="auto"/>
        </w:rPr>
        <w:t>2022 RESTRICTED STOCK UNIT AGREEMENT</w:t>
      </w:r>
    </w:p>
    <w:p>
      <w:pPr>
        <w:ind w:left="3880"/>
        <w:spacing w:after="0"/>
        <w:rPr>
          <w:sz w:val="20"/>
          <w:szCs w:val="20"/>
          <w:color w:val="auto"/>
        </w:rPr>
      </w:pPr>
      <w:r>
        <w:rPr>
          <w:rFonts w:ascii="Arial" w:cs="Arial" w:eastAsia="Arial" w:hAnsi="Arial"/>
          <w:sz w:val="21"/>
          <w:szCs w:val="21"/>
          <w:b w:val="1"/>
          <w:bCs w:val="1"/>
          <w:color w:val="auto"/>
        </w:rPr>
        <w:t>(PERFORMANCE-BASED VESTING)</w:t>
      </w:r>
    </w:p>
    <w:p>
      <w:pPr>
        <w:spacing w:after="0" w:line="372"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THIS RESTRICTED STOCK UNIT AGREEMENT (the “Agreement”) is entered into as of [DATE] (the “Grant Date”), by and between Evergy, Inc. (the “Company”) and [NAME] (the “Grantee”). All capitalized terms in this Agreement that are not defined herein shall have the meanings ascribed to such terms in the Company’s Long-Term Incentive Plan, as amended and restated from time to time (the “Plan”).</w:t>
      </w:r>
    </w:p>
    <w:p>
      <w:pPr>
        <w:spacing w:after="0" w:line="12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20"/>
          <w:szCs w:val="20"/>
          <w:color w:val="auto"/>
        </w:rPr>
        <w:t>WHEREAS, Grantee is employed by the Company or one of its Subsidiaries and the Company desires to (i) encourage Grantee to acquire an interest in the growth and performance of the Company, (ii) provide Grantee with an incentive to enhance the value of the Company for the benefit of its customers and shareholders and (iii) encourage Grantee to remain in the employ of the Company as one of the key employees upon whom the Company’s success depends; and</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WHEREAS, the Company wishes to grant to Grantee, and Grantee wishes to accept, an Award of Restricted Stock Units, pursuant to the terms and conditions of the Plan and this Agreement.</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NOW, THEREFORE, in consideration of the covenants and agreements herein contained, the parties agree as follows:</w:t>
      </w:r>
    </w:p>
    <w:p>
      <w:pPr>
        <w:spacing w:after="0" w:line="170" w:lineRule="exact"/>
        <w:rPr>
          <w:sz w:val="20"/>
          <w:szCs w:val="20"/>
          <w:color w:val="auto"/>
        </w:rPr>
      </w:pPr>
    </w:p>
    <w:p>
      <w:pPr>
        <w:jc w:val="both"/>
        <w:ind w:left="620" w:hanging="617"/>
        <w:spacing w:after="0" w:line="254" w:lineRule="auto"/>
        <w:tabs>
          <w:tab w:leader="none" w:pos="62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Restricted Stock Unit Award</w:t>
      </w:r>
      <w:r>
        <w:rPr>
          <w:rFonts w:ascii="Arial" w:cs="Arial" w:eastAsia="Arial" w:hAnsi="Arial"/>
          <w:sz w:val="21"/>
          <w:szCs w:val="21"/>
          <w:color w:val="auto"/>
        </w:rPr>
        <w:t>. The Company hereby grants to Grantee a target Award of [Number] Restricted Stock Units (the “RSUs”). Each RSU represents the right to receive one Share, subject to the terms and conditions set forth in this Agreement and the Plan, the terms and conditions of which are incorporated herein by reference.</w:t>
      </w:r>
    </w:p>
    <w:p>
      <w:pPr>
        <w:spacing w:after="0" w:line="122" w:lineRule="exact"/>
        <w:rPr>
          <w:rFonts w:ascii="Arial" w:cs="Arial" w:eastAsia="Arial" w:hAnsi="Arial"/>
          <w:sz w:val="21"/>
          <w:szCs w:val="21"/>
          <w:color w:val="auto"/>
        </w:rPr>
      </w:pPr>
    </w:p>
    <w:p>
      <w:pPr>
        <w:ind w:left="620" w:hanging="617"/>
        <w:spacing w:after="0" w:line="265" w:lineRule="auto"/>
        <w:tabs>
          <w:tab w:leader="none" w:pos="62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Terms and Conditions</w:t>
      </w:r>
      <w:r>
        <w:rPr>
          <w:rFonts w:ascii="Arial" w:cs="Arial" w:eastAsia="Arial" w:hAnsi="Arial"/>
          <w:sz w:val="21"/>
          <w:szCs w:val="21"/>
          <w:color w:val="auto"/>
        </w:rPr>
        <w:t>. In addition to the terms and conditions in the Plan, this Award of RSUs is subject to the following terms and conditions:</w:t>
      </w:r>
    </w:p>
    <w:p>
      <w:pPr>
        <w:spacing w:after="0" w:line="111" w:lineRule="exact"/>
        <w:rPr>
          <w:rFonts w:ascii="Arial" w:cs="Arial" w:eastAsia="Arial" w:hAnsi="Arial"/>
          <w:sz w:val="21"/>
          <w:szCs w:val="21"/>
          <w:color w:val="auto"/>
        </w:rPr>
      </w:pPr>
    </w:p>
    <w:p>
      <w:pPr>
        <w:jc w:val="both"/>
        <w:ind w:left="1240" w:hanging="618"/>
        <w:spacing w:after="0" w:line="285" w:lineRule="auto"/>
        <w:tabs>
          <w:tab w:leader="none" w:pos="1228"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Grant of RSUs</w:t>
      </w:r>
      <w:r>
        <w:rPr>
          <w:rFonts w:ascii="Arial" w:cs="Arial" w:eastAsia="Arial" w:hAnsi="Arial"/>
          <w:sz w:val="19"/>
          <w:szCs w:val="19"/>
          <w:color w:val="auto"/>
        </w:rPr>
        <w:t>. The RSUs granted hereunder shall be credited to Grantee’s RSU Account as of the Grant Date. The RSU Account shall be maintained for recordkeeping purposes only and the Company shall not be obligated to segregate or set aside assets representing securities or other amounts credited to Grantee’s RSU Account. All amounts credited to the RSU Account shall continue for all purposes to be part of the general assets of the Company.</w:t>
      </w:r>
    </w:p>
    <w:p>
      <w:pPr>
        <w:spacing w:after="0" w:line="96" w:lineRule="exact"/>
        <w:rPr>
          <w:rFonts w:ascii="Arial" w:cs="Arial" w:eastAsia="Arial" w:hAnsi="Arial"/>
          <w:sz w:val="19"/>
          <w:szCs w:val="19"/>
          <w:color w:val="auto"/>
        </w:rPr>
      </w:pPr>
    </w:p>
    <w:p>
      <w:pPr>
        <w:jc w:val="both"/>
        <w:ind w:left="1240" w:hanging="618"/>
        <w:spacing w:after="0" w:line="279" w:lineRule="auto"/>
        <w:tabs>
          <w:tab w:leader="none" w:pos="1240"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Vesting of RSUs</w:t>
      </w:r>
      <w:r>
        <w:rPr>
          <w:rFonts w:ascii="Arial" w:cs="Arial" w:eastAsia="Arial" w:hAnsi="Arial"/>
          <w:sz w:val="19"/>
          <w:szCs w:val="19"/>
          <w:color w:val="auto"/>
        </w:rPr>
        <w:t>. The RSUs will vest on the later of (i) the third anniversary of the Grant Date and (ii) the date on which the Company files audited financial statements with the Securities and Exchange Commission that include all performance periods set forth in Appendices A-C (the “Vesting Date”), provided that Grantee remains continuously employed by the Company or one of its Subsidiaries (except as provided in paragraph 2.c and 2.d of this Agreement) during the entire period that begins on the Grant Date and ends on the Vesting Date (the “Restricted Period”). The number of RSUs that vest on the Vesting Date will be determined in the manner described in Appendices 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25" w:right="339" w:bottom="1440" w:gutter="0" w:footer="0" w:header="0"/>
        </w:sectPr>
      </w:pPr>
    </w:p>
    <w:bookmarkStart w:id="189" w:name="page190"/>
    <w:bookmarkEnd w:id="189"/>
    <w:p>
      <w:pPr>
        <w:jc w:val="both"/>
        <w:ind w:left="618" w:hanging="618"/>
        <w:spacing w:after="0" w:line="285" w:lineRule="auto"/>
        <w:tabs>
          <w:tab w:leader="none" w:pos="60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during the Restricted Period for Death or Disability</w:t>
      </w:r>
      <w:r>
        <w:rPr>
          <w:rFonts w:ascii="Arial" w:cs="Arial" w:eastAsia="Arial" w:hAnsi="Arial"/>
          <w:sz w:val="19"/>
          <w:szCs w:val="19"/>
          <w:color w:val="auto"/>
        </w:rPr>
        <w:t>. If Grantee experiences a termination of employment on account of Grantee’s death or Disability before the end of the Restricted Period, then as of the date of Grantee’s termination of employment, that number of RSUs (and Dividend Equivalents) which would have vested if the target level of goal achievement for the Restricted Period had been met shall vest.</w:t>
      </w:r>
    </w:p>
    <w:p>
      <w:pPr>
        <w:spacing w:after="0" w:line="96" w:lineRule="exact"/>
        <w:rPr>
          <w:rFonts w:ascii="Arial" w:cs="Arial" w:eastAsia="Arial" w:hAnsi="Arial"/>
          <w:sz w:val="19"/>
          <w:szCs w:val="19"/>
          <w:color w:val="auto"/>
        </w:rPr>
      </w:pPr>
    </w:p>
    <w:p>
      <w:pPr>
        <w:jc w:val="both"/>
        <w:ind w:left="618" w:hanging="618"/>
        <w:spacing w:after="0" w:line="290" w:lineRule="auto"/>
        <w:tabs>
          <w:tab w:leader="none" w:pos="61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during the Restricted Period for Retirement</w:t>
      </w:r>
      <w:r>
        <w:rPr>
          <w:rFonts w:ascii="Arial" w:cs="Arial" w:eastAsia="Arial" w:hAnsi="Arial"/>
          <w:sz w:val="18"/>
          <w:szCs w:val="18"/>
          <w:color w:val="auto"/>
        </w:rPr>
        <w:t>. If Grantee experiences a termination of employment on account of Grantee’s Retirement (as defined below) before the end of the Restricted Period, no immediate vesting shall occur at the time of Grantee’s Retirement but, following the end of the Restricted Period, a pro rata portion of the number of RSUs (and Dividend Equivalents) that would have vested if Grantee had not separated from service and based on the actual level of goal achievement during the Restricted Period shall vest. Such pro rata portion shall be determined by multiplying (i) the number of RSUs that would have vested on the Vesting Date if Grantee had not experienced a termination of employment by (ii) a fraction, the numerator of which is the total number of days from the Grant Date to the Grantee’s Retirement, and the denominator of which is the total number of days between the Grant Date and the Vesting Date. For purposes of this Agreement, “Retirement” means Grantee’s separation from service after (i) attainment of the age of 60 and having 10 years of service with the Company or its Subsidiaries, and (ii) Grantee having provided a minimum of six-months’ advance notice to the Company of Grantee’s Retirement.</w:t>
      </w:r>
    </w:p>
    <w:p>
      <w:pPr>
        <w:spacing w:after="0" w:line="97" w:lineRule="exact"/>
        <w:rPr>
          <w:rFonts w:ascii="Arial" w:cs="Arial" w:eastAsia="Arial" w:hAnsi="Arial"/>
          <w:sz w:val="18"/>
          <w:szCs w:val="18"/>
          <w:color w:val="auto"/>
        </w:rPr>
      </w:pPr>
    </w:p>
    <w:p>
      <w:pPr>
        <w:jc w:val="both"/>
        <w:ind w:left="618" w:hanging="618"/>
        <w:spacing w:after="0" w:line="247" w:lineRule="auto"/>
        <w:tabs>
          <w:tab w:leader="none" w:pos="606"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Limits on Transfer of RSUs</w:t>
      </w:r>
      <w:r>
        <w:rPr>
          <w:rFonts w:ascii="Arial" w:cs="Arial" w:eastAsia="Arial" w:hAnsi="Arial"/>
          <w:sz w:val="21"/>
          <w:szCs w:val="21"/>
          <w:color w:val="auto"/>
        </w:rPr>
        <w:t>. Subject to any exceptions set forth in the Plan, during the Restricted Period and until such time as the RSUs are settled in accordance with the terms of this Agreement, neither the RSUs nor any rights relating thereto may be assigned, alienated, pledged, attached, sold or otherwise transferred or encumbered by Grantee. Any attempt to assign, alienate, pledge, attach, sell or otherwise transfer or encumber the RSUs or the rights relating thereto shall be wholly ineffective and, if any such attempt is made, the RSUs will be immediately forfeited by Grantee and all of Grantee’s rights to the RSUs shall immediately terminate without any payment, settlement, or consideration by the Company.</w:t>
      </w:r>
    </w:p>
    <w:p>
      <w:pPr>
        <w:spacing w:after="0" w:line="129" w:lineRule="exact"/>
        <w:rPr>
          <w:rFonts w:ascii="Arial" w:cs="Arial" w:eastAsia="Arial" w:hAnsi="Arial"/>
          <w:sz w:val="21"/>
          <w:szCs w:val="21"/>
          <w:color w:val="auto"/>
        </w:rPr>
      </w:pPr>
    </w:p>
    <w:p>
      <w:pPr>
        <w:ind w:left="618" w:hanging="618"/>
        <w:spacing w:after="0" w:line="290" w:lineRule="auto"/>
        <w:tabs>
          <w:tab w:leader="none" w:pos="609"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No Rights as a Shareholder until RSUs Settled</w:t>
      </w:r>
      <w:r>
        <w:rPr>
          <w:rFonts w:ascii="Arial" w:cs="Arial" w:eastAsia="Arial" w:hAnsi="Arial"/>
          <w:sz w:val="20"/>
          <w:szCs w:val="20"/>
          <w:color w:val="auto"/>
        </w:rPr>
        <w:t>. Grantee shall not have any rights of a shareholder with respect to the Shares underlying the RSUs unless and until the RSUs vest and are settled by the issuance of Shares.</w:t>
      </w:r>
    </w:p>
    <w:p>
      <w:pPr>
        <w:spacing w:after="0" w:line="88" w:lineRule="exact"/>
        <w:rPr>
          <w:rFonts w:ascii="Arial" w:cs="Arial" w:eastAsia="Arial" w:hAnsi="Arial"/>
          <w:sz w:val="20"/>
          <w:szCs w:val="20"/>
          <w:color w:val="auto"/>
        </w:rPr>
      </w:pPr>
    </w:p>
    <w:p>
      <w:pPr>
        <w:jc w:val="both"/>
        <w:ind w:left="618" w:hanging="618"/>
        <w:spacing w:after="0" w:line="305" w:lineRule="auto"/>
        <w:tabs>
          <w:tab w:leader="none" w:pos="61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Each RSU that becomes vested pursuant to this Agreement includes the right to receive dividend equivalents in an amount equal to the amount of the cash dividends that Grantee would have received if Grantee owned that number Shares represented by the vested RSUs during the Restricted Period and before the RSUs were settled. These dividend equivalents, if any, shall be accrued and paid to Grantee in cash, less taxes, at the time the RSUs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58"/>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618"/>
          </w:cols>
          <w:pgMar w:left="942" w:top="1369" w:right="339" w:bottom="1440" w:gutter="0" w:footer="0" w:header="0"/>
        </w:sectPr>
      </w:pPr>
    </w:p>
    <w:bookmarkStart w:id="190" w:name="page191"/>
    <w:bookmarkEnd w:id="190"/>
    <w:p>
      <w:pPr>
        <w:jc w:val="both"/>
        <w:ind w:left="618"/>
        <w:spacing w:after="0" w:line="250" w:lineRule="auto"/>
        <w:rPr>
          <w:sz w:val="20"/>
          <w:szCs w:val="20"/>
          <w:color w:val="auto"/>
        </w:rPr>
      </w:pPr>
      <w:r>
        <w:rPr>
          <w:rFonts w:ascii="Arial" w:cs="Arial" w:eastAsia="Arial" w:hAnsi="Arial"/>
          <w:sz w:val="21"/>
          <w:szCs w:val="21"/>
          <w:color w:val="auto"/>
        </w:rPr>
        <w:t>settled in accordance with paragraph 2.h. below. If, during the Restricted Period, the Company declares a stock dividend on Shares, then the Grantee may be eligible for additional Shares at the time the RSUs are settled in accordance with paragraph 2.h. below (or earlier as determined by the Committee) based on the number of RSUs credited to the Grantee’s RSU Account in accordance with Section 16.H of the Plan.</w:t>
      </w:r>
    </w:p>
    <w:p>
      <w:pPr>
        <w:spacing w:after="0" w:line="128" w:lineRule="exact"/>
        <w:rPr>
          <w:sz w:val="20"/>
          <w:szCs w:val="20"/>
          <w:color w:val="auto"/>
        </w:rPr>
      </w:pPr>
    </w:p>
    <w:p>
      <w:pPr>
        <w:jc w:val="both"/>
        <w:ind w:left="618" w:hanging="618"/>
        <w:spacing w:after="0" w:line="290" w:lineRule="auto"/>
        <w:tabs>
          <w:tab w:leader="none" w:pos="61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 No later than 30 days after the earlier of (i) the Vesting Date or (ii) Grantee’s termination of employment due to death or Disability, the Company shall issue and deliver to Grantee, or in the event of Grantee’s death the beneficiary designated in writing by Grantee in accordance with instructions provided by the Company (or in the event Grantee has not designated a beneficiary, Grantee’s estate), a number of Shares equal to the aggregate number of vested RSUs (with any fractional Share underlying the vested RSUs on the settlement date being settled by delivering to Grantee a cash payment equal to the closing price of a Share on the trading date immediately preceding the Vesting Date or the date of Grantee’s termination of employment, as applicable, multiplied by the number of fractional vested RSUs) then credited to Grantee’s RSU Account. The Committee may, in its sole discretion, settle any vested RSUs by delivering to Grantee (or Grantee’s beneficiary or estate in the event of Grantee’s death) an amount of cash equal to the closing price of a Share on the trading date immediately preceding the Vesting Date or the date of Grantee’s termination of employment, as applicable, multiplied by the number of vested RSUs (and any fraction thereof) held by Grantee.</w:t>
      </w:r>
    </w:p>
    <w:p>
      <w:pPr>
        <w:spacing w:after="0" w:line="97" w:lineRule="exact"/>
        <w:rPr>
          <w:rFonts w:ascii="Arial" w:cs="Arial" w:eastAsia="Arial" w:hAnsi="Arial"/>
          <w:sz w:val="18"/>
          <w:szCs w:val="18"/>
          <w:color w:val="auto"/>
        </w:rPr>
      </w:pPr>
    </w:p>
    <w:p>
      <w:pPr>
        <w:jc w:val="both"/>
        <w:ind w:left="618" w:hanging="618"/>
        <w:spacing w:after="0" w:line="279" w:lineRule="auto"/>
        <w:tabs>
          <w:tab w:leader="none" w:pos="611"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Tax Withholding on RSU Settlement</w:t>
      </w:r>
      <w:r>
        <w:rPr>
          <w:rFonts w:ascii="Arial" w:cs="Arial" w:eastAsia="Arial" w:hAnsi="Arial"/>
          <w:sz w:val="19"/>
          <w:szCs w:val="19"/>
          <w:color w:val="auto"/>
        </w:rPr>
        <w:t>. No Shares will be delivered under this Agreement until either (i) Grantee has paid to the Company the amount that must be withheld under federal, state and local income and employment tax laws or (ii) Grantee and the Company have made satisfactory provision for the payment of such taxes. Unless otherwise not permitted by the Committee (which may disallow Share withholding at any time) or contrary to an election Grantee submitted to the Company in accordance with established Company policy, the Company shall first withhold such taxes from the Shares (valued at their Fair Market Value) otherwise eligible to be delivered under this Award, if any.</w:t>
      </w:r>
    </w:p>
    <w:p>
      <w:pPr>
        <w:spacing w:after="0" w:line="100" w:lineRule="exact"/>
        <w:rPr>
          <w:rFonts w:ascii="Arial" w:cs="Arial" w:eastAsia="Arial" w:hAnsi="Arial"/>
          <w:sz w:val="19"/>
          <w:szCs w:val="19"/>
          <w:color w:val="auto"/>
        </w:rPr>
      </w:pPr>
    </w:p>
    <w:p>
      <w:pPr>
        <w:jc w:val="both"/>
        <w:ind w:left="618" w:hanging="618"/>
        <w:spacing w:after="0" w:line="246" w:lineRule="auto"/>
        <w:tabs>
          <w:tab w:leader="none" w:pos="611" w:val="left"/>
        </w:tabs>
        <w:numPr>
          <w:ilvl w:val="0"/>
          <w:numId w:val="7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280G Best Net</w:t>
      </w:r>
      <w:r>
        <w:rPr>
          <w:rFonts w:ascii="Arial" w:cs="Arial" w:eastAsia="Arial" w:hAnsi="Arial"/>
          <w:sz w:val="21"/>
          <w:szCs w:val="21"/>
          <w:color w:val="auto"/>
        </w:rPr>
        <w:t>. Notwithstanding anything in this Agreement to the contrary, in the event that (A) there is a Change in Control, and (B) the receipt of all payments, distributions or benefits (including, without limitation, accelerated vesting of the RSUs) by the Company in the nature of compensation to or for Grantee’s benefit, whether paid or payable pursuant to this Agreement or otherwise (a “Payment”), would subject Grantee to the excise tax under Section 4999 of the Code by virtue of Section 280G of the Code, the Company shall reduce the number of RSUs which become vested on account of the Change in Control if such reduction would result in Grantee having a greater net after-tax Payment than if such RSUs were not reduced and the Payment, or any portion thereof, is subjected to the excise tax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58"/>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18"/>
          </w:cols>
          <w:pgMar w:left="942" w:top="1369" w:right="339" w:bottom="1440" w:gutter="0" w:footer="0" w:header="0"/>
        </w:sectPr>
      </w:pPr>
    </w:p>
    <w:bookmarkStart w:id="191" w:name="page192"/>
    <w:bookmarkEnd w:id="191"/>
    <w:p>
      <w:pPr>
        <w:jc w:val="both"/>
        <w:ind w:left="1240" w:hanging="618"/>
        <w:spacing w:after="0" w:line="259" w:lineRule="auto"/>
        <w:tabs>
          <w:tab w:leader="none" w:pos="1240"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The Company will, to the full extent permitted by law, have the discretion based on the particular facts and circumstances to require that the Grantee reimburse the Company for all or any portion of any Awards if and to the extent the Awards reflected the achievement of financial results that were subsequently the subject of a restatement, or the achievement of other objectives that were subsequently found to be inaccurately measured, and a lower Award would have occurred based upon the restated financial results or accurately measured objectives. The Company may, in its discretion, (i) seek repayment from the Grantee; (ii) reduce the amount that would otherwise be payable to the Grantee under current or future Awards; (iii) withhold future equity grants or salary increases; (iv) pursue other available legal remedies or (v) any combination of these actions. The Company may take such actions against any Grantee, whether or not such Grantee engaged in any misconduct or was otherwise at fault with respect to such restatement or inaccurate measurement.</w:t>
      </w:r>
    </w:p>
    <w:p>
      <w:pPr>
        <w:spacing w:after="0" w:line="122" w:lineRule="exact"/>
        <w:rPr>
          <w:rFonts w:ascii="Arial" w:cs="Arial" w:eastAsia="Arial" w:hAnsi="Arial"/>
          <w:sz w:val="20"/>
          <w:szCs w:val="20"/>
          <w:color w:val="auto"/>
        </w:rPr>
      </w:pPr>
    </w:p>
    <w:p>
      <w:pPr>
        <w:jc w:val="both"/>
        <w:ind w:left="620" w:hanging="617"/>
        <w:spacing w:after="0" w:line="250" w:lineRule="auto"/>
        <w:tabs>
          <w:tab w:leader="none" w:pos="620"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This Agreement may be amended only in the manner provided by the Company evidencing both parties’ agreement to the amendment. This Agreement may also be amended, without prior notice to Grantee and without Grantee’s consent before any Change in Control by the Committee if the Committee in good faith determines the amendment does not materially adversely affect any of Grantee’s rights under this Agreement.</w:t>
      </w:r>
    </w:p>
    <w:p>
      <w:pPr>
        <w:spacing w:after="0" w:line="128" w:lineRule="exact"/>
        <w:rPr>
          <w:rFonts w:ascii="Arial" w:cs="Arial" w:eastAsia="Arial" w:hAnsi="Arial"/>
          <w:sz w:val="21"/>
          <w:szCs w:val="21"/>
          <w:color w:val="auto"/>
        </w:rPr>
      </w:pPr>
    </w:p>
    <w:p>
      <w:pPr>
        <w:ind w:left="620" w:hanging="617"/>
        <w:spacing w:after="0" w:line="290" w:lineRule="auto"/>
        <w:tabs>
          <w:tab w:leader="none" w:pos="62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contains the entire agreement between Grantee and the Company with respect to the subject matter hereof and supersedes all prior agreements or understandings between the parties relating thereto.</w:t>
      </w:r>
    </w:p>
    <w:p>
      <w:pPr>
        <w:spacing w:after="0" w:line="89"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9" w:right="339" w:bottom="1440" w:gutter="0" w:footer="0" w:header="0"/>
        </w:sectPr>
      </w:pPr>
    </w:p>
    <w:bookmarkStart w:id="192" w:name="page193"/>
    <w:bookmarkEnd w:id="192"/>
    <w:p>
      <w:pPr>
        <w:spacing w:after="0"/>
        <w:rPr>
          <w:sz w:val="20"/>
          <w:szCs w:val="20"/>
          <w:color w:val="auto"/>
        </w:rPr>
      </w:pPr>
      <w:r>
        <w:rPr>
          <w:rFonts w:ascii="Arial" w:cs="Arial" w:eastAsia="Arial" w:hAnsi="Arial"/>
          <w:sz w:val="19"/>
          <w:szCs w:val="19"/>
          <w:color w:val="auto"/>
        </w:rPr>
        <w:t>EVERGY, INC.</w:t>
      </w:r>
    </w:p>
    <w:p>
      <w:pPr>
        <w:sectPr>
          <w:pgSz w:w="11900" w:h="16838" w:orient="portrait"/>
          <w:cols w:equalWidth="0" w:num="1">
            <w:col w:w="10119"/>
          </w:cols>
          <w:pgMar w:left="340" w:top="1395"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21"/>
          <w:szCs w:val="21"/>
          <w:color w:val="auto"/>
        </w:rPr>
        <w:t>[GRANTEE]</w:t>
      </w:r>
    </w:p>
    <w:p>
      <w:pPr>
        <w:spacing w:after="0" w:line="200" w:lineRule="exact"/>
        <w:rPr>
          <w:sz w:val="20"/>
          <w:szCs w:val="20"/>
          <w:color w:val="auto"/>
        </w:rPr>
      </w:pPr>
    </w:p>
    <w:p>
      <w:pPr>
        <w:sectPr>
          <w:pgSz w:w="11900" w:h="16838" w:orient="portrait"/>
          <w:cols w:equalWidth="0" w:num="2">
            <w:col w:w="5640" w:space="720"/>
            <w:col w:w="3759"/>
          </w:cols>
          <w:pgMar w:left="340" w:top="1395" w:right="1440" w:bottom="1440" w:gutter="0" w:footer="0" w:header="0"/>
          <w:type w:val="continuous"/>
        </w:sectPr>
      </w:pPr>
    </w:p>
    <w:p>
      <w:pPr>
        <w:spacing w:after="0" w:line="68"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Date: _________________________</w:t>
      </w:r>
    </w:p>
    <w:p>
      <w:pPr>
        <w:sectPr>
          <w:pgSz w:w="11900" w:h="16838" w:orient="portrait"/>
          <w:cols w:equalWidth="0" w:num="1">
            <w:col w:w="10119"/>
          </w:cols>
          <w:pgMar w:left="340" w:top="1395" w:right="1440" w:bottom="1440" w:gutter="0" w:footer="0" w:header="0"/>
          <w:type w:val="continuous"/>
        </w:sectPr>
      </w:pPr>
    </w:p>
    <w:bookmarkStart w:id="193" w:name="page194"/>
    <w:bookmarkEnd w:id="193"/>
    <w:p>
      <w:pPr>
        <w:ind w:left="5000"/>
        <w:spacing w:after="0"/>
        <w:rPr>
          <w:sz w:val="20"/>
          <w:szCs w:val="20"/>
          <w:color w:val="auto"/>
        </w:rPr>
      </w:pPr>
      <w:r>
        <w:rPr>
          <w:rFonts w:ascii="Arial" w:cs="Arial" w:eastAsia="Arial" w:hAnsi="Arial"/>
          <w:sz w:val="21"/>
          <w:szCs w:val="21"/>
          <w:b w:val="1"/>
          <w:bCs w:val="1"/>
          <w:color w:val="auto"/>
        </w:rPr>
        <w:t>APPENDIX A</w:t>
      </w:r>
    </w:p>
    <w:p>
      <w:pPr>
        <w:spacing w:after="0" w:line="210" w:lineRule="exact"/>
        <w:rPr>
          <w:sz w:val="20"/>
          <w:szCs w:val="20"/>
          <w:color w:val="auto"/>
        </w:rPr>
      </w:pPr>
    </w:p>
    <w:p>
      <w:pPr>
        <w:ind w:left="3320"/>
        <w:spacing w:after="0"/>
        <w:rPr>
          <w:sz w:val="20"/>
          <w:szCs w:val="20"/>
          <w:color w:val="auto"/>
        </w:rPr>
      </w:pPr>
      <w:r>
        <w:rPr>
          <w:rFonts w:ascii="Arial" w:cs="Arial" w:eastAsia="Arial" w:hAnsi="Arial"/>
          <w:sz w:val="21"/>
          <w:szCs w:val="21"/>
          <w:b w:val="1"/>
          <w:bCs w:val="1"/>
          <w:color w:val="auto"/>
        </w:rPr>
        <w:t>January 1, 2022 – December 31, 2024 Performance Criteria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Relative Total Shareholder Return</w:t>
      </w:r>
      <w:r>
        <w:rPr>
          <w:rFonts w:ascii="Arial" w:cs="Arial" w:eastAsia="Arial" w:hAnsi="Arial"/>
          <w:sz w:val="17"/>
          <w:szCs w:val="17"/>
          <w:b w:val="1"/>
          <w:bCs w:val="1"/>
          <w:color w:val="auto"/>
        </w:rPr>
        <w:t xml:space="preserve">: </w:t>
      </w:r>
      <w:r>
        <w:rPr>
          <w:rFonts w:ascii="Arial" w:cs="Arial" w:eastAsia="Arial" w:hAnsi="Arial"/>
          <w:sz w:val="17"/>
          <w:szCs w:val="17"/>
          <w:color w:val="auto"/>
        </w:rPr>
        <w:t>Sixty percent (60.0%) of the target RSUs subject to this Agreement shall become vested based upon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Company’s relative total shareholder return from January 1, 2022 to December 31, 2024, calculated in the following manner:</w:t>
      </w:r>
    </w:p>
    <w:p>
      <w:pPr>
        <w:spacing w:after="0" w:line="226" w:lineRule="exact"/>
        <w:rPr>
          <w:sz w:val="20"/>
          <w:szCs w:val="20"/>
          <w:color w:val="auto"/>
        </w:rPr>
      </w:pPr>
    </w:p>
    <w:tbl>
      <w:tblPr>
        <w:tblLayout w:type="fixed"/>
        <w:tblInd w:w="630" w:type="dxa"/>
        <w:tblCellMar>
          <w:top w:w="0" w:type="dxa"/>
          <w:left w:w="0" w:type="dxa"/>
          <w:bottom w:w="0" w:type="dxa"/>
          <w:right w:w="0" w:type="dxa"/>
        </w:tblCellMar>
      </w:tblPr>
      <w:tr>
        <w:trPr>
          <w:trHeight w:val="142"/>
        </w:trPr>
        <w:tc>
          <w:tcPr>
            <w:tcW w:w="55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Objective</w:t>
            </w: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Threshold</w:t>
            </w: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Target</w:t>
            </w: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Stretch</w:t>
            </w:r>
          </w:p>
        </w:tc>
        <w:tc>
          <w:tcPr>
            <w:tcW w:w="1080" w:type="dxa"/>
            <w:vAlign w:val="bottom"/>
            <w:tcBorders>
              <w:top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Superior</w:t>
            </w:r>
          </w:p>
        </w:tc>
        <w:tc>
          <w:tcPr>
            <w:tcW w:w="0" w:type="dxa"/>
            <w:vAlign w:val="bottom"/>
          </w:tcPr>
          <w:p>
            <w:pPr>
              <w:spacing w:after="0"/>
              <w:rPr>
                <w:sz w:val="1"/>
                <w:szCs w:val="1"/>
                <w:color w:val="auto"/>
              </w:rPr>
            </w:pPr>
          </w:p>
        </w:tc>
      </w:tr>
      <w:tr>
        <w:trPr>
          <w:trHeight w:val="104"/>
        </w:trPr>
        <w:tc>
          <w:tcPr>
            <w:tcW w:w="5520" w:type="dxa"/>
            <w:vAlign w:val="bottom"/>
            <w:tcBorders>
              <w:left w:val="single" w:sz="8" w:color="auto"/>
              <w:right w:val="single" w:sz="8" w:color="auto"/>
            </w:tcBorders>
            <w:vMerge w:val="continue"/>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(25%)</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(100%)</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(150%)</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(200%)</w:t>
            </w:r>
          </w:p>
        </w:tc>
        <w:tc>
          <w:tcPr>
            <w:tcW w:w="0" w:type="dxa"/>
            <w:vAlign w:val="bottom"/>
          </w:tcPr>
          <w:p>
            <w:pPr>
              <w:spacing w:after="0"/>
              <w:rPr>
                <w:sz w:val="1"/>
                <w:szCs w:val="1"/>
                <w:color w:val="auto"/>
              </w:rPr>
            </w:pPr>
          </w:p>
        </w:tc>
      </w:tr>
      <w:tr>
        <w:trPr>
          <w:trHeight w:val="75"/>
        </w:trPr>
        <w:tc>
          <w:tcPr>
            <w:tcW w:w="5520" w:type="dxa"/>
            <w:vAlign w:val="bottom"/>
            <w:tcBorders>
              <w:left w:val="single" w:sz="8" w:color="auto"/>
              <w:bottom w:val="single" w:sz="8" w:color="auto"/>
              <w:right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552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11"/>
                <w:szCs w:val="11"/>
                <w:color w:val="auto"/>
              </w:rPr>
              <w:t>Relative Total Shareholder Return (TSR) versus EEI Index</w:t>
            </w:r>
            <w:r>
              <w:rPr>
                <w:rFonts w:ascii="Arial" w:cs="Arial" w:eastAsia="Arial" w:hAnsi="Arial"/>
                <w:sz w:val="14"/>
                <w:szCs w:val="14"/>
                <w:color w:val="auto"/>
                <w:vertAlign w:val="superscript"/>
              </w:rPr>
              <w:t>1</w:t>
            </w:r>
          </w:p>
        </w:tc>
        <w:tc>
          <w:tcPr>
            <w:tcW w:w="1080" w:type="dxa"/>
            <w:vAlign w:val="bottom"/>
          </w:tcPr>
          <w:p>
            <w:pPr>
              <w:jc w:val="center"/>
              <w:spacing w:after="0" w:line="123" w:lineRule="exact"/>
              <w:rPr>
                <w:sz w:val="20"/>
                <w:szCs w:val="20"/>
                <w:color w:val="auto"/>
              </w:rPr>
            </w:pPr>
            <w:r>
              <w:rPr>
                <w:rFonts w:ascii="Arial" w:cs="Arial" w:eastAsia="Arial" w:hAnsi="Arial"/>
                <w:sz w:val="11"/>
                <w:szCs w:val="11"/>
                <w:color w:val="auto"/>
              </w:rPr>
              <w:t>25</w:t>
            </w:r>
            <w:r>
              <w:rPr>
                <w:rFonts w:ascii="Arial" w:cs="Arial" w:eastAsia="Arial" w:hAnsi="Arial"/>
                <w:sz w:val="14"/>
                <w:szCs w:val="14"/>
                <w:color w:val="auto"/>
                <w:vertAlign w:val="superscript"/>
              </w:rPr>
              <w:t>th</w:t>
            </w:r>
          </w:p>
        </w:tc>
        <w:tc>
          <w:tcPr>
            <w:tcW w:w="1040" w:type="dxa"/>
            <w:vAlign w:val="bottom"/>
          </w:tcPr>
          <w:p>
            <w:pPr>
              <w:jc w:val="center"/>
              <w:spacing w:after="0" w:line="123" w:lineRule="exact"/>
              <w:rPr>
                <w:sz w:val="20"/>
                <w:szCs w:val="20"/>
                <w:color w:val="auto"/>
              </w:rPr>
            </w:pPr>
            <w:r>
              <w:rPr>
                <w:rFonts w:ascii="Arial" w:cs="Arial" w:eastAsia="Arial" w:hAnsi="Arial"/>
                <w:sz w:val="11"/>
                <w:szCs w:val="11"/>
                <w:color w:val="auto"/>
              </w:rPr>
              <w:t>50</w:t>
            </w:r>
            <w:r>
              <w:rPr>
                <w:rFonts w:ascii="Arial" w:cs="Arial" w:eastAsia="Arial" w:hAnsi="Arial"/>
                <w:sz w:val="14"/>
                <w:szCs w:val="14"/>
                <w:color w:val="auto"/>
                <w:vertAlign w:val="superscript"/>
              </w:rPr>
              <w:t>th</w:t>
            </w:r>
          </w:p>
        </w:tc>
        <w:tc>
          <w:tcPr>
            <w:tcW w:w="1080" w:type="dxa"/>
            <w:vAlign w:val="bottom"/>
          </w:tcPr>
          <w:p>
            <w:pPr>
              <w:jc w:val="center"/>
              <w:spacing w:after="0" w:line="123" w:lineRule="exact"/>
              <w:rPr>
                <w:sz w:val="20"/>
                <w:szCs w:val="20"/>
                <w:color w:val="auto"/>
              </w:rPr>
            </w:pPr>
            <w:r>
              <w:rPr>
                <w:rFonts w:ascii="Arial" w:cs="Arial" w:eastAsia="Arial" w:hAnsi="Arial"/>
                <w:sz w:val="11"/>
                <w:szCs w:val="11"/>
                <w:color w:val="auto"/>
                <w:w w:val="99"/>
              </w:rPr>
              <w:t>70</w:t>
            </w:r>
            <w:r>
              <w:rPr>
                <w:rFonts w:ascii="Arial" w:cs="Arial" w:eastAsia="Arial" w:hAnsi="Arial"/>
                <w:sz w:val="14"/>
                <w:szCs w:val="14"/>
                <w:color w:val="auto"/>
                <w:w w:val="99"/>
                <w:vertAlign w:val="superscript"/>
              </w:rPr>
              <w:t>th</w:t>
            </w:r>
          </w:p>
        </w:tc>
        <w:tc>
          <w:tcPr>
            <w:tcW w:w="10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1"/>
                <w:szCs w:val="11"/>
                <w:color w:val="auto"/>
              </w:rPr>
              <w:t>90</w:t>
            </w:r>
            <w:r>
              <w:rPr>
                <w:rFonts w:ascii="Arial" w:cs="Arial" w:eastAsia="Arial" w:hAnsi="Arial"/>
                <w:sz w:val="14"/>
                <w:szCs w:val="14"/>
                <w:color w:val="auto"/>
                <w:vertAlign w:val="superscript"/>
              </w:rPr>
              <w:t>th</w:t>
            </w:r>
          </w:p>
        </w:tc>
        <w:tc>
          <w:tcPr>
            <w:tcW w:w="0" w:type="dxa"/>
            <w:vAlign w:val="bottom"/>
          </w:tcPr>
          <w:p>
            <w:pPr>
              <w:spacing w:after="0"/>
              <w:rPr>
                <w:sz w:val="1"/>
                <w:szCs w:val="1"/>
                <w:color w:val="auto"/>
              </w:rPr>
            </w:pPr>
          </w:p>
        </w:tc>
      </w:tr>
      <w:tr>
        <w:trPr>
          <w:trHeight w:val="177"/>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(Interpolation applicable)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Percentile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Percentile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Percentile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Percentile</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00" w:hanging="301"/>
        <w:spacing w:after="0" w:line="294" w:lineRule="auto"/>
        <w:tabs>
          <w:tab w:leader="none" w:pos="757" w:val="left"/>
        </w:tabs>
        <w:numPr>
          <w:ilvl w:val="0"/>
          <w:numId w:val="80"/>
        </w:numPr>
        <w:rPr>
          <w:rFonts w:ascii="Arial" w:cs="Arial" w:eastAsia="Arial" w:hAnsi="Arial"/>
          <w:sz w:val="14"/>
          <w:szCs w:val="14"/>
          <w:color w:val="auto"/>
          <w:vertAlign w:val="superscript"/>
        </w:rPr>
      </w:pPr>
      <w:r>
        <w:rPr>
          <w:rFonts w:ascii="Arial" w:cs="Arial" w:eastAsia="Arial" w:hAnsi="Arial"/>
          <w:sz w:val="11"/>
          <w:szCs w:val="11"/>
          <w:color w:val="auto"/>
        </w:rPr>
        <w:t>TSR is compared to total shareholder return of the companies included in the Edison Electric Institute (EEI) index of electric companies during the three-year measurement period; provided, however, a company in the EEI index that discloses in a filing made with the Securities and Exchange Commission that the company has entered into a definitive agreement to be acquired by another company will be removed from the calculation effective as of the date of the announcement, unless the acquisition is rejected by the company’s shareholders or applicable regulatory bodies before the end of the performance period.</w:t>
      </w:r>
    </w:p>
    <w:p>
      <w:pPr>
        <w:spacing w:after="0" w:line="34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TSR shall be determined by the following formula:</w:t>
      </w:r>
    </w:p>
    <w:p>
      <w:pPr>
        <w:sectPr>
          <w:pgSz w:w="11900" w:h="16838" w:orient="portrait"/>
          <w:cols w:equalWidth="0" w:num="1">
            <w:col w:w="11240"/>
          </w:cols>
          <w:pgMar w:left="320" w:top="1363" w:right="339" w:bottom="1440" w:gutter="0" w:footer="0" w:header="0"/>
        </w:sectPr>
      </w:pPr>
    </w:p>
    <w:p>
      <w:pPr>
        <w:spacing w:after="0" w:line="27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Total Shareholder Return =</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Ending Stock Price minus Beginning Stock price plus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Dividend Paid, divided by Beginning Stock Price.</w:t>
      </w:r>
    </w:p>
    <w:p>
      <w:pPr>
        <w:spacing w:after="0" w:line="200" w:lineRule="exact"/>
        <w:rPr>
          <w:sz w:val="20"/>
          <w:szCs w:val="20"/>
          <w:color w:val="auto"/>
        </w:rPr>
      </w:pPr>
    </w:p>
    <w:p>
      <w:pPr>
        <w:sectPr>
          <w:pgSz w:w="11900" w:h="16838" w:orient="portrait"/>
          <w:cols w:equalWidth="0" w:num="2">
            <w:col w:w="4100" w:space="720"/>
            <w:col w:w="6420"/>
          </w:cols>
          <w:pgMar w:left="320" w:top="1363" w:right="339" w:bottom="1440" w:gutter="0" w:footer="0" w:header="0"/>
          <w:type w:val="continuous"/>
        </w:sectPr>
      </w:pPr>
    </w:p>
    <w:p>
      <w:pPr>
        <w:spacing w:after="0" w:line="106" w:lineRule="exact"/>
        <w:rPr>
          <w:sz w:val="20"/>
          <w:szCs w:val="20"/>
          <w:color w:val="auto"/>
        </w:rPr>
      </w:pPr>
    </w:p>
    <w:p>
      <w:pPr>
        <w:ind w:left="940"/>
        <w:spacing w:after="0" w:line="264" w:lineRule="auto"/>
        <w:rPr>
          <w:sz w:val="20"/>
          <w:szCs w:val="20"/>
          <w:color w:val="auto"/>
        </w:rPr>
      </w:pPr>
      <w:r>
        <w:rPr>
          <w:rFonts w:ascii="Arial" w:cs="Arial" w:eastAsia="Arial" w:hAnsi="Arial"/>
          <w:sz w:val="17"/>
          <w:szCs w:val="17"/>
          <w:color w:val="auto"/>
        </w:rPr>
        <w:t>Beginning Stock Price shall mean the average closing price on the applicable stock exchange of one share of stock during the most recent December prior to the Grant Date.</w:t>
      </w:r>
    </w:p>
    <w:p>
      <w:pPr>
        <w:spacing w:after="0" w:line="189" w:lineRule="exact"/>
        <w:rPr>
          <w:sz w:val="20"/>
          <w:szCs w:val="20"/>
          <w:color w:val="auto"/>
        </w:rPr>
      </w:pPr>
    </w:p>
    <w:p>
      <w:pPr>
        <w:ind w:left="940"/>
        <w:spacing w:after="0" w:line="264" w:lineRule="auto"/>
        <w:rPr>
          <w:sz w:val="20"/>
          <w:szCs w:val="20"/>
          <w:color w:val="auto"/>
        </w:rPr>
      </w:pPr>
      <w:r>
        <w:rPr>
          <w:rFonts w:ascii="Arial" w:cs="Arial" w:eastAsia="Arial" w:hAnsi="Arial"/>
          <w:sz w:val="17"/>
          <w:szCs w:val="17"/>
          <w:color w:val="auto"/>
        </w:rPr>
        <w:t>Ending Stock Price shall mean the average closing price on the applicable stock exchange of one share of stock during the most recent December prior to the Vesting Date.</w:t>
      </w:r>
    </w:p>
    <w:p>
      <w:pPr>
        <w:spacing w:after="0" w:line="189"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Dividends Paid shall mean the sum of all dividends paid, based on the ex-dividend date, on one share of stock during the performance period.</w:t>
      </w:r>
    </w:p>
    <w:p>
      <w:pPr>
        <w:spacing w:after="0" w:line="226" w:lineRule="exact"/>
        <w:rPr>
          <w:sz w:val="20"/>
          <w:szCs w:val="20"/>
          <w:color w:val="auto"/>
        </w:rPr>
      </w:pPr>
    </w:p>
    <w:p>
      <w:pPr>
        <w:ind w:left="320"/>
        <w:spacing w:after="0" w:line="284" w:lineRule="auto"/>
        <w:rPr>
          <w:sz w:val="20"/>
          <w:szCs w:val="20"/>
          <w:color w:val="auto"/>
        </w:rPr>
      </w:pPr>
      <w:r>
        <w:rPr>
          <w:rFonts w:ascii="Arial" w:cs="Arial" w:eastAsia="Arial" w:hAnsi="Arial"/>
          <w:sz w:val="17"/>
          <w:szCs w:val="17"/>
          <w:color w:val="auto"/>
        </w:rPr>
        <w:t>At the end of the performance period, the Company will assess its TSR relative to all other companies remaining in the EEI index. If at least the Threshold Percentile noted above is achieved, depending on the Company’s percentile rank and subject to the terms of the Agreement, the</w:t>
      </w:r>
    </w:p>
    <w:p>
      <w:pPr>
        <w:spacing w:after="0" w:line="1" w:lineRule="exact"/>
        <w:rPr>
          <w:sz w:val="20"/>
          <w:szCs w:val="20"/>
          <w:color w:val="auto"/>
        </w:rPr>
      </w:pPr>
    </w:p>
    <w:p>
      <w:pPr>
        <w:ind w:left="320"/>
        <w:spacing w:after="0" w:line="264" w:lineRule="auto"/>
        <w:rPr>
          <w:sz w:val="20"/>
          <w:szCs w:val="20"/>
          <w:color w:val="auto"/>
        </w:rPr>
      </w:pPr>
      <w:r>
        <w:rPr>
          <w:rFonts w:ascii="Arial" w:cs="Arial" w:eastAsia="Arial" w:hAnsi="Arial"/>
          <w:sz w:val="19"/>
          <w:szCs w:val="19"/>
          <w:color w:val="auto"/>
        </w:rPr>
        <w:t>Grantee will receive the applicable percentage of the RSUs. If at least the Threshold Percentile noted above is achieved, interpolation will be used to determine payouts if percentile rank of relative TSR falls between the percentile ranks shown.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9"/>
          <w:szCs w:val="19"/>
          <w:color w:val="auto"/>
        </w:rPr>
        <w:t>Cap on Negative TSR: If actual TSR performance is negative, payout is capped at Target (100%).</w:t>
      </w:r>
    </w:p>
    <w:p>
      <w:pPr>
        <w:sectPr>
          <w:pgSz w:w="11900" w:h="16838" w:orient="portrait"/>
          <w:cols w:equalWidth="0" w:num="1">
            <w:col w:w="11240"/>
          </w:cols>
          <w:pgMar w:left="320" w:top="1363" w:right="339" w:bottom="1440" w:gutter="0" w:footer="0" w:header="0"/>
          <w:type w:val="continuous"/>
        </w:sectPr>
      </w:pPr>
    </w:p>
    <w:bookmarkStart w:id="194" w:name="page195"/>
    <w:bookmarkEnd w:id="194"/>
    <w:p>
      <w:pPr>
        <w:jc w:val="center"/>
        <w:ind w:right="-19"/>
        <w:spacing w:after="0"/>
        <w:rPr>
          <w:sz w:val="20"/>
          <w:szCs w:val="20"/>
          <w:color w:val="auto"/>
        </w:rPr>
      </w:pPr>
      <w:r>
        <w:rPr>
          <w:rFonts w:ascii="Arial" w:cs="Arial" w:eastAsia="Arial" w:hAnsi="Arial"/>
          <w:sz w:val="21"/>
          <w:szCs w:val="21"/>
          <w:b w:val="1"/>
          <w:bCs w:val="1"/>
          <w:color w:val="auto"/>
        </w:rPr>
        <w:t>APPENDIX B</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January 1, 2022 - December 31, 2024 Performance Criteria</w:t>
      </w:r>
    </w:p>
    <w:p>
      <w:pPr>
        <w:spacing w:after="0" w:line="227" w:lineRule="exact"/>
        <w:rPr>
          <w:sz w:val="20"/>
          <w:szCs w:val="20"/>
          <w:color w:val="auto"/>
        </w:rPr>
      </w:pPr>
    </w:p>
    <w:p>
      <w:pPr>
        <w:spacing w:after="0" w:line="315" w:lineRule="auto"/>
        <w:rPr>
          <w:sz w:val="20"/>
          <w:szCs w:val="20"/>
          <w:color w:val="auto"/>
        </w:rPr>
      </w:pPr>
      <w:r>
        <w:rPr>
          <w:rFonts w:ascii="Arial" w:cs="Arial" w:eastAsia="Arial" w:hAnsi="Arial"/>
          <w:sz w:val="17"/>
          <w:szCs w:val="17"/>
          <w:b w:val="1"/>
          <w:bCs w:val="1"/>
          <w:u w:val="single" w:color="auto"/>
          <w:color w:val="auto"/>
        </w:rPr>
        <w:t>Cumulative Adjusted EPS</w:t>
      </w:r>
      <w:r>
        <w:rPr>
          <w:rFonts w:ascii="Arial" w:cs="Arial" w:eastAsia="Arial" w:hAnsi="Arial"/>
          <w:sz w:val="17"/>
          <w:szCs w:val="17"/>
          <w:b w:val="1"/>
          <w:bCs w:val="1"/>
          <w:color w:val="auto"/>
        </w:rPr>
        <w:t xml:space="preserve">: </w:t>
      </w:r>
      <w:r>
        <w:rPr>
          <w:rFonts w:ascii="Arial" w:cs="Arial" w:eastAsia="Arial" w:hAnsi="Arial"/>
          <w:sz w:val="17"/>
          <w:szCs w:val="17"/>
          <w:color w:val="auto"/>
        </w:rPr>
        <w:t>Thirty-three and three-tenths percent (33.3%) of the target RSUs subject to this Agreement shall become vested based</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Company’s cumulative adjusted earnings per share from January 1, 2022 to December 31, 2024, calculated in the following manner:</w:t>
      </w:r>
    </w:p>
    <w:p>
      <w:pPr>
        <w:spacing w:after="0" w:line="160" w:lineRule="exact"/>
        <w:rPr>
          <w:sz w:val="20"/>
          <w:szCs w:val="20"/>
          <w:color w:val="auto"/>
        </w:rPr>
      </w:pPr>
    </w:p>
    <w:tbl>
      <w:tblPr>
        <w:tblLayout w:type="fixed"/>
        <w:tblInd w:w="630" w:type="dxa"/>
        <w:tblCellMar>
          <w:top w:w="0" w:type="dxa"/>
          <w:left w:w="0" w:type="dxa"/>
          <w:bottom w:w="0" w:type="dxa"/>
          <w:right w:w="0" w:type="dxa"/>
        </w:tblCellMar>
      </w:tblPr>
      <w:tr>
        <w:trPr>
          <w:trHeight w:val="142"/>
        </w:trPr>
        <w:tc>
          <w:tcPr>
            <w:tcW w:w="55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Objective</w:t>
            </w:r>
          </w:p>
        </w:tc>
        <w:tc>
          <w:tcPr>
            <w:tcW w:w="11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Threshold</w:t>
            </w:r>
          </w:p>
        </w:tc>
        <w:tc>
          <w:tcPr>
            <w:tcW w:w="102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Target</w:t>
            </w:r>
          </w:p>
        </w:tc>
        <w:tc>
          <w:tcPr>
            <w:tcW w:w="1060" w:type="dxa"/>
            <w:vAlign w:val="bottom"/>
            <w:tcBorders>
              <w:top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Stretch</w:t>
            </w:r>
          </w:p>
        </w:tc>
        <w:tc>
          <w:tcPr>
            <w:tcW w:w="1100" w:type="dxa"/>
            <w:vAlign w:val="bottom"/>
            <w:tcBorders>
              <w:top w:val="single" w:sz="8" w:color="auto"/>
              <w:right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Superior</w:t>
            </w:r>
          </w:p>
        </w:tc>
        <w:tc>
          <w:tcPr>
            <w:tcW w:w="0" w:type="dxa"/>
            <w:vAlign w:val="bottom"/>
          </w:tcPr>
          <w:p>
            <w:pPr>
              <w:spacing w:after="0"/>
              <w:rPr>
                <w:sz w:val="1"/>
                <w:szCs w:val="1"/>
                <w:color w:val="auto"/>
              </w:rPr>
            </w:pPr>
          </w:p>
        </w:tc>
      </w:tr>
      <w:tr>
        <w:trPr>
          <w:trHeight w:val="104"/>
        </w:trPr>
        <w:tc>
          <w:tcPr>
            <w:tcW w:w="5520" w:type="dxa"/>
            <w:vAlign w:val="bottom"/>
            <w:tcBorders>
              <w:left w:val="single" w:sz="8" w:color="auto"/>
              <w:right w:val="single" w:sz="8" w:color="auto"/>
            </w:tcBorders>
            <w:vMerge w:val="continue"/>
          </w:tcPr>
          <w:p>
            <w:pPr>
              <w:spacing w:after="0"/>
              <w:rPr>
                <w:sz w:val="9"/>
                <w:szCs w:val="9"/>
                <w:color w:val="auto"/>
              </w:rPr>
            </w:pPr>
          </w:p>
        </w:tc>
        <w:tc>
          <w:tcPr>
            <w:tcW w:w="11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(30%)</w:t>
            </w:r>
          </w:p>
        </w:tc>
        <w:tc>
          <w:tcPr>
            <w:tcW w:w="10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(100%)</w:t>
            </w:r>
          </w:p>
        </w:tc>
        <w:tc>
          <w:tcPr>
            <w:tcW w:w="10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(150%)</w:t>
            </w:r>
          </w:p>
        </w:tc>
        <w:tc>
          <w:tcPr>
            <w:tcW w:w="1100" w:type="dxa"/>
            <w:vAlign w:val="bottom"/>
            <w:tcBorders>
              <w:right w:val="single" w:sz="8" w:color="auto"/>
            </w:tcBorders>
            <w:vMerge w:val="restart"/>
          </w:tcPr>
          <w:p>
            <w:pPr>
              <w:jc w:val="right"/>
              <w:ind w:right="271"/>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75"/>
        </w:trPr>
        <w:tc>
          <w:tcPr>
            <w:tcW w:w="5520" w:type="dxa"/>
            <w:vAlign w:val="bottom"/>
            <w:tcBorders>
              <w:left w:val="single" w:sz="8" w:color="auto"/>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552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11"/>
                <w:szCs w:val="11"/>
                <w:color w:val="auto"/>
              </w:rPr>
              <w:t>Cumulative Adjusted Earnings Per Share</w:t>
            </w:r>
            <w:r>
              <w:rPr>
                <w:rFonts w:ascii="Arial" w:cs="Arial" w:eastAsia="Arial" w:hAnsi="Arial"/>
                <w:sz w:val="14"/>
                <w:szCs w:val="14"/>
                <w:color w:val="auto"/>
                <w:vertAlign w:val="superscript"/>
              </w:rPr>
              <w:t>2</w:t>
            </w:r>
          </w:p>
        </w:tc>
        <w:tc>
          <w:tcPr>
            <w:tcW w:w="1100" w:type="dxa"/>
            <w:vAlign w:val="bottom"/>
            <w:vMerge w:val="restart"/>
          </w:tcPr>
          <w:p>
            <w:pPr>
              <w:jc w:val="right"/>
              <w:ind w:right="431"/>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391"/>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371"/>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vMerge w:val="restart"/>
          </w:tcPr>
          <w:p>
            <w:pPr>
              <w:jc w:val="right"/>
              <w:ind w:right="4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4"/>
        </w:trPr>
        <w:tc>
          <w:tcPr>
            <w:tcW w:w="5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(Interpolation applicable)</w:t>
            </w: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5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right"/>
        <w:ind w:left="940" w:hanging="318"/>
        <w:spacing w:after="0" w:line="239" w:lineRule="auto"/>
        <w:tabs>
          <w:tab w:leader="none" w:pos="722" w:val="left"/>
        </w:tabs>
        <w:numPr>
          <w:ilvl w:val="0"/>
          <w:numId w:val="81"/>
        </w:numPr>
        <w:rPr>
          <w:rFonts w:ascii="Arial" w:cs="Arial" w:eastAsia="Arial" w:hAnsi="Arial"/>
          <w:sz w:val="16"/>
          <w:szCs w:val="16"/>
          <w:color w:val="auto"/>
          <w:vertAlign w:val="superscript"/>
        </w:rPr>
      </w:pPr>
      <w:r>
        <w:rPr>
          <w:rFonts w:ascii="Arial" w:cs="Arial" w:eastAsia="Arial" w:hAnsi="Arial"/>
          <w:sz w:val="12"/>
          <w:szCs w:val="12"/>
          <w:color w:val="auto"/>
        </w:rPr>
        <w:t>Cumulative Adjusted Earnings Per Share will be based on, and calculated in the same manner as the Company calculates and publicly discloses adjusted earnings per share; provided, however, that the Committee shall have the authority and discretion to calculate and adjust the Cumulative Adjusted Earnings Per Share and the extent to which this criterion has been</w:t>
      </w:r>
    </w:p>
    <w:p>
      <w:pPr>
        <w:ind w:left="940"/>
        <w:spacing w:after="0" w:line="231" w:lineRule="auto"/>
        <w:rPr>
          <w:sz w:val="20"/>
          <w:szCs w:val="20"/>
          <w:color w:val="auto"/>
        </w:rPr>
      </w:pPr>
      <w:r>
        <w:rPr>
          <w:rFonts w:ascii="Arial" w:cs="Arial" w:eastAsia="Arial" w:hAnsi="Arial"/>
          <w:sz w:val="14"/>
          <w:szCs w:val="14"/>
          <w:color w:val="auto"/>
        </w:rPr>
        <w:t>satisfied.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Omitted</w:t>
      </w:r>
    </w:p>
    <w:p>
      <w:pPr>
        <w:sectPr>
          <w:pgSz w:w="11900" w:h="16838" w:orient="portrait"/>
          <w:cols w:equalWidth="0" w:num="1">
            <w:col w:w="11240"/>
          </w:cols>
          <w:pgMar w:left="320" w:top="1350" w:right="339" w:bottom="1440" w:gutter="0" w:footer="0" w:header="0"/>
        </w:sectPr>
      </w:pPr>
    </w:p>
    <w:bookmarkStart w:id="195" w:name="page196"/>
    <w:bookmarkEnd w:id="195"/>
    <w:p>
      <w:pPr>
        <w:jc w:val="center"/>
        <w:ind w:right="320"/>
        <w:spacing w:after="0"/>
        <w:rPr>
          <w:sz w:val="20"/>
          <w:szCs w:val="20"/>
          <w:color w:val="auto"/>
        </w:rPr>
      </w:pPr>
      <w:r>
        <w:rPr>
          <w:rFonts w:ascii="Arial" w:cs="Arial" w:eastAsia="Arial" w:hAnsi="Arial"/>
          <w:sz w:val="21"/>
          <w:szCs w:val="21"/>
          <w:b w:val="1"/>
          <w:bCs w:val="1"/>
          <w:color w:val="auto"/>
        </w:rPr>
        <w:t>APPENDIX C</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January 1, 2022 - December 31, 2024 Performance Criteria</w:t>
      </w:r>
    </w:p>
    <w:p>
      <w:pPr>
        <w:spacing w:after="0" w:line="227"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b w:val="1"/>
          <w:bCs w:val="1"/>
          <w:u w:val="single" w:color="auto"/>
          <w:color w:val="auto"/>
        </w:rPr>
        <w:t>Renewable Generation</w:t>
      </w:r>
      <w:r>
        <w:rPr>
          <w:rFonts w:ascii="Arial" w:cs="Arial" w:eastAsia="Arial" w:hAnsi="Arial"/>
          <w:sz w:val="19"/>
          <w:szCs w:val="19"/>
          <w:b w:val="1"/>
          <w:bCs w:val="1"/>
          <w:color w:val="auto"/>
        </w:rPr>
        <w:t xml:space="preserve">: </w:t>
      </w:r>
      <w:r>
        <w:rPr>
          <w:rFonts w:ascii="Arial" w:cs="Arial" w:eastAsia="Arial" w:hAnsi="Arial"/>
          <w:sz w:val="19"/>
          <w:szCs w:val="19"/>
          <w:color w:val="auto"/>
        </w:rPr>
        <w:t>Six and seven-tenths percent (6.7%) of the target RSUs subject to this Agreement shall become vested based upon</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by the Company or one of its subsidiaries of renewable generation from January 1, 2022 to December 31, 2024, calculated in the following manner:</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65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Objectives</w:t>
            </w:r>
          </w:p>
        </w:tc>
        <w:tc>
          <w:tcPr>
            <w:tcW w:w="1000" w:type="dxa"/>
            <w:vAlign w:val="bottom"/>
            <w:tcBorders>
              <w:top w:val="single" w:sz="8" w:color="auto"/>
            </w:tcBorders>
            <w:gridSpan w:val="3"/>
          </w:tcPr>
          <w:p>
            <w:pPr>
              <w:jc w:val="center"/>
              <w:ind w:left="331"/>
              <w:spacing w:after="0" w:line="142" w:lineRule="exact"/>
              <w:rPr>
                <w:sz w:val="20"/>
                <w:szCs w:val="20"/>
                <w:color w:val="auto"/>
              </w:rPr>
            </w:pPr>
            <w:r>
              <w:rPr>
                <w:rFonts w:ascii="Arial" w:cs="Arial" w:eastAsia="Arial" w:hAnsi="Arial"/>
                <w:sz w:val="14"/>
                <w:szCs w:val="14"/>
                <w:b w:val="1"/>
                <w:bCs w:val="1"/>
                <w:color w:val="auto"/>
                <w:w w:val="88"/>
              </w:rPr>
              <w:t>Threshold</w:t>
            </w:r>
          </w:p>
        </w:tc>
        <w:tc>
          <w:tcPr>
            <w:tcW w:w="4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w w:val="93"/>
              </w:rPr>
              <w:t>Target</w:t>
            </w:r>
          </w:p>
        </w:tc>
        <w:tc>
          <w:tcPr>
            <w:tcW w:w="32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Stretch</w:t>
            </w:r>
          </w:p>
        </w:tc>
        <w:tc>
          <w:tcPr>
            <w:tcW w:w="840" w:type="dxa"/>
            <w:vAlign w:val="bottom"/>
            <w:tcBorders>
              <w:top w:val="single" w:sz="8" w:color="auto"/>
            </w:tcBorders>
            <w:gridSpan w:val="2"/>
          </w:tcPr>
          <w:p>
            <w:pPr>
              <w:jc w:val="center"/>
              <w:ind w:left="251"/>
              <w:spacing w:after="0" w:line="142" w:lineRule="exact"/>
              <w:rPr>
                <w:sz w:val="20"/>
                <w:szCs w:val="20"/>
                <w:color w:val="auto"/>
              </w:rPr>
            </w:pPr>
            <w:r>
              <w:rPr>
                <w:rFonts w:ascii="Arial" w:cs="Arial" w:eastAsia="Arial" w:hAnsi="Arial"/>
                <w:sz w:val="14"/>
                <w:szCs w:val="14"/>
                <w:b w:val="1"/>
                <w:bCs w:val="1"/>
                <w:color w:val="auto"/>
                <w:w w:val="90"/>
              </w:rPr>
              <w:t>Superior</w:t>
            </w:r>
          </w:p>
        </w:tc>
        <w:tc>
          <w:tcPr>
            <w:tcW w:w="3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5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w w:val="96"/>
              </w:rPr>
              <w:t>(30%)</w:t>
            </w:r>
          </w:p>
        </w:tc>
        <w:tc>
          <w:tcPr>
            <w:tcW w:w="400" w:type="dxa"/>
            <w:vAlign w:val="bottom"/>
            <w:tcBorders>
              <w:right w:val="single" w:sz="8" w:color="auto"/>
            </w:tcBorders>
          </w:tcPr>
          <w:p>
            <w:pPr>
              <w:spacing w:after="0"/>
              <w:rPr>
                <w:sz w:val="9"/>
                <w:szCs w:val="9"/>
                <w:color w:val="auto"/>
              </w:rPr>
            </w:pPr>
          </w:p>
        </w:tc>
        <w:tc>
          <w:tcPr>
            <w:tcW w:w="74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2"/>
              </w:rPr>
              <w:t>(100%)</w:t>
            </w:r>
          </w:p>
        </w:tc>
        <w:tc>
          <w:tcPr>
            <w:tcW w:w="3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2"/>
              </w:rPr>
              <w:t>(150%)</w:t>
            </w:r>
          </w:p>
        </w:tc>
        <w:tc>
          <w:tcPr>
            <w:tcW w:w="36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(200%)</w:t>
            </w:r>
          </w:p>
        </w:tc>
        <w:tc>
          <w:tcPr>
            <w:tcW w:w="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00" w:type="dxa"/>
            <w:vAlign w:val="bottom"/>
            <w:tcBorders>
              <w:left w:val="single" w:sz="8" w:color="auto"/>
              <w:bottom w:val="single" w:sz="8" w:color="auto"/>
              <w:right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vMerge w:val="continue"/>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gridSpan w:val="3"/>
            <w:vMerge w:val="continue"/>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50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11"/>
                <w:szCs w:val="11"/>
                <w:color w:val="auto"/>
              </w:rPr>
              <w:t>Renewable Generation</w:t>
            </w:r>
            <w:r>
              <w:rPr>
                <w:rFonts w:ascii="Arial" w:cs="Arial" w:eastAsia="Arial" w:hAnsi="Arial"/>
                <w:sz w:val="14"/>
                <w:szCs w:val="14"/>
                <w:color w:val="auto"/>
                <w:vertAlign w:val="superscript"/>
              </w:rPr>
              <w:t>3</w:t>
            </w:r>
          </w:p>
        </w:tc>
        <w:tc>
          <w:tcPr>
            <w:tcW w:w="72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340  MW</w:t>
            </w:r>
          </w:p>
        </w:tc>
        <w:tc>
          <w:tcPr>
            <w:tcW w:w="280" w:type="dxa"/>
            <w:vAlign w:val="bottom"/>
          </w:tcPr>
          <w:p>
            <w:pPr>
              <w:ind w:left="20"/>
              <w:spacing w:after="0" w:line="123" w:lineRule="exact"/>
              <w:rPr>
                <w:sz w:val="20"/>
                <w:szCs w:val="20"/>
                <w:color w:val="auto"/>
              </w:rPr>
            </w:pPr>
            <w:r>
              <w:rPr>
                <w:rFonts w:ascii="Arial" w:cs="Arial" w:eastAsia="Arial" w:hAnsi="Arial"/>
                <w:sz w:val="14"/>
                <w:szCs w:val="14"/>
                <w:color w:val="auto"/>
              </w:rPr>
              <w:t>are</w:t>
            </w:r>
          </w:p>
        </w:tc>
        <w:tc>
          <w:tcPr>
            <w:tcW w:w="40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under</w:t>
            </w:r>
          </w:p>
        </w:tc>
        <w:tc>
          <w:tcPr>
            <w:tcW w:w="1060" w:type="dxa"/>
            <w:vAlign w:val="bottom"/>
            <w:tcBorders>
              <w:right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5"/>
              </w:rPr>
              <w:t>340-640 MW are</w:t>
            </w:r>
          </w:p>
        </w:tc>
        <w:tc>
          <w:tcPr>
            <w:tcW w:w="620" w:type="dxa"/>
            <w:vAlign w:val="bottom"/>
            <w:gridSpan w:val="2"/>
          </w:tcPr>
          <w:p>
            <w:pPr>
              <w:spacing w:after="0" w:line="123" w:lineRule="exact"/>
              <w:rPr>
                <w:sz w:val="20"/>
                <w:szCs w:val="20"/>
                <w:color w:val="auto"/>
              </w:rPr>
            </w:pPr>
            <w:r>
              <w:rPr>
                <w:rFonts w:ascii="Arial" w:cs="Arial" w:eastAsia="Arial" w:hAnsi="Arial"/>
                <w:sz w:val="14"/>
                <w:szCs w:val="14"/>
                <w:color w:val="auto"/>
              </w:rPr>
              <w:t>700  MW</w:t>
            </w:r>
          </w:p>
        </w:tc>
        <w:tc>
          <w:tcPr>
            <w:tcW w:w="48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under</w:t>
            </w:r>
          </w:p>
        </w:tc>
        <w:tc>
          <w:tcPr>
            <w:tcW w:w="360" w:type="dxa"/>
            <w:vAlign w:val="bottom"/>
          </w:tcPr>
          <w:p>
            <w:pPr>
              <w:spacing w:after="0" w:line="123" w:lineRule="exact"/>
              <w:rPr>
                <w:sz w:val="20"/>
                <w:szCs w:val="20"/>
                <w:color w:val="auto"/>
              </w:rPr>
            </w:pPr>
            <w:r>
              <w:rPr>
                <w:rFonts w:ascii="Arial" w:cs="Arial" w:eastAsia="Arial" w:hAnsi="Arial"/>
                <w:sz w:val="14"/>
                <w:szCs w:val="14"/>
                <w:color w:val="auto"/>
              </w:rPr>
              <w:t>890</w:t>
            </w:r>
          </w:p>
        </w:tc>
        <w:tc>
          <w:tcPr>
            <w:tcW w:w="480" w:type="dxa"/>
            <w:vAlign w:val="bottom"/>
          </w:tcPr>
          <w:p>
            <w:pPr>
              <w:ind w:left="60"/>
              <w:spacing w:after="0" w:line="123" w:lineRule="exact"/>
              <w:rPr>
                <w:sz w:val="20"/>
                <w:szCs w:val="20"/>
                <w:color w:val="auto"/>
              </w:rPr>
            </w:pPr>
            <w:r>
              <w:rPr>
                <w:rFonts w:ascii="Arial" w:cs="Arial" w:eastAsia="Arial" w:hAnsi="Arial"/>
                <w:sz w:val="14"/>
                <w:szCs w:val="14"/>
                <w:color w:val="auto"/>
              </w:rPr>
              <w:t>NW</w:t>
            </w:r>
          </w:p>
        </w:tc>
        <w:tc>
          <w:tcPr>
            <w:tcW w:w="36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4"/>
                <w:szCs w:val="14"/>
                <w:color w:val="auto"/>
                <w:w w:val="83"/>
              </w:rPr>
              <w:t>under</w:t>
            </w:r>
          </w:p>
        </w:tc>
        <w:tc>
          <w:tcPr>
            <w:tcW w:w="0" w:type="dxa"/>
            <w:vAlign w:val="bottom"/>
          </w:tcPr>
          <w:p>
            <w:pPr>
              <w:spacing w:after="0"/>
              <w:rPr>
                <w:sz w:val="1"/>
                <w:szCs w:val="1"/>
                <w:color w:val="auto"/>
              </w:rPr>
            </w:pPr>
          </w:p>
        </w:tc>
      </w:tr>
      <w:tr>
        <w:trPr>
          <w:trHeight w:val="129"/>
        </w:trPr>
        <w:tc>
          <w:tcPr>
            <w:tcW w:w="6500" w:type="dxa"/>
            <w:vAlign w:val="bottom"/>
            <w:tcBorders>
              <w:left w:val="single" w:sz="8" w:color="auto"/>
              <w:right w:val="single" w:sz="8" w:color="auto"/>
            </w:tcBorders>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4"/>
                <w:szCs w:val="14"/>
                <w:color w:val="auto"/>
                <w:w w:val="90"/>
              </w:rPr>
              <w:t>construction</w:t>
            </w:r>
          </w:p>
        </w:tc>
        <w:tc>
          <w:tcPr>
            <w:tcW w:w="280" w:type="dxa"/>
            <w:vAlign w:val="bottom"/>
          </w:tcPr>
          <w:p>
            <w:pPr>
              <w:ind w:left="60"/>
              <w:spacing w:after="0" w:line="129" w:lineRule="exact"/>
              <w:rPr>
                <w:sz w:val="20"/>
                <w:szCs w:val="20"/>
                <w:color w:val="auto"/>
              </w:rPr>
            </w:pPr>
            <w:r>
              <w:rPr>
                <w:rFonts w:ascii="Arial" w:cs="Arial" w:eastAsia="Arial" w:hAnsi="Arial"/>
                <w:sz w:val="14"/>
                <w:szCs w:val="14"/>
                <w:color w:val="auto"/>
              </w:rPr>
              <w:t>(or</w:t>
            </w:r>
          </w:p>
        </w:tc>
        <w:tc>
          <w:tcPr>
            <w:tcW w:w="40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under</w:t>
            </w:r>
          </w:p>
        </w:tc>
        <w:tc>
          <w:tcPr>
            <w:tcW w:w="740" w:type="dxa"/>
            <w:vAlign w:val="bottom"/>
          </w:tcPr>
          <w:p>
            <w:pPr>
              <w:ind w:left="20"/>
              <w:spacing w:after="0" w:line="129" w:lineRule="exact"/>
              <w:rPr>
                <w:sz w:val="20"/>
                <w:szCs w:val="20"/>
                <w:color w:val="auto"/>
              </w:rPr>
            </w:pPr>
            <w:r>
              <w:rPr>
                <w:rFonts w:ascii="Arial" w:cs="Arial" w:eastAsia="Arial" w:hAnsi="Arial"/>
                <w:sz w:val="14"/>
                <w:szCs w:val="14"/>
                <w:color w:val="auto"/>
              </w:rPr>
              <w:t>in-service</w:t>
            </w:r>
          </w:p>
        </w:tc>
        <w:tc>
          <w:tcPr>
            <w:tcW w:w="32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rPr>
              <w:t>by</w:t>
            </w:r>
          </w:p>
        </w:tc>
        <w:tc>
          <w:tcPr>
            <w:tcW w:w="460" w:type="dxa"/>
            <w:vAlign w:val="bottom"/>
          </w:tcPr>
          <w:p>
            <w:pPr>
              <w:spacing w:after="0" w:line="129" w:lineRule="exact"/>
              <w:rPr>
                <w:sz w:val="20"/>
                <w:szCs w:val="20"/>
                <w:color w:val="auto"/>
              </w:rPr>
            </w:pPr>
            <w:r>
              <w:rPr>
                <w:rFonts w:ascii="Arial" w:cs="Arial" w:eastAsia="Arial" w:hAnsi="Arial"/>
                <w:sz w:val="14"/>
                <w:szCs w:val="14"/>
                <w:color w:val="auto"/>
                <w:w w:val="88"/>
              </w:rPr>
              <w:t>contract</w:t>
            </w:r>
          </w:p>
        </w:tc>
        <w:tc>
          <w:tcPr>
            <w:tcW w:w="640" w:type="dxa"/>
            <w:vAlign w:val="bottom"/>
            <w:tcBorders>
              <w:right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with 490</w:t>
            </w:r>
          </w:p>
        </w:tc>
        <w:tc>
          <w:tcPr>
            <w:tcW w:w="840" w:type="dxa"/>
            <w:vAlign w:val="bottom"/>
            <w:gridSpan w:val="2"/>
          </w:tcPr>
          <w:p>
            <w:pPr>
              <w:spacing w:after="0" w:line="129" w:lineRule="exact"/>
              <w:rPr>
                <w:sz w:val="20"/>
                <w:szCs w:val="20"/>
                <w:color w:val="auto"/>
              </w:rPr>
            </w:pPr>
            <w:r>
              <w:rPr>
                <w:rFonts w:ascii="Arial" w:cs="Arial" w:eastAsia="Arial" w:hAnsi="Arial"/>
                <w:sz w:val="14"/>
                <w:szCs w:val="14"/>
                <w:color w:val="auto"/>
              </w:rPr>
              <w:t>construction,</w:t>
            </w:r>
          </w:p>
        </w:tc>
        <w:tc>
          <w:tcPr>
            <w:tcW w:w="3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rPr>
              <w:t>with</w:t>
            </w:r>
          </w:p>
        </w:tc>
        <w:tc>
          <w:tcPr>
            <w:tcW w:w="0" w:type="dxa"/>
            <w:vAlign w:val="bottom"/>
          </w:tcPr>
          <w:p>
            <w:pPr>
              <w:spacing w:after="0"/>
              <w:rPr>
                <w:sz w:val="1"/>
                <w:szCs w:val="1"/>
                <w:color w:val="auto"/>
              </w:rPr>
            </w:pPr>
          </w:p>
        </w:tc>
      </w:tr>
      <w:tr>
        <w:trPr>
          <w:trHeight w:val="129"/>
        </w:trPr>
        <w:tc>
          <w:tcPr>
            <w:tcW w:w="6500" w:type="dxa"/>
            <w:vAlign w:val="bottom"/>
            <w:tcBorders>
              <w:left w:val="single" w:sz="8" w:color="auto"/>
              <w:right w:val="single" w:sz="8" w:color="auto"/>
            </w:tcBorders>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color w:val="auto"/>
                <w:w w:val="92"/>
              </w:rPr>
              <w:t>contract</w:t>
            </w:r>
          </w:p>
        </w:tc>
        <w:tc>
          <w:tcPr>
            <w:tcW w:w="500" w:type="dxa"/>
            <w:vAlign w:val="bottom"/>
            <w:gridSpan w:val="2"/>
          </w:tcPr>
          <w:p>
            <w:pPr>
              <w:ind w:left="160"/>
              <w:spacing w:after="0" w:line="129" w:lineRule="exact"/>
              <w:rPr>
                <w:sz w:val="20"/>
                <w:szCs w:val="20"/>
                <w:color w:val="auto"/>
              </w:rPr>
            </w:pPr>
            <w:r>
              <w:rPr>
                <w:rFonts w:ascii="Arial" w:cs="Arial" w:eastAsia="Arial" w:hAnsi="Arial"/>
                <w:sz w:val="14"/>
                <w:szCs w:val="14"/>
                <w:color w:val="auto"/>
              </w:rPr>
              <w:t>for</w:t>
            </w:r>
          </w:p>
        </w:tc>
        <w:tc>
          <w:tcPr>
            <w:tcW w:w="40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power</w:t>
            </w:r>
          </w:p>
        </w:tc>
        <w:tc>
          <w:tcPr>
            <w:tcW w:w="740" w:type="dxa"/>
            <w:vAlign w:val="bottom"/>
          </w:tcPr>
          <w:p>
            <w:pPr>
              <w:ind w:left="20"/>
              <w:spacing w:after="0" w:line="129" w:lineRule="exact"/>
              <w:rPr>
                <w:sz w:val="20"/>
                <w:szCs w:val="20"/>
                <w:color w:val="auto"/>
              </w:rPr>
            </w:pPr>
            <w:r>
              <w:rPr>
                <w:rFonts w:ascii="Arial" w:cs="Arial" w:eastAsia="Arial" w:hAnsi="Arial"/>
                <w:sz w:val="14"/>
                <w:szCs w:val="14"/>
                <w:color w:val="auto"/>
              </w:rPr>
              <w:t>year-end</w:t>
            </w:r>
          </w:p>
        </w:tc>
        <w:tc>
          <w:tcPr>
            <w:tcW w:w="32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w w:val="83"/>
              </w:rPr>
              <w:t>2024</w:t>
            </w:r>
          </w:p>
        </w:tc>
        <w:tc>
          <w:tcPr>
            <w:tcW w:w="460" w:type="dxa"/>
            <w:vAlign w:val="bottom"/>
          </w:tcPr>
          <w:p>
            <w:pPr>
              <w:spacing w:after="0" w:line="129" w:lineRule="exact"/>
              <w:rPr>
                <w:sz w:val="20"/>
                <w:szCs w:val="20"/>
                <w:color w:val="auto"/>
              </w:rPr>
            </w:pPr>
            <w:r>
              <w:rPr>
                <w:rFonts w:ascii="Arial" w:cs="Arial" w:eastAsia="Arial" w:hAnsi="Arial"/>
                <w:sz w:val="14"/>
                <w:szCs w:val="14"/>
                <w:color w:val="auto"/>
              </w:rPr>
              <w:t>MW</w:t>
            </w:r>
          </w:p>
        </w:tc>
        <w:tc>
          <w:tcPr>
            <w:tcW w:w="160" w:type="dxa"/>
            <w:vAlign w:val="bottom"/>
          </w:tcPr>
          <w:p>
            <w:pPr>
              <w:jc w:val="center"/>
              <w:spacing w:after="0" w:line="129" w:lineRule="exact"/>
              <w:rPr>
                <w:sz w:val="20"/>
                <w:szCs w:val="20"/>
                <w:color w:val="auto"/>
              </w:rPr>
            </w:pPr>
            <w:r>
              <w:rPr>
                <w:rFonts w:ascii="Arial" w:cs="Arial" w:eastAsia="Arial" w:hAnsi="Arial"/>
                <w:sz w:val="14"/>
                <w:szCs w:val="14"/>
                <w:color w:val="auto"/>
                <w:w w:val="79"/>
              </w:rPr>
              <w:t>or</w:t>
            </w:r>
          </w:p>
        </w:tc>
        <w:tc>
          <w:tcPr>
            <w:tcW w:w="4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rPr>
              <w:t>more</w:t>
            </w:r>
          </w:p>
        </w:tc>
        <w:tc>
          <w:tcPr>
            <w:tcW w:w="120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color w:val="auto"/>
                <w:w w:val="98"/>
              </w:rPr>
              <w:t>490 MW of the 890</w:t>
            </w:r>
          </w:p>
        </w:tc>
        <w:tc>
          <w:tcPr>
            <w:tcW w:w="0" w:type="dxa"/>
            <w:vAlign w:val="bottom"/>
          </w:tcPr>
          <w:p>
            <w:pPr>
              <w:spacing w:after="0"/>
              <w:rPr>
                <w:sz w:val="1"/>
                <w:szCs w:val="1"/>
                <w:color w:val="auto"/>
              </w:rPr>
            </w:pPr>
          </w:p>
        </w:tc>
      </w:tr>
      <w:tr>
        <w:trPr>
          <w:trHeight w:val="129"/>
        </w:trPr>
        <w:tc>
          <w:tcPr>
            <w:tcW w:w="6500" w:type="dxa"/>
            <w:vAlign w:val="bottom"/>
            <w:tcBorders>
              <w:left w:val="single" w:sz="8" w:color="auto"/>
              <w:right w:val="single" w:sz="8" w:color="auto"/>
            </w:tcBorders>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color w:val="auto"/>
                <w:w w:val="79"/>
              </w:rPr>
              <w:t>purchase</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0"/>
              </w:rPr>
              <w:t>by</w:t>
            </w:r>
          </w:p>
        </w:tc>
        <w:tc>
          <w:tcPr>
            <w:tcW w:w="680" w:type="dxa"/>
            <w:vAlign w:val="bottom"/>
            <w:tcBorders>
              <w:right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2"/>
              </w:rPr>
              <w:t>agreement</w:t>
            </w:r>
          </w:p>
        </w:tc>
        <w:tc>
          <w:tcPr>
            <w:tcW w:w="740" w:type="dxa"/>
            <w:vAlign w:val="bottom"/>
          </w:tcPr>
          <w:p>
            <w:pPr>
              <w:ind w:left="20"/>
              <w:spacing w:after="0" w:line="129" w:lineRule="exact"/>
              <w:rPr>
                <w:sz w:val="20"/>
                <w:szCs w:val="20"/>
                <w:color w:val="auto"/>
              </w:rPr>
            </w:pPr>
            <w:r>
              <w:rPr>
                <w:rFonts w:ascii="Arial" w:cs="Arial" w:eastAsia="Arial" w:hAnsi="Arial"/>
                <w:sz w:val="14"/>
                <w:szCs w:val="14"/>
                <w:color w:val="auto"/>
              </w:rPr>
              <w:t>(new</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or</w:t>
            </w:r>
          </w:p>
        </w:tc>
        <w:tc>
          <w:tcPr>
            <w:tcW w:w="460" w:type="dxa"/>
            <w:vAlign w:val="bottom"/>
          </w:tcPr>
          <w:p>
            <w:pPr>
              <w:spacing w:after="0" w:line="129" w:lineRule="exact"/>
              <w:rPr>
                <w:sz w:val="20"/>
                <w:szCs w:val="20"/>
                <w:color w:val="auto"/>
              </w:rPr>
            </w:pPr>
            <w:r>
              <w:rPr>
                <w:rFonts w:ascii="Arial" w:cs="Arial" w:eastAsia="Arial" w:hAnsi="Arial"/>
                <w:sz w:val="14"/>
                <w:szCs w:val="14"/>
                <w:color w:val="auto"/>
              </w:rPr>
              <w:t>placed</w:t>
            </w:r>
          </w:p>
        </w:tc>
        <w:tc>
          <w:tcPr>
            <w:tcW w:w="160" w:type="dxa"/>
            <w:vAlign w:val="bottom"/>
          </w:tcPr>
          <w:p>
            <w:pPr>
              <w:spacing w:after="0" w:line="129" w:lineRule="exact"/>
              <w:rPr>
                <w:sz w:val="20"/>
                <w:szCs w:val="20"/>
                <w:color w:val="auto"/>
              </w:rPr>
            </w:pPr>
            <w:r>
              <w:rPr>
                <w:rFonts w:ascii="Arial" w:cs="Arial" w:eastAsia="Arial" w:hAnsi="Arial"/>
                <w:sz w:val="14"/>
                <w:szCs w:val="14"/>
                <w:color w:val="auto"/>
              </w:rPr>
              <w:t>in</w:t>
            </w:r>
          </w:p>
        </w:tc>
        <w:tc>
          <w:tcPr>
            <w:tcW w:w="48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w w:val="90"/>
              </w:rPr>
              <w:t>service</w:t>
            </w:r>
          </w:p>
        </w:tc>
        <w:tc>
          <w:tcPr>
            <w:tcW w:w="360" w:type="dxa"/>
            <w:vAlign w:val="bottom"/>
          </w:tcPr>
          <w:p>
            <w:pPr>
              <w:spacing w:after="0" w:line="129" w:lineRule="exact"/>
              <w:rPr>
                <w:sz w:val="20"/>
                <w:szCs w:val="20"/>
                <w:color w:val="auto"/>
              </w:rPr>
            </w:pPr>
            <w:r>
              <w:rPr>
                <w:rFonts w:ascii="Arial" w:cs="Arial" w:eastAsia="Arial" w:hAnsi="Arial"/>
                <w:sz w:val="14"/>
                <w:szCs w:val="14"/>
                <w:color w:val="auto"/>
              </w:rPr>
              <w:t>MW</w:t>
            </w:r>
          </w:p>
        </w:tc>
        <w:tc>
          <w:tcPr>
            <w:tcW w:w="840" w:type="dxa"/>
            <w:vAlign w:val="bottom"/>
            <w:tcBorders>
              <w:right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4"/>
              </w:rPr>
              <w:t>in-service  by</w:t>
            </w:r>
          </w:p>
        </w:tc>
        <w:tc>
          <w:tcPr>
            <w:tcW w:w="0" w:type="dxa"/>
            <w:vAlign w:val="bottom"/>
          </w:tcPr>
          <w:p>
            <w:pPr>
              <w:spacing w:after="0"/>
              <w:rPr>
                <w:sz w:val="1"/>
                <w:szCs w:val="1"/>
                <w:color w:val="auto"/>
              </w:rPr>
            </w:pPr>
          </w:p>
        </w:tc>
      </w:tr>
      <w:tr>
        <w:trPr>
          <w:trHeight w:val="129"/>
        </w:trPr>
        <w:tc>
          <w:tcPr>
            <w:tcW w:w="6500" w:type="dxa"/>
            <w:vAlign w:val="bottom"/>
            <w:tcBorders>
              <w:left w:val="single" w:sz="8" w:color="auto"/>
              <w:right w:val="single" w:sz="8" w:color="auto"/>
            </w:tcBorders>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color w:val="auto"/>
              </w:rPr>
              <w:t>buy-in)</w:t>
            </w:r>
          </w:p>
        </w:tc>
        <w:tc>
          <w:tcPr>
            <w:tcW w:w="220" w:type="dxa"/>
            <w:vAlign w:val="bottom"/>
            <w:vMerge w:val="continue"/>
          </w:tcPr>
          <w:p>
            <w:pPr>
              <w:spacing w:after="0"/>
              <w:rPr>
                <w:sz w:val="11"/>
                <w:szCs w:val="11"/>
                <w:color w:val="auto"/>
              </w:rPr>
            </w:pPr>
          </w:p>
        </w:tc>
        <w:tc>
          <w:tcPr>
            <w:tcW w:w="680" w:type="dxa"/>
            <w:vAlign w:val="bottom"/>
            <w:tcBorders>
              <w:right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year-end</w:t>
            </w:r>
          </w:p>
        </w:tc>
        <w:tc>
          <w:tcPr>
            <w:tcW w:w="740" w:type="dxa"/>
            <w:vAlign w:val="bottom"/>
          </w:tcPr>
          <w:p>
            <w:pPr>
              <w:ind w:left="20"/>
              <w:spacing w:after="0" w:line="129" w:lineRule="exact"/>
              <w:rPr>
                <w:sz w:val="20"/>
                <w:szCs w:val="20"/>
                <w:color w:val="auto"/>
              </w:rPr>
            </w:pPr>
            <w:r>
              <w:rPr>
                <w:rFonts w:ascii="Arial" w:cs="Arial" w:eastAsia="Arial" w:hAnsi="Arial"/>
                <w:sz w:val="14"/>
                <w:szCs w:val="14"/>
                <w:color w:val="auto"/>
                <w:w w:val="87"/>
              </w:rPr>
              <w:t>development</w:t>
            </w:r>
          </w:p>
        </w:tc>
        <w:tc>
          <w:tcPr>
            <w:tcW w:w="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color w:val="auto"/>
                <w:w w:val="97"/>
              </w:rPr>
              <w:t>by year-end 2024</w:t>
            </w:r>
          </w:p>
        </w:tc>
        <w:tc>
          <w:tcPr>
            <w:tcW w:w="120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color w:val="auto"/>
                <w:w w:val="93"/>
              </w:rPr>
              <w:t>year-end 2024 (new</w:t>
            </w:r>
          </w:p>
        </w:tc>
        <w:tc>
          <w:tcPr>
            <w:tcW w:w="0" w:type="dxa"/>
            <w:vAlign w:val="bottom"/>
          </w:tcPr>
          <w:p>
            <w:pPr>
              <w:spacing w:after="0"/>
              <w:rPr>
                <w:sz w:val="1"/>
                <w:szCs w:val="1"/>
                <w:color w:val="auto"/>
              </w:rPr>
            </w:pPr>
          </w:p>
        </w:tc>
      </w:tr>
      <w:tr>
        <w:trPr>
          <w:trHeight w:val="129"/>
        </w:trPr>
        <w:tc>
          <w:tcPr>
            <w:tcW w:w="6500" w:type="dxa"/>
            <w:vAlign w:val="bottom"/>
            <w:tcBorders>
              <w:left w:val="single" w:sz="8" w:color="auto"/>
              <w:right w:val="single" w:sz="8" w:color="auto"/>
            </w:tcBorders>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color w:val="auto"/>
              </w:rPr>
              <w:t>2024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gridSpan w:val="2"/>
          </w:tcPr>
          <w:p>
            <w:pPr>
              <w:ind w:left="20"/>
              <w:spacing w:after="0" w:line="129" w:lineRule="exact"/>
              <w:rPr>
                <w:sz w:val="20"/>
                <w:szCs w:val="20"/>
                <w:color w:val="auto"/>
              </w:rPr>
            </w:pPr>
            <w:r>
              <w:rPr>
                <w:rFonts w:ascii="Arial" w:cs="Arial" w:eastAsia="Arial" w:hAnsi="Arial"/>
                <w:sz w:val="14"/>
                <w:szCs w:val="14"/>
                <w:color w:val="auto"/>
                <w:w w:val="93"/>
              </w:rPr>
              <w:t>power   purchase</w:t>
            </w:r>
          </w:p>
        </w:tc>
        <w:tc>
          <w:tcPr>
            <w:tcW w:w="110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color w:val="auto"/>
                <w:w w:val="92"/>
              </w:rPr>
              <w:t>(new development</w:t>
            </w:r>
          </w:p>
        </w:tc>
        <w:tc>
          <w:tcPr>
            <w:tcW w:w="840" w:type="dxa"/>
            <w:vAlign w:val="bottom"/>
            <w:gridSpan w:val="2"/>
          </w:tcPr>
          <w:p>
            <w:pPr>
              <w:spacing w:after="0" w:line="129" w:lineRule="exact"/>
              <w:rPr>
                <w:sz w:val="20"/>
                <w:szCs w:val="20"/>
                <w:color w:val="auto"/>
              </w:rPr>
            </w:pPr>
            <w:r>
              <w:rPr>
                <w:rFonts w:ascii="Arial" w:cs="Arial" w:eastAsia="Arial" w:hAnsi="Arial"/>
                <w:sz w:val="14"/>
                <w:szCs w:val="14"/>
                <w:color w:val="auto"/>
              </w:rPr>
              <w:t>development</w:t>
            </w:r>
          </w:p>
        </w:tc>
        <w:tc>
          <w:tcPr>
            <w:tcW w:w="3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rPr>
              <w:t>or</w:t>
            </w:r>
          </w:p>
        </w:tc>
        <w:tc>
          <w:tcPr>
            <w:tcW w:w="0" w:type="dxa"/>
            <w:vAlign w:val="bottom"/>
          </w:tcPr>
          <w:p>
            <w:pPr>
              <w:spacing w:after="0"/>
              <w:rPr>
                <w:sz w:val="1"/>
                <w:szCs w:val="1"/>
                <w:color w:val="auto"/>
              </w:rPr>
            </w:pPr>
          </w:p>
        </w:tc>
      </w:tr>
      <w:tr>
        <w:trPr>
          <w:trHeight w:val="129"/>
        </w:trPr>
        <w:tc>
          <w:tcPr>
            <w:tcW w:w="6500" w:type="dxa"/>
            <w:vAlign w:val="bottom"/>
            <w:tcBorders>
              <w:left w:val="single" w:sz="8" w:color="auto"/>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4"/>
                <w:szCs w:val="14"/>
                <w:color w:val="auto"/>
              </w:rPr>
              <w:t>agreement</w:t>
            </w:r>
          </w:p>
        </w:tc>
        <w:tc>
          <w:tcPr>
            <w:tcW w:w="32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buy-</w:t>
            </w:r>
          </w:p>
        </w:tc>
        <w:tc>
          <w:tcPr>
            <w:tcW w:w="110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color w:val="auto"/>
                <w:w w:val="91"/>
              </w:rPr>
              <w:t>or power purchase</w:t>
            </w:r>
          </w:p>
        </w:tc>
        <w:tc>
          <w:tcPr>
            <w:tcW w:w="360" w:type="dxa"/>
            <w:vAlign w:val="bottom"/>
          </w:tcPr>
          <w:p>
            <w:pPr>
              <w:spacing w:after="0" w:line="129" w:lineRule="exact"/>
              <w:rPr>
                <w:sz w:val="20"/>
                <w:szCs w:val="20"/>
                <w:color w:val="auto"/>
              </w:rPr>
            </w:pPr>
            <w:r>
              <w:rPr>
                <w:rFonts w:ascii="Arial" w:cs="Arial" w:eastAsia="Arial" w:hAnsi="Arial"/>
                <w:sz w:val="14"/>
                <w:szCs w:val="14"/>
                <w:color w:val="auto"/>
                <w:w w:val="89"/>
              </w:rPr>
              <w:t>power</w:t>
            </w:r>
          </w:p>
        </w:tc>
        <w:tc>
          <w:tcPr>
            <w:tcW w:w="840" w:type="dxa"/>
            <w:vAlign w:val="bottom"/>
            <w:tcBorders>
              <w:right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purchase</w:t>
            </w:r>
          </w:p>
        </w:tc>
        <w:tc>
          <w:tcPr>
            <w:tcW w:w="0" w:type="dxa"/>
            <w:vAlign w:val="bottom"/>
          </w:tcPr>
          <w:p>
            <w:pPr>
              <w:spacing w:after="0"/>
              <w:rPr>
                <w:sz w:val="1"/>
                <w:szCs w:val="1"/>
                <w:color w:val="auto"/>
              </w:rPr>
            </w:pPr>
          </w:p>
        </w:tc>
      </w:tr>
      <w:tr>
        <w:trPr>
          <w:trHeight w:val="177"/>
        </w:trPr>
        <w:tc>
          <w:tcPr>
            <w:tcW w:w="65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w:t>
            </w:r>
          </w:p>
        </w:tc>
        <w:tc>
          <w:tcPr>
            <w:tcW w:w="32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w w:val="93"/>
              </w:rPr>
              <w:t>agreement buy-in)</w:t>
            </w:r>
          </w:p>
        </w:tc>
        <w:tc>
          <w:tcPr>
            <w:tcW w:w="12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agreement buy-in)</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80" w:hanging="77"/>
        <w:spacing w:after="0"/>
        <w:tabs>
          <w:tab w:leader="none" w:pos="8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The Committee shall have the authority and discretion to determine performance outcomes between the various performance criterion.</w:t>
      </w:r>
    </w:p>
    <w:p>
      <w:pPr>
        <w:sectPr>
          <w:pgSz w:w="11900" w:h="16838" w:orient="portrait"/>
          <w:cols w:equalWidth="0" w:num="1">
            <w:col w:w="11260"/>
          </w:cols>
          <w:pgMar w:left="320" w:top="1350" w:right="319" w:bottom="1440" w:gutter="0" w:footer="0" w:header="0"/>
        </w:sectPr>
      </w:pPr>
    </w:p>
    <w:bookmarkStart w:id="196" w:name="page197"/>
    <w:bookmarkEnd w:id="196"/>
    <w:p>
      <w:pPr>
        <w:ind w:left="10080"/>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Arial" w:cs="Arial" w:eastAsia="Arial" w:hAnsi="Arial"/>
          <w:sz w:val="21"/>
          <w:szCs w:val="21"/>
          <w:b w:val="1"/>
          <w:bCs w:val="1"/>
          <w:color w:val="auto"/>
        </w:rPr>
        <w:t>EVERGY, INC.</w:t>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21"/>
          <w:szCs w:val="21"/>
          <w:b w:val="1"/>
          <w:bCs w:val="1"/>
          <w:color w:val="auto"/>
        </w:rPr>
        <w:t>2022 RESTRICTED STOCK UNIT AGREEMENT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(TIME-BASED VESTING)</w:t>
      </w:r>
    </w:p>
    <w:p>
      <w:pPr>
        <w:spacing w:after="0" w:line="192"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THIS RESTRICTED STOCK UNIT AGREEMENT (the “Agreement”) is entered into as of [DATE] (the “Grant Date”), by and between Evergy, Inc. (the “Company”) and [NAME] (the “Grantee”). All capitalized terms in this Agreement that are not defined herein shall have the meanings ascribed to such terms in the Company’s Long-Term Incentive Plan, as amended and restated from time to time (the “Plan”).</w:t>
      </w:r>
    </w:p>
    <w:p>
      <w:pPr>
        <w:spacing w:after="0" w:line="12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20"/>
          <w:szCs w:val="20"/>
          <w:color w:val="auto"/>
        </w:rPr>
        <w:t>WHEREAS, Grantee is employed by the Company or one of its Subsidiaries and the Company desires to (i) encourage Grantee to acquire an interest in the growth and performance of the Company, (ii) provide Grantee with an incentive to enhance the value of the Company for the benefit of its customers and shareholders and (iii) encourage Grantee to remain in the employ of the Company as one of the key employees upon whom the Company’s success depends; and</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WHEREAS, the Company wishes to grant to Grantee, and Grantee wishes to accept, an Award of Restricted Stock Units, pursuant to the terms and conditions of the Plan and this Agreement.</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NOW, THEREFORE, in consideration of the covenants and agreements herein contained, the parties agree as follows:</w:t>
      </w:r>
    </w:p>
    <w:p>
      <w:pPr>
        <w:spacing w:after="0" w:line="170" w:lineRule="exact"/>
        <w:rPr>
          <w:sz w:val="20"/>
          <w:szCs w:val="20"/>
          <w:color w:val="auto"/>
        </w:rPr>
      </w:pPr>
    </w:p>
    <w:p>
      <w:pPr>
        <w:jc w:val="both"/>
        <w:ind w:left="620" w:hanging="617"/>
        <w:spacing w:after="0" w:line="254" w:lineRule="auto"/>
        <w:tabs>
          <w:tab w:leader="none" w:pos="62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Restricted Stock Unit Award</w:t>
      </w:r>
      <w:r>
        <w:rPr>
          <w:rFonts w:ascii="Arial" w:cs="Arial" w:eastAsia="Arial" w:hAnsi="Arial"/>
          <w:sz w:val="21"/>
          <w:szCs w:val="21"/>
          <w:color w:val="auto"/>
        </w:rPr>
        <w:t>. The Company hereby grants to Grantee an Award of [Number] Restricted Stock Units (the “RSUs”). Each RSU represents the right to receive one Share, subject to the terms and conditions set forth in this Agreement and the Plan, the terms and conditions of which are incorporated herein by reference.</w:t>
      </w:r>
    </w:p>
    <w:p>
      <w:pPr>
        <w:spacing w:after="0" w:line="122" w:lineRule="exact"/>
        <w:rPr>
          <w:rFonts w:ascii="Arial" w:cs="Arial" w:eastAsia="Arial" w:hAnsi="Arial"/>
          <w:sz w:val="21"/>
          <w:szCs w:val="21"/>
          <w:color w:val="auto"/>
        </w:rPr>
      </w:pPr>
    </w:p>
    <w:p>
      <w:pPr>
        <w:ind w:left="620" w:hanging="617"/>
        <w:spacing w:after="0" w:line="265" w:lineRule="auto"/>
        <w:tabs>
          <w:tab w:leader="none" w:pos="62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Terms and Conditions</w:t>
      </w:r>
      <w:r>
        <w:rPr>
          <w:rFonts w:ascii="Arial" w:cs="Arial" w:eastAsia="Arial" w:hAnsi="Arial"/>
          <w:sz w:val="21"/>
          <w:szCs w:val="21"/>
          <w:color w:val="auto"/>
        </w:rPr>
        <w:t>. In addition to the terms and conditions in the Plan, this Award of RSUs is subject to the following terms and conditions:</w:t>
      </w:r>
    </w:p>
    <w:p>
      <w:pPr>
        <w:spacing w:after="0" w:line="111" w:lineRule="exact"/>
        <w:rPr>
          <w:rFonts w:ascii="Arial" w:cs="Arial" w:eastAsia="Arial" w:hAnsi="Arial"/>
          <w:sz w:val="21"/>
          <w:szCs w:val="21"/>
          <w:color w:val="auto"/>
        </w:rPr>
      </w:pPr>
    </w:p>
    <w:p>
      <w:pPr>
        <w:jc w:val="both"/>
        <w:ind w:left="1240" w:hanging="618"/>
        <w:spacing w:after="0" w:line="285" w:lineRule="auto"/>
        <w:tabs>
          <w:tab w:leader="none" w:pos="1228"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Grant of RSUs</w:t>
      </w:r>
      <w:r>
        <w:rPr>
          <w:rFonts w:ascii="Arial" w:cs="Arial" w:eastAsia="Arial" w:hAnsi="Arial"/>
          <w:sz w:val="19"/>
          <w:szCs w:val="19"/>
          <w:color w:val="auto"/>
        </w:rPr>
        <w:t>. The RSUs granted hereunder shall be credited to Grantee’s RSU Account as of the Grant Date. The RSU Account shall be maintained for recordkeeping purposes only and the Company shall not be obligated to segregate or set aside assets representing securities or other amounts credited to Grantee’s RSU Account. All amounts credited to the RSU Account shall continue for all purposes to be part of the general assets of the Company.</w:t>
      </w:r>
    </w:p>
    <w:p>
      <w:pPr>
        <w:spacing w:after="0" w:line="96" w:lineRule="exact"/>
        <w:rPr>
          <w:rFonts w:ascii="Arial" w:cs="Arial" w:eastAsia="Arial" w:hAnsi="Arial"/>
          <w:sz w:val="19"/>
          <w:szCs w:val="19"/>
          <w:color w:val="auto"/>
        </w:rPr>
      </w:pPr>
    </w:p>
    <w:p>
      <w:pPr>
        <w:ind w:left="1240" w:right="80" w:hanging="618"/>
        <w:spacing w:after="0" w:line="250" w:lineRule="auto"/>
        <w:tabs>
          <w:tab w:leader="none" w:pos="1240"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Vesting of RSUs</w:t>
      </w:r>
      <w:r>
        <w:rPr>
          <w:rFonts w:ascii="Arial" w:cs="Arial" w:eastAsia="Arial" w:hAnsi="Arial"/>
          <w:sz w:val="21"/>
          <w:szCs w:val="21"/>
          <w:color w:val="auto"/>
        </w:rPr>
        <w:t>. The RSUs will vest on the third anniversary of the Grant Date (the “Vesting Date”), provided that Grantee remains continuously employed by the Company or one of its Subsidiaries (except as provided in paragraph 2.c and 2.d of this Agreement) during the entire period that begins on the Grant Date and ends on the Vesting Date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357" w:right="339" w:bottom="1440" w:gutter="0" w:footer="0" w:header="0"/>
        </w:sectPr>
      </w:pPr>
    </w:p>
    <w:bookmarkStart w:id="197" w:name="page198"/>
    <w:bookmarkEnd w:id="197"/>
    <w:p>
      <w:pPr>
        <w:jc w:val="both"/>
        <w:ind w:left="618" w:hanging="618"/>
        <w:spacing w:after="0" w:line="293" w:lineRule="auto"/>
        <w:tabs>
          <w:tab w:leader="none" w:pos="60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during the Restricted Period for Death or Disability</w:t>
      </w:r>
      <w:r>
        <w:rPr>
          <w:rFonts w:ascii="Arial" w:cs="Arial" w:eastAsia="Arial" w:hAnsi="Arial"/>
          <w:sz w:val="19"/>
          <w:szCs w:val="19"/>
          <w:color w:val="auto"/>
        </w:rPr>
        <w:t>. If Grantee experiences a termination of employment on account of Grantee’s death or Disability before the end of the Restricted Period, then as of the date of Grantee’s termination of employment, the unvested RSUs (and Dividend Equivalents) shall vest.</w:t>
      </w:r>
    </w:p>
    <w:p>
      <w:pPr>
        <w:spacing w:after="0" w:line="89" w:lineRule="exact"/>
        <w:rPr>
          <w:rFonts w:ascii="Arial" w:cs="Arial" w:eastAsia="Arial" w:hAnsi="Arial"/>
          <w:sz w:val="19"/>
          <w:szCs w:val="19"/>
          <w:color w:val="auto"/>
        </w:rPr>
      </w:pPr>
    </w:p>
    <w:p>
      <w:pPr>
        <w:jc w:val="both"/>
        <w:ind w:left="618" w:hanging="618"/>
        <w:spacing w:after="0" w:line="289" w:lineRule="auto"/>
        <w:tabs>
          <w:tab w:leader="none" w:pos="618"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during the Restricted Period for Retirement</w:t>
      </w:r>
      <w:r>
        <w:rPr>
          <w:rFonts w:ascii="Arial" w:cs="Arial" w:eastAsia="Arial" w:hAnsi="Arial"/>
          <w:sz w:val="18"/>
          <w:szCs w:val="18"/>
          <w:color w:val="auto"/>
        </w:rPr>
        <w:t>. If Grantee experiences a termination of employment on account of Grantee’s Retirement (as defined below) before the end of the Restricted Period, no immediate vesting shall occur at the time of Grantee’s Retirement but, following the end of the Restricted Period, a pro rata portion of the RSUs (and Dividend Equivalents) shall vest. Such pro rata portion shall be determined by multiplying</w:t>
      </w:r>
    </w:p>
    <w:p>
      <w:pPr>
        <w:jc w:val="both"/>
        <w:ind w:left="618"/>
        <w:spacing w:after="0" w:line="259" w:lineRule="auto"/>
        <w:rPr>
          <w:rFonts w:ascii="Arial" w:cs="Arial" w:eastAsia="Arial" w:hAnsi="Arial"/>
          <w:sz w:val="18"/>
          <w:szCs w:val="18"/>
          <w:color w:val="auto"/>
        </w:rPr>
      </w:pPr>
      <w:r>
        <w:rPr>
          <w:rFonts w:ascii="Arial" w:cs="Arial" w:eastAsia="Arial" w:hAnsi="Arial"/>
          <w:sz w:val="20"/>
          <w:szCs w:val="20"/>
          <w:color w:val="auto"/>
        </w:rPr>
        <w:t>(i) the number of RSUs by (ii) a fraction, the numerator of which is the total number of days from the Grant Date to the Grantee’s Retirement, and the denominator of which is the total number of days between the Grant Date and the Vesting Date. For purposes of this Agreement, “Retirement” means Grantee’s separation from service after (i) attainment of the age of 60 and having 10 years of service with the Company or its Subsidiaries, and (ii) Grantee having provided a minimum of six-months’ advance notice to the Company of Grantee’s Retirement.</w:t>
      </w:r>
    </w:p>
    <w:p>
      <w:pPr>
        <w:spacing w:after="0" w:line="120" w:lineRule="exact"/>
        <w:rPr>
          <w:rFonts w:ascii="Arial" w:cs="Arial" w:eastAsia="Arial" w:hAnsi="Arial"/>
          <w:sz w:val="18"/>
          <w:szCs w:val="18"/>
          <w:color w:val="auto"/>
        </w:rPr>
      </w:pPr>
    </w:p>
    <w:p>
      <w:pPr>
        <w:jc w:val="both"/>
        <w:ind w:left="618" w:hanging="618"/>
        <w:spacing w:after="0" w:line="247" w:lineRule="auto"/>
        <w:tabs>
          <w:tab w:leader="none" w:pos="606"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Limits on Transfer of RSUs</w:t>
      </w:r>
      <w:r>
        <w:rPr>
          <w:rFonts w:ascii="Arial" w:cs="Arial" w:eastAsia="Arial" w:hAnsi="Arial"/>
          <w:sz w:val="21"/>
          <w:szCs w:val="21"/>
          <w:color w:val="auto"/>
        </w:rPr>
        <w:t>. Subject to any exceptions set forth in the Plan, during the Restricted Period and until such time as the RSUs are settled in accordance with the terms of this Agreement, neither the RSUs nor any rights relating thereto may be assigned, alienated, pledged, attached, sold or otherwise transferred or encumbered by Grantee. Any attempt to assign, alienate, pledge, attach, sell or otherwise transfer or encumber the RSUs or the rights relating thereto shall be wholly ineffective and, if any such attempt is made, the RSUs will be immediately forfeited by Grantee and all of Grantee’s rights to the RSUs shall immediately terminate without any payment, settlement, or consideration by the Company.</w:t>
      </w:r>
    </w:p>
    <w:p>
      <w:pPr>
        <w:spacing w:after="0" w:line="129" w:lineRule="exact"/>
        <w:rPr>
          <w:rFonts w:ascii="Arial" w:cs="Arial" w:eastAsia="Arial" w:hAnsi="Arial"/>
          <w:sz w:val="21"/>
          <w:szCs w:val="21"/>
          <w:color w:val="auto"/>
        </w:rPr>
      </w:pPr>
    </w:p>
    <w:p>
      <w:pPr>
        <w:ind w:left="618" w:hanging="618"/>
        <w:spacing w:after="0" w:line="290" w:lineRule="auto"/>
        <w:tabs>
          <w:tab w:leader="none" w:pos="609"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No Rights as a Shareholder until RSUs Settled</w:t>
      </w:r>
      <w:r>
        <w:rPr>
          <w:rFonts w:ascii="Arial" w:cs="Arial" w:eastAsia="Arial" w:hAnsi="Arial"/>
          <w:sz w:val="20"/>
          <w:szCs w:val="20"/>
          <w:color w:val="auto"/>
        </w:rPr>
        <w:t>. Grantee shall not have any rights of a shareholder with respect to the Shares underlying the RSUs unless and until the RSUs vest and are settled by the issuance of Shares.</w:t>
      </w:r>
    </w:p>
    <w:p>
      <w:pPr>
        <w:spacing w:after="0" w:line="88" w:lineRule="exact"/>
        <w:rPr>
          <w:rFonts w:ascii="Arial" w:cs="Arial" w:eastAsia="Arial" w:hAnsi="Arial"/>
          <w:sz w:val="20"/>
          <w:szCs w:val="20"/>
          <w:color w:val="auto"/>
        </w:rPr>
      </w:pPr>
    </w:p>
    <w:p>
      <w:pPr>
        <w:jc w:val="both"/>
        <w:ind w:left="618" w:hanging="618"/>
        <w:spacing w:after="0" w:line="274" w:lineRule="auto"/>
        <w:tabs>
          <w:tab w:leader="none" w:pos="61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If during the Restricted Period the Company declares a cash dividend on Shares, then, as of any dividend payment date, Grantee shall receive an additional number of RSUs (including fractional RSUs), which shall be credited to the RSU Account, equal to the quotient obtained by dividing the aggregate cash amount that would have been paid as dividends if each RSU then credited to the RSU Account on the dividend payment date were a Share, by the closing price of a Share on the trading date immediately preceding the dividend payment date. Any additional RSU credited to the Grantee’s RSU Account under this Section 2.g. shall be subject to the same vesting and forfeiture conditions as the original RSUs granted on the Grant Date and shall be settled, if at all, on the Vesting Date. If, during the Restricted Period, the Company declares a stock dividend on Shares, then the Grantee may be eligible for additional Shares on the Vesting Date (or earlier as determined by the Committee) based on the number of RSUs credited to the Grantee’s RSU Account in accordance with Section 16.H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958"/>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618"/>
          </w:cols>
          <w:pgMar w:left="942" w:top="1214" w:right="339" w:bottom="1440" w:gutter="0" w:footer="0" w:header="0"/>
        </w:sectPr>
      </w:pPr>
    </w:p>
    <w:bookmarkStart w:id="198" w:name="page199"/>
    <w:bookmarkEnd w:id="198"/>
    <w:p>
      <w:pPr>
        <w:jc w:val="both"/>
        <w:ind w:left="618" w:hanging="618"/>
        <w:spacing w:after="0" w:line="290" w:lineRule="auto"/>
        <w:tabs>
          <w:tab w:leader="none" w:pos="618"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 No later than 30 days after the earlier of (i) the Vesting Date or (ii) Grantee’s termination of employment due to death or Disability, the Company shall issue and deliver to Grantee, or in the event of Grantee’s death the beneficiary designated in writing by Grantee in accordance with instructions provided by the Company (or in the event Grantee has not designated a beneficiary, Grantee’s estate), a number of Shares equal to the aggregate number of vested RSUs (with any fractional Share underlying the vested RSUs on the settlement date being settled by delivering to Grantee a cash payment equal to the closing price of a Share on the trading date immediately preceding the Vesting Date or the date of Grantee’s termination of employment, as applicable, multiplied by the number of fractional vested RSUs) then credited to Grantee’s RSU Account. The Committee may, in its sole discretion, settle any vested RSUs by delivering to Grantee (or Grantee’s beneficiary or estate in the event of Grantee’s death) an amount of cash equal to the closing price of a Share on the trading date immediately preceding the Vesting Date or the date of Grantee’s termination of employment, as applicable, multiplied by the number of vested RSUs (and any fraction thereof) held by Grantee.</w:t>
      </w:r>
    </w:p>
    <w:p>
      <w:pPr>
        <w:spacing w:after="0" w:line="97" w:lineRule="exact"/>
        <w:rPr>
          <w:rFonts w:ascii="Arial" w:cs="Arial" w:eastAsia="Arial" w:hAnsi="Arial"/>
          <w:sz w:val="18"/>
          <w:szCs w:val="18"/>
          <w:color w:val="auto"/>
        </w:rPr>
      </w:pPr>
    </w:p>
    <w:p>
      <w:pPr>
        <w:jc w:val="both"/>
        <w:ind w:left="618" w:hanging="618"/>
        <w:spacing w:after="0" w:line="279" w:lineRule="auto"/>
        <w:tabs>
          <w:tab w:leader="none" w:pos="611"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Tax Withholding on RSU Settlement</w:t>
      </w:r>
      <w:r>
        <w:rPr>
          <w:rFonts w:ascii="Arial" w:cs="Arial" w:eastAsia="Arial" w:hAnsi="Arial"/>
          <w:sz w:val="19"/>
          <w:szCs w:val="19"/>
          <w:color w:val="auto"/>
        </w:rPr>
        <w:t>. No Shares will be delivered under this Agreement until either (i) Grantee has paid to the Company the amount that must be withheld under federal, state and local income and employment tax laws or (ii) Grantee and the Company have made satisfactory provision for the payment of such taxes. Unless otherwise not permitted by the Committee (which may disallow Share withholding at any time) or contrary to an election Grantee submitted to the Company in accordance with established Company policy, the Company shall first withhold such taxes from the Shares (valued at their Fair Market Value) otherwise eligible to be delivered under this Award, if any.</w:t>
      </w:r>
    </w:p>
    <w:p>
      <w:pPr>
        <w:spacing w:after="0" w:line="100" w:lineRule="exact"/>
        <w:rPr>
          <w:rFonts w:ascii="Arial" w:cs="Arial" w:eastAsia="Arial" w:hAnsi="Arial"/>
          <w:sz w:val="19"/>
          <w:szCs w:val="19"/>
          <w:color w:val="auto"/>
        </w:rPr>
      </w:pPr>
    </w:p>
    <w:p>
      <w:pPr>
        <w:jc w:val="both"/>
        <w:ind w:left="618" w:hanging="618"/>
        <w:spacing w:after="0" w:line="246" w:lineRule="auto"/>
        <w:tabs>
          <w:tab w:leader="none" w:pos="611"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280G Best Net</w:t>
      </w:r>
      <w:r>
        <w:rPr>
          <w:rFonts w:ascii="Arial" w:cs="Arial" w:eastAsia="Arial" w:hAnsi="Arial"/>
          <w:sz w:val="21"/>
          <w:szCs w:val="21"/>
          <w:color w:val="auto"/>
        </w:rPr>
        <w:t>. Notwithstanding anything in this Agreement to the contrary, in the event that (A) there is a Change in Control, and (B) the receipt of all payments, distributions or benefits (including, without limitation, accelerated vesting of the RSUs) by the Company in the nature of compensation to or for Grantee’s benefit, whether paid or payable pursuant to this Agreement or otherwise (a “Payment”), would subject Grantee to the excise tax under Section 4999 of the Code by virtue of Section 280G of the Code, the Company shall reduce the number of RSUs which become vested on account of the Change in Control if such reduction would result in Grantee having a greater net after-tax Payment than if such RSUs were not reduced and the Payment, or any portion thereof, is subjected to the excise tax under Section 4999 of the Code.</w:t>
      </w:r>
    </w:p>
    <w:p>
      <w:pPr>
        <w:spacing w:after="0" w:line="134" w:lineRule="exact"/>
        <w:rPr>
          <w:rFonts w:ascii="Arial" w:cs="Arial" w:eastAsia="Arial" w:hAnsi="Arial"/>
          <w:sz w:val="21"/>
          <w:szCs w:val="21"/>
          <w:color w:val="auto"/>
        </w:rPr>
      </w:pPr>
    </w:p>
    <w:p>
      <w:pPr>
        <w:jc w:val="both"/>
        <w:ind w:left="618" w:hanging="618"/>
        <w:spacing w:after="0" w:line="262" w:lineRule="auto"/>
        <w:tabs>
          <w:tab w:leader="none" w:pos="618"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The Company will, to the full extent permitted by law, have the discretion based on the particular facts and circumstances to require that the Grantee reimburse the Company for all or any portion of any Awards if and to the extent the Awards reflected the achievement of financial results that were subsequently the subject of a restatement, or the achievement of other objectives that were subsequently found to be inaccurately measured, and a lower Award would have occurred based upon the restated financial results or accurately measured objectives. The Company may, in its discretion, (i) seek repayment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958"/>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18"/>
          </w:cols>
          <w:pgMar w:left="942" w:top="1214" w:right="339" w:bottom="1440" w:gutter="0" w:footer="0" w:header="0"/>
        </w:sectPr>
      </w:pPr>
    </w:p>
    <w:bookmarkStart w:id="199" w:name="page200"/>
    <w:bookmarkEnd w:id="199"/>
    <w:p>
      <w:pPr>
        <w:jc w:val="both"/>
        <w:ind w:left="1240"/>
        <w:spacing w:after="0" w:line="285" w:lineRule="auto"/>
        <w:rPr>
          <w:sz w:val="20"/>
          <w:szCs w:val="20"/>
          <w:color w:val="auto"/>
        </w:rPr>
      </w:pPr>
      <w:r>
        <w:rPr>
          <w:rFonts w:ascii="Arial" w:cs="Arial" w:eastAsia="Arial" w:hAnsi="Arial"/>
          <w:sz w:val="19"/>
          <w:szCs w:val="19"/>
          <w:color w:val="auto"/>
        </w:rPr>
        <w:t>the Grantee; (ii) reduce the amount that would otherwise be payable to the Grantee under current or future Awards; (iii) withhold future equity grants or salary increases; (iv) pursue other available legal remedies or (v) any combination of these actions. The Company may take such actions against any Grantee, whether or not such Grantee engaged in any misconduct or was otherwise at fault with respect to such restatement or inaccurate measurement.</w:t>
      </w:r>
    </w:p>
    <w:p>
      <w:pPr>
        <w:spacing w:after="0" w:line="97" w:lineRule="exact"/>
        <w:rPr>
          <w:sz w:val="20"/>
          <w:szCs w:val="20"/>
          <w:color w:val="auto"/>
        </w:rPr>
      </w:pPr>
    </w:p>
    <w:p>
      <w:pPr>
        <w:jc w:val="both"/>
        <w:ind w:left="620" w:hanging="617"/>
        <w:spacing w:after="0" w:line="250" w:lineRule="auto"/>
        <w:tabs>
          <w:tab w:leader="none" w:pos="620"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This Agreement may be amended only in the manner provided by the Company evidencing both parties’ agreement to the amendment. This Agreement may also be amended, without prior notice to Grantee and without Grantee’s consent before any Change in Control by the Committee if the Committee in good faith determines the amendment does not materially adversely affect any of Grantee’s rights under this Agreement.</w:t>
      </w:r>
    </w:p>
    <w:p>
      <w:pPr>
        <w:spacing w:after="0" w:line="128" w:lineRule="exact"/>
        <w:rPr>
          <w:rFonts w:ascii="Arial" w:cs="Arial" w:eastAsia="Arial" w:hAnsi="Arial"/>
          <w:sz w:val="21"/>
          <w:szCs w:val="21"/>
          <w:color w:val="auto"/>
        </w:rPr>
      </w:pPr>
    </w:p>
    <w:p>
      <w:pPr>
        <w:ind w:left="620" w:hanging="617"/>
        <w:spacing w:after="0" w:line="290" w:lineRule="auto"/>
        <w:tabs>
          <w:tab w:leader="none" w:pos="62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contains the entire agreement between Grantee and the Company with respect to the subject matter hereof and supersedes all prior agreements or understandings between the parties relating thereto.</w:t>
      </w:r>
    </w:p>
    <w:p>
      <w:pPr>
        <w:spacing w:after="0" w:line="89"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214" w:right="339" w:bottom="1440" w:gutter="0" w:footer="0" w:header="0"/>
        </w:sectPr>
      </w:pPr>
    </w:p>
    <w:bookmarkStart w:id="200" w:name="page201"/>
    <w:bookmarkEnd w:id="200"/>
    <w:p>
      <w:pPr>
        <w:spacing w:after="0"/>
        <w:rPr>
          <w:sz w:val="20"/>
          <w:szCs w:val="20"/>
          <w:color w:val="auto"/>
        </w:rPr>
      </w:pPr>
      <w:r>
        <w:rPr>
          <w:rFonts w:ascii="Arial" w:cs="Arial" w:eastAsia="Arial" w:hAnsi="Arial"/>
          <w:sz w:val="19"/>
          <w:szCs w:val="19"/>
          <w:color w:val="auto"/>
        </w:rPr>
        <w:t>EVERGY, INC.</w:t>
      </w:r>
    </w:p>
    <w:p>
      <w:pPr>
        <w:sectPr>
          <w:pgSz w:w="11900" w:h="16838" w:orient="portrait"/>
          <w:cols w:equalWidth="0" w:num="1">
            <w:col w:w="10119"/>
          </w:cols>
          <w:pgMar w:left="340" w:top="12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21"/>
          <w:szCs w:val="21"/>
          <w:color w:val="auto"/>
        </w:rPr>
        <w:t>[GRANTEE]</w:t>
      </w:r>
    </w:p>
    <w:p>
      <w:pPr>
        <w:spacing w:after="0" w:line="200" w:lineRule="exact"/>
        <w:rPr>
          <w:sz w:val="20"/>
          <w:szCs w:val="20"/>
          <w:color w:val="auto"/>
        </w:rPr>
      </w:pPr>
    </w:p>
    <w:p>
      <w:pPr>
        <w:sectPr>
          <w:pgSz w:w="11900" w:h="16838" w:orient="portrait"/>
          <w:cols w:equalWidth="0" w:num="2">
            <w:col w:w="5400" w:space="720"/>
            <w:col w:w="3999"/>
          </w:cols>
          <w:pgMar w:left="340" w:top="1240" w:right="1440" w:bottom="1440" w:gutter="0" w:footer="0" w:header="0"/>
          <w:type w:val="continuous"/>
        </w:sectPr>
      </w:pPr>
    </w:p>
    <w:p>
      <w:pPr>
        <w:spacing w:after="0" w:line="6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Date: _________________________</w:t>
      </w:r>
    </w:p>
    <w:p>
      <w:pPr>
        <w:sectPr>
          <w:pgSz w:w="11900" w:h="16838" w:orient="portrait"/>
          <w:cols w:equalWidth="0" w:num="1">
            <w:col w:w="10119"/>
          </w:cols>
          <w:pgMar w:left="340" w:top="1240" w:right="1440" w:bottom="1440" w:gutter="0" w:footer="0" w:header="0"/>
          <w:type w:val="continuous"/>
        </w:sectPr>
      </w:pPr>
    </w:p>
    <w:bookmarkStart w:id="201" w:name="page202"/>
    <w:bookmarkEnd w:id="201"/>
    <w:p>
      <w:pPr>
        <w:jc w:val="right"/>
        <w:spacing w:after="0"/>
        <w:rPr>
          <w:sz w:val="20"/>
          <w:szCs w:val="20"/>
          <w:color w:val="auto"/>
        </w:rPr>
      </w:pPr>
      <w:r>
        <w:rPr>
          <w:rFonts w:ascii="Arial" w:cs="Arial" w:eastAsia="Arial" w:hAnsi="Arial"/>
          <w:sz w:val="19"/>
          <w:szCs w:val="19"/>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Evergy, Inc.</w:t>
      </w:r>
    </w:p>
    <w:p>
      <w:pPr>
        <w:jc w:val="center"/>
        <w:spacing w:after="0" w:line="230" w:lineRule="auto"/>
        <w:rPr>
          <w:sz w:val="20"/>
          <w:szCs w:val="20"/>
          <w:color w:val="auto"/>
        </w:rPr>
      </w:pPr>
      <w:r>
        <w:rPr>
          <w:rFonts w:ascii="Arial" w:cs="Arial" w:eastAsia="Arial" w:hAnsi="Arial"/>
          <w:sz w:val="19"/>
          <w:szCs w:val="19"/>
          <w:color w:val="auto"/>
        </w:rPr>
        <w:t>Executive Annual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(Effective as of January 1, 2022)</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Objective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Evergy, Inc. (the “Company” or “Evergy”) Executive Annual Incentive Plan (the “Plan”) is designed to motivate and reward officers of Evergy</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for the achievement of specific key financial, operational and business goals. By providing market-competitive target awards and additional award opportunities for extraordinary achievements and results, the Plan both supports the attraction and retention of senior executive talent critical to achieving the Company’s strategic business objectives and provides financial incentives to reward key performers.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Eligibility</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Eligible participants (“Participants”) shall be the named executive officers (“NEOs”) and non-NEOs of the Company as approved by the Compensation and Leadership Development Committee (“Committee”) or Board of Directors (the “Board”) of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Administration</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Committee and/or the Board has the full power and authority to (i) interpret the provisions of the Plan, (ii) determine the terms and conditions of any award, (iii) amend the terms or conditions of any award, (iv) determine whether, and to what extent, awards may become vested, paid (in full or in part), forfeited or suspended, (v) establish, amend, suspend or waive any payment conditions for an award or rules relating to the administration of the Plan, (vi) delegate all or part of its authority under the Plan to one or more directors and, with respect to the day-to-day administration and operations of the Plan (but not granting of awards or any determination of any amounts eligible to be paid under the Plan) to officers of the Company and (vii) make any other determination or take any action that is deemed necessary or desirable for the administration of</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Plan or the payment of awards thereunder. All determinations and decisions made by the Committee pursuant to the provisions of the Plan shall be final, conclusive and binding on all persons, and shall be given maximum deference permitted by law.</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Awards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Awards and award levels are developed and approved by the Committee, who may seek the input of the Company’s management and outside</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consultants and advisors and may further seek approval by the full Board. Awards, which may vary based on the Participant’s level of responsibility, market data, internal comparisons and other factors the Committee believes is appropriate, may be (i) established as a percentage of the Participant’s base salary, (ii) established as an absolute amount or (iii) established based on any other factor or criteria.</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Period and Incentive Objectives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Plan will be effective as of January 1, 2022 and end on December 31, 2022 (the “Performance Period”) unless the Committee in its sole discretion desires to have a different Performance Period. The Committee will establish and approve, and if applicable, submit for approval by the Board, specific annual objectives and performance levels that are applicable to each Participant, which annual objectives and performance levels may be based on any performance goal or criteria the Committee believes is appropriate. The amount of a Participant’s award will be determined in the Committee’s discretion and may differ from Participant to Participant, based on performance against the specific objectives and</w:t>
      </w:r>
    </w:p>
    <w:p>
      <w:pPr>
        <w:sectPr>
          <w:pgSz w:w="11900" w:h="16838" w:orient="portrait"/>
          <w:cols w:equalWidth="0" w:num="1">
            <w:col w:w="11240"/>
          </w:cols>
          <w:pgMar w:left="320" w:top="118" w:right="339" w:bottom="1440" w:gutter="0" w:footer="0" w:header="0"/>
        </w:sectPr>
      </w:pPr>
    </w:p>
    <w:bookmarkStart w:id="202" w:name="page203"/>
    <w:bookmarkEnd w:id="202"/>
    <w:p>
      <w:pPr>
        <w:jc w:val="both"/>
        <w:spacing w:after="0" w:line="264" w:lineRule="auto"/>
        <w:rPr>
          <w:sz w:val="20"/>
          <w:szCs w:val="20"/>
          <w:color w:val="auto"/>
        </w:rPr>
      </w:pPr>
      <w:r>
        <w:rPr>
          <w:rFonts w:ascii="Arial" w:cs="Arial" w:eastAsia="Arial" w:hAnsi="Arial"/>
          <w:sz w:val="19"/>
          <w:szCs w:val="19"/>
          <w:color w:val="auto"/>
        </w:rPr>
        <w:t>performance levels approved by the Committee. The Committee may adjust or modify the established annual objectives or performance levels, or the determination of any performance goals or criteria, in its discretion at any time and for any reason.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Awards</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u w:val="single" w:color="auto"/>
          <w:color w:val="auto"/>
        </w:rPr>
        <w:t>Payment Timing</w:t>
      </w:r>
      <w:r>
        <w:rPr>
          <w:rFonts w:ascii="Arial" w:cs="Arial" w:eastAsia="Arial" w:hAnsi="Arial"/>
          <w:sz w:val="17"/>
          <w:szCs w:val="17"/>
          <w:color w:val="auto"/>
        </w:rPr>
        <w:t>. Except as otherwise set forth in this Plan, earned awards will generally be payable to each Participant after the completion of the Performance Period and as soon as administratively practicable following the determination by the Committee of the achievement level for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performance goal(s) and each of the relevant objectives relating thereto. The awards will be paid, in the sole discretion of the Committee, in cash,</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Company stock (in the form of “Bonus Shares” as defined and under </w:t>
      </w:r>
      <w:r>
        <w:rPr>
          <w:rFonts w:ascii="Arial" w:cs="Arial" w:eastAsia="Arial" w:hAnsi="Arial"/>
          <w:sz w:val="18"/>
          <w:szCs w:val="18"/>
          <w:color w:val="auto"/>
        </w:rPr>
        <w:t>the Company’s Long-Term Incentive Plan (“LTIP”), as may be amended</w:t>
      </w:r>
    </w:p>
    <w:p>
      <w:pPr>
        <w:spacing w:after="0" w:line="43"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 xml:space="preserve">or restated), </w:t>
      </w:r>
      <w:r>
        <w:rPr>
          <w:rFonts w:ascii="Arial" w:cs="Arial" w:eastAsia="Arial" w:hAnsi="Arial"/>
          <w:sz w:val="18"/>
          <w:szCs w:val="18"/>
          <w:color w:val="auto"/>
        </w:rPr>
        <w:t>or a combination of cash and stock, except to the extent receipt of payment is properly deferred under the Company’s Nonqualified</w:t>
      </w:r>
      <w:r>
        <w:rPr>
          <w:rFonts w:ascii="Arial" w:cs="Arial" w:eastAsia="Arial" w:hAnsi="Arial"/>
          <w:sz w:val="21"/>
          <w:szCs w:val="21"/>
          <w:color w:val="auto"/>
        </w:rPr>
        <w:t xml:space="preserve"> </w:t>
      </w:r>
      <w:r>
        <w:rPr>
          <w:rFonts w:ascii="Arial" w:cs="Arial" w:eastAsia="Arial" w:hAnsi="Arial"/>
          <w:sz w:val="18"/>
          <w:szCs w:val="18"/>
          <w:color w:val="auto"/>
        </w:rPr>
        <w:t>Deferred Compensation Plan (the “NQDC Plan”). Any earned award for which a deferral election has been made under the NQDC Plan will result in a cash award being deferred, as Bonus Shares are not eligible to be deferred under such plan. Except to the extent deferred under the NQDC Plan, in no event shall payment be made later than the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the third month following the end of the taxable year in which the Committee’s determination of award achievement is made.</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u w:val="single" w:color="auto"/>
          <w:color w:val="auto"/>
        </w:rPr>
        <w:t>Continuous Employment Required</w:t>
      </w:r>
      <w:r>
        <w:rPr>
          <w:rFonts w:ascii="Arial" w:cs="Arial" w:eastAsia="Arial" w:hAnsi="Arial"/>
          <w:sz w:val="19"/>
          <w:szCs w:val="19"/>
          <w:color w:val="auto"/>
        </w:rPr>
        <w:t>. Except as set forth below, or as otherwise provided for in the Company’s executive severance plan or in any change-in-control severance agreement between the Participant and the Company, a Participant must be employed by the Company or one of its subsidiaries at the time of payment under this Plan to be entitled to payment of an award, if any.</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Miscellaneous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Extraordinary Employment Situations</w:t>
      </w:r>
      <w:r>
        <w:rPr>
          <w:rFonts w:ascii="Arial" w:cs="Arial" w:eastAsia="Arial" w:hAnsi="Arial"/>
          <w:sz w:val="19"/>
          <w:szCs w:val="19"/>
          <w:color w:val="auto"/>
        </w:rPr>
        <w:t>.</w:t>
      </w:r>
    </w:p>
    <w:p>
      <w:pPr>
        <w:spacing w:after="0" w:line="181" w:lineRule="exact"/>
        <w:rPr>
          <w:sz w:val="20"/>
          <w:szCs w:val="20"/>
          <w:color w:val="auto"/>
        </w:rPr>
      </w:pPr>
    </w:p>
    <w:p>
      <w:pPr>
        <w:jc w:val="both"/>
        <w:ind w:left="620"/>
        <w:spacing w:after="0" w:line="264" w:lineRule="auto"/>
        <w:rPr>
          <w:sz w:val="20"/>
          <w:szCs w:val="20"/>
          <w:color w:val="auto"/>
        </w:rPr>
      </w:pPr>
      <w:r>
        <w:rPr>
          <w:rFonts w:ascii="Arial" w:cs="Arial" w:eastAsia="Arial" w:hAnsi="Arial"/>
          <w:sz w:val="19"/>
          <w:szCs w:val="19"/>
          <w:u w:val="single" w:color="auto"/>
          <w:color w:val="auto"/>
        </w:rPr>
        <w:t>Employment after Commencement of Performance Period</w:t>
      </w:r>
      <w:r>
        <w:rPr>
          <w:rFonts w:ascii="Arial" w:cs="Arial" w:eastAsia="Arial" w:hAnsi="Arial"/>
          <w:sz w:val="19"/>
          <w:szCs w:val="19"/>
          <w:color w:val="auto"/>
        </w:rPr>
        <w:t>. An award for a person who becomes a Participant during a Performance Period will be prorated unless otherwise determined by the Committee.</w:t>
      </w:r>
    </w:p>
    <w:p>
      <w:pPr>
        <w:spacing w:after="0" w:line="112" w:lineRule="exact"/>
        <w:rPr>
          <w:sz w:val="20"/>
          <w:szCs w:val="20"/>
          <w:color w:val="auto"/>
        </w:rPr>
      </w:pPr>
    </w:p>
    <w:p>
      <w:pPr>
        <w:jc w:val="both"/>
        <w:ind w:left="620"/>
        <w:spacing w:after="0" w:line="276" w:lineRule="auto"/>
        <w:rPr>
          <w:sz w:val="20"/>
          <w:szCs w:val="20"/>
          <w:color w:val="auto"/>
        </w:rPr>
      </w:pPr>
      <w:r>
        <w:rPr>
          <w:rFonts w:ascii="Arial" w:cs="Arial" w:eastAsia="Arial" w:hAnsi="Arial"/>
          <w:sz w:val="17"/>
          <w:szCs w:val="17"/>
          <w:u w:val="single" w:color="auto"/>
          <w:color w:val="auto"/>
        </w:rPr>
        <w:t>Termination of Employment during the Performance Period for Death or Disability</w:t>
      </w:r>
      <w:r>
        <w:rPr>
          <w:rFonts w:ascii="Arial" w:cs="Arial" w:eastAsia="Arial" w:hAnsi="Arial"/>
          <w:sz w:val="17"/>
          <w:szCs w:val="17"/>
          <w:color w:val="auto"/>
        </w:rPr>
        <w:t>. If a Participant experiences a termination of employment on account of the Participant’s death or Disability, as defined in the Company’s Long-Term Disability Plan, before the end of the Performance Period, then, as of the date of the Participant’s termination of employment, the Participant (or, in the case of death, the Participant’s estate) will be entitled to a pro rata portion of the target award for the fiscal year in which the termination of employment</w:t>
      </w:r>
    </w:p>
    <w:p>
      <w:pPr>
        <w:spacing w:after="0" w:line="3" w:lineRule="exact"/>
        <w:rPr>
          <w:sz w:val="20"/>
          <w:szCs w:val="20"/>
          <w:color w:val="auto"/>
        </w:rPr>
      </w:pPr>
    </w:p>
    <w:p>
      <w:pPr>
        <w:jc w:val="both"/>
        <w:ind w:left="620"/>
        <w:spacing w:after="0" w:line="284" w:lineRule="auto"/>
        <w:rPr>
          <w:sz w:val="20"/>
          <w:szCs w:val="20"/>
          <w:color w:val="auto"/>
        </w:rPr>
      </w:pPr>
      <w:r>
        <w:rPr>
          <w:rFonts w:ascii="Arial" w:cs="Arial" w:eastAsia="Arial" w:hAnsi="Arial"/>
          <w:sz w:val="17"/>
          <w:szCs w:val="17"/>
          <w:color w:val="auto"/>
        </w:rPr>
        <w:t>occurs. The pro rata portion of the Participant’s target award shall be determined by multiplying the target award for the year in which the termination of employment occurs by a fraction, the numerator of which is the number of calendar days elapsed in the Performance Period</w:t>
      </w:r>
    </w:p>
    <w:p>
      <w:pPr>
        <w:spacing w:after="0" w:line="1" w:lineRule="exact"/>
        <w:rPr>
          <w:sz w:val="20"/>
          <w:szCs w:val="20"/>
          <w:color w:val="auto"/>
        </w:rPr>
      </w:pPr>
    </w:p>
    <w:p>
      <w:pPr>
        <w:jc w:val="both"/>
        <w:ind w:left="620"/>
        <w:spacing w:after="0" w:line="248" w:lineRule="auto"/>
        <w:rPr>
          <w:sz w:val="20"/>
          <w:szCs w:val="20"/>
          <w:color w:val="auto"/>
        </w:rPr>
      </w:pPr>
      <w:r>
        <w:rPr>
          <w:rFonts w:ascii="Arial" w:cs="Arial" w:eastAsia="Arial" w:hAnsi="Arial"/>
          <w:sz w:val="19"/>
          <w:szCs w:val="19"/>
          <w:color w:val="auto"/>
        </w:rPr>
        <w:t>through the date on which termination of employment occurs and the denominator of which is 365. Awards that vest in connection with termination of employment on account of death or Disability, as set forth in this section of the Plan, will be paid in cash in a lump sum as soon as administratively practicable, but in no event later than 30 days after the Participant’s death or a determination that the Participant has a Disability, as applicable.</w:t>
      </w:r>
    </w:p>
    <w:p>
      <w:pPr>
        <w:spacing w:after="0" w:line="128" w:lineRule="exact"/>
        <w:rPr>
          <w:sz w:val="20"/>
          <w:szCs w:val="20"/>
          <w:color w:val="auto"/>
        </w:rPr>
      </w:pPr>
    </w:p>
    <w:p>
      <w:pPr>
        <w:jc w:val="both"/>
        <w:ind w:left="620"/>
        <w:spacing w:after="0" w:line="252" w:lineRule="auto"/>
        <w:rPr>
          <w:sz w:val="20"/>
          <w:szCs w:val="20"/>
          <w:color w:val="auto"/>
        </w:rPr>
      </w:pPr>
      <w:r>
        <w:rPr>
          <w:rFonts w:ascii="Arial" w:cs="Arial" w:eastAsia="Arial" w:hAnsi="Arial"/>
          <w:sz w:val="19"/>
          <w:szCs w:val="19"/>
          <w:u w:val="single" w:color="auto"/>
          <w:color w:val="auto"/>
        </w:rPr>
        <w:t>Termination of Employment during the Performance Period for Retirement</w:t>
      </w:r>
      <w:r>
        <w:rPr>
          <w:rFonts w:ascii="Arial" w:cs="Arial" w:eastAsia="Arial" w:hAnsi="Arial"/>
          <w:sz w:val="19"/>
          <w:szCs w:val="19"/>
          <w:color w:val="auto"/>
        </w:rPr>
        <w:t>. If a Participant experiences a termination of employment on account of the Participant’s Retirement (as defined below) before the end of the Performance Period, no immediate vesting shall occur at the time of</w:t>
      </w:r>
    </w:p>
    <w:p>
      <w:pPr>
        <w:sectPr>
          <w:pgSz w:w="11900" w:h="16838" w:orient="portrait"/>
          <w:cols w:equalWidth="0" w:num="1">
            <w:col w:w="11240"/>
          </w:cols>
          <w:pgMar w:left="320" w:top="1386" w:right="339" w:bottom="1440" w:gutter="0" w:footer="0" w:header="0"/>
        </w:sectPr>
      </w:pPr>
    </w:p>
    <w:bookmarkStart w:id="203" w:name="page204"/>
    <w:bookmarkEnd w:id="203"/>
    <w:p>
      <w:pPr>
        <w:jc w:val="both"/>
        <w:ind w:left="620"/>
        <w:spacing w:after="0" w:line="267" w:lineRule="auto"/>
        <w:rPr>
          <w:sz w:val="20"/>
          <w:szCs w:val="20"/>
          <w:color w:val="auto"/>
        </w:rPr>
      </w:pPr>
      <w:r>
        <w:rPr>
          <w:rFonts w:ascii="Arial" w:cs="Arial" w:eastAsia="Arial" w:hAnsi="Arial"/>
          <w:sz w:val="18"/>
          <w:szCs w:val="18"/>
          <w:color w:val="auto"/>
        </w:rPr>
        <w:t>the Participant’s Retirement but, following the end of the Performance Period, a pro rata portion of the award shall vest. The pro rata portion of the Participant’s target award shall be determined by multiplying the actual award based on the achieved level of performance for the year in which retirement occurs by a fraction, the numerator of which is the number of calendar days elapsed in the Performance Period through the date on which the Retirement occurs for such year and the denominator of which is 365.</w:t>
      </w:r>
    </w:p>
    <w:p>
      <w:pPr>
        <w:spacing w:after="0" w:line="136" w:lineRule="exact"/>
        <w:rPr>
          <w:sz w:val="20"/>
          <w:szCs w:val="20"/>
          <w:color w:val="auto"/>
        </w:rPr>
      </w:pPr>
    </w:p>
    <w:p>
      <w:pPr>
        <w:jc w:val="both"/>
        <w:spacing w:after="0" w:line="355" w:lineRule="auto"/>
        <w:rPr>
          <w:sz w:val="20"/>
          <w:szCs w:val="20"/>
          <w:color w:val="auto"/>
        </w:rPr>
      </w:pPr>
      <w:r>
        <w:rPr>
          <w:rFonts w:ascii="Arial" w:cs="Arial" w:eastAsia="Arial" w:hAnsi="Arial"/>
          <w:sz w:val="17"/>
          <w:szCs w:val="17"/>
          <w:u w:val="single" w:color="auto"/>
          <w:color w:val="auto"/>
        </w:rPr>
        <w:t>Unfunded Benefits</w:t>
      </w:r>
      <w:r>
        <w:rPr>
          <w:rFonts w:ascii="Arial" w:cs="Arial" w:eastAsia="Arial" w:hAnsi="Arial"/>
          <w:sz w:val="17"/>
          <w:szCs w:val="17"/>
          <w:color w:val="auto"/>
        </w:rPr>
        <w:t>. No benefit provided under this Plan is subject to the Employee Retirement Income Security Act of 1974, as amended, and all benefits under the Plan are unfunded. No Participant shall have any greater right than the right of a general unsecured creditor of the Company.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 and Termination</w:t>
      </w:r>
      <w:r>
        <w:rPr>
          <w:rFonts w:ascii="Arial" w:cs="Arial" w:eastAsia="Arial" w:hAnsi="Arial"/>
          <w:sz w:val="18"/>
          <w:szCs w:val="18"/>
          <w:color w:val="auto"/>
        </w:rPr>
        <w:t>. The Board or the Committee has the exclusive right to terminate, modify, change or alter the Plan at any time.</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Clawback or Recoupment</w:t>
      </w:r>
      <w:r>
        <w:rPr>
          <w:rFonts w:ascii="Arial" w:cs="Arial" w:eastAsia="Arial" w:hAnsi="Arial"/>
          <w:sz w:val="17"/>
          <w:szCs w:val="17"/>
          <w:color w:val="auto"/>
        </w:rPr>
        <w:t>. The Board or the Committee will, to the full extent permitted by law, have the discretion based on the particular facts and circumstances, to require that each Participant reimburse the Company for all or any portion of any awards if and to the extent the awards reflected the achievement of financial results that were subsequently the subject of a restatement, or the achievement of other objectives that were subsequently found to be inaccurately measured, and a lower award would have occurred based upon the restated financial results or inaccurately measured objectives. The Board or the Committee may, in its discretion, (i) seek repayment from the Participants, (ii) reduce the amount that would otherwise be payable to the Participants under current or future awards, (iii) withhold future equity grants or salary increases, (iv) pursue other</w:t>
      </w:r>
    </w:p>
    <w:p>
      <w:pPr>
        <w:spacing w:after="0" w:line="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available legal remedies or (v) any combination of these actions. The Board or the Committee may take such actions against any Participant, whether or not such Participant engaged in any misconduct or was otherwise at fault with respect to such restatement or inaccurate measurement.</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xml:space="preserve">. Any payment or benefit under the Plan is subject to all applicable withholding and other taxes applicable to the entire award, which must be satisfied by the Participant in a manner satisfactory </w:t>
      </w:r>
      <w:r>
        <w:rPr>
          <w:rFonts w:ascii="Arial" w:cs="Arial" w:eastAsia="Arial" w:hAnsi="Arial"/>
          <w:sz w:val="20"/>
          <w:szCs w:val="20"/>
          <w:color w:val="auto"/>
        </w:rPr>
        <w:t>to the Company and in accordance with applicable law before any</w:t>
      </w:r>
      <w:r>
        <w:rPr>
          <w:rFonts w:ascii="Arial" w:cs="Arial" w:eastAsia="Arial" w:hAnsi="Arial"/>
          <w:sz w:val="19"/>
          <w:szCs w:val="19"/>
          <w:color w:val="auto"/>
        </w:rPr>
        <w:t xml:space="preserve"> </w:t>
      </w:r>
      <w:r>
        <w:rPr>
          <w:rFonts w:ascii="Arial" w:cs="Arial" w:eastAsia="Arial" w:hAnsi="Arial"/>
          <w:sz w:val="20"/>
          <w:szCs w:val="20"/>
          <w:color w:val="auto"/>
        </w:rPr>
        <w:t>payment is made under this Plan.</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It is intended that the payments under the Plan qualify as short-term deferrals exempt from the requirements of Section 409A of the Internal Revenue Code of 1986, as amended (“Section 409A”). In the event that any award does not qualify for treatment as an exempt short-term deferral, it is intended that such amount will be paid in a manner that satisfies the requirements of Section 409A. The Plan shall be interpreted and construed accordingly.</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Adopted on February 14, 2022.</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20"/>
          <w:szCs w:val="20"/>
          <w:u w:val="single" w:color="auto"/>
          <w:color w:val="auto"/>
        </w:rPr>
        <w:t>/s/ Mollie H. Carter</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Chair, Compensation and Leadership Development Committee</w:t>
      </w:r>
    </w:p>
    <w:p>
      <w:pPr>
        <w:sectPr>
          <w:pgSz w:w="11900" w:h="16838" w:orient="portrait"/>
          <w:cols w:equalWidth="0" w:num="1">
            <w:col w:w="11240"/>
          </w:cols>
          <w:pgMar w:left="320" w:top="1386"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675640</wp:posOffset>
            </wp:positionV>
            <wp:extent cx="6417945" cy="51085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44">
                      <a:extLst>
                        <a:ext uri="{28A0092B-C50C-407E-A947-70E740481C1C}"/>
                      </a:extLst>
                    </a:blip>
                    <a:srcRect/>
                    <a:stretch>
                      <a:fillRect/>
                    </a:stretch>
                  </pic:blipFill>
                  <pic:spPr bwMode="auto">
                    <a:xfrm>
                      <a:off x="0" y="0"/>
                      <a:ext cx="6417945" cy="510857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color w:val="auto"/>
        </w:rPr>
        <w:t>Exhibit 21.1</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4180" w:type="dxa"/>
            <w:vAlign w:val="bottom"/>
          </w:tcPr>
          <w:p>
            <w:pPr>
              <w:spacing w:after="0"/>
              <w:rPr>
                <w:sz w:val="24"/>
                <w:szCs w:val="24"/>
                <w:color w:val="auto"/>
              </w:rPr>
            </w:pPr>
          </w:p>
        </w:tc>
        <w:tc>
          <w:tcPr>
            <w:tcW w:w="7060" w:type="dxa"/>
            <w:vAlign w:val="bottom"/>
          </w:tcPr>
          <w:p>
            <w:pPr>
              <w:ind w:left="300"/>
              <w:spacing w:after="0"/>
              <w:rPr>
                <w:sz w:val="20"/>
                <w:szCs w:val="20"/>
                <w:color w:val="auto"/>
              </w:rPr>
            </w:pPr>
            <w:r>
              <w:rPr>
                <w:rFonts w:ascii="Arial" w:cs="Arial" w:eastAsia="Arial" w:hAnsi="Arial"/>
                <w:sz w:val="19"/>
                <w:szCs w:val="19"/>
                <w:color w:val="auto"/>
              </w:rPr>
              <w:t xml:space="preserve">Subsidiaries of Evergy, Inc. </w:t>
            </w:r>
            <w:r>
              <w:rPr>
                <w:rFonts w:ascii="Arial" w:cs="Arial" w:eastAsia="Arial" w:hAnsi="Arial"/>
                <w:sz w:val="26"/>
                <w:szCs w:val="26"/>
                <w:color w:val="auto"/>
                <w:vertAlign w:val="superscript"/>
              </w:rPr>
              <w:t>(1)</w:t>
            </w:r>
          </w:p>
        </w:tc>
      </w:tr>
      <w:tr>
        <w:trPr>
          <w:trHeight w:val="224"/>
        </w:trPr>
        <w:tc>
          <w:tcPr>
            <w:tcW w:w="4180" w:type="dxa"/>
            <w:vAlign w:val="bottom"/>
            <w:tcBorders>
              <w:bottom w:val="single" w:sz="8" w:color="auto"/>
            </w:tcBorders>
          </w:tcPr>
          <w:p>
            <w:pPr>
              <w:ind w:left="2560"/>
              <w:spacing w:after="0"/>
              <w:rPr>
                <w:sz w:val="20"/>
                <w:szCs w:val="20"/>
                <w:color w:val="auto"/>
              </w:rPr>
            </w:pPr>
            <w:r>
              <w:rPr>
                <w:rFonts w:ascii="Arial" w:cs="Arial" w:eastAsia="Arial" w:hAnsi="Arial"/>
                <w:sz w:val="17"/>
                <w:szCs w:val="17"/>
                <w:color w:val="auto"/>
              </w:rPr>
              <w:t>Name of Company</w:t>
            </w:r>
          </w:p>
        </w:tc>
        <w:tc>
          <w:tcPr>
            <w:tcW w:w="7060" w:type="dxa"/>
            <w:vAlign w:val="bottom"/>
            <w:tcBorders>
              <w:bottom w:val="single" w:sz="8" w:color="auto"/>
            </w:tcBorders>
          </w:tcPr>
          <w:p>
            <w:pPr>
              <w:ind w:left="3900"/>
              <w:spacing w:after="0"/>
              <w:rPr>
                <w:sz w:val="20"/>
                <w:szCs w:val="20"/>
                <w:color w:val="auto"/>
              </w:rPr>
            </w:pPr>
            <w:r>
              <w:rPr>
                <w:rFonts w:ascii="Arial" w:cs="Arial" w:eastAsia="Arial" w:hAnsi="Arial"/>
                <w:sz w:val="17"/>
                <w:szCs w:val="17"/>
                <w:color w:val="auto"/>
              </w:rPr>
              <w:t>State of Incorporation</w:t>
            </w:r>
          </w:p>
        </w:tc>
      </w:tr>
      <w:tr>
        <w:trPr>
          <w:trHeight w:val="888"/>
        </w:trPr>
        <w:tc>
          <w:tcPr>
            <w:tcW w:w="4180" w:type="dxa"/>
            <w:vAlign w:val="bottom"/>
          </w:tcPr>
          <w:p>
            <w:pPr>
              <w:ind w:left="20"/>
              <w:spacing w:after="0"/>
              <w:rPr>
                <w:sz w:val="20"/>
                <w:szCs w:val="20"/>
                <w:color w:val="auto"/>
              </w:rPr>
            </w:pPr>
            <w:r>
              <w:rPr>
                <w:rFonts w:ascii="Arial" w:cs="Arial" w:eastAsia="Arial" w:hAnsi="Arial"/>
                <w:sz w:val="17"/>
                <w:szCs w:val="17"/>
                <w:color w:val="auto"/>
              </w:rPr>
              <w:t>Evergy Metro, Inc.</w:t>
            </w:r>
          </w:p>
        </w:tc>
        <w:tc>
          <w:tcPr>
            <w:tcW w:w="7060" w:type="dxa"/>
            <w:vAlign w:val="bottom"/>
          </w:tcPr>
          <w:p>
            <w:pPr>
              <w:ind w:left="2280"/>
              <w:spacing w:after="0"/>
              <w:rPr>
                <w:sz w:val="20"/>
                <w:szCs w:val="20"/>
                <w:color w:val="auto"/>
              </w:rPr>
            </w:pPr>
            <w:r>
              <w:rPr>
                <w:rFonts w:ascii="Arial" w:cs="Arial" w:eastAsia="Arial" w:hAnsi="Arial"/>
                <w:sz w:val="17"/>
                <w:szCs w:val="17"/>
                <w:color w:val="auto"/>
              </w:rPr>
              <w:t>Missouri</w:t>
            </w:r>
          </w:p>
        </w:tc>
      </w:tr>
      <w:tr>
        <w:trPr>
          <w:trHeight w:val="915"/>
        </w:trPr>
        <w:tc>
          <w:tcPr>
            <w:tcW w:w="4180" w:type="dxa"/>
            <w:vAlign w:val="bottom"/>
          </w:tcPr>
          <w:p>
            <w:pPr>
              <w:ind w:left="20"/>
              <w:spacing w:after="0"/>
              <w:rPr>
                <w:sz w:val="20"/>
                <w:szCs w:val="20"/>
                <w:color w:val="auto"/>
              </w:rPr>
            </w:pPr>
            <w:r>
              <w:rPr>
                <w:rFonts w:ascii="Arial" w:cs="Arial" w:eastAsia="Arial" w:hAnsi="Arial"/>
                <w:sz w:val="17"/>
                <w:szCs w:val="17"/>
                <w:color w:val="auto"/>
              </w:rPr>
              <w:t>Evergy Missouri West, Inc.</w:t>
            </w:r>
          </w:p>
        </w:tc>
        <w:tc>
          <w:tcPr>
            <w:tcW w:w="7060" w:type="dxa"/>
            <w:vAlign w:val="bottom"/>
          </w:tcPr>
          <w:p>
            <w:pPr>
              <w:ind w:left="2280"/>
              <w:spacing w:after="0"/>
              <w:rPr>
                <w:sz w:val="20"/>
                <w:szCs w:val="20"/>
                <w:color w:val="auto"/>
              </w:rPr>
            </w:pPr>
            <w:r>
              <w:rPr>
                <w:rFonts w:ascii="Arial" w:cs="Arial" w:eastAsia="Arial" w:hAnsi="Arial"/>
                <w:sz w:val="17"/>
                <w:szCs w:val="17"/>
                <w:color w:val="auto"/>
              </w:rPr>
              <w:t>Delaware</w:t>
            </w:r>
          </w:p>
        </w:tc>
      </w:tr>
      <w:tr>
        <w:trPr>
          <w:trHeight w:val="915"/>
        </w:trPr>
        <w:tc>
          <w:tcPr>
            <w:tcW w:w="4180" w:type="dxa"/>
            <w:vAlign w:val="bottom"/>
          </w:tcPr>
          <w:p>
            <w:pPr>
              <w:ind w:left="20"/>
              <w:spacing w:after="0"/>
              <w:rPr>
                <w:sz w:val="20"/>
                <w:szCs w:val="20"/>
                <w:color w:val="auto"/>
              </w:rPr>
            </w:pPr>
            <w:r>
              <w:rPr>
                <w:rFonts w:ascii="Arial" w:cs="Arial" w:eastAsia="Arial" w:hAnsi="Arial"/>
                <w:sz w:val="17"/>
                <w:szCs w:val="17"/>
                <w:color w:val="auto"/>
              </w:rPr>
              <w:t>Evergy Kansas Central, Inc.</w:t>
            </w:r>
          </w:p>
        </w:tc>
        <w:tc>
          <w:tcPr>
            <w:tcW w:w="7060" w:type="dxa"/>
            <w:vAlign w:val="bottom"/>
          </w:tcPr>
          <w:p>
            <w:pPr>
              <w:ind w:left="2280"/>
              <w:spacing w:after="0"/>
              <w:rPr>
                <w:sz w:val="20"/>
                <w:szCs w:val="20"/>
                <w:color w:val="auto"/>
              </w:rPr>
            </w:pPr>
            <w:r>
              <w:rPr>
                <w:rFonts w:ascii="Arial" w:cs="Arial" w:eastAsia="Arial" w:hAnsi="Arial"/>
                <w:sz w:val="17"/>
                <w:szCs w:val="17"/>
                <w:color w:val="auto"/>
              </w:rPr>
              <w:t>Kansas</w:t>
            </w:r>
          </w:p>
        </w:tc>
      </w:tr>
      <w:tr>
        <w:trPr>
          <w:trHeight w:val="982"/>
        </w:trPr>
        <w:tc>
          <w:tcPr>
            <w:tcW w:w="4180" w:type="dxa"/>
            <w:vAlign w:val="bottom"/>
          </w:tcPr>
          <w:p>
            <w:pPr>
              <w:ind w:left="20"/>
              <w:spacing w:after="0"/>
              <w:rPr>
                <w:sz w:val="20"/>
                <w:szCs w:val="20"/>
                <w:color w:val="auto"/>
              </w:rPr>
            </w:pPr>
            <w:r>
              <w:rPr>
                <w:rFonts w:ascii="Arial" w:cs="Arial" w:eastAsia="Arial" w:hAnsi="Arial"/>
                <w:sz w:val="17"/>
                <w:szCs w:val="17"/>
                <w:color w:val="auto"/>
              </w:rPr>
              <w:t xml:space="preserve">Evergy Kansas South, Inc. </w:t>
            </w:r>
            <w:r>
              <w:rPr>
                <w:rFonts w:ascii="Arial" w:cs="Arial" w:eastAsia="Arial" w:hAnsi="Arial"/>
                <w:sz w:val="22"/>
                <w:szCs w:val="22"/>
                <w:color w:val="auto"/>
                <w:vertAlign w:val="superscript"/>
              </w:rPr>
              <w:t>(2)</w:t>
            </w:r>
          </w:p>
        </w:tc>
        <w:tc>
          <w:tcPr>
            <w:tcW w:w="7060" w:type="dxa"/>
            <w:vAlign w:val="bottom"/>
          </w:tcPr>
          <w:p>
            <w:pPr>
              <w:ind w:left="2280"/>
              <w:spacing w:after="0"/>
              <w:rPr>
                <w:sz w:val="20"/>
                <w:szCs w:val="20"/>
                <w:color w:val="auto"/>
              </w:rPr>
            </w:pPr>
            <w:r>
              <w:rPr>
                <w:rFonts w:ascii="Arial" w:cs="Arial" w:eastAsia="Arial" w:hAnsi="Arial"/>
                <w:sz w:val="17"/>
                <w:szCs w:val="17"/>
                <w:color w:val="auto"/>
              </w:rPr>
              <w:t>Kansas</w:t>
            </w:r>
          </w:p>
        </w:tc>
      </w:tr>
    </w:tbl>
    <w:p>
      <w:pPr>
        <w:spacing w:after="0" w:line="256" w:lineRule="exact"/>
        <w:rPr>
          <w:sz w:val="20"/>
          <w:szCs w:val="20"/>
          <w:color w:val="auto"/>
        </w:rPr>
      </w:pPr>
    </w:p>
    <w:p>
      <w:pPr>
        <w:ind w:left="160" w:hanging="157"/>
        <w:spacing w:after="0"/>
        <w:tabs>
          <w:tab w:leader="none" w:pos="160" w:val="left"/>
        </w:tabs>
        <w:numPr>
          <w:ilvl w:val="0"/>
          <w:numId w:val="87"/>
        </w:numPr>
        <w:rPr>
          <w:rFonts w:ascii="Arial" w:cs="Arial" w:eastAsia="Arial" w:hAnsi="Arial"/>
          <w:sz w:val="19"/>
          <w:szCs w:val="19"/>
          <w:color w:val="auto"/>
          <w:vertAlign w:val="superscript"/>
        </w:rPr>
      </w:pPr>
      <w:r>
        <w:rPr>
          <w:rFonts w:ascii="Arial" w:cs="Arial" w:eastAsia="Arial" w:hAnsi="Arial"/>
          <w:sz w:val="15"/>
          <w:szCs w:val="15"/>
          <w:color w:val="auto"/>
        </w:rPr>
        <w:t>Certain subsidiaries of Evergy, Inc. have been omitted pursuant to Item 601(b)(21)(ii) of Regulation S-K.</w:t>
      </w:r>
    </w:p>
    <w:p>
      <w:pPr>
        <w:spacing w:after="0" w:line="3" w:lineRule="exact"/>
        <w:rPr>
          <w:rFonts w:ascii="Arial" w:cs="Arial" w:eastAsia="Arial" w:hAnsi="Arial"/>
          <w:sz w:val="19"/>
          <w:szCs w:val="19"/>
          <w:color w:val="auto"/>
          <w:vertAlign w:val="superscript"/>
        </w:rPr>
      </w:pPr>
    </w:p>
    <w:p>
      <w:pPr>
        <w:ind w:left="180" w:hanging="177"/>
        <w:spacing w:after="0" w:line="201" w:lineRule="auto"/>
        <w:tabs>
          <w:tab w:leader="none" w:pos="180" w:val="left"/>
        </w:tabs>
        <w:numPr>
          <w:ilvl w:val="0"/>
          <w:numId w:val="87"/>
        </w:numPr>
        <w:rPr>
          <w:rFonts w:ascii="Arial" w:cs="Arial" w:eastAsia="Arial" w:hAnsi="Arial"/>
          <w:sz w:val="21"/>
          <w:szCs w:val="21"/>
          <w:color w:val="auto"/>
          <w:vertAlign w:val="superscript"/>
        </w:rPr>
      </w:pPr>
      <w:r>
        <w:rPr>
          <w:rFonts w:ascii="Arial" w:cs="Arial" w:eastAsia="Arial" w:hAnsi="Arial"/>
          <w:sz w:val="16"/>
          <w:szCs w:val="16"/>
          <w:color w:val="auto"/>
        </w:rPr>
        <w:t>Evergy Kansas South, Inc. is a subsidiary of Evergy Kansas Central, Inc.</w:t>
      </w:r>
    </w:p>
    <w:p>
      <w:pPr>
        <w:sectPr>
          <w:pgSz w:w="11900" w:h="16838" w:orient="portrait"/>
          <w:cols w:equalWidth="0" w:num="1">
            <w:col w:w="11240"/>
          </w:cols>
          <w:pgMar w:left="320" w:top="591"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color w:val="auto"/>
        </w:rPr>
        <w:t>Exhibit 23.1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29" w:lineRule="exact"/>
        <w:rPr>
          <w:sz w:val="20"/>
          <w:szCs w:val="20"/>
          <w:color w:val="auto"/>
        </w:rPr>
      </w:pPr>
    </w:p>
    <w:p>
      <w:pPr>
        <w:ind w:right="240"/>
        <w:spacing w:after="0" w:line="253" w:lineRule="auto"/>
        <w:rPr>
          <w:sz w:val="20"/>
          <w:szCs w:val="20"/>
          <w:color w:val="auto"/>
        </w:rPr>
      </w:pPr>
      <w:r>
        <w:rPr>
          <w:rFonts w:ascii="Arial" w:cs="Arial" w:eastAsia="Arial" w:hAnsi="Arial"/>
          <w:sz w:val="19"/>
          <w:szCs w:val="19"/>
          <w:color w:val="auto"/>
        </w:rPr>
        <w:t>We consent to the incorporation by reference in Registration Statement Nos. 333-227214. 333-228179, 333-259243, 333-259245 and 333-260285 on Form S-3 and Registration Statement Nos. 333-254552 and 333-225673 (including Post-effective Amendment No. 1 thereto) on Form S-8 of our reports dated February 24, 2022, relating to the consolidated financial statements and financial statement schedules of Evergy, Inc. and subsidiaries, and the effectiveness of Evergy, Inc. and subsidiaries’ internal control over financial reporting, appearing in this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February 24, 2022</w:t>
      </w:r>
    </w:p>
    <w:p>
      <w:pPr>
        <w:sectPr>
          <w:pgSz w:w="11900" w:h="16838" w:orient="portrait"/>
          <w:cols w:equalWidth="0" w:num="1">
            <w:col w:w="11240"/>
          </w:cols>
          <w:pgMar w:left="320" w:top="591"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7"/>
          <w:szCs w:val="17"/>
          <w:color w:val="auto"/>
        </w:rPr>
        <w:t>Exhibit 23.2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We consent to the incorporation by reference in Registration Statement Nos. 333-228179-01 and 333-259245 on Form S-3 of our report dated February 24, 2022, relating to the consolidated financial statements and financial statement schedule of Evergy Metro, Inc. and subsidiaries, appearing in this Annual Report on Form of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February 24, 2022</w:t>
      </w:r>
    </w:p>
    <w:p>
      <w:pPr>
        <w:sectPr>
          <w:pgSz w:w="11900" w:h="16838" w:orient="portrait"/>
          <w:cols w:equalWidth="0" w:num="1">
            <w:col w:w="11240"/>
          </w:cols>
          <w:pgMar w:left="320" w:top="591"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7"/>
          <w:szCs w:val="17"/>
          <w:color w:val="auto"/>
        </w:rPr>
        <w:t>Exhibit 23.3</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We consent to the incorporation by reference in Registration Statement Nos. 333-228179-02 and 333-259245 on Form S-3 of our report dated February 24, 2022, relating to the consolidated financial statements and financial statement schedule of Evergy Kansas Central, Inc. and subsidiaries, appearing in this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February 24, 2022</w:t>
      </w:r>
    </w:p>
    <w:p>
      <w:pPr>
        <w:sectPr>
          <w:pgSz w:w="11900" w:h="16838" w:orient="portrait"/>
          <w:cols w:equalWidth="0" w:num="1">
            <w:col w:w="11240"/>
          </w:cols>
          <w:pgMar w:left="320" w:top="591"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7"/>
          <w:szCs w:val="17"/>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6"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each of whom is a member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Evergy, Inc., a Missouri corporation, constitutes and appoints David A. Campbell, Kirkland B. Andrews and Heather A. Humphrey, and each of them, his or her true and lawful attorneys-in-fact and agents, each acting alone, with full power of substitution and re-substitution, to execute in the name and on behalf of the undersigned as such director an Annual Report on Form 10-K, and any amendments thereto, granting unto said attorneys-in-fact and agents and each of them, full power and authority to do and to perform each and every act and thing necessary or desirable to be done in and about the premises in order to effectuate the same as fully to all intents and purposes as he or she might or could do if personally present, hereby ratifying and confirming all that said attorneys-in-fact and agents, or any of them, may lawfully do or cause to be done by virtue hereof.</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hereunto set their hands this 24</w:t>
      </w:r>
      <w:r>
        <w:rPr>
          <w:rFonts w:ascii="Arial" w:cs="Arial" w:eastAsia="Arial" w:hAnsi="Arial"/>
          <w:sz w:val="22"/>
          <w:szCs w:val="22"/>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February, 2022.</w:t>
      </w:r>
    </w:p>
    <w:p>
      <w:pPr>
        <w:spacing w:after="0" w:line="313" w:lineRule="exact"/>
        <w:rPr>
          <w:sz w:val="20"/>
          <w:szCs w:val="20"/>
          <w:color w:val="auto"/>
        </w:rPr>
      </w:pPr>
    </w:p>
    <w:tbl>
      <w:tblPr>
        <w:tblLayout w:type="fixed"/>
        <w:tblInd w:w="1260" w:type="dxa"/>
        <w:tblCellMar>
          <w:top w:w="0" w:type="dxa"/>
          <w:left w:w="0" w:type="dxa"/>
          <w:bottom w:w="0" w:type="dxa"/>
          <w:right w:w="0" w:type="dxa"/>
        </w:tblCellMar>
      </w:tblPr>
      <w:tr>
        <w:trPr>
          <w:trHeight w:val="221"/>
        </w:trPr>
        <w:tc>
          <w:tcPr>
            <w:tcW w:w="4500" w:type="dxa"/>
            <w:vAlign w:val="bottom"/>
            <w:gridSpan w:val="8"/>
          </w:tcPr>
          <w:p>
            <w:pPr>
              <w:spacing w:after="0"/>
              <w:rPr>
                <w:sz w:val="20"/>
                <w:szCs w:val="20"/>
                <w:color w:val="auto"/>
              </w:rPr>
            </w:pPr>
            <w:r>
              <w:rPr>
                <w:rFonts w:ascii="Arial" w:cs="Arial" w:eastAsia="Arial" w:hAnsi="Arial"/>
                <w:sz w:val="17"/>
                <w:szCs w:val="17"/>
                <w:color w:val="auto"/>
              </w:rPr>
              <w:t>/s/ David A. Campbell</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/s/ Mollie H. Carter</w:t>
            </w:r>
          </w:p>
        </w:tc>
      </w:tr>
      <w:tr>
        <w:trPr>
          <w:trHeight w:val="256"/>
        </w:trPr>
        <w:tc>
          <w:tcPr>
            <w:tcW w:w="164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David A. Campbell</w:t>
            </w:r>
          </w:p>
        </w:tc>
        <w:tc>
          <w:tcPr>
            <w:tcW w:w="2860" w:type="dxa"/>
            <w:vAlign w:val="bottom"/>
            <w:gridSpan w:val="3"/>
          </w:tcPr>
          <w:p>
            <w:pPr>
              <w:spacing w:after="0"/>
              <w:rPr>
                <w:sz w:val="22"/>
                <w:szCs w:val="22"/>
                <w:color w:val="auto"/>
              </w:rPr>
            </w:pPr>
          </w:p>
        </w:tc>
        <w:tc>
          <w:tcPr>
            <w:tcW w:w="2560" w:type="dxa"/>
            <w:vAlign w:val="bottom"/>
          </w:tcPr>
          <w:p>
            <w:pPr>
              <w:spacing w:after="0"/>
              <w:rPr>
                <w:sz w:val="22"/>
                <w:szCs w:val="22"/>
                <w:color w:val="auto"/>
              </w:rPr>
            </w:pPr>
          </w:p>
        </w:tc>
        <w:tc>
          <w:tcPr>
            <w:tcW w:w="142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Mollie H. Carter</w:t>
            </w:r>
          </w:p>
        </w:tc>
        <w:tc>
          <w:tcPr>
            <w:tcW w:w="120" w:type="dxa"/>
            <w:vAlign w:val="bottom"/>
            <w:gridSpan w:val="2"/>
          </w:tcPr>
          <w:p>
            <w:pPr>
              <w:spacing w:after="0"/>
              <w:rPr>
                <w:sz w:val="22"/>
                <w:szCs w:val="22"/>
                <w:color w:val="auto"/>
              </w:rPr>
            </w:pPr>
          </w:p>
        </w:tc>
      </w:tr>
      <w:tr>
        <w:trPr>
          <w:trHeight w:val="466"/>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9"/>
              </w:rPr>
              <w:t>/s/ Thomas D. Hyde</w:t>
            </w:r>
          </w:p>
        </w:tc>
        <w:tc>
          <w:tcPr>
            <w:tcW w:w="2980" w:type="dxa"/>
            <w:vAlign w:val="bottom"/>
            <w:gridSpan w:val="4"/>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rPr>
              <w:t>/s/ B. Anthony Isaac</w:t>
            </w:r>
          </w:p>
        </w:tc>
      </w:tr>
      <w:tr>
        <w:trPr>
          <w:trHeight w:val="262"/>
        </w:trPr>
        <w:tc>
          <w:tcPr>
            <w:tcW w:w="4500" w:type="dxa"/>
            <w:vAlign w:val="bottom"/>
            <w:gridSpan w:val="8"/>
          </w:tcPr>
          <w:p>
            <w:pPr>
              <w:spacing w:after="0"/>
              <w:rPr>
                <w:sz w:val="20"/>
                <w:szCs w:val="20"/>
                <w:color w:val="auto"/>
              </w:rPr>
            </w:pPr>
            <w:r>
              <w:rPr>
                <w:rFonts w:ascii="Arial" w:cs="Arial" w:eastAsia="Arial" w:hAnsi="Arial"/>
                <w:sz w:val="17"/>
                <w:szCs w:val="17"/>
                <w:color w:val="auto"/>
              </w:rPr>
              <w:t>Thomas D. Hyde</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B. Anthony Isaac</w:t>
            </w:r>
          </w:p>
        </w:tc>
      </w:tr>
      <w:tr>
        <w:trPr>
          <w:trHeight w:val="466"/>
        </w:trPr>
        <w:tc>
          <w:tcPr>
            <w:tcW w:w="4500" w:type="dxa"/>
            <w:vAlign w:val="bottom"/>
            <w:gridSpan w:val="8"/>
          </w:tcPr>
          <w:p>
            <w:pPr>
              <w:spacing w:after="0"/>
              <w:rPr>
                <w:sz w:val="20"/>
                <w:szCs w:val="20"/>
                <w:color w:val="auto"/>
              </w:rPr>
            </w:pPr>
            <w:r>
              <w:rPr>
                <w:rFonts w:ascii="Arial" w:cs="Arial" w:eastAsia="Arial" w:hAnsi="Arial"/>
                <w:sz w:val="17"/>
                <w:szCs w:val="17"/>
                <w:color w:val="auto"/>
              </w:rPr>
              <w:t>/s/ Paul M. Keglevic</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/s/ Mary L. Landrieu</w:t>
            </w:r>
          </w:p>
        </w:tc>
      </w:tr>
      <w:tr>
        <w:trPr>
          <w:trHeight w:val="262"/>
        </w:trPr>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Paul M. Keglevic</w:t>
            </w:r>
          </w:p>
        </w:tc>
        <w:tc>
          <w:tcPr>
            <w:tcW w:w="3000" w:type="dxa"/>
            <w:vAlign w:val="bottom"/>
            <w:gridSpan w:val="5"/>
          </w:tcPr>
          <w:p>
            <w:pPr>
              <w:spacing w:after="0"/>
              <w:rPr>
                <w:sz w:val="22"/>
                <w:szCs w:val="22"/>
                <w:color w:val="auto"/>
              </w:rPr>
            </w:pPr>
          </w:p>
        </w:tc>
        <w:tc>
          <w:tcPr>
            <w:tcW w:w="2560" w:type="dxa"/>
            <w:vAlign w:val="bottom"/>
          </w:tcPr>
          <w:p>
            <w:pPr>
              <w:spacing w:after="0"/>
              <w:rPr>
                <w:sz w:val="22"/>
                <w:szCs w:val="22"/>
                <w:color w:val="auto"/>
              </w:rPr>
            </w:pPr>
          </w:p>
        </w:tc>
        <w:tc>
          <w:tcPr>
            <w:tcW w:w="152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Mary L. Landrieu</w:t>
            </w:r>
          </w:p>
        </w:tc>
        <w:tc>
          <w:tcPr>
            <w:tcW w:w="20" w:type="dxa"/>
            <w:vAlign w:val="bottom"/>
          </w:tcPr>
          <w:p>
            <w:pPr>
              <w:spacing w:after="0"/>
              <w:rPr>
                <w:sz w:val="22"/>
                <w:szCs w:val="22"/>
                <w:color w:val="auto"/>
              </w:rPr>
            </w:pPr>
          </w:p>
        </w:tc>
      </w:tr>
      <w:tr>
        <w:trPr>
          <w:trHeight w:val="466"/>
        </w:trPr>
        <w:tc>
          <w:tcPr>
            <w:tcW w:w="1940" w:type="dxa"/>
            <w:vAlign w:val="bottom"/>
            <w:gridSpan w:val="7"/>
          </w:tcPr>
          <w:p>
            <w:pPr>
              <w:spacing w:after="0"/>
              <w:rPr>
                <w:sz w:val="20"/>
                <w:szCs w:val="20"/>
                <w:color w:val="auto"/>
              </w:rPr>
            </w:pPr>
            <w:r>
              <w:rPr>
                <w:rFonts w:ascii="Arial" w:cs="Arial" w:eastAsia="Arial" w:hAnsi="Arial"/>
                <w:sz w:val="17"/>
                <w:szCs w:val="17"/>
                <w:color w:val="auto"/>
              </w:rPr>
              <w:t>/s/ Sandra A.J. Lawrence</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gridSpan w:val="6"/>
          </w:tcPr>
          <w:p>
            <w:pPr>
              <w:spacing w:after="0"/>
              <w:rPr>
                <w:sz w:val="20"/>
                <w:szCs w:val="20"/>
                <w:color w:val="auto"/>
              </w:rPr>
            </w:pPr>
            <w:r>
              <w:rPr>
                <w:rFonts w:ascii="Arial" w:cs="Arial" w:eastAsia="Arial" w:hAnsi="Arial"/>
                <w:sz w:val="17"/>
                <w:szCs w:val="17"/>
                <w:color w:val="auto"/>
              </w:rPr>
              <w:t>/s/ Ann D. Murtlow</w:t>
            </w:r>
          </w:p>
        </w:tc>
      </w:tr>
      <w:tr>
        <w:trPr>
          <w:trHeight w:val="262"/>
        </w:trPr>
        <w:tc>
          <w:tcPr>
            <w:tcW w:w="1940" w:type="dxa"/>
            <w:vAlign w:val="bottom"/>
            <w:tcBorders>
              <w:top w:val="single" w:sz="8" w:color="auto"/>
            </w:tcBorders>
            <w:gridSpan w:val="7"/>
          </w:tcPr>
          <w:p>
            <w:pPr>
              <w:spacing w:after="0"/>
              <w:rPr>
                <w:sz w:val="20"/>
                <w:szCs w:val="20"/>
                <w:color w:val="auto"/>
              </w:rPr>
            </w:pPr>
            <w:r>
              <w:rPr>
                <w:rFonts w:ascii="Arial" w:cs="Arial" w:eastAsia="Arial" w:hAnsi="Arial"/>
                <w:sz w:val="17"/>
                <w:szCs w:val="17"/>
                <w:color w:val="auto"/>
              </w:rPr>
              <w:t>Sandra A.J. Lawrence</w:t>
            </w:r>
          </w:p>
        </w:tc>
        <w:tc>
          <w:tcPr>
            <w:tcW w:w="25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Ann D. Murtlow</w:t>
            </w:r>
          </w:p>
        </w:tc>
        <w:tc>
          <w:tcPr>
            <w:tcW w:w="140" w:type="dxa"/>
            <w:vAlign w:val="bottom"/>
            <w:gridSpan w:val="3"/>
          </w:tcPr>
          <w:p>
            <w:pPr>
              <w:spacing w:after="0"/>
              <w:rPr>
                <w:sz w:val="22"/>
                <w:szCs w:val="22"/>
                <w:color w:val="auto"/>
              </w:rPr>
            </w:pPr>
          </w:p>
        </w:tc>
      </w:tr>
      <w:tr>
        <w:trPr>
          <w:trHeight w:val="466"/>
        </w:trPr>
        <w:tc>
          <w:tcPr>
            <w:tcW w:w="4500" w:type="dxa"/>
            <w:vAlign w:val="bottom"/>
            <w:gridSpan w:val="8"/>
          </w:tcPr>
          <w:p>
            <w:pPr>
              <w:spacing w:after="0"/>
              <w:rPr>
                <w:sz w:val="20"/>
                <w:szCs w:val="20"/>
                <w:color w:val="auto"/>
              </w:rPr>
            </w:pPr>
            <w:r>
              <w:rPr>
                <w:rFonts w:ascii="Arial" w:cs="Arial" w:eastAsia="Arial" w:hAnsi="Arial"/>
                <w:sz w:val="17"/>
                <w:szCs w:val="17"/>
                <w:color w:val="auto"/>
              </w:rPr>
              <w:t>/s/ Sandra J. Price</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/s/ Mark A. Ruelle</w:t>
            </w:r>
          </w:p>
        </w:tc>
      </w:tr>
      <w:tr>
        <w:trPr>
          <w:trHeight w:val="262"/>
        </w:trPr>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Sandra J. Price</w:t>
            </w:r>
          </w:p>
        </w:tc>
        <w:tc>
          <w:tcPr>
            <w:tcW w:w="3100" w:type="dxa"/>
            <w:vAlign w:val="bottom"/>
            <w:gridSpan w:val="6"/>
          </w:tcPr>
          <w:p>
            <w:pPr>
              <w:spacing w:after="0"/>
              <w:rPr>
                <w:sz w:val="22"/>
                <w:szCs w:val="22"/>
                <w:color w:val="auto"/>
              </w:rPr>
            </w:pPr>
          </w:p>
        </w:tc>
        <w:tc>
          <w:tcPr>
            <w:tcW w:w="2560" w:type="dxa"/>
            <w:vAlign w:val="bottom"/>
          </w:tcPr>
          <w:p>
            <w:pPr>
              <w:spacing w:after="0"/>
              <w:rPr>
                <w:sz w:val="22"/>
                <w:szCs w:val="22"/>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Mark A. Ruelle</w:t>
            </w:r>
          </w:p>
        </w:tc>
        <w:tc>
          <w:tcPr>
            <w:tcW w:w="180" w:type="dxa"/>
            <w:vAlign w:val="bottom"/>
            <w:gridSpan w:val="4"/>
          </w:tcPr>
          <w:p>
            <w:pPr>
              <w:spacing w:after="0"/>
              <w:rPr>
                <w:sz w:val="22"/>
                <w:szCs w:val="22"/>
                <w:color w:val="auto"/>
              </w:rPr>
            </w:pPr>
          </w:p>
        </w:tc>
      </w:tr>
      <w:tr>
        <w:trPr>
          <w:trHeight w:val="466"/>
        </w:trPr>
        <w:tc>
          <w:tcPr>
            <w:tcW w:w="192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w w:val="99"/>
              </w:rPr>
              <w:t>/s/ S. Carl Soderstrom Jr.</w:t>
            </w:r>
          </w:p>
        </w:tc>
        <w:tc>
          <w:tcPr>
            <w:tcW w:w="258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/s/ John A. Stall</w:t>
            </w:r>
          </w:p>
        </w:tc>
        <w:tc>
          <w:tcPr>
            <w:tcW w:w="340" w:type="dxa"/>
            <w:vAlign w:val="bottom"/>
            <w:gridSpan w:val="5"/>
          </w:tcPr>
          <w:p>
            <w:pPr>
              <w:spacing w:after="0"/>
              <w:rPr>
                <w:sz w:val="24"/>
                <w:szCs w:val="24"/>
                <w:color w:val="auto"/>
              </w:rPr>
            </w:pPr>
          </w:p>
        </w:tc>
      </w:tr>
      <w:tr>
        <w:trPr>
          <w:trHeight w:val="262"/>
        </w:trPr>
        <w:tc>
          <w:tcPr>
            <w:tcW w:w="4500" w:type="dxa"/>
            <w:vAlign w:val="bottom"/>
            <w:gridSpan w:val="8"/>
          </w:tcPr>
          <w:p>
            <w:pPr>
              <w:spacing w:after="0"/>
              <w:rPr>
                <w:sz w:val="20"/>
                <w:szCs w:val="20"/>
                <w:color w:val="auto"/>
              </w:rPr>
            </w:pPr>
            <w:r>
              <w:rPr>
                <w:rFonts w:ascii="Arial" w:cs="Arial" w:eastAsia="Arial" w:hAnsi="Arial"/>
                <w:sz w:val="17"/>
                <w:szCs w:val="17"/>
                <w:color w:val="auto"/>
              </w:rPr>
              <w:t>S. Carl Soderstrom Jr.</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John A. Stall</w:t>
            </w:r>
          </w:p>
        </w:tc>
      </w:tr>
      <w:tr>
        <w:trPr>
          <w:trHeight w:val="466"/>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/s/ C, John Wilder</w:t>
            </w:r>
          </w:p>
        </w:tc>
        <w:tc>
          <w:tcPr>
            <w:tcW w:w="3140" w:type="dxa"/>
            <w:vAlign w:val="bottom"/>
            <w:gridSpan w:val="7"/>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4500" w:type="dxa"/>
            <w:vAlign w:val="bottom"/>
            <w:gridSpan w:val="8"/>
          </w:tcPr>
          <w:p>
            <w:pPr>
              <w:spacing w:after="0"/>
              <w:rPr>
                <w:sz w:val="20"/>
                <w:szCs w:val="20"/>
                <w:color w:val="auto"/>
              </w:rPr>
            </w:pPr>
            <w:r>
              <w:rPr>
                <w:rFonts w:ascii="Arial" w:cs="Arial" w:eastAsia="Arial" w:hAnsi="Arial"/>
                <w:sz w:val="17"/>
                <w:szCs w:val="17"/>
                <w:color w:val="auto"/>
              </w:rPr>
              <w:t>C. John Wilder</w:t>
            </w:r>
          </w:p>
        </w:tc>
        <w:tc>
          <w:tcPr>
            <w:tcW w:w="2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ectPr>
          <w:pgSz w:w="11900" w:h="16838" w:orient="portrait"/>
          <w:cols w:equalWidth="0" w:num="1">
            <w:col w:w="11240"/>
          </w:cols>
          <w:pgMar w:left="320" w:top="603"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7"/>
          <w:szCs w:val="17"/>
          <w:color w:val="auto"/>
        </w:rPr>
        <w:t>Exhibit 24.2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each of whom is a member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Evergy Kansas Central, Inc., a Kansas corporation, constitutes and appoints David A. Campbell, Kirkland B. Andrews and Heather A. Humphrey, and each of them, his or her true and lawful attorneys-in-fact and agents, each acting alone, with full power of substitution and re-substitution, to execute in the name and on behalf of the undersigned as such director an Annual Report on Form 10-K, and any amendments thereto, granting unto said attorneys-in-fact and agents and each of them, full power and authority to do and to perform each and every act and thing necessary or desirable to be done in and about the premises in order to effectuate the same as fully to all intents and purposes as he or she might or could do if personally present, hereby ratifying and confirming all that said attorneys-in-fact and agents, or any of them, may lawfully do or cause to be done by virtue hereof.</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hereunto set their hands this 24</w:t>
      </w:r>
      <w:r>
        <w:rPr>
          <w:rFonts w:ascii="Arial" w:cs="Arial" w:eastAsia="Arial" w:hAnsi="Arial"/>
          <w:sz w:val="22"/>
          <w:szCs w:val="22"/>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February, 2022.</w:t>
      </w:r>
    </w:p>
    <w:p>
      <w:pPr>
        <w:spacing w:after="0" w:line="313" w:lineRule="exact"/>
        <w:rPr>
          <w:sz w:val="20"/>
          <w:szCs w:val="20"/>
          <w:color w:val="auto"/>
        </w:rPr>
      </w:pPr>
    </w:p>
    <w:tbl>
      <w:tblPr>
        <w:tblLayout w:type="fixed"/>
        <w:tblInd w:w="1260" w:type="dxa"/>
        <w:tblCellMar>
          <w:top w:w="0" w:type="dxa"/>
          <w:left w:w="0" w:type="dxa"/>
          <w:bottom w:w="0" w:type="dxa"/>
          <w:right w:w="0" w:type="dxa"/>
        </w:tblCellMar>
      </w:tblPr>
      <w:tr>
        <w:trPr>
          <w:trHeight w:val="221"/>
        </w:trPr>
        <w:tc>
          <w:tcPr>
            <w:tcW w:w="4500" w:type="dxa"/>
            <w:vAlign w:val="bottom"/>
            <w:gridSpan w:val="8"/>
          </w:tcPr>
          <w:p>
            <w:pPr>
              <w:spacing w:after="0"/>
              <w:rPr>
                <w:sz w:val="20"/>
                <w:szCs w:val="20"/>
                <w:color w:val="auto"/>
              </w:rPr>
            </w:pPr>
            <w:r>
              <w:rPr>
                <w:rFonts w:ascii="Arial" w:cs="Arial" w:eastAsia="Arial" w:hAnsi="Arial"/>
                <w:sz w:val="17"/>
                <w:szCs w:val="17"/>
                <w:color w:val="auto"/>
              </w:rPr>
              <w:t>/s/ David A. Campbell</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/s/ Mollie H. Carter</w:t>
            </w:r>
          </w:p>
        </w:tc>
      </w:tr>
      <w:tr>
        <w:trPr>
          <w:trHeight w:val="256"/>
        </w:trPr>
        <w:tc>
          <w:tcPr>
            <w:tcW w:w="164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David A. Campbell</w:t>
            </w:r>
          </w:p>
        </w:tc>
        <w:tc>
          <w:tcPr>
            <w:tcW w:w="2860" w:type="dxa"/>
            <w:vAlign w:val="bottom"/>
            <w:gridSpan w:val="3"/>
          </w:tcPr>
          <w:p>
            <w:pPr>
              <w:spacing w:after="0"/>
              <w:rPr>
                <w:sz w:val="22"/>
                <w:szCs w:val="22"/>
                <w:color w:val="auto"/>
              </w:rPr>
            </w:pPr>
          </w:p>
        </w:tc>
        <w:tc>
          <w:tcPr>
            <w:tcW w:w="2560" w:type="dxa"/>
            <w:vAlign w:val="bottom"/>
          </w:tcPr>
          <w:p>
            <w:pPr>
              <w:spacing w:after="0"/>
              <w:rPr>
                <w:sz w:val="22"/>
                <w:szCs w:val="22"/>
                <w:color w:val="auto"/>
              </w:rPr>
            </w:pPr>
          </w:p>
        </w:tc>
        <w:tc>
          <w:tcPr>
            <w:tcW w:w="142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Mollie H. Carter</w:t>
            </w:r>
          </w:p>
        </w:tc>
        <w:tc>
          <w:tcPr>
            <w:tcW w:w="120" w:type="dxa"/>
            <w:vAlign w:val="bottom"/>
            <w:gridSpan w:val="2"/>
          </w:tcPr>
          <w:p>
            <w:pPr>
              <w:spacing w:after="0"/>
              <w:rPr>
                <w:sz w:val="22"/>
                <w:szCs w:val="22"/>
                <w:color w:val="auto"/>
              </w:rPr>
            </w:pPr>
          </w:p>
        </w:tc>
      </w:tr>
      <w:tr>
        <w:trPr>
          <w:trHeight w:val="466"/>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9"/>
              </w:rPr>
              <w:t>/s/ Thomas D. Hyde</w:t>
            </w:r>
          </w:p>
        </w:tc>
        <w:tc>
          <w:tcPr>
            <w:tcW w:w="2980" w:type="dxa"/>
            <w:vAlign w:val="bottom"/>
            <w:gridSpan w:val="4"/>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rPr>
              <w:t>/s/ B. Anthony Isaac</w:t>
            </w:r>
          </w:p>
        </w:tc>
      </w:tr>
      <w:tr>
        <w:trPr>
          <w:trHeight w:val="262"/>
        </w:trPr>
        <w:tc>
          <w:tcPr>
            <w:tcW w:w="4500" w:type="dxa"/>
            <w:vAlign w:val="bottom"/>
            <w:gridSpan w:val="8"/>
          </w:tcPr>
          <w:p>
            <w:pPr>
              <w:spacing w:after="0"/>
              <w:rPr>
                <w:sz w:val="20"/>
                <w:szCs w:val="20"/>
                <w:color w:val="auto"/>
              </w:rPr>
            </w:pPr>
            <w:r>
              <w:rPr>
                <w:rFonts w:ascii="Arial" w:cs="Arial" w:eastAsia="Arial" w:hAnsi="Arial"/>
                <w:sz w:val="17"/>
                <w:szCs w:val="17"/>
                <w:color w:val="auto"/>
              </w:rPr>
              <w:t>Thomas D. Hyde</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B. Anthony Isaac</w:t>
            </w:r>
          </w:p>
        </w:tc>
      </w:tr>
      <w:tr>
        <w:trPr>
          <w:trHeight w:val="466"/>
        </w:trPr>
        <w:tc>
          <w:tcPr>
            <w:tcW w:w="4500" w:type="dxa"/>
            <w:vAlign w:val="bottom"/>
            <w:gridSpan w:val="8"/>
          </w:tcPr>
          <w:p>
            <w:pPr>
              <w:spacing w:after="0"/>
              <w:rPr>
                <w:sz w:val="20"/>
                <w:szCs w:val="20"/>
                <w:color w:val="auto"/>
              </w:rPr>
            </w:pPr>
            <w:r>
              <w:rPr>
                <w:rFonts w:ascii="Arial" w:cs="Arial" w:eastAsia="Arial" w:hAnsi="Arial"/>
                <w:sz w:val="17"/>
                <w:szCs w:val="17"/>
                <w:color w:val="auto"/>
              </w:rPr>
              <w:t>/s/ Paul M. Keglevic</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/s/ Mary L. Landrieu</w:t>
            </w:r>
          </w:p>
        </w:tc>
      </w:tr>
      <w:tr>
        <w:trPr>
          <w:trHeight w:val="262"/>
        </w:trPr>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Paul M. Keglevic</w:t>
            </w:r>
          </w:p>
        </w:tc>
        <w:tc>
          <w:tcPr>
            <w:tcW w:w="3000" w:type="dxa"/>
            <w:vAlign w:val="bottom"/>
            <w:gridSpan w:val="5"/>
          </w:tcPr>
          <w:p>
            <w:pPr>
              <w:spacing w:after="0"/>
              <w:rPr>
                <w:sz w:val="22"/>
                <w:szCs w:val="22"/>
                <w:color w:val="auto"/>
              </w:rPr>
            </w:pPr>
          </w:p>
        </w:tc>
        <w:tc>
          <w:tcPr>
            <w:tcW w:w="2560" w:type="dxa"/>
            <w:vAlign w:val="bottom"/>
          </w:tcPr>
          <w:p>
            <w:pPr>
              <w:spacing w:after="0"/>
              <w:rPr>
                <w:sz w:val="22"/>
                <w:szCs w:val="22"/>
                <w:color w:val="auto"/>
              </w:rPr>
            </w:pPr>
          </w:p>
        </w:tc>
        <w:tc>
          <w:tcPr>
            <w:tcW w:w="152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Mary L. Landrieu</w:t>
            </w:r>
          </w:p>
        </w:tc>
        <w:tc>
          <w:tcPr>
            <w:tcW w:w="20" w:type="dxa"/>
            <w:vAlign w:val="bottom"/>
          </w:tcPr>
          <w:p>
            <w:pPr>
              <w:spacing w:after="0"/>
              <w:rPr>
                <w:sz w:val="22"/>
                <w:szCs w:val="22"/>
                <w:color w:val="auto"/>
              </w:rPr>
            </w:pPr>
          </w:p>
        </w:tc>
      </w:tr>
      <w:tr>
        <w:trPr>
          <w:trHeight w:val="466"/>
        </w:trPr>
        <w:tc>
          <w:tcPr>
            <w:tcW w:w="1940" w:type="dxa"/>
            <w:vAlign w:val="bottom"/>
            <w:gridSpan w:val="7"/>
          </w:tcPr>
          <w:p>
            <w:pPr>
              <w:spacing w:after="0"/>
              <w:rPr>
                <w:sz w:val="20"/>
                <w:szCs w:val="20"/>
                <w:color w:val="auto"/>
              </w:rPr>
            </w:pPr>
            <w:r>
              <w:rPr>
                <w:rFonts w:ascii="Arial" w:cs="Arial" w:eastAsia="Arial" w:hAnsi="Arial"/>
                <w:sz w:val="17"/>
                <w:szCs w:val="17"/>
                <w:color w:val="auto"/>
              </w:rPr>
              <w:t>/s/ Sandra A.J. Lawrence</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gridSpan w:val="6"/>
          </w:tcPr>
          <w:p>
            <w:pPr>
              <w:spacing w:after="0"/>
              <w:rPr>
                <w:sz w:val="20"/>
                <w:szCs w:val="20"/>
                <w:color w:val="auto"/>
              </w:rPr>
            </w:pPr>
            <w:r>
              <w:rPr>
                <w:rFonts w:ascii="Arial" w:cs="Arial" w:eastAsia="Arial" w:hAnsi="Arial"/>
                <w:sz w:val="17"/>
                <w:szCs w:val="17"/>
                <w:color w:val="auto"/>
              </w:rPr>
              <w:t>/s/ Ann D. Murtlow</w:t>
            </w:r>
          </w:p>
        </w:tc>
      </w:tr>
      <w:tr>
        <w:trPr>
          <w:trHeight w:val="262"/>
        </w:trPr>
        <w:tc>
          <w:tcPr>
            <w:tcW w:w="1940" w:type="dxa"/>
            <w:vAlign w:val="bottom"/>
            <w:tcBorders>
              <w:top w:val="single" w:sz="8" w:color="auto"/>
            </w:tcBorders>
            <w:gridSpan w:val="7"/>
          </w:tcPr>
          <w:p>
            <w:pPr>
              <w:spacing w:after="0"/>
              <w:rPr>
                <w:sz w:val="20"/>
                <w:szCs w:val="20"/>
                <w:color w:val="auto"/>
              </w:rPr>
            </w:pPr>
            <w:r>
              <w:rPr>
                <w:rFonts w:ascii="Arial" w:cs="Arial" w:eastAsia="Arial" w:hAnsi="Arial"/>
                <w:sz w:val="17"/>
                <w:szCs w:val="17"/>
                <w:color w:val="auto"/>
              </w:rPr>
              <w:t>Sandra A.J. Lawrence</w:t>
            </w:r>
          </w:p>
        </w:tc>
        <w:tc>
          <w:tcPr>
            <w:tcW w:w="25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Ann D. Murtlow</w:t>
            </w:r>
          </w:p>
        </w:tc>
        <w:tc>
          <w:tcPr>
            <w:tcW w:w="140" w:type="dxa"/>
            <w:vAlign w:val="bottom"/>
            <w:gridSpan w:val="3"/>
          </w:tcPr>
          <w:p>
            <w:pPr>
              <w:spacing w:after="0"/>
              <w:rPr>
                <w:sz w:val="22"/>
                <w:szCs w:val="22"/>
                <w:color w:val="auto"/>
              </w:rPr>
            </w:pPr>
          </w:p>
        </w:tc>
      </w:tr>
      <w:tr>
        <w:trPr>
          <w:trHeight w:val="466"/>
        </w:trPr>
        <w:tc>
          <w:tcPr>
            <w:tcW w:w="4500" w:type="dxa"/>
            <w:vAlign w:val="bottom"/>
            <w:gridSpan w:val="8"/>
          </w:tcPr>
          <w:p>
            <w:pPr>
              <w:spacing w:after="0"/>
              <w:rPr>
                <w:sz w:val="20"/>
                <w:szCs w:val="20"/>
                <w:color w:val="auto"/>
              </w:rPr>
            </w:pPr>
            <w:r>
              <w:rPr>
                <w:rFonts w:ascii="Arial" w:cs="Arial" w:eastAsia="Arial" w:hAnsi="Arial"/>
                <w:sz w:val="17"/>
                <w:szCs w:val="17"/>
                <w:color w:val="auto"/>
              </w:rPr>
              <w:t>/s/ Sandra J. Price</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/s/ Mark A. Ruelle</w:t>
            </w:r>
          </w:p>
        </w:tc>
      </w:tr>
      <w:tr>
        <w:trPr>
          <w:trHeight w:val="262"/>
        </w:trPr>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Sandra J. Price</w:t>
            </w:r>
          </w:p>
        </w:tc>
        <w:tc>
          <w:tcPr>
            <w:tcW w:w="3100" w:type="dxa"/>
            <w:vAlign w:val="bottom"/>
            <w:gridSpan w:val="6"/>
          </w:tcPr>
          <w:p>
            <w:pPr>
              <w:spacing w:after="0"/>
              <w:rPr>
                <w:sz w:val="22"/>
                <w:szCs w:val="22"/>
                <w:color w:val="auto"/>
              </w:rPr>
            </w:pPr>
          </w:p>
        </w:tc>
        <w:tc>
          <w:tcPr>
            <w:tcW w:w="2560" w:type="dxa"/>
            <w:vAlign w:val="bottom"/>
          </w:tcPr>
          <w:p>
            <w:pPr>
              <w:spacing w:after="0"/>
              <w:rPr>
                <w:sz w:val="22"/>
                <w:szCs w:val="22"/>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Mark A. Ruelle</w:t>
            </w:r>
          </w:p>
        </w:tc>
        <w:tc>
          <w:tcPr>
            <w:tcW w:w="180" w:type="dxa"/>
            <w:vAlign w:val="bottom"/>
            <w:gridSpan w:val="4"/>
          </w:tcPr>
          <w:p>
            <w:pPr>
              <w:spacing w:after="0"/>
              <w:rPr>
                <w:sz w:val="22"/>
                <w:szCs w:val="22"/>
                <w:color w:val="auto"/>
              </w:rPr>
            </w:pPr>
          </w:p>
        </w:tc>
      </w:tr>
      <w:tr>
        <w:trPr>
          <w:trHeight w:val="466"/>
        </w:trPr>
        <w:tc>
          <w:tcPr>
            <w:tcW w:w="192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w w:val="99"/>
              </w:rPr>
              <w:t>/s/ S. Carl Soderstrom Jr.</w:t>
            </w:r>
          </w:p>
        </w:tc>
        <w:tc>
          <w:tcPr>
            <w:tcW w:w="258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/s/ John A. Stall</w:t>
            </w:r>
          </w:p>
        </w:tc>
        <w:tc>
          <w:tcPr>
            <w:tcW w:w="340" w:type="dxa"/>
            <w:vAlign w:val="bottom"/>
            <w:gridSpan w:val="5"/>
          </w:tcPr>
          <w:p>
            <w:pPr>
              <w:spacing w:after="0"/>
              <w:rPr>
                <w:sz w:val="24"/>
                <w:szCs w:val="24"/>
                <w:color w:val="auto"/>
              </w:rPr>
            </w:pPr>
          </w:p>
        </w:tc>
      </w:tr>
      <w:tr>
        <w:trPr>
          <w:trHeight w:val="262"/>
        </w:trPr>
        <w:tc>
          <w:tcPr>
            <w:tcW w:w="4500" w:type="dxa"/>
            <w:vAlign w:val="bottom"/>
            <w:gridSpan w:val="8"/>
          </w:tcPr>
          <w:p>
            <w:pPr>
              <w:spacing w:after="0"/>
              <w:rPr>
                <w:sz w:val="20"/>
                <w:szCs w:val="20"/>
                <w:color w:val="auto"/>
              </w:rPr>
            </w:pPr>
            <w:r>
              <w:rPr>
                <w:rFonts w:ascii="Arial" w:cs="Arial" w:eastAsia="Arial" w:hAnsi="Arial"/>
                <w:sz w:val="17"/>
                <w:szCs w:val="17"/>
                <w:color w:val="auto"/>
              </w:rPr>
              <w:t>S. Carl Soderstrom Jr.</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John A. Stall</w:t>
            </w:r>
          </w:p>
        </w:tc>
      </w:tr>
      <w:tr>
        <w:trPr>
          <w:trHeight w:val="466"/>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/s/ C, John Wilder</w:t>
            </w:r>
          </w:p>
        </w:tc>
        <w:tc>
          <w:tcPr>
            <w:tcW w:w="3140" w:type="dxa"/>
            <w:vAlign w:val="bottom"/>
            <w:gridSpan w:val="7"/>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4500" w:type="dxa"/>
            <w:vAlign w:val="bottom"/>
            <w:gridSpan w:val="8"/>
          </w:tcPr>
          <w:p>
            <w:pPr>
              <w:spacing w:after="0"/>
              <w:rPr>
                <w:sz w:val="20"/>
                <w:szCs w:val="20"/>
                <w:color w:val="auto"/>
              </w:rPr>
            </w:pPr>
            <w:r>
              <w:rPr>
                <w:rFonts w:ascii="Arial" w:cs="Arial" w:eastAsia="Arial" w:hAnsi="Arial"/>
                <w:sz w:val="17"/>
                <w:szCs w:val="17"/>
                <w:color w:val="auto"/>
              </w:rPr>
              <w:t>C. John Wilder</w:t>
            </w:r>
          </w:p>
        </w:tc>
        <w:tc>
          <w:tcPr>
            <w:tcW w:w="2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ectPr>
          <w:pgSz w:w="11900" w:h="16838" w:orient="portrait"/>
          <w:cols w:equalWidth="0" w:num="1">
            <w:col w:w="11240"/>
          </w:cols>
          <w:pgMar w:left="320" w:top="603"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7"/>
          <w:szCs w:val="17"/>
          <w:color w:val="auto"/>
        </w:rPr>
        <w:t>Exhibit 24.3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each of whom is a member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Evergy Metro, Inc., a Missouri corporation, constitutes and appoints David A. Campbell, Kirkland B. Andrews and Heather A. Humphrey, and each of them, his or her true and lawful attorneys-in-fact and agents, each acting alone, with full power of substitution and re-substitution, to execute in the name and on behalf of the undersigned as such director an Annual Report on Form 10-K, and any amendments thereto, granting unto said attorneys-in-fact and agents and each of them, full power and authority to do and to perform each and every act and thing necessary or desirable to be done in and about the premises in order to effectuate the same as fully to all intents and purposes as he or she might or could do if personally present, hereby ratifying and confirming all that said attorneys-in-fact and agents, or any of them, may lawfully do or cause to be done by virtue hereof.</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hereunto set their hands this 24</w:t>
      </w:r>
      <w:r>
        <w:rPr>
          <w:rFonts w:ascii="Arial" w:cs="Arial" w:eastAsia="Arial" w:hAnsi="Arial"/>
          <w:sz w:val="22"/>
          <w:szCs w:val="22"/>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February, 2022.</w:t>
      </w:r>
    </w:p>
    <w:p>
      <w:pPr>
        <w:spacing w:after="0" w:line="200" w:lineRule="exact"/>
        <w:rPr>
          <w:sz w:val="20"/>
          <w:szCs w:val="20"/>
          <w:color w:val="auto"/>
        </w:rPr>
      </w:pPr>
    </w:p>
    <w:p>
      <w:pPr>
        <w:spacing w:after="0" w:line="236"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4500" w:type="dxa"/>
            <w:vAlign w:val="bottom"/>
            <w:gridSpan w:val="8"/>
          </w:tcPr>
          <w:p>
            <w:pPr>
              <w:spacing w:after="0"/>
              <w:rPr>
                <w:sz w:val="20"/>
                <w:szCs w:val="20"/>
                <w:color w:val="auto"/>
              </w:rPr>
            </w:pPr>
            <w:r>
              <w:rPr>
                <w:rFonts w:ascii="Arial" w:cs="Arial" w:eastAsia="Arial" w:hAnsi="Arial"/>
                <w:sz w:val="17"/>
                <w:szCs w:val="17"/>
                <w:color w:val="auto"/>
              </w:rPr>
              <w:t>/s/ David A. Campbell</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/s/ Mollie H. Carter</w:t>
            </w:r>
          </w:p>
        </w:tc>
      </w:tr>
      <w:tr>
        <w:trPr>
          <w:trHeight w:val="275"/>
        </w:trPr>
        <w:tc>
          <w:tcPr>
            <w:tcW w:w="164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David A. Campbell</w:t>
            </w:r>
          </w:p>
        </w:tc>
        <w:tc>
          <w:tcPr>
            <w:tcW w:w="2860" w:type="dxa"/>
            <w:vAlign w:val="bottom"/>
            <w:gridSpan w:val="3"/>
          </w:tcPr>
          <w:p>
            <w:pPr>
              <w:spacing w:after="0"/>
              <w:rPr>
                <w:sz w:val="23"/>
                <w:szCs w:val="23"/>
                <w:color w:val="auto"/>
              </w:rPr>
            </w:pPr>
          </w:p>
        </w:tc>
        <w:tc>
          <w:tcPr>
            <w:tcW w:w="2560" w:type="dxa"/>
            <w:vAlign w:val="bottom"/>
          </w:tcPr>
          <w:p>
            <w:pPr>
              <w:spacing w:after="0"/>
              <w:rPr>
                <w:sz w:val="23"/>
                <w:szCs w:val="23"/>
                <w:color w:val="auto"/>
              </w:rPr>
            </w:pPr>
          </w:p>
        </w:tc>
        <w:tc>
          <w:tcPr>
            <w:tcW w:w="142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Mollie H. Carter</w:t>
            </w:r>
          </w:p>
        </w:tc>
        <w:tc>
          <w:tcPr>
            <w:tcW w:w="120" w:type="dxa"/>
            <w:vAlign w:val="bottom"/>
            <w:gridSpan w:val="2"/>
          </w:tcPr>
          <w:p>
            <w:pPr>
              <w:spacing w:after="0"/>
              <w:rPr>
                <w:sz w:val="23"/>
                <w:szCs w:val="23"/>
                <w:color w:val="auto"/>
              </w:rPr>
            </w:pPr>
          </w:p>
        </w:tc>
      </w:tr>
      <w:tr>
        <w:trPr>
          <w:trHeight w:val="466"/>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9"/>
              </w:rPr>
              <w:t>/s/ Thomas D. Hyde</w:t>
            </w:r>
          </w:p>
        </w:tc>
        <w:tc>
          <w:tcPr>
            <w:tcW w:w="2980" w:type="dxa"/>
            <w:vAlign w:val="bottom"/>
            <w:gridSpan w:val="4"/>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rPr>
              <w:t>/s/ B. Anthony Isaac</w:t>
            </w:r>
          </w:p>
        </w:tc>
      </w:tr>
      <w:tr>
        <w:trPr>
          <w:trHeight w:val="262"/>
        </w:trPr>
        <w:tc>
          <w:tcPr>
            <w:tcW w:w="4500" w:type="dxa"/>
            <w:vAlign w:val="bottom"/>
            <w:gridSpan w:val="8"/>
          </w:tcPr>
          <w:p>
            <w:pPr>
              <w:spacing w:after="0"/>
              <w:rPr>
                <w:sz w:val="20"/>
                <w:szCs w:val="20"/>
                <w:color w:val="auto"/>
              </w:rPr>
            </w:pPr>
            <w:r>
              <w:rPr>
                <w:rFonts w:ascii="Arial" w:cs="Arial" w:eastAsia="Arial" w:hAnsi="Arial"/>
                <w:sz w:val="17"/>
                <w:szCs w:val="17"/>
                <w:color w:val="auto"/>
              </w:rPr>
              <w:t>Thomas D. Hyde</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B. Anthony Isaac</w:t>
            </w:r>
          </w:p>
        </w:tc>
      </w:tr>
      <w:tr>
        <w:trPr>
          <w:trHeight w:val="466"/>
        </w:trPr>
        <w:tc>
          <w:tcPr>
            <w:tcW w:w="4500" w:type="dxa"/>
            <w:vAlign w:val="bottom"/>
            <w:gridSpan w:val="8"/>
          </w:tcPr>
          <w:p>
            <w:pPr>
              <w:spacing w:after="0"/>
              <w:rPr>
                <w:sz w:val="20"/>
                <w:szCs w:val="20"/>
                <w:color w:val="auto"/>
              </w:rPr>
            </w:pPr>
            <w:r>
              <w:rPr>
                <w:rFonts w:ascii="Arial" w:cs="Arial" w:eastAsia="Arial" w:hAnsi="Arial"/>
                <w:sz w:val="17"/>
                <w:szCs w:val="17"/>
                <w:color w:val="auto"/>
              </w:rPr>
              <w:t>/s/ Paul M. Keglevic</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/s/ Mary L. Landrieu</w:t>
            </w:r>
          </w:p>
        </w:tc>
      </w:tr>
      <w:tr>
        <w:trPr>
          <w:trHeight w:val="262"/>
        </w:trPr>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Paul M. Keglevic</w:t>
            </w:r>
          </w:p>
        </w:tc>
        <w:tc>
          <w:tcPr>
            <w:tcW w:w="3000" w:type="dxa"/>
            <w:vAlign w:val="bottom"/>
            <w:gridSpan w:val="5"/>
          </w:tcPr>
          <w:p>
            <w:pPr>
              <w:spacing w:after="0"/>
              <w:rPr>
                <w:sz w:val="22"/>
                <w:szCs w:val="22"/>
                <w:color w:val="auto"/>
              </w:rPr>
            </w:pPr>
          </w:p>
        </w:tc>
        <w:tc>
          <w:tcPr>
            <w:tcW w:w="2560" w:type="dxa"/>
            <w:vAlign w:val="bottom"/>
          </w:tcPr>
          <w:p>
            <w:pPr>
              <w:spacing w:after="0"/>
              <w:rPr>
                <w:sz w:val="22"/>
                <w:szCs w:val="22"/>
                <w:color w:val="auto"/>
              </w:rPr>
            </w:pPr>
          </w:p>
        </w:tc>
        <w:tc>
          <w:tcPr>
            <w:tcW w:w="152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Mary L. Landrieu</w:t>
            </w:r>
          </w:p>
        </w:tc>
        <w:tc>
          <w:tcPr>
            <w:tcW w:w="20" w:type="dxa"/>
            <w:vAlign w:val="bottom"/>
          </w:tcPr>
          <w:p>
            <w:pPr>
              <w:spacing w:after="0"/>
              <w:rPr>
                <w:sz w:val="22"/>
                <w:szCs w:val="22"/>
                <w:color w:val="auto"/>
              </w:rPr>
            </w:pPr>
          </w:p>
        </w:tc>
      </w:tr>
      <w:tr>
        <w:trPr>
          <w:trHeight w:val="466"/>
        </w:trPr>
        <w:tc>
          <w:tcPr>
            <w:tcW w:w="1940" w:type="dxa"/>
            <w:vAlign w:val="bottom"/>
            <w:gridSpan w:val="7"/>
          </w:tcPr>
          <w:p>
            <w:pPr>
              <w:spacing w:after="0"/>
              <w:rPr>
                <w:sz w:val="20"/>
                <w:szCs w:val="20"/>
                <w:color w:val="auto"/>
              </w:rPr>
            </w:pPr>
            <w:r>
              <w:rPr>
                <w:rFonts w:ascii="Arial" w:cs="Arial" w:eastAsia="Arial" w:hAnsi="Arial"/>
                <w:sz w:val="17"/>
                <w:szCs w:val="17"/>
                <w:color w:val="auto"/>
              </w:rPr>
              <w:t>/s/ Sandra A.J. Lawrence</w:t>
            </w: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gridSpan w:val="6"/>
          </w:tcPr>
          <w:p>
            <w:pPr>
              <w:spacing w:after="0"/>
              <w:rPr>
                <w:sz w:val="20"/>
                <w:szCs w:val="20"/>
                <w:color w:val="auto"/>
              </w:rPr>
            </w:pPr>
            <w:r>
              <w:rPr>
                <w:rFonts w:ascii="Arial" w:cs="Arial" w:eastAsia="Arial" w:hAnsi="Arial"/>
                <w:sz w:val="17"/>
                <w:szCs w:val="17"/>
                <w:color w:val="auto"/>
              </w:rPr>
              <w:t>/s/ Ann D. Murtlow</w:t>
            </w:r>
          </w:p>
        </w:tc>
      </w:tr>
      <w:tr>
        <w:trPr>
          <w:trHeight w:val="262"/>
        </w:trPr>
        <w:tc>
          <w:tcPr>
            <w:tcW w:w="1940" w:type="dxa"/>
            <w:vAlign w:val="bottom"/>
            <w:tcBorders>
              <w:top w:val="single" w:sz="8" w:color="auto"/>
            </w:tcBorders>
            <w:gridSpan w:val="7"/>
          </w:tcPr>
          <w:p>
            <w:pPr>
              <w:spacing w:after="0"/>
              <w:rPr>
                <w:sz w:val="20"/>
                <w:szCs w:val="20"/>
                <w:color w:val="auto"/>
              </w:rPr>
            </w:pPr>
            <w:r>
              <w:rPr>
                <w:rFonts w:ascii="Arial" w:cs="Arial" w:eastAsia="Arial" w:hAnsi="Arial"/>
                <w:sz w:val="17"/>
                <w:szCs w:val="17"/>
                <w:color w:val="auto"/>
              </w:rPr>
              <w:t>Sandra A.J. Lawrence</w:t>
            </w:r>
          </w:p>
        </w:tc>
        <w:tc>
          <w:tcPr>
            <w:tcW w:w="25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Ann D. Murtlow</w:t>
            </w:r>
          </w:p>
        </w:tc>
        <w:tc>
          <w:tcPr>
            <w:tcW w:w="140" w:type="dxa"/>
            <w:vAlign w:val="bottom"/>
            <w:gridSpan w:val="3"/>
          </w:tcPr>
          <w:p>
            <w:pPr>
              <w:spacing w:after="0"/>
              <w:rPr>
                <w:sz w:val="22"/>
                <w:szCs w:val="22"/>
                <w:color w:val="auto"/>
              </w:rPr>
            </w:pPr>
          </w:p>
        </w:tc>
      </w:tr>
      <w:tr>
        <w:trPr>
          <w:trHeight w:val="466"/>
        </w:trPr>
        <w:tc>
          <w:tcPr>
            <w:tcW w:w="4500" w:type="dxa"/>
            <w:vAlign w:val="bottom"/>
            <w:gridSpan w:val="8"/>
          </w:tcPr>
          <w:p>
            <w:pPr>
              <w:spacing w:after="0"/>
              <w:rPr>
                <w:sz w:val="20"/>
                <w:szCs w:val="20"/>
                <w:color w:val="auto"/>
              </w:rPr>
            </w:pPr>
            <w:r>
              <w:rPr>
                <w:rFonts w:ascii="Arial" w:cs="Arial" w:eastAsia="Arial" w:hAnsi="Arial"/>
                <w:sz w:val="17"/>
                <w:szCs w:val="17"/>
                <w:color w:val="auto"/>
              </w:rPr>
              <w:t>/s/ Sandra J. Price</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/s/ Mark A. Ruelle</w:t>
            </w:r>
          </w:p>
        </w:tc>
      </w:tr>
      <w:tr>
        <w:trPr>
          <w:trHeight w:val="262"/>
        </w:trPr>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Sandra J. Price</w:t>
            </w:r>
          </w:p>
        </w:tc>
        <w:tc>
          <w:tcPr>
            <w:tcW w:w="3100" w:type="dxa"/>
            <w:vAlign w:val="bottom"/>
            <w:gridSpan w:val="6"/>
          </w:tcPr>
          <w:p>
            <w:pPr>
              <w:spacing w:after="0"/>
              <w:rPr>
                <w:sz w:val="22"/>
                <w:szCs w:val="22"/>
                <w:color w:val="auto"/>
              </w:rPr>
            </w:pPr>
          </w:p>
        </w:tc>
        <w:tc>
          <w:tcPr>
            <w:tcW w:w="2560" w:type="dxa"/>
            <w:vAlign w:val="bottom"/>
          </w:tcPr>
          <w:p>
            <w:pPr>
              <w:spacing w:after="0"/>
              <w:rPr>
                <w:sz w:val="22"/>
                <w:szCs w:val="22"/>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Mark A. Ruelle</w:t>
            </w:r>
          </w:p>
        </w:tc>
        <w:tc>
          <w:tcPr>
            <w:tcW w:w="180" w:type="dxa"/>
            <w:vAlign w:val="bottom"/>
            <w:gridSpan w:val="4"/>
          </w:tcPr>
          <w:p>
            <w:pPr>
              <w:spacing w:after="0"/>
              <w:rPr>
                <w:sz w:val="22"/>
                <w:szCs w:val="22"/>
                <w:color w:val="auto"/>
              </w:rPr>
            </w:pPr>
          </w:p>
        </w:tc>
      </w:tr>
      <w:tr>
        <w:trPr>
          <w:trHeight w:val="466"/>
        </w:trPr>
        <w:tc>
          <w:tcPr>
            <w:tcW w:w="192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w w:val="99"/>
              </w:rPr>
              <w:t>/s/ S. Carl Soderstrom Jr.</w:t>
            </w:r>
          </w:p>
        </w:tc>
        <w:tc>
          <w:tcPr>
            <w:tcW w:w="258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/s/ John A. Stall</w:t>
            </w:r>
          </w:p>
        </w:tc>
        <w:tc>
          <w:tcPr>
            <w:tcW w:w="340" w:type="dxa"/>
            <w:vAlign w:val="bottom"/>
            <w:gridSpan w:val="5"/>
          </w:tcPr>
          <w:p>
            <w:pPr>
              <w:spacing w:after="0"/>
              <w:rPr>
                <w:sz w:val="24"/>
                <w:szCs w:val="24"/>
                <w:color w:val="auto"/>
              </w:rPr>
            </w:pPr>
          </w:p>
        </w:tc>
      </w:tr>
      <w:tr>
        <w:trPr>
          <w:trHeight w:val="262"/>
        </w:trPr>
        <w:tc>
          <w:tcPr>
            <w:tcW w:w="4500" w:type="dxa"/>
            <w:vAlign w:val="bottom"/>
            <w:gridSpan w:val="8"/>
          </w:tcPr>
          <w:p>
            <w:pPr>
              <w:spacing w:after="0"/>
              <w:rPr>
                <w:sz w:val="20"/>
                <w:szCs w:val="20"/>
                <w:color w:val="auto"/>
              </w:rPr>
            </w:pPr>
            <w:r>
              <w:rPr>
                <w:rFonts w:ascii="Arial" w:cs="Arial" w:eastAsia="Arial" w:hAnsi="Arial"/>
                <w:sz w:val="17"/>
                <w:szCs w:val="17"/>
                <w:color w:val="auto"/>
              </w:rPr>
              <w:t>S. Carl Soderstrom Jr.</w:t>
            </w:r>
          </w:p>
        </w:tc>
        <w:tc>
          <w:tcPr>
            <w:tcW w:w="4100" w:type="dxa"/>
            <w:vAlign w:val="bottom"/>
            <w:gridSpan w:val="7"/>
          </w:tcPr>
          <w:p>
            <w:pPr>
              <w:ind w:left="2560"/>
              <w:spacing w:after="0"/>
              <w:rPr>
                <w:sz w:val="20"/>
                <w:szCs w:val="20"/>
                <w:color w:val="auto"/>
              </w:rPr>
            </w:pPr>
            <w:r>
              <w:rPr>
                <w:rFonts w:ascii="Arial" w:cs="Arial" w:eastAsia="Arial" w:hAnsi="Arial"/>
                <w:sz w:val="17"/>
                <w:szCs w:val="17"/>
                <w:color w:val="auto"/>
              </w:rPr>
              <w:t>John A. Stall</w:t>
            </w:r>
          </w:p>
        </w:tc>
      </w:tr>
      <w:tr>
        <w:trPr>
          <w:trHeight w:val="466"/>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/s/ C, John Wilder</w:t>
            </w:r>
          </w:p>
        </w:tc>
        <w:tc>
          <w:tcPr>
            <w:tcW w:w="3140" w:type="dxa"/>
            <w:vAlign w:val="bottom"/>
            <w:gridSpan w:val="7"/>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4500" w:type="dxa"/>
            <w:vAlign w:val="bottom"/>
            <w:gridSpan w:val="8"/>
          </w:tcPr>
          <w:p>
            <w:pPr>
              <w:spacing w:after="0"/>
              <w:rPr>
                <w:sz w:val="20"/>
                <w:szCs w:val="20"/>
                <w:color w:val="auto"/>
              </w:rPr>
            </w:pPr>
            <w:r>
              <w:rPr>
                <w:rFonts w:ascii="Arial" w:cs="Arial" w:eastAsia="Arial" w:hAnsi="Arial"/>
                <w:sz w:val="17"/>
                <w:szCs w:val="17"/>
                <w:color w:val="auto"/>
              </w:rPr>
              <w:t>C. John Wilder</w:t>
            </w:r>
          </w:p>
        </w:tc>
        <w:tc>
          <w:tcPr>
            <w:tcW w:w="2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ectPr>
          <w:pgSz w:w="11900" w:h="16838" w:orient="portrait"/>
          <w:cols w:equalWidth="0" w:num="1">
            <w:col w:w="11240"/>
          </w:cols>
          <w:pgMar w:left="320" w:top="603"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7"/>
          <w:szCs w:val="17"/>
          <w:color w:val="auto"/>
        </w:rPr>
        <w:t>Exhibit 31.1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David A. Campbell, certify that:</w:t>
      </w:r>
    </w:p>
    <w:p>
      <w:pPr>
        <w:spacing w:after="0" w:line="243" w:lineRule="exact"/>
        <w:rPr>
          <w:sz w:val="20"/>
          <w:szCs w:val="20"/>
          <w:color w:val="auto"/>
        </w:rPr>
      </w:pPr>
    </w:p>
    <w:p>
      <w:pPr>
        <w:ind w:left="300" w:hanging="297"/>
        <w:spacing w:after="0"/>
        <w:tabs>
          <w:tab w:leader="none" w:pos="3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Evergy, Inc.;</w:t>
      </w:r>
    </w:p>
    <w:p>
      <w:pPr>
        <w:spacing w:after="0" w:line="217" w:lineRule="exact"/>
        <w:rPr>
          <w:rFonts w:ascii="Arial" w:cs="Arial" w:eastAsia="Arial" w:hAnsi="Arial"/>
          <w:sz w:val="17"/>
          <w:szCs w:val="17"/>
          <w:color w:val="auto"/>
        </w:rPr>
      </w:pPr>
    </w:p>
    <w:p>
      <w:pPr>
        <w:ind w:left="620" w:right="180" w:hanging="617"/>
        <w:spacing w:after="0" w:line="349" w:lineRule="auto"/>
        <w:tabs>
          <w:tab w:leader="none" w:pos="302"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620" w:right="260" w:hanging="617"/>
        <w:spacing w:after="0" w:line="279" w:lineRule="auto"/>
        <w:tabs>
          <w:tab w:leader="none" w:pos="302"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left="620" w:right="240" w:hanging="617"/>
        <w:spacing w:after="0" w:line="266" w:lineRule="auto"/>
        <w:tabs>
          <w:tab w:leader="none" w:pos="299"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1240" w:right="20" w:hanging="618"/>
        <w:spacing w:after="0" w:line="266" w:lineRule="auto"/>
        <w:tabs>
          <w:tab w:leader="none" w:pos="984"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240" w:hanging="618"/>
        <w:spacing w:after="0" w:line="266" w:lineRule="auto"/>
        <w:tabs>
          <w:tab w:leader="none" w:pos="993"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1240" w:right="80" w:hanging="618"/>
        <w:spacing w:after="0" w:line="312" w:lineRule="auto"/>
        <w:tabs>
          <w:tab w:leader="none" w:pos="984"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left="1240" w:right="120" w:hanging="618"/>
        <w:spacing w:after="0" w:line="266" w:lineRule="auto"/>
        <w:tabs>
          <w:tab w:leader="none" w:pos="993" w:val="left"/>
        </w:tabs>
        <w:numPr>
          <w:ilvl w:val="1"/>
          <w:numId w:val="8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20" w:right="680" w:hanging="617"/>
        <w:spacing w:after="0" w:line="312" w:lineRule="auto"/>
        <w:tabs>
          <w:tab w:leader="none" w:pos="299"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1240" w:right="420" w:hanging="618"/>
        <w:spacing w:after="0" w:line="279" w:lineRule="auto"/>
        <w:tabs>
          <w:tab w:leader="none" w:pos="974"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1240" w:right="40" w:hanging="618"/>
        <w:spacing w:after="0" w:line="279" w:lineRule="auto"/>
        <w:tabs>
          <w:tab w:leader="none" w:pos="984" w:val="left"/>
        </w:tabs>
        <w:numPr>
          <w:ilvl w:val="1"/>
          <w:numId w:val="8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80" w:type="dxa"/>
            <w:vAlign w:val="bottom"/>
          </w:tcPr>
          <w:p>
            <w:pPr>
              <w:spacing w:after="0"/>
              <w:rPr>
                <w:sz w:val="20"/>
                <w:szCs w:val="20"/>
                <w:color w:val="auto"/>
              </w:rPr>
            </w:pPr>
            <w:r>
              <w:rPr>
                <w:rFonts w:ascii="Arial" w:cs="Arial" w:eastAsia="Arial" w:hAnsi="Arial"/>
                <w:sz w:val="17"/>
                <w:szCs w:val="17"/>
                <w:color w:val="auto"/>
              </w:rPr>
              <w:t>Date:</w:t>
            </w:r>
          </w:p>
        </w:tc>
        <w:tc>
          <w:tcPr>
            <w:tcW w:w="3680" w:type="dxa"/>
            <w:vAlign w:val="bottom"/>
          </w:tcPr>
          <w:p>
            <w:pPr>
              <w:ind w:left="220"/>
              <w:spacing w:after="0"/>
              <w:rPr>
                <w:sz w:val="20"/>
                <w:szCs w:val="20"/>
                <w:color w:val="auto"/>
              </w:rPr>
            </w:pPr>
            <w:r>
              <w:rPr>
                <w:rFonts w:ascii="Arial" w:cs="Arial" w:eastAsia="Arial" w:hAnsi="Arial"/>
                <w:sz w:val="17"/>
                <w:szCs w:val="17"/>
                <w:color w:val="0038FF"/>
              </w:rPr>
              <w:t>February 24, 2022</w:t>
            </w:r>
          </w:p>
        </w:tc>
        <w:tc>
          <w:tcPr>
            <w:tcW w:w="4800" w:type="dxa"/>
            <w:vAlign w:val="bottom"/>
            <w:gridSpan w:val="3"/>
          </w:tcPr>
          <w:p>
            <w:pPr>
              <w:ind w:left="2180"/>
              <w:spacing w:after="0"/>
              <w:rPr>
                <w:sz w:val="20"/>
                <w:szCs w:val="20"/>
                <w:color w:val="auto"/>
              </w:rPr>
            </w:pPr>
            <w:r>
              <w:rPr>
                <w:rFonts w:ascii="Arial" w:cs="Arial" w:eastAsia="Arial" w:hAnsi="Arial"/>
                <w:sz w:val="17"/>
                <w:szCs w:val="17"/>
                <w:color w:val="auto"/>
              </w:rPr>
              <w:t>/s/ David A. Campbell</w:t>
            </w: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7"/>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800" w:type="dxa"/>
            <w:vAlign w:val="bottom"/>
            <w:gridSpan w:val="3"/>
          </w:tcPr>
          <w:p>
            <w:pPr>
              <w:ind w:left="2180"/>
              <w:spacing w:after="0" w:line="187" w:lineRule="exact"/>
              <w:rPr>
                <w:sz w:val="20"/>
                <w:szCs w:val="20"/>
                <w:color w:val="auto"/>
              </w:rPr>
            </w:pPr>
            <w:r>
              <w:rPr>
                <w:rFonts w:ascii="Arial" w:cs="Arial" w:eastAsia="Arial" w:hAnsi="Arial"/>
                <w:sz w:val="17"/>
                <w:szCs w:val="17"/>
                <w:color w:val="auto"/>
              </w:rPr>
              <w:t>David A. Campbell</w:t>
            </w:r>
          </w:p>
        </w:tc>
      </w:tr>
      <w:tr>
        <w:trPr>
          <w:trHeight w:val="217"/>
        </w:trPr>
        <w:tc>
          <w:tcPr>
            <w:tcW w:w="5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800" w:type="dxa"/>
            <w:vAlign w:val="bottom"/>
            <w:gridSpan w:val="3"/>
          </w:tcPr>
          <w:p>
            <w:pPr>
              <w:ind w:left="2180"/>
              <w:spacing w:after="0"/>
              <w:rPr>
                <w:sz w:val="20"/>
                <w:szCs w:val="20"/>
                <w:color w:val="auto"/>
              </w:rPr>
            </w:pPr>
            <w:r>
              <w:rPr>
                <w:rFonts w:ascii="Arial" w:cs="Arial" w:eastAsia="Arial" w:hAnsi="Arial"/>
                <w:sz w:val="17"/>
                <w:szCs w:val="17"/>
                <w:color w:val="auto"/>
                <w:w w:val="92"/>
              </w:rPr>
              <w:t>President and Chief Executive Officer</w:t>
            </w:r>
          </w:p>
        </w:tc>
      </w:tr>
    </w:tbl>
    <w:p>
      <w:pPr>
        <w:sectPr>
          <w:pgSz w:w="11900" w:h="16838" w:orient="portrait"/>
          <w:cols w:equalWidth="0" w:num="1">
            <w:col w:w="11240"/>
          </w:cols>
          <w:pgMar w:left="320" w:top="862"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7"/>
          <w:szCs w:val="17"/>
          <w:color w:val="auto"/>
        </w:rPr>
        <w:t>Exhibit 31.2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Kirkland B. Andrews, certify that:</w:t>
      </w:r>
    </w:p>
    <w:p>
      <w:pPr>
        <w:spacing w:after="0" w:line="243" w:lineRule="exact"/>
        <w:rPr>
          <w:sz w:val="20"/>
          <w:szCs w:val="20"/>
          <w:color w:val="auto"/>
        </w:rPr>
      </w:pPr>
    </w:p>
    <w:p>
      <w:pPr>
        <w:ind w:left="620" w:hanging="617"/>
        <w:spacing w:after="0"/>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Evergy,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220" w:hanging="617"/>
        <w:spacing w:after="0" w:line="266" w:lineRule="auto"/>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8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80" w:hanging="618"/>
        <w:spacing w:after="0" w:line="266" w:lineRule="auto"/>
        <w:tabs>
          <w:tab w:leader="none" w:pos="1234" w:val="left"/>
        </w:tabs>
        <w:numPr>
          <w:ilvl w:val="1"/>
          <w:numId w:val="8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360" w:hanging="617"/>
        <w:spacing w:after="0" w:line="312" w:lineRule="auto"/>
        <w:tabs>
          <w:tab w:leader="none" w:pos="6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40" w:hanging="618"/>
        <w:spacing w:after="0" w:line="279" w:lineRule="auto"/>
        <w:tabs>
          <w:tab w:leader="none" w:pos="1234"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80" w:type="dxa"/>
            <w:vAlign w:val="bottom"/>
          </w:tcPr>
          <w:p>
            <w:pPr>
              <w:spacing w:after="0"/>
              <w:rPr>
                <w:sz w:val="20"/>
                <w:szCs w:val="20"/>
                <w:color w:val="auto"/>
              </w:rPr>
            </w:pPr>
            <w:r>
              <w:rPr>
                <w:rFonts w:ascii="Arial" w:cs="Arial" w:eastAsia="Arial" w:hAnsi="Arial"/>
                <w:sz w:val="17"/>
                <w:szCs w:val="17"/>
                <w:color w:val="auto"/>
              </w:rPr>
              <w:t>Date:</w:t>
            </w:r>
          </w:p>
        </w:tc>
        <w:tc>
          <w:tcPr>
            <w:tcW w:w="5860" w:type="dxa"/>
            <w:vAlign w:val="bottom"/>
          </w:tcPr>
          <w:p>
            <w:pPr>
              <w:ind w:left="220"/>
              <w:spacing w:after="0"/>
              <w:rPr>
                <w:sz w:val="20"/>
                <w:szCs w:val="20"/>
                <w:color w:val="auto"/>
              </w:rPr>
            </w:pPr>
            <w:r>
              <w:rPr>
                <w:rFonts w:ascii="Arial" w:cs="Arial" w:eastAsia="Arial" w:hAnsi="Arial"/>
                <w:sz w:val="17"/>
                <w:szCs w:val="17"/>
                <w:color w:val="0038FF"/>
              </w:rPr>
              <w:t>February 24, 2022</w:t>
            </w:r>
          </w:p>
        </w:tc>
        <w:tc>
          <w:tcPr>
            <w:tcW w:w="2020" w:type="dxa"/>
            <w:vAlign w:val="bottom"/>
            <w:gridSpan w:val="2"/>
          </w:tcPr>
          <w:p>
            <w:pPr>
              <w:spacing w:after="0"/>
              <w:rPr>
                <w:sz w:val="20"/>
                <w:szCs w:val="20"/>
                <w:color w:val="auto"/>
              </w:rPr>
            </w:pPr>
            <w:r>
              <w:rPr>
                <w:rFonts w:ascii="Arial" w:cs="Arial" w:eastAsia="Arial" w:hAnsi="Arial"/>
                <w:sz w:val="17"/>
                <w:szCs w:val="17"/>
                <w:color w:val="auto"/>
              </w:rPr>
              <w:t>/s/Kirkland B. Andrews</w:t>
            </w:r>
          </w:p>
        </w:tc>
      </w:tr>
      <w:tr>
        <w:trPr>
          <w:trHeight w:val="187"/>
        </w:trPr>
        <w:tc>
          <w:tcPr>
            <w:tcW w:w="5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640" w:type="dxa"/>
            <w:vAlign w:val="bottom"/>
            <w:tcBorders>
              <w:top w:val="single" w:sz="8" w:color="auto"/>
            </w:tcBorders>
          </w:tcPr>
          <w:p>
            <w:pPr>
              <w:spacing w:after="0" w:line="187" w:lineRule="exact"/>
              <w:rPr>
                <w:sz w:val="20"/>
                <w:szCs w:val="20"/>
                <w:color w:val="auto"/>
              </w:rPr>
            </w:pPr>
            <w:r>
              <w:rPr>
                <w:rFonts w:ascii="Arial" w:cs="Arial" w:eastAsia="Arial" w:hAnsi="Arial"/>
                <w:sz w:val="17"/>
                <w:szCs w:val="17"/>
                <w:color w:val="auto"/>
              </w:rPr>
              <w:t>Kirkland B. Andrews</w:t>
            </w:r>
          </w:p>
        </w:tc>
        <w:tc>
          <w:tcPr>
            <w:tcW w:w="380" w:type="dxa"/>
            <w:vAlign w:val="bottom"/>
          </w:tcPr>
          <w:p>
            <w:pPr>
              <w:spacing w:after="0"/>
              <w:rPr>
                <w:sz w:val="16"/>
                <w:szCs w:val="16"/>
                <w:color w:val="auto"/>
              </w:rPr>
            </w:pPr>
          </w:p>
        </w:tc>
      </w:tr>
      <w:tr>
        <w:trPr>
          <w:trHeight w:val="168"/>
        </w:trPr>
        <w:tc>
          <w:tcPr>
            <w:tcW w:w="5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20" w:type="dxa"/>
            <w:vAlign w:val="bottom"/>
            <w:gridSpan w:val="2"/>
          </w:tcPr>
          <w:p>
            <w:pPr>
              <w:spacing w:after="0" w:line="167" w:lineRule="exact"/>
              <w:rPr>
                <w:sz w:val="20"/>
                <w:szCs w:val="20"/>
                <w:color w:val="auto"/>
              </w:rPr>
            </w:pPr>
            <w:r>
              <w:rPr>
                <w:rFonts w:ascii="Arial" w:cs="Arial" w:eastAsia="Arial" w:hAnsi="Arial"/>
                <w:sz w:val="17"/>
                <w:szCs w:val="17"/>
                <w:color w:val="auto"/>
                <w:w w:val="90"/>
              </w:rPr>
              <w:t>Executive Vice President and</w:t>
            </w:r>
          </w:p>
        </w:tc>
      </w:tr>
      <w:tr>
        <w:trPr>
          <w:trHeight w:val="217"/>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62"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7"/>
          <w:szCs w:val="17"/>
          <w:color w:val="auto"/>
        </w:rPr>
        <w:t>Exhibit 31.3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David A. Campbell, certify that:</w:t>
      </w:r>
    </w:p>
    <w:p>
      <w:pPr>
        <w:spacing w:after="0" w:line="243" w:lineRule="exact"/>
        <w:rPr>
          <w:sz w:val="20"/>
          <w:szCs w:val="20"/>
          <w:color w:val="auto"/>
        </w:rPr>
      </w:pPr>
    </w:p>
    <w:p>
      <w:pPr>
        <w:ind w:left="620" w:hanging="617"/>
        <w:spacing w:after="0"/>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Evergy Metro,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220" w:hanging="617"/>
        <w:spacing w:after="0" w:line="266" w:lineRule="auto"/>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9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9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9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80" w:hanging="618"/>
        <w:spacing w:after="0" w:line="266" w:lineRule="auto"/>
        <w:tabs>
          <w:tab w:leader="none" w:pos="1234" w:val="left"/>
        </w:tabs>
        <w:numPr>
          <w:ilvl w:val="1"/>
          <w:numId w:val="9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360" w:hanging="617"/>
        <w:spacing w:after="0" w:line="312" w:lineRule="auto"/>
        <w:tabs>
          <w:tab w:leader="none" w:pos="6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40" w:hanging="618"/>
        <w:spacing w:after="0" w:line="279" w:lineRule="auto"/>
        <w:tabs>
          <w:tab w:leader="none" w:pos="1234" w:val="left"/>
        </w:tabs>
        <w:numPr>
          <w:ilvl w:val="1"/>
          <w:numId w:val="9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200" w:type="dxa"/>
            <w:vAlign w:val="bottom"/>
          </w:tcPr>
          <w:p>
            <w:pPr>
              <w:ind w:left="180"/>
              <w:spacing w:after="0"/>
              <w:rPr>
                <w:sz w:val="20"/>
                <w:szCs w:val="20"/>
                <w:color w:val="auto"/>
              </w:rPr>
            </w:pPr>
            <w:r>
              <w:rPr>
                <w:rFonts w:ascii="Arial" w:cs="Arial" w:eastAsia="Arial" w:hAnsi="Arial"/>
                <w:sz w:val="17"/>
                <w:szCs w:val="17"/>
                <w:color w:val="0038FF"/>
              </w:rPr>
              <w:t>February 24, 2022</w:t>
            </w:r>
          </w:p>
        </w:tc>
        <w:tc>
          <w:tcPr>
            <w:tcW w:w="2620" w:type="dxa"/>
            <w:vAlign w:val="bottom"/>
            <w:gridSpan w:val="2"/>
          </w:tcPr>
          <w:p>
            <w:pPr>
              <w:spacing w:after="0"/>
              <w:rPr>
                <w:sz w:val="20"/>
                <w:szCs w:val="20"/>
                <w:color w:val="auto"/>
              </w:rPr>
            </w:pPr>
            <w:r>
              <w:rPr>
                <w:rFonts w:ascii="Arial" w:cs="Arial" w:eastAsia="Arial" w:hAnsi="Arial"/>
                <w:sz w:val="17"/>
                <w:szCs w:val="17"/>
                <w:color w:val="auto"/>
              </w:rPr>
              <w:t>/s/David A. Campbell</w:t>
            </w:r>
          </w:p>
        </w:tc>
      </w:tr>
      <w:tr>
        <w:trPr>
          <w:trHeight w:val="187"/>
        </w:trPr>
        <w:tc>
          <w:tcPr>
            <w:tcW w:w="5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500" w:type="dxa"/>
            <w:vAlign w:val="bottom"/>
            <w:tcBorders>
              <w:top w:val="single" w:sz="8" w:color="auto"/>
            </w:tcBorders>
          </w:tcPr>
          <w:p>
            <w:pPr>
              <w:spacing w:after="0" w:line="187" w:lineRule="exact"/>
              <w:rPr>
                <w:sz w:val="20"/>
                <w:szCs w:val="20"/>
                <w:color w:val="auto"/>
              </w:rPr>
            </w:pPr>
            <w:r>
              <w:rPr>
                <w:rFonts w:ascii="Arial" w:cs="Arial" w:eastAsia="Arial" w:hAnsi="Arial"/>
                <w:sz w:val="17"/>
                <w:szCs w:val="17"/>
                <w:color w:val="auto"/>
              </w:rPr>
              <w:t>David A. Campbell</w:t>
            </w:r>
          </w:p>
        </w:tc>
        <w:tc>
          <w:tcPr>
            <w:tcW w:w="1120" w:type="dxa"/>
            <w:vAlign w:val="bottom"/>
          </w:tcPr>
          <w:p>
            <w:pPr>
              <w:spacing w:after="0"/>
              <w:rPr>
                <w:sz w:val="16"/>
                <w:szCs w:val="16"/>
                <w:color w:val="auto"/>
              </w:rPr>
            </w:pPr>
          </w:p>
        </w:tc>
      </w:tr>
      <w:tr>
        <w:trPr>
          <w:trHeight w:val="217"/>
        </w:trPr>
        <w:tc>
          <w:tcPr>
            <w:tcW w:w="5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w w:val="92"/>
              </w:rPr>
              <w:t>President and Chief Executive Officer</w:t>
            </w:r>
          </w:p>
        </w:tc>
      </w:tr>
    </w:tbl>
    <w:p>
      <w:pPr>
        <w:sectPr>
          <w:pgSz w:w="11900" w:h="16838" w:orient="portrait"/>
          <w:cols w:equalWidth="0" w:num="1">
            <w:col w:w="11240"/>
          </w:cols>
          <w:pgMar w:left="320" w:top="862"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7"/>
          <w:szCs w:val="17"/>
          <w:color w:val="auto"/>
        </w:rPr>
        <w:t>Exhibit 31.4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Kirkland B. Andrews, certify that:</w:t>
      </w:r>
    </w:p>
    <w:p>
      <w:pPr>
        <w:spacing w:after="0" w:line="243" w:lineRule="exact"/>
        <w:rPr>
          <w:sz w:val="20"/>
          <w:szCs w:val="20"/>
          <w:color w:val="auto"/>
        </w:rPr>
      </w:pPr>
    </w:p>
    <w:p>
      <w:pPr>
        <w:ind w:left="620" w:hanging="617"/>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Evergy Metro,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220" w:hanging="617"/>
        <w:spacing w:after="0" w:line="266" w:lineRule="auto"/>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9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80" w:hanging="618"/>
        <w:spacing w:after="0" w:line="266" w:lineRule="auto"/>
        <w:tabs>
          <w:tab w:leader="none" w:pos="1234" w:val="left"/>
        </w:tabs>
        <w:numPr>
          <w:ilvl w:val="1"/>
          <w:numId w:val="9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360" w:hanging="617"/>
        <w:spacing w:after="0" w:line="312" w:lineRule="auto"/>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40" w:hanging="618"/>
        <w:spacing w:after="0" w:line="279" w:lineRule="auto"/>
        <w:tabs>
          <w:tab w:leader="none" w:pos="1234"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5900" w:type="dxa"/>
            <w:vAlign w:val="bottom"/>
          </w:tcPr>
          <w:p>
            <w:pPr>
              <w:ind w:left="240"/>
              <w:spacing w:after="0"/>
              <w:rPr>
                <w:sz w:val="20"/>
                <w:szCs w:val="20"/>
                <w:color w:val="auto"/>
              </w:rPr>
            </w:pPr>
            <w:r>
              <w:rPr>
                <w:rFonts w:ascii="Arial" w:cs="Arial" w:eastAsia="Arial" w:hAnsi="Arial"/>
                <w:sz w:val="17"/>
                <w:szCs w:val="17"/>
                <w:color w:val="0038FF"/>
              </w:rPr>
              <w:t>February 24, 2022</w:t>
            </w:r>
          </w:p>
        </w:tc>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/s/ Kirkland B. Andrews</w:t>
            </w:r>
          </w:p>
        </w:tc>
        <w:tc>
          <w:tcPr>
            <w:tcW w:w="320" w:type="dxa"/>
            <w:vAlign w:val="bottom"/>
          </w:tcPr>
          <w:p>
            <w:pPr>
              <w:spacing w:after="0"/>
              <w:rPr>
                <w:sz w:val="16"/>
                <w:szCs w:val="16"/>
                <w:color w:val="auto"/>
              </w:rPr>
            </w:pPr>
          </w:p>
        </w:tc>
      </w:tr>
      <w:tr>
        <w:trPr>
          <w:trHeight w:val="187"/>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00" w:type="dxa"/>
            <w:vAlign w:val="bottom"/>
            <w:gridSpan w:val="2"/>
          </w:tcPr>
          <w:p>
            <w:pPr>
              <w:spacing w:after="0" w:line="187" w:lineRule="exact"/>
              <w:rPr>
                <w:sz w:val="20"/>
                <w:szCs w:val="20"/>
                <w:color w:val="auto"/>
              </w:rPr>
            </w:pPr>
            <w:r>
              <w:rPr>
                <w:rFonts w:ascii="Arial" w:cs="Arial" w:eastAsia="Arial" w:hAnsi="Arial"/>
                <w:sz w:val="17"/>
                <w:szCs w:val="17"/>
                <w:color w:val="auto"/>
              </w:rPr>
              <w:t>Kirkland B. Andrews</w:t>
            </w:r>
          </w:p>
        </w:tc>
      </w:tr>
      <w:tr>
        <w:trPr>
          <w:trHeight w:val="168"/>
        </w:trPr>
        <w:tc>
          <w:tcPr>
            <w:tcW w:w="6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0" w:type="dxa"/>
            <w:vAlign w:val="bottom"/>
            <w:gridSpan w:val="2"/>
          </w:tcPr>
          <w:p>
            <w:pPr>
              <w:spacing w:after="0" w:line="167" w:lineRule="exact"/>
              <w:rPr>
                <w:sz w:val="20"/>
                <w:szCs w:val="20"/>
                <w:color w:val="auto"/>
              </w:rPr>
            </w:pPr>
            <w:r>
              <w:rPr>
                <w:rFonts w:ascii="Arial" w:cs="Arial" w:eastAsia="Arial" w:hAnsi="Arial"/>
                <w:sz w:val="17"/>
                <w:szCs w:val="17"/>
                <w:color w:val="auto"/>
                <w:w w:val="89"/>
              </w:rPr>
              <w:t>Executive Vice President and</w:t>
            </w:r>
          </w:p>
        </w:tc>
      </w:tr>
      <w:tr>
        <w:trPr>
          <w:trHeight w:val="217"/>
        </w:trPr>
        <w:tc>
          <w:tcPr>
            <w:tcW w:w="6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62"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7"/>
          <w:szCs w:val="17"/>
          <w:color w:val="auto"/>
        </w:rPr>
        <w:t>Exhibit 31.5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David A. Campbell, certify that:</w:t>
      </w:r>
    </w:p>
    <w:p>
      <w:pPr>
        <w:spacing w:after="0" w:line="243" w:lineRule="exact"/>
        <w:rPr>
          <w:sz w:val="20"/>
          <w:szCs w:val="20"/>
          <w:color w:val="auto"/>
        </w:rPr>
      </w:pPr>
    </w:p>
    <w:p>
      <w:pPr>
        <w:ind w:left="620" w:hanging="617"/>
        <w:spacing w:after="0"/>
        <w:tabs>
          <w:tab w:leader="none" w:pos="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Evergy Kansas Central,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220" w:hanging="617"/>
        <w:spacing w:after="0" w:line="266" w:lineRule="auto"/>
        <w:tabs>
          <w:tab w:leader="none" w:pos="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9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80" w:hanging="618"/>
        <w:spacing w:after="0" w:line="266" w:lineRule="auto"/>
        <w:tabs>
          <w:tab w:leader="none" w:pos="1234" w:val="left"/>
        </w:tabs>
        <w:numPr>
          <w:ilvl w:val="1"/>
          <w:numId w:val="9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360" w:hanging="617"/>
        <w:spacing w:after="0" w:line="312" w:lineRule="auto"/>
        <w:tabs>
          <w:tab w:leader="none" w:pos="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40" w:hanging="618"/>
        <w:spacing w:after="0" w:line="279" w:lineRule="auto"/>
        <w:tabs>
          <w:tab w:leader="none" w:pos="1234" w:val="left"/>
        </w:tabs>
        <w:numPr>
          <w:ilvl w:val="1"/>
          <w:numId w:val="9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200" w:type="dxa"/>
            <w:vAlign w:val="bottom"/>
          </w:tcPr>
          <w:p>
            <w:pPr>
              <w:ind w:left="180"/>
              <w:spacing w:after="0"/>
              <w:rPr>
                <w:sz w:val="20"/>
                <w:szCs w:val="20"/>
                <w:color w:val="auto"/>
              </w:rPr>
            </w:pPr>
            <w:r>
              <w:rPr>
                <w:rFonts w:ascii="Arial" w:cs="Arial" w:eastAsia="Arial" w:hAnsi="Arial"/>
                <w:sz w:val="17"/>
                <w:szCs w:val="17"/>
                <w:color w:val="0038FF"/>
              </w:rPr>
              <w:t>February 24, 2022</w:t>
            </w:r>
          </w:p>
        </w:tc>
        <w:tc>
          <w:tcPr>
            <w:tcW w:w="2620" w:type="dxa"/>
            <w:vAlign w:val="bottom"/>
            <w:gridSpan w:val="2"/>
          </w:tcPr>
          <w:p>
            <w:pPr>
              <w:spacing w:after="0"/>
              <w:rPr>
                <w:sz w:val="20"/>
                <w:szCs w:val="20"/>
                <w:color w:val="auto"/>
              </w:rPr>
            </w:pPr>
            <w:r>
              <w:rPr>
                <w:rFonts w:ascii="Arial" w:cs="Arial" w:eastAsia="Arial" w:hAnsi="Arial"/>
                <w:sz w:val="17"/>
                <w:szCs w:val="17"/>
                <w:color w:val="auto"/>
              </w:rPr>
              <w:t>/s/David A. Campbell</w:t>
            </w:r>
          </w:p>
        </w:tc>
      </w:tr>
      <w:tr>
        <w:trPr>
          <w:trHeight w:val="187"/>
        </w:trPr>
        <w:tc>
          <w:tcPr>
            <w:tcW w:w="5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500" w:type="dxa"/>
            <w:vAlign w:val="bottom"/>
            <w:tcBorders>
              <w:top w:val="single" w:sz="8" w:color="auto"/>
            </w:tcBorders>
          </w:tcPr>
          <w:p>
            <w:pPr>
              <w:spacing w:after="0" w:line="187" w:lineRule="exact"/>
              <w:rPr>
                <w:sz w:val="20"/>
                <w:szCs w:val="20"/>
                <w:color w:val="auto"/>
              </w:rPr>
            </w:pPr>
            <w:r>
              <w:rPr>
                <w:rFonts w:ascii="Arial" w:cs="Arial" w:eastAsia="Arial" w:hAnsi="Arial"/>
                <w:sz w:val="17"/>
                <w:szCs w:val="17"/>
                <w:color w:val="auto"/>
              </w:rPr>
              <w:t>David A. Campbell</w:t>
            </w:r>
          </w:p>
        </w:tc>
        <w:tc>
          <w:tcPr>
            <w:tcW w:w="1120" w:type="dxa"/>
            <w:vAlign w:val="bottom"/>
          </w:tcPr>
          <w:p>
            <w:pPr>
              <w:spacing w:after="0"/>
              <w:rPr>
                <w:sz w:val="16"/>
                <w:szCs w:val="16"/>
                <w:color w:val="auto"/>
              </w:rPr>
            </w:pPr>
          </w:p>
        </w:tc>
      </w:tr>
      <w:tr>
        <w:trPr>
          <w:trHeight w:val="217"/>
        </w:trPr>
        <w:tc>
          <w:tcPr>
            <w:tcW w:w="5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w w:val="92"/>
              </w:rPr>
              <w:t>President and Chief Executive Officer</w:t>
            </w:r>
          </w:p>
        </w:tc>
      </w:tr>
    </w:tbl>
    <w:p>
      <w:pPr>
        <w:sectPr>
          <w:pgSz w:w="11900" w:h="16838" w:orient="portrait"/>
          <w:cols w:equalWidth="0" w:num="1">
            <w:col w:w="11240"/>
          </w:cols>
          <w:pgMar w:left="320" w:top="862"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7"/>
          <w:szCs w:val="17"/>
          <w:color w:val="auto"/>
        </w:rPr>
        <w:t>Exhibit 31.6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Kirkland B. Andrews, certify that:</w:t>
      </w:r>
    </w:p>
    <w:p>
      <w:pPr>
        <w:spacing w:after="0" w:line="243" w:lineRule="exact"/>
        <w:rPr>
          <w:sz w:val="20"/>
          <w:szCs w:val="20"/>
          <w:color w:val="auto"/>
        </w:rPr>
      </w:pPr>
    </w:p>
    <w:p>
      <w:pPr>
        <w:ind w:left="620" w:hanging="617"/>
        <w:spacing w:after="0"/>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Evergy Kansas Central,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220" w:hanging="617"/>
        <w:spacing w:after="0" w:line="266" w:lineRule="auto"/>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2"/>
          <w:numId w:val="9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2"/>
          <w:numId w:val="9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2"/>
          <w:numId w:val="9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80" w:hanging="618"/>
        <w:spacing w:after="0" w:line="266" w:lineRule="auto"/>
        <w:tabs>
          <w:tab w:leader="none" w:pos="1234" w:val="left"/>
        </w:tabs>
        <w:numPr>
          <w:ilvl w:val="2"/>
          <w:numId w:val="9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360" w:hanging="540"/>
        <w:spacing w:after="0" w:line="312" w:lineRule="auto"/>
        <w:tabs>
          <w:tab w:leader="none" w:pos="6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2"/>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40" w:hanging="618"/>
        <w:spacing w:after="0" w:line="279" w:lineRule="auto"/>
        <w:tabs>
          <w:tab w:leader="none" w:pos="1234" w:val="left"/>
        </w:tabs>
        <w:numPr>
          <w:ilvl w:val="2"/>
          <w:numId w:val="9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5900" w:type="dxa"/>
            <w:vAlign w:val="bottom"/>
          </w:tcPr>
          <w:p>
            <w:pPr>
              <w:ind w:left="240"/>
              <w:spacing w:after="0"/>
              <w:rPr>
                <w:sz w:val="20"/>
                <w:szCs w:val="20"/>
                <w:color w:val="auto"/>
              </w:rPr>
            </w:pPr>
            <w:r>
              <w:rPr>
                <w:rFonts w:ascii="Arial" w:cs="Arial" w:eastAsia="Arial" w:hAnsi="Arial"/>
                <w:sz w:val="17"/>
                <w:szCs w:val="17"/>
                <w:color w:val="0038FF"/>
              </w:rPr>
              <w:t>February 24, 2022</w:t>
            </w:r>
          </w:p>
        </w:tc>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/s/ Kirkland B. Andrews</w:t>
            </w:r>
          </w:p>
        </w:tc>
        <w:tc>
          <w:tcPr>
            <w:tcW w:w="320" w:type="dxa"/>
            <w:vAlign w:val="bottom"/>
          </w:tcPr>
          <w:p>
            <w:pPr>
              <w:spacing w:after="0"/>
              <w:rPr>
                <w:sz w:val="16"/>
                <w:szCs w:val="16"/>
                <w:color w:val="auto"/>
              </w:rPr>
            </w:pPr>
          </w:p>
        </w:tc>
      </w:tr>
      <w:tr>
        <w:trPr>
          <w:trHeight w:val="187"/>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00" w:type="dxa"/>
            <w:vAlign w:val="bottom"/>
            <w:gridSpan w:val="2"/>
          </w:tcPr>
          <w:p>
            <w:pPr>
              <w:spacing w:after="0" w:line="187" w:lineRule="exact"/>
              <w:rPr>
                <w:sz w:val="20"/>
                <w:szCs w:val="20"/>
                <w:color w:val="auto"/>
              </w:rPr>
            </w:pPr>
            <w:r>
              <w:rPr>
                <w:rFonts w:ascii="Arial" w:cs="Arial" w:eastAsia="Arial" w:hAnsi="Arial"/>
                <w:sz w:val="17"/>
                <w:szCs w:val="17"/>
                <w:color w:val="auto"/>
              </w:rPr>
              <w:t>Kirkland B. Andrews</w:t>
            </w:r>
          </w:p>
        </w:tc>
      </w:tr>
      <w:tr>
        <w:trPr>
          <w:trHeight w:val="168"/>
        </w:trPr>
        <w:tc>
          <w:tcPr>
            <w:tcW w:w="6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00" w:type="dxa"/>
            <w:vAlign w:val="bottom"/>
            <w:gridSpan w:val="2"/>
          </w:tcPr>
          <w:p>
            <w:pPr>
              <w:spacing w:after="0" w:line="167" w:lineRule="exact"/>
              <w:rPr>
                <w:sz w:val="20"/>
                <w:szCs w:val="20"/>
                <w:color w:val="auto"/>
              </w:rPr>
            </w:pPr>
            <w:r>
              <w:rPr>
                <w:rFonts w:ascii="Arial" w:cs="Arial" w:eastAsia="Arial" w:hAnsi="Arial"/>
                <w:sz w:val="17"/>
                <w:szCs w:val="17"/>
                <w:color w:val="auto"/>
                <w:w w:val="89"/>
              </w:rPr>
              <w:t>Executive Vice President and</w:t>
            </w:r>
          </w:p>
        </w:tc>
      </w:tr>
      <w:tr>
        <w:trPr>
          <w:trHeight w:val="217"/>
        </w:trPr>
        <w:tc>
          <w:tcPr>
            <w:tcW w:w="6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62"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In connection with the Annual Report on Form 10-K of Evergy, Inc. (the "Company") for the annual period ended December 31,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780" w:hanging="467"/>
        <w:spacing w:after="0"/>
        <w:tabs>
          <w:tab w:leader="none" w:pos="7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780" w:hanging="467"/>
        <w:spacing w:after="0"/>
        <w:tabs>
          <w:tab w:leader="none" w:pos="7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6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/s/ David A. Campbell</w:t>
            </w:r>
          </w:p>
        </w:tc>
      </w:tr>
      <w:tr>
        <w:trPr>
          <w:trHeight w:val="187"/>
        </w:trPr>
        <w:tc>
          <w:tcPr>
            <w:tcW w:w="1460" w:type="dxa"/>
            <w:vAlign w:val="bottom"/>
          </w:tcPr>
          <w:p>
            <w:pPr>
              <w:spacing w:after="0" w:line="187" w:lineRule="exact"/>
              <w:rPr>
                <w:sz w:val="20"/>
                <w:szCs w:val="20"/>
                <w:color w:val="auto"/>
              </w:rPr>
            </w:pPr>
            <w:r>
              <w:rPr>
                <w:rFonts w:ascii="Arial" w:cs="Arial" w:eastAsia="Arial" w:hAnsi="Arial"/>
                <w:sz w:val="17"/>
                <w:szCs w:val="17"/>
                <w:color w:val="auto"/>
              </w:rPr>
              <w:t>Name:</w:t>
            </w:r>
          </w:p>
        </w:tc>
        <w:tc>
          <w:tcPr>
            <w:tcW w:w="1540" w:type="dxa"/>
            <w:vAlign w:val="bottom"/>
            <w:tcBorders>
              <w:top w:val="single" w:sz="8" w:color="auto"/>
            </w:tcBorders>
          </w:tcPr>
          <w:p>
            <w:pPr>
              <w:spacing w:after="0" w:line="187" w:lineRule="exact"/>
              <w:rPr>
                <w:sz w:val="20"/>
                <w:szCs w:val="20"/>
                <w:color w:val="auto"/>
              </w:rPr>
            </w:pPr>
            <w:r>
              <w:rPr>
                <w:rFonts w:ascii="Arial" w:cs="Arial" w:eastAsia="Arial" w:hAnsi="Arial"/>
                <w:sz w:val="17"/>
                <w:szCs w:val="17"/>
                <w:color w:val="auto"/>
              </w:rPr>
              <w:t>David A. Campbell</w:t>
            </w:r>
          </w:p>
        </w:tc>
        <w:tc>
          <w:tcPr>
            <w:tcW w:w="2120" w:type="dxa"/>
            <w:vAlign w:val="bottom"/>
            <w:gridSpan w:val="2"/>
          </w:tcPr>
          <w:p>
            <w:pPr>
              <w:spacing w:after="0"/>
              <w:rPr>
                <w:sz w:val="16"/>
                <w:szCs w:val="16"/>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gridSpan w:val="3"/>
          </w:tcPr>
          <w:p>
            <w:pPr>
              <w:spacing w:after="0"/>
              <w:rPr>
                <w:sz w:val="20"/>
                <w:szCs w:val="20"/>
                <w:color w:val="auto"/>
              </w:rPr>
            </w:pPr>
            <w:r>
              <w:rPr>
                <w:rFonts w:ascii="Arial" w:cs="Arial" w:eastAsia="Arial" w:hAnsi="Arial"/>
                <w:sz w:val="17"/>
                <w:szCs w:val="17"/>
                <w:color w:val="auto"/>
              </w:rPr>
              <w:t>President and Chief Executive Officer</w:t>
            </w:r>
          </w:p>
        </w:tc>
      </w:tr>
      <w:tr>
        <w:trPr>
          <w:trHeight w:val="219"/>
        </w:trPr>
        <w:tc>
          <w:tcPr>
            <w:tcW w:w="1460" w:type="dxa"/>
            <w:vAlign w:val="bottom"/>
          </w:tcPr>
          <w:p>
            <w:pPr>
              <w:spacing w:after="0"/>
              <w:rPr>
                <w:sz w:val="20"/>
                <w:szCs w:val="20"/>
                <w:color w:val="auto"/>
              </w:rPr>
            </w:pPr>
            <w:r>
              <w:rPr>
                <w:rFonts w:ascii="Arial" w:cs="Arial" w:eastAsia="Arial" w:hAnsi="Arial"/>
                <w:sz w:val="17"/>
                <w:szCs w:val="17"/>
                <w:color w:val="auto"/>
              </w:rPr>
              <w:t>Date:</w:t>
            </w:r>
          </w:p>
        </w:tc>
        <w:tc>
          <w:tcPr>
            <w:tcW w:w="3660" w:type="dxa"/>
            <w:vAlign w:val="bottom"/>
            <w:gridSpan w:val="3"/>
          </w:tcPr>
          <w:p>
            <w:pPr>
              <w:spacing w:after="0"/>
              <w:rPr>
                <w:sz w:val="20"/>
                <w:szCs w:val="20"/>
                <w:color w:val="auto"/>
              </w:rPr>
            </w:pPr>
            <w:r>
              <w:rPr>
                <w:rFonts w:ascii="Arial" w:cs="Arial" w:eastAsia="Arial" w:hAnsi="Arial"/>
                <w:sz w:val="17"/>
                <w:szCs w:val="17"/>
                <w:color w:val="0038FF"/>
              </w:rPr>
              <w:t>February 24, 2022</w:t>
            </w:r>
          </w:p>
        </w:tc>
      </w:tr>
      <w:tr>
        <w:trPr>
          <w:trHeight w:val="401"/>
        </w:trPr>
        <w:tc>
          <w:tcPr>
            <w:tcW w:w="1460" w:type="dxa"/>
            <w:vAlign w:val="bottom"/>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4"/>
              </w:rPr>
              <w:t>/s/ Kirkland B. Andrews</w:t>
            </w:r>
          </w:p>
        </w:tc>
        <w:tc>
          <w:tcPr>
            <w:tcW w:w="1980" w:type="dxa"/>
            <w:vAlign w:val="bottom"/>
          </w:tcPr>
          <w:p>
            <w:pPr>
              <w:spacing w:after="0"/>
              <w:rPr>
                <w:sz w:val="24"/>
                <w:szCs w:val="24"/>
                <w:color w:val="auto"/>
              </w:rPr>
            </w:pPr>
          </w:p>
        </w:tc>
      </w:tr>
      <w:tr>
        <w:trPr>
          <w:trHeight w:val="187"/>
        </w:trPr>
        <w:tc>
          <w:tcPr>
            <w:tcW w:w="1460" w:type="dxa"/>
            <w:vAlign w:val="bottom"/>
          </w:tcPr>
          <w:p>
            <w:pPr>
              <w:spacing w:after="0" w:line="187" w:lineRule="exact"/>
              <w:rPr>
                <w:sz w:val="20"/>
                <w:szCs w:val="20"/>
                <w:color w:val="auto"/>
              </w:rPr>
            </w:pPr>
            <w:r>
              <w:rPr>
                <w:rFonts w:ascii="Arial" w:cs="Arial" w:eastAsia="Arial" w:hAnsi="Arial"/>
                <w:sz w:val="17"/>
                <w:szCs w:val="17"/>
                <w:color w:val="auto"/>
              </w:rPr>
              <w:t>Name:</w:t>
            </w:r>
          </w:p>
        </w:tc>
        <w:tc>
          <w:tcPr>
            <w:tcW w:w="3660" w:type="dxa"/>
            <w:vAlign w:val="bottom"/>
            <w:gridSpan w:val="3"/>
          </w:tcPr>
          <w:p>
            <w:pPr>
              <w:spacing w:after="0" w:line="187" w:lineRule="exact"/>
              <w:rPr>
                <w:sz w:val="20"/>
                <w:szCs w:val="20"/>
                <w:color w:val="auto"/>
              </w:rPr>
            </w:pPr>
            <w:r>
              <w:rPr>
                <w:rFonts w:ascii="Arial" w:cs="Arial" w:eastAsia="Arial" w:hAnsi="Arial"/>
                <w:sz w:val="17"/>
                <w:szCs w:val="17"/>
                <w:color w:val="auto"/>
              </w:rPr>
              <w:t>Kirkland B. Andrews</w:t>
            </w:r>
          </w:p>
        </w:tc>
      </w:tr>
      <w:tr>
        <w:trPr>
          <w:trHeight w:val="217"/>
        </w:trPr>
        <w:tc>
          <w:tcPr>
            <w:tcW w:w="146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gridSpan w:val="3"/>
          </w:tcPr>
          <w:p>
            <w:pPr>
              <w:spacing w:after="0"/>
              <w:rPr>
                <w:sz w:val="20"/>
                <w:szCs w:val="20"/>
                <w:color w:val="auto"/>
              </w:rPr>
            </w:pPr>
            <w:r>
              <w:rPr>
                <w:rFonts w:ascii="Arial" w:cs="Arial" w:eastAsia="Arial" w:hAnsi="Arial"/>
                <w:sz w:val="17"/>
                <w:szCs w:val="17"/>
                <w:color w:val="auto"/>
                <w:w w:val="92"/>
              </w:rPr>
              <w:t>Executive Vice President and Chief Financial Officer</w:t>
            </w:r>
          </w:p>
        </w:tc>
      </w:tr>
      <w:tr>
        <w:trPr>
          <w:trHeight w:val="219"/>
        </w:trPr>
        <w:tc>
          <w:tcPr>
            <w:tcW w:w="1460" w:type="dxa"/>
            <w:vAlign w:val="bottom"/>
          </w:tcPr>
          <w:p>
            <w:pPr>
              <w:spacing w:after="0"/>
              <w:rPr>
                <w:sz w:val="20"/>
                <w:szCs w:val="20"/>
                <w:color w:val="auto"/>
              </w:rPr>
            </w:pPr>
            <w:r>
              <w:rPr>
                <w:rFonts w:ascii="Arial" w:cs="Arial" w:eastAsia="Arial" w:hAnsi="Arial"/>
                <w:sz w:val="17"/>
                <w:szCs w:val="17"/>
                <w:color w:val="auto"/>
              </w:rPr>
              <w:t>Date:</w:t>
            </w:r>
          </w:p>
        </w:tc>
        <w:tc>
          <w:tcPr>
            <w:tcW w:w="3660" w:type="dxa"/>
            <w:vAlign w:val="bottom"/>
            <w:gridSpan w:val="3"/>
          </w:tcPr>
          <w:p>
            <w:pPr>
              <w:spacing w:after="0"/>
              <w:rPr>
                <w:sz w:val="20"/>
                <w:szCs w:val="20"/>
                <w:color w:val="auto"/>
              </w:rPr>
            </w:pPr>
            <w:r>
              <w:rPr>
                <w:rFonts w:ascii="Arial" w:cs="Arial" w:eastAsia="Arial" w:hAnsi="Arial"/>
                <w:sz w:val="17"/>
                <w:szCs w:val="17"/>
                <w:color w:val="0038FF"/>
              </w:rPr>
              <w:t>February 24, 2022</w:t>
            </w:r>
          </w:p>
        </w:tc>
      </w:tr>
    </w:tbl>
    <w:p>
      <w:pPr>
        <w:sectPr>
          <w:pgSz w:w="11900" w:h="16838" w:orient="portrait"/>
          <w:cols w:equalWidth="0" w:num="1">
            <w:col w:w="11240"/>
          </w:cols>
          <w:pgMar w:left="320" w:top="862"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7"/>
          <w:szCs w:val="17"/>
          <w:color w:val="auto"/>
        </w:rPr>
        <w:t>Exhibit 32.2</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4"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In connection with the Annual Report on Form 10-K of Evergy Metro, Inc. (the "Company") for the annual period ended December 31,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89" w:lineRule="exact"/>
        <w:rPr>
          <w:sz w:val="20"/>
          <w:szCs w:val="20"/>
          <w:color w:val="auto"/>
        </w:rPr>
      </w:pPr>
    </w:p>
    <w:p>
      <w:pPr>
        <w:ind w:left="620" w:hanging="307"/>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/s/ David A. Campbell</w:t>
            </w:r>
          </w:p>
        </w:tc>
        <w:tc>
          <w:tcPr>
            <w:tcW w:w="2100" w:type="dxa"/>
            <w:vAlign w:val="bottom"/>
            <w:gridSpan w:val="2"/>
          </w:tcPr>
          <w:p>
            <w:pPr>
              <w:spacing w:after="0"/>
              <w:rPr>
                <w:sz w:val="16"/>
                <w:szCs w:val="16"/>
                <w:color w:val="auto"/>
              </w:rPr>
            </w:pPr>
          </w:p>
        </w:tc>
      </w:tr>
      <w:tr>
        <w:trPr>
          <w:trHeight w:val="187"/>
        </w:trPr>
        <w:tc>
          <w:tcPr>
            <w:tcW w:w="1500" w:type="dxa"/>
            <w:vAlign w:val="bottom"/>
          </w:tcPr>
          <w:p>
            <w:pPr>
              <w:spacing w:after="0" w:line="187" w:lineRule="exact"/>
              <w:rPr>
                <w:sz w:val="20"/>
                <w:szCs w:val="20"/>
                <w:color w:val="auto"/>
              </w:rPr>
            </w:pPr>
            <w:r>
              <w:rPr>
                <w:rFonts w:ascii="Arial" w:cs="Arial" w:eastAsia="Arial" w:hAnsi="Arial"/>
                <w:sz w:val="17"/>
                <w:szCs w:val="17"/>
                <w:color w:val="auto"/>
              </w:rPr>
              <w:t>Name:</w:t>
            </w:r>
          </w:p>
        </w:tc>
        <w:tc>
          <w:tcPr>
            <w:tcW w:w="3660" w:type="dxa"/>
            <w:vAlign w:val="bottom"/>
            <w:gridSpan w:val="3"/>
          </w:tcPr>
          <w:p>
            <w:pPr>
              <w:spacing w:after="0" w:line="187" w:lineRule="exact"/>
              <w:rPr>
                <w:sz w:val="20"/>
                <w:szCs w:val="20"/>
                <w:color w:val="auto"/>
              </w:rPr>
            </w:pPr>
            <w:r>
              <w:rPr>
                <w:rFonts w:ascii="Arial" w:cs="Arial" w:eastAsia="Arial" w:hAnsi="Arial"/>
                <w:sz w:val="17"/>
                <w:szCs w:val="17"/>
                <w:color w:val="auto"/>
              </w:rPr>
              <w:t>David A. Campbell</w:t>
            </w:r>
          </w:p>
        </w:tc>
      </w:tr>
      <w:tr>
        <w:trPr>
          <w:trHeight w:val="217"/>
        </w:trPr>
        <w:tc>
          <w:tcPr>
            <w:tcW w:w="150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gridSpan w:val="3"/>
          </w:tcPr>
          <w:p>
            <w:pPr>
              <w:spacing w:after="0"/>
              <w:rPr>
                <w:sz w:val="20"/>
                <w:szCs w:val="20"/>
                <w:color w:val="auto"/>
              </w:rPr>
            </w:pPr>
            <w:r>
              <w:rPr>
                <w:rFonts w:ascii="Arial" w:cs="Arial" w:eastAsia="Arial" w:hAnsi="Arial"/>
                <w:sz w:val="17"/>
                <w:szCs w:val="17"/>
                <w:color w:val="auto"/>
              </w:rPr>
              <w:t>President and Chief Executive Officer</w:t>
            </w:r>
          </w:p>
        </w:tc>
      </w:tr>
      <w:tr>
        <w:trPr>
          <w:trHeight w:val="219"/>
        </w:trPr>
        <w:tc>
          <w:tcPr>
            <w:tcW w:w="1500" w:type="dxa"/>
            <w:vAlign w:val="bottom"/>
          </w:tcPr>
          <w:p>
            <w:pPr>
              <w:spacing w:after="0"/>
              <w:rPr>
                <w:sz w:val="20"/>
                <w:szCs w:val="20"/>
                <w:color w:val="auto"/>
              </w:rPr>
            </w:pPr>
            <w:r>
              <w:rPr>
                <w:rFonts w:ascii="Arial" w:cs="Arial" w:eastAsia="Arial" w:hAnsi="Arial"/>
                <w:sz w:val="17"/>
                <w:szCs w:val="17"/>
                <w:color w:val="auto"/>
              </w:rPr>
              <w:t>Date:</w:t>
            </w:r>
          </w:p>
        </w:tc>
        <w:tc>
          <w:tcPr>
            <w:tcW w:w="3660" w:type="dxa"/>
            <w:vAlign w:val="bottom"/>
            <w:gridSpan w:val="3"/>
          </w:tcPr>
          <w:p>
            <w:pPr>
              <w:spacing w:after="0"/>
              <w:rPr>
                <w:sz w:val="20"/>
                <w:szCs w:val="20"/>
                <w:color w:val="auto"/>
              </w:rPr>
            </w:pPr>
            <w:r>
              <w:rPr>
                <w:rFonts w:ascii="Arial" w:cs="Arial" w:eastAsia="Arial" w:hAnsi="Arial"/>
                <w:sz w:val="17"/>
                <w:szCs w:val="17"/>
                <w:color w:val="0038FF"/>
              </w:rPr>
              <w:t>February 24, 2022</w:t>
            </w:r>
          </w:p>
        </w:tc>
      </w:tr>
      <w:tr>
        <w:trPr>
          <w:trHeight w:val="401"/>
        </w:trPr>
        <w:tc>
          <w:tcPr>
            <w:tcW w:w="150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/s/ Kirkland B. Andrews</w:t>
            </w:r>
          </w:p>
        </w:tc>
      </w:tr>
      <w:tr>
        <w:trPr>
          <w:trHeight w:val="187"/>
        </w:trPr>
        <w:tc>
          <w:tcPr>
            <w:tcW w:w="1500" w:type="dxa"/>
            <w:vAlign w:val="bottom"/>
          </w:tcPr>
          <w:p>
            <w:pPr>
              <w:spacing w:after="0" w:line="187" w:lineRule="exact"/>
              <w:rPr>
                <w:sz w:val="20"/>
                <w:szCs w:val="20"/>
                <w:color w:val="auto"/>
              </w:rPr>
            </w:pPr>
            <w:r>
              <w:rPr>
                <w:rFonts w:ascii="Arial" w:cs="Arial" w:eastAsia="Arial" w:hAnsi="Arial"/>
                <w:sz w:val="17"/>
                <w:szCs w:val="17"/>
                <w:color w:val="auto"/>
              </w:rPr>
              <w:t>Name:</w:t>
            </w:r>
          </w:p>
        </w:tc>
        <w:tc>
          <w:tcPr>
            <w:tcW w:w="168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7"/>
                <w:szCs w:val="17"/>
                <w:color w:val="auto"/>
              </w:rPr>
              <w:t>Kirkland B. Andrews</w:t>
            </w:r>
          </w:p>
        </w:tc>
        <w:tc>
          <w:tcPr>
            <w:tcW w:w="1980" w:type="dxa"/>
            <w:vAlign w:val="bottom"/>
          </w:tcPr>
          <w:p>
            <w:pPr>
              <w:spacing w:after="0"/>
              <w:rPr>
                <w:sz w:val="16"/>
                <w:szCs w:val="16"/>
                <w:color w:val="auto"/>
              </w:rPr>
            </w:pPr>
          </w:p>
        </w:tc>
      </w:tr>
      <w:tr>
        <w:trPr>
          <w:trHeight w:val="217"/>
        </w:trPr>
        <w:tc>
          <w:tcPr>
            <w:tcW w:w="150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gridSpan w:val="3"/>
          </w:tcPr>
          <w:p>
            <w:pPr>
              <w:spacing w:after="0"/>
              <w:rPr>
                <w:sz w:val="20"/>
                <w:szCs w:val="20"/>
                <w:color w:val="auto"/>
              </w:rPr>
            </w:pPr>
            <w:r>
              <w:rPr>
                <w:rFonts w:ascii="Arial" w:cs="Arial" w:eastAsia="Arial" w:hAnsi="Arial"/>
                <w:sz w:val="17"/>
                <w:szCs w:val="17"/>
                <w:color w:val="auto"/>
                <w:w w:val="92"/>
              </w:rPr>
              <w:t>Executive Vice President and Chief Financial Officer</w:t>
            </w:r>
          </w:p>
        </w:tc>
      </w:tr>
      <w:tr>
        <w:trPr>
          <w:trHeight w:val="219"/>
        </w:trPr>
        <w:tc>
          <w:tcPr>
            <w:tcW w:w="1500" w:type="dxa"/>
            <w:vAlign w:val="bottom"/>
          </w:tcPr>
          <w:p>
            <w:pPr>
              <w:spacing w:after="0"/>
              <w:rPr>
                <w:sz w:val="20"/>
                <w:szCs w:val="20"/>
                <w:color w:val="auto"/>
              </w:rPr>
            </w:pPr>
            <w:r>
              <w:rPr>
                <w:rFonts w:ascii="Arial" w:cs="Arial" w:eastAsia="Arial" w:hAnsi="Arial"/>
                <w:sz w:val="17"/>
                <w:szCs w:val="17"/>
                <w:color w:val="auto"/>
              </w:rPr>
              <w:t>Date:</w:t>
            </w:r>
          </w:p>
        </w:tc>
        <w:tc>
          <w:tcPr>
            <w:tcW w:w="3660" w:type="dxa"/>
            <w:vAlign w:val="bottom"/>
            <w:gridSpan w:val="3"/>
          </w:tcPr>
          <w:p>
            <w:pPr>
              <w:spacing w:after="0"/>
              <w:rPr>
                <w:sz w:val="20"/>
                <w:szCs w:val="20"/>
                <w:color w:val="auto"/>
              </w:rPr>
            </w:pPr>
            <w:r>
              <w:rPr>
                <w:rFonts w:ascii="Arial" w:cs="Arial" w:eastAsia="Arial" w:hAnsi="Arial"/>
                <w:sz w:val="17"/>
                <w:szCs w:val="17"/>
                <w:color w:val="0038FF"/>
              </w:rPr>
              <w:t>February 24, 2022</w:t>
            </w:r>
          </w:p>
        </w:tc>
      </w:tr>
    </w:tbl>
    <w:p>
      <w:pPr>
        <w:sectPr>
          <w:pgSz w:w="11900" w:h="16838" w:orient="portrait"/>
          <w:cols w:equalWidth="0" w:num="1">
            <w:col w:w="11240"/>
          </w:cols>
          <w:pgMar w:left="320" w:top="862"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7"/>
          <w:szCs w:val="17"/>
          <w:color w:val="auto"/>
        </w:rPr>
        <w:t>Exhibit 32.3</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4"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In connection with the Annual Report on Form 10-K of Evergy Kansas Central, Inc. (the "Company") for the annual period ended December 31,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89" w:lineRule="exact"/>
        <w:rPr>
          <w:sz w:val="20"/>
          <w:szCs w:val="20"/>
          <w:color w:val="auto"/>
        </w:rPr>
      </w:pPr>
    </w:p>
    <w:p>
      <w:pPr>
        <w:ind w:left="620" w:hanging="307"/>
        <w:spacing w:after="0"/>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/s/ David A. Campbell</w:t>
            </w:r>
          </w:p>
        </w:tc>
        <w:tc>
          <w:tcPr>
            <w:tcW w:w="2100" w:type="dxa"/>
            <w:vAlign w:val="bottom"/>
            <w:gridSpan w:val="2"/>
          </w:tcPr>
          <w:p>
            <w:pPr>
              <w:spacing w:after="0"/>
              <w:rPr>
                <w:sz w:val="16"/>
                <w:szCs w:val="16"/>
                <w:color w:val="auto"/>
              </w:rPr>
            </w:pPr>
          </w:p>
        </w:tc>
      </w:tr>
      <w:tr>
        <w:trPr>
          <w:trHeight w:val="187"/>
        </w:trPr>
        <w:tc>
          <w:tcPr>
            <w:tcW w:w="1500" w:type="dxa"/>
            <w:vAlign w:val="bottom"/>
          </w:tcPr>
          <w:p>
            <w:pPr>
              <w:spacing w:after="0" w:line="187" w:lineRule="exact"/>
              <w:rPr>
                <w:sz w:val="20"/>
                <w:szCs w:val="20"/>
                <w:color w:val="auto"/>
              </w:rPr>
            </w:pPr>
            <w:r>
              <w:rPr>
                <w:rFonts w:ascii="Arial" w:cs="Arial" w:eastAsia="Arial" w:hAnsi="Arial"/>
                <w:sz w:val="17"/>
                <w:szCs w:val="17"/>
                <w:color w:val="auto"/>
              </w:rPr>
              <w:t>Name:</w:t>
            </w:r>
          </w:p>
        </w:tc>
        <w:tc>
          <w:tcPr>
            <w:tcW w:w="3660" w:type="dxa"/>
            <w:vAlign w:val="bottom"/>
            <w:gridSpan w:val="3"/>
          </w:tcPr>
          <w:p>
            <w:pPr>
              <w:spacing w:after="0" w:line="187" w:lineRule="exact"/>
              <w:rPr>
                <w:sz w:val="20"/>
                <w:szCs w:val="20"/>
                <w:color w:val="auto"/>
              </w:rPr>
            </w:pPr>
            <w:r>
              <w:rPr>
                <w:rFonts w:ascii="Arial" w:cs="Arial" w:eastAsia="Arial" w:hAnsi="Arial"/>
                <w:sz w:val="17"/>
                <w:szCs w:val="17"/>
                <w:color w:val="auto"/>
              </w:rPr>
              <w:t>David A. Campbell</w:t>
            </w:r>
          </w:p>
        </w:tc>
      </w:tr>
      <w:tr>
        <w:trPr>
          <w:trHeight w:val="217"/>
        </w:trPr>
        <w:tc>
          <w:tcPr>
            <w:tcW w:w="150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gridSpan w:val="3"/>
          </w:tcPr>
          <w:p>
            <w:pPr>
              <w:spacing w:after="0"/>
              <w:rPr>
                <w:sz w:val="20"/>
                <w:szCs w:val="20"/>
                <w:color w:val="auto"/>
              </w:rPr>
            </w:pPr>
            <w:r>
              <w:rPr>
                <w:rFonts w:ascii="Arial" w:cs="Arial" w:eastAsia="Arial" w:hAnsi="Arial"/>
                <w:sz w:val="17"/>
                <w:szCs w:val="17"/>
                <w:color w:val="auto"/>
              </w:rPr>
              <w:t>President and Chief Executive Officer</w:t>
            </w:r>
          </w:p>
        </w:tc>
      </w:tr>
      <w:tr>
        <w:trPr>
          <w:trHeight w:val="219"/>
        </w:trPr>
        <w:tc>
          <w:tcPr>
            <w:tcW w:w="1500" w:type="dxa"/>
            <w:vAlign w:val="bottom"/>
          </w:tcPr>
          <w:p>
            <w:pPr>
              <w:spacing w:after="0"/>
              <w:rPr>
                <w:sz w:val="20"/>
                <w:szCs w:val="20"/>
                <w:color w:val="auto"/>
              </w:rPr>
            </w:pPr>
            <w:r>
              <w:rPr>
                <w:rFonts w:ascii="Arial" w:cs="Arial" w:eastAsia="Arial" w:hAnsi="Arial"/>
                <w:sz w:val="17"/>
                <w:szCs w:val="17"/>
                <w:color w:val="auto"/>
              </w:rPr>
              <w:t>Date:</w:t>
            </w:r>
          </w:p>
        </w:tc>
        <w:tc>
          <w:tcPr>
            <w:tcW w:w="3660" w:type="dxa"/>
            <w:vAlign w:val="bottom"/>
            <w:gridSpan w:val="3"/>
          </w:tcPr>
          <w:p>
            <w:pPr>
              <w:spacing w:after="0"/>
              <w:rPr>
                <w:sz w:val="20"/>
                <w:szCs w:val="20"/>
                <w:color w:val="auto"/>
              </w:rPr>
            </w:pPr>
            <w:r>
              <w:rPr>
                <w:rFonts w:ascii="Arial" w:cs="Arial" w:eastAsia="Arial" w:hAnsi="Arial"/>
                <w:sz w:val="17"/>
                <w:szCs w:val="17"/>
                <w:color w:val="0038FF"/>
              </w:rPr>
              <w:t>February 24, 2022</w:t>
            </w:r>
          </w:p>
        </w:tc>
      </w:tr>
      <w:tr>
        <w:trPr>
          <w:trHeight w:val="401"/>
        </w:trPr>
        <w:tc>
          <w:tcPr>
            <w:tcW w:w="150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7"/>
                <w:szCs w:val="17"/>
                <w:color w:val="auto"/>
              </w:rPr>
              <w:t>/s/ Kirkland B. Andrews</w:t>
            </w:r>
          </w:p>
        </w:tc>
      </w:tr>
      <w:tr>
        <w:trPr>
          <w:trHeight w:val="187"/>
        </w:trPr>
        <w:tc>
          <w:tcPr>
            <w:tcW w:w="1500" w:type="dxa"/>
            <w:vAlign w:val="bottom"/>
          </w:tcPr>
          <w:p>
            <w:pPr>
              <w:spacing w:after="0" w:line="187" w:lineRule="exact"/>
              <w:rPr>
                <w:sz w:val="20"/>
                <w:szCs w:val="20"/>
                <w:color w:val="auto"/>
              </w:rPr>
            </w:pPr>
            <w:r>
              <w:rPr>
                <w:rFonts w:ascii="Arial" w:cs="Arial" w:eastAsia="Arial" w:hAnsi="Arial"/>
                <w:sz w:val="17"/>
                <w:szCs w:val="17"/>
                <w:color w:val="auto"/>
              </w:rPr>
              <w:t>Name:</w:t>
            </w:r>
          </w:p>
        </w:tc>
        <w:tc>
          <w:tcPr>
            <w:tcW w:w="168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7"/>
                <w:szCs w:val="17"/>
                <w:color w:val="auto"/>
              </w:rPr>
              <w:t>Kirkland B. Andrews</w:t>
            </w:r>
          </w:p>
        </w:tc>
        <w:tc>
          <w:tcPr>
            <w:tcW w:w="1980" w:type="dxa"/>
            <w:vAlign w:val="bottom"/>
          </w:tcPr>
          <w:p>
            <w:pPr>
              <w:spacing w:after="0"/>
              <w:rPr>
                <w:sz w:val="16"/>
                <w:szCs w:val="16"/>
                <w:color w:val="auto"/>
              </w:rPr>
            </w:pPr>
          </w:p>
        </w:tc>
      </w:tr>
      <w:tr>
        <w:trPr>
          <w:trHeight w:val="217"/>
        </w:trPr>
        <w:tc>
          <w:tcPr>
            <w:tcW w:w="1500" w:type="dxa"/>
            <w:vAlign w:val="bottom"/>
          </w:tcPr>
          <w:p>
            <w:pPr>
              <w:spacing w:after="0"/>
              <w:rPr>
                <w:sz w:val="20"/>
                <w:szCs w:val="20"/>
                <w:color w:val="auto"/>
              </w:rPr>
            </w:pPr>
            <w:r>
              <w:rPr>
                <w:rFonts w:ascii="Arial" w:cs="Arial" w:eastAsia="Arial" w:hAnsi="Arial"/>
                <w:sz w:val="17"/>
                <w:szCs w:val="17"/>
                <w:color w:val="auto"/>
              </w:rPr>
              <w:t>Title:</w:t>
            </w:r>
          </w:p>
        </w:tc>
        <w:tc>
          <w:tcPr>
            <w:tcW w:w="3660" w:type="dxa"/>
            <w:vAlign w:val="bottom"/>
            <w:gridSpan w:val="3"/>
          </w:tcPr>
          <w:p>
            <w:pPr>
              <w:spacing w:after="0"/>
              <w:rPr>
                <w:sz w:val="20"/>
                <w:szCs w:val="20"/>
                <w:color w:val="auto"/>
              </w:rPr>
            </w:pPr>
            <w:r>
              <w:rPr>
                <w:rFonts w:ascii="Arial" w:cs="Arial" w:eastAsia="Arial" w:hAnsi="Arial"/>
                <w:sz w:val="17"/>
                <w:szCs w:val="17"/>
                <w:color w:val="auto"/>
                <w:w w:val="92"/>
              </w:rPr>
              <w:t>Executive Vice President and Chief Financial Officer</w:t>
            </w:r>
          </w:p>
        </w:tc>
      </w:tr>
      <w:tr>
        <w:trPr>
          <w:trHeight w:val="219"/>
        </w:trPr>
        <w:tc>
          <w:tcPr>
            <w:tcW w:w="1500" w:type="dxa"/>
            <w:vAlign w:val="bottom"/>
          </w:tcPr>
          <w:p>
            <w:pPr>
              <w:spacing w:after="0"/>
              <w:rPr>
                <w:sz w:val="20"/>
                <w:szCs w:val="20"/>
                <w:color w:val="auto"/>
              </w:rPr>
            </w:pPr>
            <w:r>
              <w:rPr>
                <w:rFonts w:ascii="Arial" w:cs="Arial" w:eastAsia="Arial" w:hAnsi="Arial"/>
                <w:sz w:val="17"/>
                <w:szCs w:val="17"/>
                <w:color w:val="auto"/>
              </w:rPr>
              <w:t>Date:</w:t>
            </w:r>
          </w:p>
        </w:tc>
        <w:tc>
          <w:tcPr>
            <w:tcW w:w="3660" w:type="dxa"/>
            <w:vAlign w:val="bottom"/>
            <w:gridSpan w:val="3"/>
          </w:tcPr>
          <w:p>
            <w:pPr>
              <w:spacing w:after="0"/>
              <w:rPr>
                <w:sz w:val="20"/>
                <w:szCs w:val="20"/>
                <w:color w:val="auto"/>
              </w:rPr>
            </w:pPr>
            <w:r>
              <w:rPr>
                <w:rFonts w:ascii="Arial" w:cs="Arial" w:eastAsia="Arial" w:hAnsi="Arial"/>
                <w:sz w:val="17"/>
                <w:szCs w:val="17"/>
                <w:color w:val="0038FF"/>
              </w:rPr>
              <w:t>February 24, 2022</w:t>
            </w:r>
          </w:p>
        </w:tc>
      </w:tr>
    </w:tbl>
    <w:p>
      <w:pPr>
        <w:spacing w:after="0" w:line="1" w:lineRule="exact"/>
        <w:rPr>
          <w:sz w:val="20"/>
          <w:szCs w:val="20"/>
          <w:color w:val="auto"/>
        </w:rPr>
      </w:pPr>
    </w:p>
    <w:sectPr>
      <w:pgSz w:w="11900" w:h="16838" w:orient="portrait"/>
      <w:cols w:equalWidth="0" w:num="1">
        <w:col w:w="11240"/>
      </w:cols>
      <w:pgMar w:left="320" w:top="8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lowerLetter"/>
      <w:start w:val="1"/>
    </w:lvl>
  </w:abstractNum>
  <w:abstractNum w:abstractNumId="5">
    <w:nsid w:val="1BA026FA"/>
    <w:multiLevelType w:val="hybridMultilevel"/>
    <w:lvl w:ilvl="0">
      <w:lvlJc w:val="left"/>
      <w:lvlText w:val="(%1)"/>
      <w:numFmt w:val="lowerLetter"/>
      <w:start w:val="2"/>
    </w:lvl>
  </w:abstractNum>
  <w:abstractNum w:abstractNumId="6">
    <w:nsid w:val="79A1DEAA"/>
    <w:multiLevelType w:val="hybridMultilevel"/>
    <w:lvl w:ilvl="0">
      <w:lvlJc w:val="left"/>
      <w:lvlText w:val="(%1)"/>
      <w:numFmt w:val="lowerLetter"/>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1)"/>
      <w:numFmt w:val="lowerLetter"/>
      <w:start w:val="1"/>
    </w:lvl>
  </w:abstractNum>
  <w:abstractNum w:abstractNumId="9">
    <w:nsid w:val="70C6A529"/>
    <w:multiLevelType w:val="hybridMultilevel"/>
    <w:lvl w:ilvl="0">
      <w:lvlJc w:val="left"/>
      <w:lvlText w:val="(%1)"/>
      <w:numFmt w:val="lowerLetter"/>
      <w:start w:val="1"/>
    </w:lvl>
  </w:abstractNum>
  <w:abstractNum w:abstractNumId="10">
    <w:nsid w:val="520EEDD1"/>
    <w:multiLevelType w:val="hybridMultilevel"/>
    <w:lvl w:ilvl="0">
      <w:lvlJc w:val="left"/>
      <w:lvlText w:val="(%1)"/>
      <w:numFmt w:val="lowerLetter"/>
      <w:start w:val="3"/>
    </w:lvl>
  </w:abstractNum>
  <w:abstractNum w:abstractNumId="11">
    <w:nsid w:val="374A3FE6"/>
    <w:multiLevelType w:val="hybridMultilevel"/>
    <w:lvl w:ilvl="0">
      <w:lvlJc w:val="left"/>
      <w:lvlText w:val="(%1)"/>
      <w:numFmt w:val="lowerLetter"/>
      <w:start w:val="1"/>
    </w:lvl>
  </w:abstractNum>
  <w:abstractNum w:abstractNumId="12">
    <w:nsid w:val="4F4EF005"/>
    <w:multiLevelType w:val="hybridMultilevel"/>
    <w:lvl w:ilvl="0">
      <w:lvlJc w:val="left"/>
      <w:lvlText w:val="(%1)"/>
      <w:numFmt w:val="lowerLetter"/>
      <w:start w:val="11"/>
    </w:lvl>
  </w:abstractNum>
  <w:abstractNum w:abstractNumId="13">
    <w:nsid w:val="23F9C13C"/>
    <w:multiLevelType w:val="hybridMultilevel"/>
    <w:lvl w:ilvl="0">
      <w:lvlJc w:val="left"/>
      <w:lvlText w:val="(%1)"/>
      <w:numFmt w:val="lowerLetter"/>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lowerLetter"/>
      <w:start w:val="1"/>
    </w:lvl>
  </w:abstractNum>
  <w:abstractNum w:abstractNumId="18">
    <w:nsid w:val="180115BE"/>
    <w:multiLevelType w:val="hybridMultilevel"/>
    <w:lvl w:ilvl="0">
      <w:lvlJc w:val="left"/>
      <w:lvlText w:val="(%1)"/>
      <w:numFmt w:val="lowerLetter"/>
      <w:start w:val="5"/>
    </w:lvl>
  </w:abstractNum>
  <w:abstractNum w:abstractNumId="19">
    <w:nsid w:val="235BA861"/>
    <w:multiLevelType w:val="hybridMultilevel"/>
    <w:lvl w:ilvl="0">
      <w:lvlJc w:val="left"/>
      <w:lvlText w:val="(%1)"/>
      <w:numFmt w:val="lowerLetter"/>
      <w:start w:val="1"/>
    </w:lvl>
  </w:abstractNum>
  <w:abstractNum w:abstractNumId="20">
    <w:nsid w:val="47398C89"/>
    <w:multiLevelType w:val="hybridMultilevel"/>
    <w:lvl w:ilvl="0">
      <w:lvlJc w:val="left"/>
      <w:lvlText w:val="(%1)"/>
      <w:numFmt w:val="lowerLetter"/>
      <w:start w:val="1"/>
    </w:lvl>
  </w:abstractNum>
  <w:abstractNum w:abstractNumId="21">
    <w:nsid w:val="354FE9F9"/>
    <w:multiLevelType w:val="hybridMultilevel"/>
    <w:lvl w:ilvl="0">
      <w:lvlJc w:val="left"/>
      <w:lvlText w:val="•"/>
      <w:numFmt w:val="bullet"/>
      <w:start w:val="1"/>
    </w:lvl>
    <w:lvl w:ilvl="1">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1)"/>
      <w:numFmt w:val="lowerLetter"/>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lvl w:ilvl="1">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1)"/>
      <w:numFmt w:val="decimal"/>
      <w:start w:val="2"/>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lvl w:ilvl="1">
      <w:lvlJc w:val="left"/>
      <w:lvlText w:val="◦"/>
      <w:numFmt w:val="bullet"/>
      <w:start w:val="1"/>
    </w:lvl>
  </w:abstractNum>
  <w:abstractNum w:abstractNumId="47">
    <w:nsid w:val="42C296BD"/>
    <w:multiLevelType w:val="hybridMultilevel"/>
    <w:lvl w:ilvl="0">
      <w:lvlJc w:val="left"/>
      <w:lvlText w:val="(%1)"/>
      <w:numFmt w:val="decimal"/>
      <w:start w:val="2"/>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lvl w:ilvl="1">
      <w:lvlJc w:val="left"/>
      <w:lvlText w:val="◦"/>
      <w:numFmt w:val="bullet"/>
      <w:start w:val="1"/>
    </w:lvl>
  </w:abstractNum>
  <w:abstractNum w:abstractNumId="50">
    <w:nsid w:val="661E3F1E"/>
    <w:multiLevelType w:val="hybridMultilevel"/>
    <w:lvl w:ilvl="0">
      <w:lvlJc w:val="left"/>
      <w:lvlText w:val="(%1)"/>
      <w:numFmt w:val="decimal"/>
      <w:start w:val="2"/>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lvl w:ilvl="1">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1)"/>
      <w:numFmt w:val="lowerLetter"/>
      <w:start w:val="6"/>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lowerLetter"/>
      <w:start w:val="1"/>
    </w:lvl>
  </w:abstractNum>
  <w:abstractNum w:abstractNumId="66">
    <w:nsid w:val="6A5EE64"/>
    <w:multiLevelType w:val="hybridMultilevel"/>
    <w:lvl w:ilvl="0">
      <w:lvlJc w:val="left"/>
      <w:lvlText w:val="(%1)"/>
      <w:numFmt w:val="lowerLetter"/>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1)"/>
      <w:numFmt w:val="decimal"/>
      <w:start w:val="3"/>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1."/>
      <w:numFmt w:val="decimal"/>
      <w:start w:val="1"/>
    </w:lvl>
    <w:lvl w:ilvl="1">
      <w:lvlJc w:val="left"/>
      <w:lvlText w:val="%2."/>
      <w:numFmt w:val="lowerLetter"/>
      <w:start w:val="1"/>
    </w:lvl>
  </w:abstractNum>
  <w:abstractNum w:abstractNumId="75">
    <w:nsid w:val="94211F2"/>
    <w:multiLevelType w:val="hybridMultilevel"/>
    <w:lvl w:ilvl="0">
      <w:lvlJc w:val="left"/>
      <w:lvlText w:val="%1."/>
      <w:numFmt w:val="lowerLetter"/>
      <w:start w:val="3"/>
    </w:lvl>
  </w:abstractNum>
  <w:abstractNum w:abstractNumId="76">
    <w:nsid w:val="885E1B"/>
    <w:multiLevelType w:val="hybridMultilevel"/>
    <w:lvl w:ilvl="0">
      <w:lvlJc w:val="left"/>
      <w:lvlText w:val="%1."/>
      <w:numFmt w:val="lowerLetter"/>
      <w:start w:val="8"/>
    </w:lvl>
  </w:abstractNum>
  <w:abstractNum w:abstractNumId="77">
    <w:nsid w:val="76272110"/>
    <w:multiLevelType w:val="hybridMultilevel"/>
    <w:lvl w:ilvl="0">
      <w:lvlJc w:val="left"/>
      <w:lvlText w:val="%1"/>
      <w:numFmt w:val="decimal"/>
      <w:start w:val="1"/>
    </w:lvl>
    <w:lvl w:ilvl="1">
      <w:lvlJc w:val="left"/>
      <w:lvlText w:val="%2."/>
      <w:numFmt w:val="lowerLetter"/>
      <w:start w:val="11"/>
    </w:lvl>
  </w:abstractNum>
  <w:abstractNum w:abstractNumId="78">
    <w:nsid w:val="4C04A8AF"/>
    <w:multiLevelType w:val="hybridMultilevel"/>
    <w:lvl w:ilvl="0">
      <w:lvlJc w:val="left"/>
      <w:lvlText w:val="%1."/>
      <w:numFmt w:val="decimal"/>
      <w:start w:val="3"/>
    </w:lvl>
    <w:lvl w:ilvl="1">
      <w:lvlJc w:val="left"/>
      <w:lvlText w:val="%2"/>
      <w:numFmt w:val="lowerLetter"/>
      <w:start w:val="1"/>
    </w:lvl>
  </w:abstractNum>
  <w:abstractNum w:abstractNumId="79">
    <w:nsid w:val="1716703B"/>
    <w:multiLevelType w:val="hybridMultilevel"/>
    <w:lvl w:ilvl="0">
      <w:lvlJc w:val="left"/>
      <w:lvlText w:val="1"/>
      <w:numFmt w:val="bullet"/>
      <w:start w:val="1"/>
    </w:lvl>
  </w:abstractNum>
  <w:abstractNum w:abstractNumId="80">
    <w:nsid w:val="14E17E33"/>
    <w:multiLevelType w:val="hybridMultilevel"/>
    <w:lvl w:ilvl="0">
      <w:lvlJc w:val="left"/>
      <w:lvlText w:val="2"/>
      <w:numFmt w:val="bullet"/>
      <w:start w:val="1"/>
    </w:lvl>
  </w:abstractNum>
  <w:abstractNum w:abstractNumId="81">
    <w:nsid w:val="3222E7CD"/>
    <w:multiLevelType w:val="hybridMultilevel"/>
    <w:lvl w:ilvl="0">
      <w:lvlJc w:val="left"/>
      <w:lvlText w:val="3"/>
      <w:numFmt w:val="bullet"/>
      <w:start w:val="1"/>
    </w:lvl>
  </w:abstractNum>
  <w:abstractNum w:abstractNumId="82">
    <w:nsid w:val="74DE0EE3"/>
    <w:multiLevelType w:val="hybridMultilevel"/>
    <w:lvl w:ilvl="0">
      <w:lvlJc w:val="left"/>
      <w:lvlText w:val="%1."/>
      <w:numFmt w:val="decimal"/>
      <w:start w:val="1"/>
    </w:lvl>
    <w:lvl w:ilvl="1">
      <w:lvlJc w:val="left"/>
      <w:lvlText w:val="%2."/>
      <w:numFmt w:val="lowerLetter"/>
      <w:start w:val="1"/>
    </w:lvl>
  </w:abstractNum>
  <w:abstractNum w:abstractNumId="83">
    <w:nsid w:val="68EBC550"/>
    <w:multiLevelType w:val="hybridMultilevel"/>
    <w:lvl w:ilvl="0">
      <w:lvlJc w:val="left"/>
      <w:lvlText w:val="%1."/>
      <w:numFmt w:val="lowerLetter"/>
      <w:start w:val="3"/>
    </w:lvl>
  </w:abstractNum>
  <w:abstractNum w:abstractNumId="84">
    <w:nsid w:val="2DF6D648"/>
    <w:multiLevelType w:val="hybridMultilevel"/>
    <w:lvl w:ilvl="0">
      <w:lvlJc w:val="left"/>
      <w:lvlText w:val="%1."/>
      <w:numFmt w:val="lowerLetter"/>
      <w:start w:val="8"/>
    </w:lvl>
  </w:abstractNum>
  <w:abstractNum w:abstractNumId="85">
    <w:nsid w:val="46B7D447"/>
    <w:multiLevelType w:val="hybridMultilevel"/>
    <w:lvl w:ilvl="0">
      <w:lvlJc w:val="left"/>
      <w:lvlText w:val="%1."/>
      <w:numFmt w:val="decimal"/>
      <w:start w:val="3"/>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1"/>
    </w:lvl>
    <w:lvl w:ilvl="1">
      <w:lvlJc w:val="left"/>
      <w:lvlText w:val="(%2)"/>
      <w:numFmt w:val="lowerLetter"/>
      <w:start w:val="1"/>
    </w:lvl>
  </w:abstractNum>
  <w:abstractNum w:abstractNumId="88">
    <w:nsid w:val="57FC4FBB"/>
    <w:multiLevelType w:val="hybridMultilevel"/>
    <w:lvl w:ilvl="0">
      <w:lvlJc w:val="left"/>
      <w:lvlText w:val="%1."/>
      <w:numFmt w:val="decimal"/>
      <w:start w:val="1"/>
    </w:lvl>
    <w:lvl w:ilvl="1">
      <w:lvlJc w:val="left"/>
      <w:lvlText w:val="(%2)"/>
      <w:numFmt w:val="lowerLetter"/>
      <w:start w:val="1"/>
    </w:lvl>
  </w:abstractNum>
  <w:abstractNum w:abstractNumId="89">
    <w:nsid w:val="CC1016F"/>
    <w:multiLevelType w:val="hybridMultilevel"/>
    <w:lvl w:ilvl="0">
      <w:lvlJc w:val="left"/>
      <w:lvlText w:val="%1."/>
      <w:numFmt w:val="decimal"/>
      <w:start w:val="1"/>
    </w:lvl>
    <w:lvl w:ilvl="1">
      <w:lvlJc w:val="left"/>
      <w:lvlText w:val="(%2)"/>
      <w:numFmt w:val="lowerLetter"/>
      <w:start w:val="1"/>
    </w:lvl>
  </w:abstractNum>
  <w:abstractNum w:abstractNumId="90">
    <w:nsid w:val="43F18422"/>
    <w:multiLevelType w:val="hybridMultilevel"/>
    <w:lvl w:ilvl="0">
      <w:lvlJc w:val="left"/>
      <w:lvlText w:val="%1."/>
      <w:numFmt w:val="decimal"/>
      <w:start w:val="1"/>
    </w:lvl>
    <w:lvl w:ilvl="1">
      <w:lvlJc w:val="left"/>
      <w:lvlText w:val="(%2)"/>
      <w:numFmt w:val="lowerLetter"/>
      <w:start w:val="1"/>
    </w:lvl>
  </w:abstractNum>
  <w:abstractNum w:abstractNumId="91">
    <w:nsid w:val="60EF0119"/>
    <w:multiLevelType w:val="hybridMultilevel"/>
    <w:lvl w:ilvl="0">
      <w:lvlJc w:val="left"/>
      <w:lvlText w:val="%1."/>
      <w:numFmt w:val="decimal"/>
      <w:start w:val="1"/>
    </w:lvl>
    <w:lvl w:ilvl="1">
      <w:lvlJc w:val="left"/>
      <w:lvlText w:val="(%2)"/>
      <w:numFmt w:val="lowerLetter"/>
      <w:start w:val="1"/>
    </w:lvl>
  </w:abstractNum>
  <w:abstractNum w:abstractNumId="92">
    <w:nsid w:val="26F324B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93">
    <w:nsid w:val="7F01579B"/>
    <w:multiLevelType w:val="hybridMultilevel"/>
    <w:lvl w:ilvl="0">
      <w:lvlJc w:val="left"/>
      <w:lvlText w:val="(%1)"/>
      <w:numFmt w:val="decimal"/>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0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28" Type="http://schemas.openxmlformats.org/officeDocument/2006/relationships/image" Target="media/image191.png"/><Relationship Id="rId239" Type="http://schemas.openxmlformats.org/officeDocument/2006/relationships/image" Target="media/image192.png"/><Relationship Id="rId249" Type="http://schemas.openxmlformats.org/officeDocument/2006/relationships/image" Target="media/image193.png"/><Relationship Id="rId259" Type="http://schemas.openxmlformats.org/officeDocument/2006/relationships/image" Target="media/image194.png"/><Relationship Id="rId269" Type="http://schemas.openxmlformats.org/officeDocument/2006/relationships/image" Target="media/image195.png"/><Relationship Id="rId280" Type="http://schemas.openxmlformats.org/officeDocument/2006/relationships/image" Target="media/image196.png"/><Relationship Id="rId293" Type="http://schemas.openxmlformats.org/officeDocument/2006/relationships/image" Target="media/image197.png"/><Relationship Id="rId304" Type="http://schemas.openxmlformats.org/officeDocument/2006/relationships/image" Target="media/image198.png"/><Relationship Id="rId317" Type="http://schemas.openxmlformats.org/officeDocument/2006/relationships/image" Target="media/image199.png"/><Relationship Id="rId324" Type="http://schemas.openxmlformats.org/officeDocument/2006/relationships/image" Target="media/image200.png"/><Relationship Id="rId333" Type="http://schemas.openxmlformats.org/officeDocument/2006/relationships/image" Target="media/image201.png"/><Relationship Id="rId334" Type="http://schemas.openxmlformats.org/officeDocument/2006/relationships/image" Target="media/image202.png"/><Relationship Id="rId335" Type="http://schemas.openxmlformats.org/officeDocument/2006/relationships/image" Target="media/image203.png"/><Relationship Id="rId336" Type="http://schemas.openxmlformats.org/officeDocument/2006/relationships/image" Target="media/image204.png"/><Relationship Id="rId337" Type="http://schemas.openxmlformats.org/officeDocument/2006/relationships/image" Target="media/image205.png"/><Relationship Id="rId338" Type="http://schemas.openxmlformats.org/officeDocument/2006/relationships/image" Target="media/image206.png"/><Relationship Id="rId339" Type="http://schemas.openxmlformats.org/officeDocument/2006/relationships/image" Target="media/image207.png"/><Relationship Id="rId340" Type="http://schemas.openxmlformats.org/officeDocument/2006/relationships/image" Target="media/image208.png"/><Relationship Id="rId341" Type="http://schemas.openxmlformats.org/officeDocument/2006/relationships/image" Target="media/image209.png"/><Relationship Id="rId342" Type="http://schemas.openxmlformats.org/officeDocument/2006/relationships/image" Target="media/image210.png"/><Relationship Id="rId343" Type="http://schemas.openxmlformats.org/officeDocument/2006/relationships/image" Target="media/image211.png"/><Relationship Id="rId344" Type="http://schemas.openxmlformats.org/officeDocument/2006/relationships/image" Target="media/image212.jpeg"/><Relationship Id="rId195" Type="http://schemas.openxmlformats.org/officeDocument/2006/relationships/hyperlink" Target="http://www.sec.gov/Archives/edgar/data/54476/000119312516607124/d202214dex21.htm" TargetMode="External"/><Relationship Id="rId196" Type="http://schemas.openxmlformats.org/officeDocument/2006/relationships/hyperlink" Target="http://www.sec.gov/Archives/edgar/data/1143068/000119312517224721/d421613dex21.htm" TargetMode="External"/><Relationship Id="rId197" Type="http://schemas.openxmlformats.org/officeDocument/2006/relationships/hyperlink" Target="http://www.sec.gov/Archives/edgar/data/1711269/000119312518182964/d598560dex31.htm" TargetMode="External"/><Relationship Id="rId198" Type="http://schemas.openxmlformats.org/officeDocument/2006/relationships/hyperlink" Target="http://www.sec.gov/Archives/edgar/data/0001711269/000119312522047534/d614678dex31.htm" TargetMode="External"/><Relationship Id="rId199" Type="http://schemas.openxmlformats.org/officeDocument/2006/relationships/hyperlink" Target="http://www.sec.gov/Archives/edgar/data/54476/000171126919000063/evrg-9302019xexmetroar.htm" TargetMode="External"/><Relationship Id="rId200" Type="http://schemas.openxmlformats.org/officeDocument/2006/relationships/hyperlink" Target="http://www.sec.gov/Archives/edgar/data/54476/000171126920000010/exhibit33metroby-laws1.htm" TargetMode="External"/><Relationship Id="rId201" Type="http://schemas.openxmlformats.org/officeDocument/2006/relationships/hyperlink" Target="http://www.sec.gov/Archives/edgar/data/54476/000171126919000063/evrg-9302019xexkansasc.htm" TargetMode="External"/><Relationship Id="rId202" Type="http://schemas.openxmlformats.org/officeDocument/2006/relationships/hyperlink" Target="http://www.sec.gov/Archives/edgar/data/54476/000171126920000010/exhibit32kansascentral.htm" TargetMode="External"/><Relationship Id="rId203" Type="http://schemas.openxmlformats.org/officeDocument/2006/relationships/hyperlink" Target="http://www.sec.gov/Archives/edgar/data/1143068/000114306804000193/ex4-4.htm" TargetMode="External"/><Relationship Id="rId204" Type="http://schemas.openxmlformats.org/officeDocument/2006/relationships/hyperlink" Target="http://www.sec.gov/Archives/edgar/data/1143068/000114306804000193/ex4-5.htm" TargetMode="External"/><Relationship Id="rId205" Type="http://schemas.openxmlformats.org/officeDocument/2006/relationships/hyperlink" Target="http://www.sec.gov/Archives/edgar/data/1143068/000095013707014656/c18880exv4w1.htm" TargetMode="External"/><Relationship Id="rId207" Type="http://schemas.openxmlformats.org/officeDocument/2006/relationships/hyperlink" Target="http://www.sec.gov/Archives/edgar/data/1143068/000095012310077213/c59769exv4w1.htm" TargetMode="External"/><Relationship Id="rId208" Type="http://schemas.openxmlformats.org/officeDocument/2006/relationships/hyperlink" Target="http://www.sec.gov/Archives/edgar/data/1143068/000095012311052125/c64783exv4w1.htm" TargetMode="External"/><Relationship Id="rId209" Type="http://schemas.openxmlformats.org/officeDocument/2006/relationships/hyperlink" Target="http://www.sec.gov/Archives/edgar/data/1143068/000119312517076146/d322293dex41.htm" TargetMode="External"/><Relationship Id="rId210" Type="http://schemas.openxmlformats.org/officeDocument/2006/relationships/hyperlink" Target="http://www.sec.gov/Archives/edgar/data/1711269/000119312518182964/d598560dex41.htm" TargetMode="External"/><Relationship Id="rId211" Type="http://schemas.openxmlformats.org/officeDocument/2006/relationships/hyperlink" Target="http://www.sec.gov/Archives/edgar/data/1711269/000119312519241023/d561986dex41.htm" TargetMode="External"/><Relationship Id="rId212" Type="http://schemas.openxmlformats.org/officeDocument/2006/relationships/hyperlink" Target="http://www.sec.gov/Archives/edgar/data/1143068/000095015209005408/c51398exv4w1.htm" TargetMode="External"/><Relationship Id="rId213" Type="http://schemas.openxmlformats.org/officeDocument/2006/relationships/hyperlink" Target="http://www.sec.gov/Archives/edgar/data/1143068/000095015209005408/c51398exv4w2.htm" TargetMode="External"/><Relationship Id="rId214" Type="http://schemas.openxmlformats.org/officeDocument/2006/relationships/hyperlink" Target="http://www.sec.gov/Archives/edgar/data/1143068/000119312512128587/d321114dex41.htm" TargetMode="External"/><Relationship Id="rId215" Type="http://schemas.openxmlformats.org/officeDocument/2006/relationships/hyperlink" Target="http://www.sec.gov/Archives/edgar/data/1711269/000119312518182964/d598560dex42.htm" TargetMode="External"/><Relationship Id="rId216" Type="http://schemas.openxmlformats.org/officeDocument/2006/relationships/hyperlink" Target="http://www.sec.gov/Archives/edgar/data/66960/000091205701530339/a2057441zex-4_d.txt" TargetMode="External"/><Relationship Id="rId219" Type="http://schemas.openxmlformats.org/officeDocument/2006/relationships/hyperlink" Target="http://www.sec.gov/Archives/edgar/data/66960/000091205702037266/a2090171zex-4_c.htm" TargetMode="External"/><Relationship Id="rId220" Type="http://schemas.openxmlformats.org/officeDocument/2006/relationships/hyperlink" Target="http://www.sec.gov/Archives/edgar/data/54476/000114306818000015/kcplgeneralmortgageinden.htm" TargetMode="External"/><Relationship Id="rId221" Type="http://schemas.openxmlformats.org/officeDocument/2006/relationships/hyperlink" Target="http://www.sec.gov/Archives/edgar/data/54476/000114306818000015/fifthsupplementalinde660.htm" TargetMode="External"/><Relationship Id="rId222" Type="http://schemas.openxmlformats.org/officeDocument/2006/relationships/hyperlink" Target="http://www.sec.gov/Archives/edgar/data/54476/000114306818000015/seventhsupplementalinden.htm" TargetMode="External"/><Relationship Id="rId223" Type="http://schemas.openxmlformats.org/officeDocument/2006/relationships/hyperlink" Target="http://www.sec.gov/Archives/edgar/data/54476/000114306818000015/eighthsupplementalindent.htm" TargetMode="External"/><Relationship Id="rId224" Type="http://schemas.openxmlformats.org/officeDocument/2006/relationships/hyperlink" Target="http://www.sec.gov/Archives/edgar/data/54476/000114306805000252/ex4_2.htm" TargetMode="External"/><Relationship Id="rId225" Type="http://schemas.openxmlformats.org/officeDocument/2006/relationships/hyperlink" Target="http://www.sec.gov/Archives/edgar/data/54476/000095013709002178/c50194exv4w3.htm" TargetMode="External"/><Relationship Id="rId226" Type="http://schemas.openxmlformats.org/officeDocument/2006/relationships/hyperlink" Target="http://www.sec.gov/Archives/edgar/data/54476/000095013709002178/c50194exv4w4.htm" TargetMode="External"/><Relationship Id="rId227" Type="http://schemas.openxmlformats.org/officeDocument/2006/relationships/hyperlink" Target="http://www.sec.gov/Archives/edgar/data/54476/000114306811000070/ex4-1.htm" TargetMode="External"/><Relationship Id="rId229" Type="http://schemas.openxmlformats.org/officeDocument/2006/relationships/hyperlink" Target="http://www.sec.gov/Archives/edgar/data/54476/000119312519075021/d649756dex43.htm" TargetMode="External"/><Relationship Id="rId230" Type="http://schemas.openxmlformats.org/officeDocument/2006/relationships/hyperlink" Target="http://www.sec.gov/Archives/edgar/data/54476/000119312519088595/d715758dex41.htm" TargetMode="External"/><Relationship Id="rId231" Type="http://schemas.openxmlformats.org/officeDocument/2006/relationships/hyperlink" Target="http://www.sec.gov/Archives/edgar/data/54476/000119312520151533/d902388dex41.htm" TargetMode="External"/><Relationship Id="rId232" Type="http://schemas.openxmlformats.org/officeDocument/2006/relationships/hyperlink" Target="http://www.sec.gov/Archives/edgar/data/54476/000005447600000033/0000054476-00-000033-0002.txt" TargetMode="External"/><Relationship Id="rId233" Type="http://schemas.openxmlformats.org/officeDocument/2006/relationships/hyperlink" Target="http://www.sec.gov/Archives/edgar/data/54476/000114306802000041/ex4-1b.txt" TargetMode="External"/><Relationship Id="rId234" Type="http://schemas.openxmlformats.org/officeDocument/2006/relationships/hyperlink" Target="http://www.sec.gov/Archives/edgar/data/54476/000114306806000082/ex4_2j.htm" TargetMode="External"/><Relationship Id="rId235" Type="http://schemas.openxmlformats.org/officeDocument/2006/relationships/hyperlink" Target="http://www.sec.gov/Archives/edgar/data/54476/000119312519075021/d649756dex42.htm" TargetMode="External"/><Relationship Id="rId236" Type="http://schemas.openxmlformats.org/officeDocument/2006/relationships/hyperlink" Target="http://www.sec.gov/Archives/edgar/data/54476/000114306807000197/ex4_1.htm" TargetMode="External"/><Relationship Id="rId237" Type="http://schemas.openxmlformats.org/officeDocument/2006/relationships/hyperlink" Target="http://www.sec.gov/Archives/edgar/data/54476/000114306807000197/ex4_2.htm" TargetMode="External"/><Relationship Id="rId238" Type="http://schemas.openxmlformats.org/officeDocument/2006/relationships/hyperlink" Target="http://www.sec.gov/Archives/edgar/data/54476/000095013708003505/c24746exv4w2.htm" TargetMode="External"/><Relationship Id="rId240" Type="http://schemas.openxmlformats.org/officeDocument/2006/relationships/hyperlink" Target="http://www.sec.gov/Archives/edgar/data/54476/000095012311085544/c66215exv4w1.htm" TargetMode="External"/><Relationship Id="rId241" Type="http://schemas.openxmlformats.org/officeDocument/2006/relationships/hyperlink" Target="http://www.sec.gov/Archives/edgar/data/54476/000119312513107688/d501714dex41.htm" TargetMode="External"/><Relationship Id="rId242" Type="http://schemas.openxmlformats.org/officeDocument/2006/relationships/hyperlink" Target="http://www.sec.gov/Archives/edgar/data/54476/000119312515294694/d67751dex41.htm" TargetMode="External"/><Relationship Id="rId243" Type="http://schemas.openxmlformats.org/officeDocument/2006/relationships/hyperlink" Target="http://www.sec.gov/Archives/edgar/data/54476/000119312517204197/d316123dex41.htm" TargetMode="External"/><Relationship Id="rId244" Type="http://schemas.openxmlformats.org/officeDocument/2006/relationships/hyperlink" Target="http://www.sec.gov/Archives/edgar/data/54476/000119312518067559/d503561dex41.htm" TargetMode="External"/><Relationship Id="rId245" Type="http://schemas.openxmlformats.org/officeDocument/2006/relationships/hyperlink" Target="http://www.sec.gov/Archives/edgar/data/54476/000119312519075021/d649756dex41.htm" TargetMode="External"/><Relationship Id="rId246" Type="http://schemas.openxmlformats.org/officeDocument/2006/relationships/hyperlink" Target="http://www.sec.gov/Archives/edgar/data/1143068/000114306813000093/notepurchaseagreement81620.htm" TargetMode="External"/><Relationship Id="rId247" Type="http://schemas.openxmlformats.org/officeDocument/2006/relationships/hyperlink" Target="http://www.sec.gov/Archives/edgar/data/54476/000171126919000034/evrg-3312019xex45xnotepurc.htm" TargetMode="External"/><Relationship Id="rId248" Type="http://schemas.openxmlformats.org/officeDocument/2006/relationships/hyperlink" Target="http://www.sec.gov/Archives/edgar/data/1711269/000119312521122905/d151728dex41.htm" TargetMode="External"/><Relationship Id="rId250" Type="http://schemas.openxmlformats.org/officeDocument/2006/relationships/hyperlink" Target="http://www.sec.gov/Archives/edgar/data/54476/000171126919000013/ex435wr1939mortgageandde.htm" TargetMode="External"/><Relationship Id="rId251" Type="http://schemas.openxmlformats.org/officeDocument/2006/relationships/hyperlink" Target="http://www.sec.gov/Archives/edgar/data/54476/000171126919000013/ex436wr1939firstsuppleme.htm" TargetMode="External"/><Relationship Id="rId252" Type="http://schemas.openxmlformats.org/officeDocument/2006/relationships/hyperlink" Target="http://www.sec.gov/Archives/edgar/data/54476/000171126919000013/ex437wr1949secondsupplem.htm" TargetMode="External"/><Relationship Id="rId253" Type="http://schemas.openxmlformats.org/officeDocument/2006/relationships/hyperlink" Target="http://www.sec.gov/Archives/edgar/data/54476/000171126919000013/ex438wr1951sixthsuppleme.htm" TargetMode="External"/><Relationship Id="rId254" Type="http://schemas.openxmlformats.org/officeDocument/2006/relationships/hyperlink" Target="http://www.sec.gov/Archives/edgar/data/54476/000171126919000013/ex439wr1976fourteenthsup.htm" TargetMode="External"/><Relationship Id="rId255" Type="http://schemas.openxmlformats.org/officeDocument/2006/relationships/hyperlink" Target="http://www.sec.gov/Archives/edgar/data/54476/000171126919000013/ex440wr1992twentyeigthsu.htm" TargetMode="External"/><Relationship Id="rId256" Type="http://schemas.openxmlformats.org/officeDocument/2006/relationships/hyperlink" Target="http://www.sec.gov/Archives/edgar/data/54507/0000054507-95-000005.txt" TargetMode="External"/><Relationship Id="rId257" Type="http://schemas.openxmlformats.org/officeDocument/2006/relationships/hyperlink" Target="http://www.sec.gov/Archives/edgar/data/54507/000095013001001618/0000950130-01-001618-0002.txt" TargetMode="External"/><Relationship Id="rId258" Type="http://schemas.openxmlformats.org/officeDocument/2006/relationships/hyperlink" Target="http://www.sec.gov/Archives/edgar/data/54507/000119312505007715/dex41.htm" TargetMode="External"/><Relationship Id="rId260" Type="http://schemas.openxmlformats.org/officeDocument/2006/relationships/hyperlink" Target="http://www.sec.gov/Archives/edgar/data/54507/000119312505007715/dex43.htm" TargetMode="External"/><Relationship Id="rId261" Type="http://schemas.openxmlformats.org/officeDocument/2006/relationships/hyperlink" Target="http://www.sec.gov/Archives/edgar/data/54507/000119312505136794/dex41.htm" TargetMode="External"/><Relationship Id="rId262" Type="http://schemas.openxmlformats.org/officeDocument/2006/relationships/hyperlink" Target="http://www.sec.gov/Archives/edgar/data/54507/000119312512086542/d307988dex41.htm" TargetMode="External"/><Relationship Id="rId263" Type="http://schemas.openxmlformats.org/officeDocument/2006/relationships/hyperlink" Target="http://www.sec.gov/Archives/edgar/data/54507/000119312512236583/d353128dex41.htm" TargetMode="External"/><Relationship Id="rId264" Type="http://schemas.openxmlformats.org/officeDocument/2006/relationships/hyperlink" Target="http://www.sec.gov/Archives/edgar/data/54507/000119312513120321/d503573dex41.htm" TargetMode="External"/><Relationship Id="rId265" Type="http://schemas.openxmlformats.org/officeDocument/2006/relationships/hyperlink" Target="http://www.sec.gov/Archives/edgar/data/54507/000119312513333047/d582685dex41.htm" TargetMode="External"/><Relationship Id="rId266" Type="http://schemas.openxmlformats.org/officeDocument/2006/relationships/hyperlink" Target="http://www.sec.gov/Archives/edgar/data/54507/000119312515370390/d43952dex41.htm" TargetMode="External"/><Relationship Id="rId267" Type="http://schemas.openxmlformats.org/officeDocument/2006/relationships/hyperlink" Target="http://www.sec.gov/Archives/edgar/data/54507/000119312516624960/d205241dex41.htm" TargetMode="External"/><Relationship Id="rId268" Type="http://schemas.openxmlformats.org/officeDocument/2006/relationships/hyperlink" Target="http://www.sec.gov/Archives/edgar/data/54507/000119312517069734/d351788dex41.htm" TargetMode="External"/><Relationship Id="rId270" Type="http://schemas.openxmlformats.org/officeDocument/2006/relationships/hyperlink" Target="http://www.sec.gov/Archives/edgar/data/54507/000119312518182972/d598447dex41.htm" TargetMode="External"/><Relationship Id="rId271" Type="http://schemas.openxmlformats.org/officeDocument/2006/relationships/hyperlink" Target="http://www.sec.gov/Archives/edgar/data/54507/000119312519224509/d794482dex41.htm" TargetMode="External"/><Relationship Id="rId272" Type="http://schemas.openxmlformats.org/officeDocument/2006/relationships/hyperlink" Target="http://www.sec.gov/Archives/edgar/data/54507/000119312520102653/d914365dex41.htm" TargetMode="External"/><Relationship Id="rId273" Type="http://schemas.openxmlformats.org/officeDocument/2006/relationships/hyperlink" Target="http://www.sec.gov/Archives/edgar/data/54507/0000054507-98-000036.txt" TargetMode="External"/><Relationship Id="rId274" Type="http://schemas.openxmlformats.org/officeDocument/2006/relationships/hyperlink" Target="http://www.sec.gov/Archives/edgar/data/54507/000119312516509390/d130905dex43.htm" TargetMode="External"/><Relationship Id="rId275" Type="http://schemas.openxmlformats.org/officeDocument/2006/relationships/hyperlink" Target="http://www.sec.gov/Archives/edgar/data/54476/000171126921000023/evrg12312020ex464descripti.htm" TargetMode="External"/><Relationship Id="rId276" Type="http://schemas.openxmlformats.org/officeDocument/2006/relationships/hyperlink" Target="http://www.sec.gov/Archives/edgar/data/54476/000114306816000142/gxp-6302016xex104amendedlo.htm" TargetMode="External"/><Relationship Id="rId277" Type="http://schemas.openxmlformats.org/officeDocument/2006/relationships/hyperlink" Target="http://www.sec.gov/Archives/edgar/data/54476/000114306817000031/gxp-3312017xex103ltip.htm" TargetMode="External"/><Relationship Id="rId278" Type="http://schemas.openxmlformats.org/officeDocument/2006/relationships/hyperlink" Target="http://www.sec.gov/Archives/edgar/data/54476/000114306818000036/gxp-03312018xex103ltip.htm" TargetMode="External"/><Relationship Id="rId279" Type="http://schemas.openxmlformats.org/officeDocument/2006/relationships/hyperlink" Target="http://www.sec.gov/Archives/edgar/data/54476/000114306817000031/gxp-3312017xex101psa.htm" TargetMode="External"/><Relationship Id="rId281" Type="http://schemas.openxmlformats.org/officeDocument/2006/relationships/hyperlink" Target="http://www.sec.gov/Archives/edgar/data/54476/000171126919000013/evrg-12312018xex109appendi.htm" TargetMode="External"/><Relationship Id="rId282" Type="http://schemas.openxmlformats.org/officeDocument/2006/relationships/hyperlink" Target="http://www.sec.gov/Archives/edgar/data/54476/000114306817000031/gxp-3312017xex102rsa.htm" TargetMode="External"/><Relationship Id="rId283" Type="http://schemas.openxmlformats.org/officeDocument/2006/relationships/hyperlink" Target="http://www.sec.gov/Archives/edgar/data/54476/000114306818000036/gxp-03312018xex101psa.htm" TargetMode="External"/><Relationship Id="rId284" Type="http://schemas.openxmlformats.org/officeDocument/2006/relationships/hyperlink" Target="http://www.sec.gov/Archives/edgar/data/54476/000171126919000013/evrg-12312018xex1012append.htm" TargetMode="External"/><Relationship Id="rId285" Type="http://schemas.openxmlformats.org/officeDocument/2006/relationships/hyperlink" Target="http://www.sec.gov/Archives/edgar/data/54476/000114306818000036/gxp-03312018xex102rsa.htm" TargetMode="External"/><Relationship Id="rId286" Type="http://schemas.openxmlformats.org/officeDocument/2006/relationships/hyperlink" Target="http://www.sec.gov/Archives/edgar/data/54476/000119312518182966/d454249dex101.htm" TargetMode="External"/><Relationship Id="rId287" Type="http://schemas.openxmlformats.org/officeDocument/2006/relationships/hyperlink" Target="http://www.sec.gov/Archives/edgar/data/54476/000119312518182966/d454249dex102.htm" TargetMode="External"/><Relationship Id="rId288" Type="http://schemas.openxmlformats.org/officeDocument/2006/relationships/hyperlink" Target="http://www.sec.gov/Archives/edgar/data/1711269/000119312518194560/d605883dex991.htm" TargetMode="External"/><Relationship Id="rId289" Type="http://schemas.openxmlformats.org/officeDocument/2006/relationships/hyperlink" Target="http://www.sec.gov/Archives/edgar/data/54476/000171126919000004/ex101rsuperformance-basedv.htm" TargetMode="External"/><Relationship Id="rId290" Type="http://schemas.openxmlformats.org/officeDocument/2006/relationships/hyperlink" Target="http://www.sec.gov/Archives/edgar/data/54476/000171126919000004/ex102rsutime-basedvestinga.htm" TargetMode="External"/><Relationship Id="rId291" Type="http://schemas.openxmlformats.org/officeDocument/2006/relationships/hyperlink" Target="http://www.sec.gov/Archives/edgar/data/54476/000171126920000012/evrg-12312019xex1019rs.htm" TargetMode="External"/><Relationship Id="rId292" Type="http://schemas.openxmlformats.org/officeDocument/2006/relationships/hyperlink" Target="http://www.sec.gov/Archives/edgar/data/54476/000171126920000012/evrg-12312019xex1020rs.htm" TargetMode="External"/><Relationship Id="rId294" Type="http://schemas.openxmlformats.org/officeDocument/2006/relationships/hyperlink" Target="http://www.sec.gov/Archives/edgar/data/0001711269/000171126921000023/evrg12312020-ex1021rsuagre.htm" TargetMode="External"/><Relationship Id="rId295" Type="http://schemas.openxmlformats.org/officeDocument/2006/relationships/hyperlink" Target="http://www.sec.gov/Archives/edgar/data/0001711269/000171126921000023/evrg12312020-ex1022rsuagre.htm" TargetMode="External"/><Relationship Id="rId296" Type="http://schemas.openxmlformats.org/officeDocument/2006/relationships/hyperlink" Target="http://www.sec.gov/Archives/edgar/data/54507/000119312516527861/d113704ddef14a.htm#toc113704_90" TargetMode="External"/><Relationship Id="rId297" Type="http://schemas.openxmlformats.org/officeDocument/2006/relationships/hyperlink" Target="http://www.sec.gov/Archives/edgar/data/54507/000119312518182972/d598447dex101.htm" TargetMode="External"/><Relationship Id="rId298" Type="http://schemas.openxmlformats.org/officeDocument/2006/relationships/hyperlink" Target="http://www.sec.gov/Archives/edgar/data/54476/000171126919000034/evrg-3312019xex1052019aip.htm" TargetMode="External"/><Relationship Id="rId299" Type="http://schemas.openxmlformats.org/officeDocument/2006/relationships/hyperlink" Target="http://www.sec.gov/Archives/edgar/data/54476/000171126920000012/evrg-12312019xex1024an.htm" TargetMode="External"/><Relationship Id="rId300" Type="http://schemas.openxmlformats.org/officeDocument/2006/relationships/hyperlink" Target="http://www.sec.gov/Archives/edgar/data/0001711269/000171126921000023/evrg12312020-ex1027executi.htm" TargetMode="External"/><Relationship Id="rId301" Type="http://schemas.openxmlformats.org/officeDocument/2006/relationships/hyperlink" Target="http://www.sec.gov/Archives/edgar/data/54476/000171126920000065/ex101offerletter1282020.htm" TargetMode="External"/><Relationship Id="rId302" Type="http://schemas.openxmlformats.org/officeDocument/2006/relationships/hyperlink" Target="http://www.sec.gov/Archives/edgar/data/54476/000171126920000074/ex103time-basedrestricteds.htm" TargetMode="External"/><Relationship Id="rId303" Type="http://schemas.openxmlformats.org/officeDocument/2006/relationships/hyperlink" Target="http://www.sec.gov/Archives/edgar/data/54476/000171126921000008/ex101offerletter02032021.htm" TargetMode="External"/><Relationship Id="rId305" Type="http://schemas.openxmlformats.org/officeDocument/2006/relationships/hyperlink" Target="http://www.sec.gov/Archives/edgar/data/0001711269/000171126921000023/evrg-12312020xex1031andrew.htm" TargetMode="External"/><Relationship Id="rId306" Type="http://schemas.openxmlformats.org/officeDocument/2006/relationships/hyperlink" Target="http://www.sec.gov/Archives/edgar/data/54476/000171126918000022/ex102evergyincformofindemn.htm" TargetMode="External"/><Relationship Id="rId307" Type="http://schemas.openxmlformats.org/officeDocument/2006/relationships/hyperlink" Target="http://www.sec.gov/Archives/edgar/data/54476/000114306806000237/exhibit10-1e.htm" TargetMode="External"/><Relationship Id="rId308" Type="http://schemas.openxmlformats.org/officeDocument/2006/relationships/hyperlink" Target="http://www.sec.gov/Archives/edgar/data/54507/000005450716000043/wr-12312015x10xkexhibit10g.htm" TargetMode="External"/><Relationship Id="rId309" Type="http://schemas.openxmlformats.org/officeDocument/2006/relationships/hyperlink" Target="http://www.sec.gov/Archives/edgar/data/54476/000171126919000034/evrg-3312019xex104wipchang.htm" TargetMode="External"/><Relationship Id="rId310" Type="http://schemas.openxmlformats.org/officeDocument/2006/relationships/hyperlink" Target="http://www.sec.gov/Archives/edgar/data/54476/000171126919000063/evrg-9302019xex101seve.htm" TargetMode="External"/><Relationship Id="rId311" Type="http://schemas.openxmlformats.org/officeDocument/2006/relationships/hyperlink" Target="http://www.sec.gov/Archives/edgar/data/54476/000171126918000012/evrg-06302018xex106evrgserp.htm" TargetMode="External"/><Relationship Id="rId312" Type="http://schemas.openxmlformats.org/officeDocument/2006/relationships/hyperlink" Target="http://www.sec.gov/Archives/edgar/data/54507/000119312510075767/dex101.htm" TargetMode="External"/><Relationship Id="rId313" Type="http://schemas.openxmlformats.org/officeDocument/2006/relationships/hyperlink" Target="http://www.sec.gov/Archives/edgar/data/54476/000171126919000013/evrg-12312018xex1035firsta.htm" TargetMode="External"/><Relationship Id="rId314" Type="http://schemas.openxmlformats.org/officeDocument/2006/relationships/hyperlink" Target="http://www.sec.gov/Archives/edgar/data/54476/000171126918000012/evrg-06302018xex108wrnonxe.htm" TargetMode="External"/><Relationship Id="rId315" Type="http://schemas.openxmlformats.org/officeDocument/2006/relationships/hyperlink" Target="http://www.sec.gov/Archives/edgar/data/54476/000171126919000013/evrg-12312018xex1039nonqua.htm" TargetMode="External"/><Relationship Id="rId316" Type="http://schemas.openxmlformats.org/officeDocument/2006/relationships/hyperlink" Target="http://www.sec.gov/Archives/edgar/data/0001711269/000171126921000039/exhibit1014non-employeedir.htm" TargetMode="External"/><Relationship Id="rId318" Type="http://schemas.openxmlformats.org/officeDocument/2006/relationships/hyperlink" Target="http://www.sec.gov/Archives/edgar/data/54476/000119312518276583/d624794dex101.htm" TargetMode="External"/><Relationship Id="rId319" Type="http://schemas.openxmlformats.org/officeDocument/2006/relationships/hyperlink" Target="http://www.sec.gov/Archives/edgar/data/54476/000171126919000013/evrg-12312018xex1042firsta.htm" TargetMode="External"/><Relationship Id="rId320" Type="http://schemas.openxmlformats.org/officeDocument/2006/relationships/hyperlink" Target="http://www.sec.gov/Archives/edgar/data/54476/000119312521262088/d177354dex101.htm" TargetMode="External"/><Relationship Id="rId321" Type="http://schemas.openxmlformats.org/officeDocument/2006/relationships/hyperlink" Target="http://www.sec.gov/Archives/edgar/data/1711269/000119312519076766/d642503dex101.htm" TargetMode="External"/><Relationship Id="rId322" Type="http://schemas.openxmlformats.org/officeDocument/2006/relationships/hyperlink" Target="http://www.sec.gov/Archives/edgar/data/54476/000114306808000054/ex10-6.htm" TargetMode="External"/><Relationship Id="rId323" Type="http://schemas.openxmlformats.org/officeDocument/2006/relationships/hyperlink" Target="http://www.sec.gov/Archives/edgar/data/1711269/000119312521122905/d151728dex101.htm" TargetMode="External"/><Relationship Id="rId325" Type="http://schemas.openxmlformats.org/officeDocument/2006/relationships/hyperlink" Target="http://www.sec.gov/Archives/edgar/data/1711269/000119312521122905/d151728dex102.htm" TargetMode="External"/><Relationship Id="rId326" Type="http://schemas.openxmlformats.org/officeDocument/2006/relationships/hyperlink" Target="http://www.sec.gov/Archives/edgar/data/1711269/000119312521122905/d151728dex103.htm" TargetMode="External"/><Relationship Id="rId327" Type="http://schemas.openxmlformats.org/officeDocument/2006/relationships/hyperlink" Target="http://www.sec.gov/Archives/edgar/data/54476/000171126920000010/exhibit101elliottcoope.htm" TargetMode="External"/><Relationship Id="rId328" Type="http://schemas.openxmlformats.org/officeDocument/2006/relationships/hyperlink" Target="http://www.sec.gov/Archives/edgar/data/1711269/000171126920000016/exhibit101amendmenttoa.htm" TargetMode="External"/><Relationship Id="rId329" Type="http://schemas.openxmlformats.org/officeDocument/2006/relationships/hyperlink" Target="http://www.sec.gov/Archives/edgar/data/54476/000171126921000021/ex101cooperationagreement.htm" TargetMode="External"/><Relationship Id="rId330" Type="http://schemas.openxmlformats.org/officeDocument/2006/relationships/hyperlink" Target="http://www.sec.gov/Archives/edgar/data/54476/000171126921000021/ex102securitiespurchaseagr.htm" TargetMode="External"/><Relationship Id="rId331" Type="http://schemas.openxmlformats.org/officeDocument/2006/relationships/hyperlink" Target="http://www.sec.gov/Archives/edgar/data/54476/000171126921000032/ex101registrationrightsagr.htm" TargetMode="External"/><Relationship Id="rId332" Type="http://schemas.openxmlformats.org/officeDocument/2006/relationships/hyperlink" Target="http://www.sec.gov/Archives/edgar/data/54476/000171126921000032/ex102warrantno1issued414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2022-02-25T06:38:47Z</dcterms:created>
  <dcterms:modified xsi:type="dcterms:W3CDTF">2022-02-25T06:38:47Z</dcterms:modified>
</cp:coreProperties>
</file>