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55157d8k.htm"/>
      <w:bookmarkStart w:id="1" w:name="ksd5515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pacing w:val="0"/>
          <w:sz w:val="36"/>
        </w:rPr>
      </w:pPr>
      <w:r>
        <w:rPr>
          <w:rFonts w:ascii="Times New Roman" w:hAnsi="Times New Roman"/>
          <w:b/>
          <w:spacing w:val="0"/>
          <w:sz w:val="36"/>
        </w:rPr>
        <w:t>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w:t>
      </w:r>
    </w:p>
    <w:p>
      <w:pPr>
        <w:pStyle w:val="TextBody"/>
        <w:bidi w:val="0"/>
        <w:spacing w:before="240" w:after="0"/>
        <w:jc w:val="center"/>
        <w:rPr>
          <w:rFonts w:ascii="Times New Roman" w:hAnsi="Times New Roman"/>
          <w:b/>
          <w:sz w:val="24"/>
        </w:rPr>
      </w:pPr>
      <w:r>
        <w:rPr>
          <w:rFonts w:ascii="Times New Roman" w:hAnsi="Times New Roman"/>
          <w:b/>
          <w:sz w:val="24"/>
        </w:rPr>
        <w:t>August 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Evergy,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0"/>
              <w:jc w:val="center"/>
              <w:rPr>
                <w:b/>
                <w:spacing w:val="0"/>
              </w:rPr>
            </w:pPr>
            <w:r>
              <w:rPr>
                <w:b/>
                <w:spacing w:val="0"/>
              </w:rPr>
              <w:t>Missouri</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b/>
                <w:spacing w:val="0"/>
              </w:rPr>
            </w:pPr>
            <w:r>
              <w:rPr>
                <w:b/>
                <w:spacing w:val="0"/>
              </w:rPr>
              <w:t>001-38515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82-2733395</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1200 Main Street </w:t>
      </w:r>
    </w:p>
    <w:p>
      <w:pPr>
        <w:pStyle w:val="TextBody"/>
        <w:bidi w:val="0"/>
        <w:spacing w:before="0" w:after="0"/>
        <w:jc w:val="center"/>
        <w:rPr>
          <w:rFonts w:ascii="Times New Roman" w:hAnsi="Times New Roman"/>
          <w:b/>
          <w:sz w:val="20"/>
        </w:rPr>
      </w:pPr>
      <w:r>
        <w:rPr>
          <w:rFonts w:ascii="Times New Roman" w:hAnsi="Times New Roman"/>
          <w:b/>
          <w:sz w:val="20"/>
        </w:rPr>
        <w:t>Kansas City</w:t>
      </w:r>
    </w:p>
    <w:p>
      <w:pPr>
        <w:pStyle w:val="TextBody"/>
        <w:bidi w:val="0"/>
        <w:spacing w:before="0" w:after="0"/>
        <w:jc w:val="center"/>
        <w:rPr>
          <w:rFonts w:ascii="Times New Roman" w:hAnsi="Times New Roman"/>
          <w:b/>
          <w:sz w:val="20"/>
        </w:rPr>
      </w:pP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rPr>
        <w:t>Missouri</w:t>
      </w:r>
    </w:p>
    <w:p>
      <w:pPr>
        <w:pStyle w:val="TextBody"/>
        <w:bidi w:val="0"/>
        <w:spacing w:before="0" w:after="0"/>
        <w:jc w:val="center"/>
        <w:rPr>
          <w:rFonts w:ascii="Times New Roman" w:hAnsi="Times New Roman"/>
          <w:b/>
          <w:sz w:val="20"/>
        </w:rPr>
      </w:pPr>
      <w:r>
        <w:rPr>
          <w:rFonts w:ascii="Times New Roman" w:hAnsi="Times New Roman"/>
          <w:b/>
          <w:sz w:val="20"/>
        </w:rPr>
        <w:t>64105</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and Zip Code) </w:t>
      </w:r>
    </w:p>
    <w:p>
      <w:pPr>
        <w:pStyle w:val="TextBody"/>
        <w:bidi w:val="0"/>
        <w:spacing w:before="240" w:after="0"/>
        <w:jc w:val="center"/>
        <w:rPr>
          <w:rFonts w:ascii="Times New Roman" w:hAnsi="Times New Roman"/>
          <w:b/>
          <w:sz w:val="20"/>
        </w:rPr>
      </w:pPr>
      <w:r>
        <w:rPr>
          <w:rFonts w:ascii="Times New Roman" w:hAnsi="Times New Roman"/>
          <w:b/>
          <w:sz w:val="20"/>
        </w:rPr>
        <w:t>(</w:t>
      </w:r>
    </w:p>
    <w:p>
      <w:pPr>
        <w:pStyle w:val="TextBody"/>
        <w:bidi w:val="0"/>
        <w:spacing w:before="240" w:after="0"/>
        <w:jc w:val="center"/>
        <w:rPr>
          <w:rFonts w:ascii="Times New Roman" w:hAnsi="Times New Roman"/>
          <w:b/>
          <w:sz w:val="20"/>
        </w:rPr>
      </w:pPr>
      <w:r>
        <w:rPr>
          <w:rFonts w:ascii="Times New Roman" w:hAnsi="Times New Roman"/>
          <w:b/>
          <w:sz w:val="20"/>
        </w:rPr>
        <w:t>816</w:t>
      </w:r>
    </w:p>
    <w:p>
      <w:pPr>
        <w:pStyle w:val="TextBody"/>
        <w:bidi w:val="0"/>
        <w:spacing w:before="240" w:after="0"/>
        <w:jc w:val="center"/>
        <w:rPr>
          <w:rFonts w:ascii="Times New Roman" w:hAnsi="Times New Roman"/>
          <w:b/>
          <w:sz w:val="20"/>
        </w:rPr>
      </w:pPr>
      <w:r>
        <w:rPr>
          <w:rFonts w:ascii="Times New Roman" w:hAnsi="Times New Roman"/>
          <w:b/>
          <w:sz w:val="20"/>
        </w:rPr>
        <w:t xml:space="preserve">)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556-2200</w:t>
      </w:r>
    </w:p>
    <w:p>
      <w:pPr>
        <w:pStyle w:val="TextBody"/>
        <w:bidi w:val="0"/>
        <w:spacing w:before="0" w:after="0"/>
        <w:jc w:val="center"/>
        <w:rPr>
          <w:rFonts w:ascii="Times New Roman" w:hAnsi="Times New Roman"/>
          <w:b/>
          <w:sz w:val="16"/>
        </w:rPr>
      </w:pPr>
      <w:r>
        <w:rPr>
          <w:rFonts w:ascii="Times New Roman" w:hAnsi="Times New Roman"/>
          <w:b/>
          <w:sz w:val="16"/>
        </w:rPr>
        <w:t xml:space="preserve">Registrant’s Telephone Number, Including Area Code </w:t>
      </w:r>
    </w:p>
    <w:p>
      <w:pPr>
        <w:pStyle w:val="TextBody"/>
        <w:bidi w:val="0"/>
        <w:spacing w:before="24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Evergy Kansas Central,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0"/>
              <w:jc w:val="center"/>
              <w:rPr>
                <w:b/>
                <w:spacing w:val="0"/>
              </w:rPr>
            </w:pPr>
            <w:r>
              <w:rPr>
                <w:b/>
                <w:spacing w:val="0"/>
              </w:rPr>
              <w:t>Kansas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b/>
                <w:spacing w:val="0"/>
              </w:rPr>
            </w:pPr>
            <w:r>
              <w:rPr>
                <w:b/>
                <w:spacing w:val="0"/>
              </w:rPr>
              <w:t>001-03523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48-0290150</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818 South Kansas Avenue </w:t>
      </w:r>
    </w:p>
    <w:p>
      <w:pPr>
        <w:pStyle w:val="TextBody"/>
        <w:bidi w:val="0"/>
        <w:spacing w:before="0" w:after="0"/>
        <w:jc w:val="center"/>
        <w:rPr>
          <w:rFonts w:ascii="Times New Roman" w:hAnsi="Times New Roman"/>
          <w:b/>
          <w:sz w:val="20"/>
        </w:rPr>
      </w:pPr>
      <w:r>
        <w:rPr>
          <w:rFonts w:ascii="Times New Roman" w:hAnsi="Times New Roman"/>
          <w:b/>
          <w:sz w:val="20"/>
        </w:rPr>
        <w:t xml:space="preserve">Topeka, Kansas 66612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and Zip Code) </w:t>
      </w:r>
    </w:p>
    <w:p>
      <w:pPr>
        <w:pStyle w:val="TextBody"/>
        <w:bidi w:val="0"/>
        <w:spacing w:before="240" w:after="0"/>
        <w:jc w:val="center"/>
        <w:rPr>
          <w:rFonts w:ascii="Times New Roman" w:hAnsi="Times New Roman"/>
          <w:b/>
          <w:sz w:val="20"/>
        </w:rPr>
      </w:pPr>
      <w:r>
        <w:rPr>
          <w:rFonts w:ascii="Times New Roman" w:hAnsi="Times New Roman"/>
          <w:b/>
          <w:sz w:val="20"/>
        </w:rPr>
        <w:t xml:space="preserve">(785)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575-6300</w:t>
      </w:r>
    </w:p>
    <w:p>
      <w:pPr>
        <w:pStyle w:val="TextBody"/>
        <w:bidi w:val="0"/>
        <w:spacing w:before="0" w:after="0"/>
        <w:jc w:val="center"/>
        <w:rPr>
          <w:rFonts w:ascii="Times New Roman" w:hAnsi="Times New Roman"/>
          <w:b/>
          <w:sz w:val="16"/>
        </w:rPr>
      </w:pPr>
      <w:r>
        <w:rPr>
          <w:rFonts w:ascii="Times New Roman" w:hAnsi="Times New Roman"/>
          <w:b/>
          <w:sz w:val="16"/>
        </w:rPr>
        <w:t xml:space="preserve">Registrant’s Telephone Number, Including Area Code </w:t>
      </w:r>
    </w:p>
    <w:p>
      <w:pPr>
        <w:pStyle w:val="TextBody"/>
        <w:bidi w:val="0"/>
        <w:spacing w:before="24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Evergy Metro,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0"/>
              <w:jc w:val="center"/>
              <w:rPr>
                <w:b/>
                <w:spacing w:val="0"/>
              </w:rPr>
            </w:pPr>
            <w:r>
              <w:rPr>
                <w:b/>
                <w:spacing w:val="0"/>
              </w:rPr>
              <w:t>Missouri</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b/>
                <w:spacing w:val="0"/>
              </w:rPr>
            </w:pPr>
            <w:r>
              <w:rPr>
                <w:b/>
                <w:spacing w:val="0"/>
              </w:rPr>
              <w:t>000-51873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44-0308720</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1200 Main Street</w:t>
      </w:r>
    </w:p>
    <w:p>
      <w:pPr>
        <w:pStyle w:val="TextBody"/>
        <w:bidi w:val="0"/>
        <w:spacing w:before="0" w:after="0"/>
        <w:jc w:val="center"/>
        <w:rPr>
          <w:rFonts w:ascii="Times New Roman" w:hAnsi="Times New Roman"/>
          <w:b/>
          <w:sz w:val="20"/>
        </w:rPr>
      </w:pPr>
      <w:r>
        <w:rPr>
          <w:rFonts w:ascii="Times New Roman" w:hAnsi="Times New Roman"/>
          <w:b/>
          <w:sz w:val="20"/>
        </w:rPr>
        <w:t>Kansas City</w:t>
      </w:r>
    </w:p>
    <w:p>
      <w:pPr>
        <w:pStyle w:val="TextBody"/>
        <w:bidi w:val="0"/>
        <w:spacing w:before="0" w:after="0"/>
        <w:jc w:val="center"/>
        <w:rPr>
          <w:rFonts w:ascii="Times New Roman" w:hAnsi="Times New Roman"/>
          <w:b/>
          <w:sz w:val="20"/>
        </w:rPr>
      </w:pP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rPr>
        <w:t>Missouri</w:t>
      </w:r>
    </w:p>
    <w:p>
      <w:pPr>
        <w:pStyle w:val="TextBody"/>
        <w:bidi w:val="0"/>
        <w:spacing w:before="0" w:after="0"/>
        <w:jc w:val="center"/>
        <w:rPr>
          <w:rFonts w:ascii="Times New Roman" w:hAnsi="Times New Roman"/>
          <w:b/>
          <w:sz w:val="20"/>
        </w:rPr>
      </w:pPr>
      <w:r>
        <w:rPr>
          <w:rFonts w:ascii="Times New Roman" w:hAnsi="Times New Roman"/>
          <w:b/>
          <w:sz w:val="20"/>
        </w:rPr>
        <w:t>64105</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and Zip Code) </w:t>
      </w:r>
    </w:p>
    <w:p>
      <w:pPr>
        <w:pStyle w:val="TextBody"/>
        <w:bidi w:val="0"/>
        <w:spacing w:before="240" w:after="0"/>
        <w:jc w:val="center"/>
        <w:rPr>
          <w:rFonts w:ascii="Times New Roman" w:hAnsi="Times New Roman"/>
          <w:b/>
          <w:sz w:val="20"/>
        </w:rPr>
      </w:pPr>
      <w:r>
        <w:rPr>
          <w:rFonts w:ascii="Times New Roman" w:hAnsi="Times New Roman"/>
          <w:b/>
          <w:sz w:val="20"/>
        </w:rPr>
        <w:t>(</w:t>
      </w:r>
    </w:p>
    <w:p>
      <w:pPr>
        <w:pStyle w:val="TextBody"/>
        <w:bidi w:val="0"/>
        <w:spacing w:before="240" w:after="0"/>
        <w:jc w:val="center"/>
        <w:rPr>
          <w:rFonts w:ascii="Times New Roman" w:hAnsi="Times New Roman"/>
          <w:b/>
          <w:sz w:val="20"/>
        </w:rPr>
      </w:pPr>
      <w:r>
        <w:rPr>
          <w:rFonts w:ascii="Times New Roman" w:hAnsi="Times New Roman"/>
          <w:b/>
          <w:sz w:val="20"/>
        </w:rPr>
        <w:t>816</w:t>
      </w:r>
    </w:p>
    <w:p>
      <w:pPr>
        <w:pStyle w:val="TextBody"/>
        <w:bidi w:val="0"/>
        <w:spacing w:before="240" w:after="0"/>
        <w:jc w:val="center"/>
        <w:rPr>
          <w:rFonts w:ascii="Times New Roman" w:hAnsi="Times New Roman"/>
          <w:b/>
          <w:sz w:val="20"/>
        </w:rPr>
      </w:pPr>
      <w:r>
        <w:rPr>
          <w:rFonts w:ascii="Times New Roman" w:hAnsi="Times New Roman"/>
          <w:b/>
          <w:sz w:val="20"/>
        </w:rPr>
        <w:t xml:space="preserve">)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556-2200</w:t>
      </w:r>
    </w:p>
    <w:p>
      <w:pPr>
        <w:pStyle w:val="TextBody"/>
        <w:bidi w:val="0"/>
        <w:spacing w:before="0" w:after="0"/>
        <w:jc w:val="center"/>
        <w:rPr>
          <w:rFonts w:ascii="Times New Roman" w:hAnsi="Times New Roman"/>
          <w:b/>
          <w:sz w:val="16"/>
        </w:rPr>
      </w:pPr>
      <w:r>
        <w:rPr>
          <w:rFonts w:ascii="Times New Roman" w:hAnsi="Times New Roman"/>
          <w:b/>
          <w:sz w:val="16"/>
        </w:rPr>
        <w:t xml:space="preserve">Registrant’s Telephone Number, Including Area Code </w:t>
      </w:r>
    </w:p>
    <w:p>
      <w:pPr>
        <w:pStyle w:val="TextBody"/>
        <w:bidi w:val="0"/>
        <w:spacing w:before="24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240" w:after="0"/>
        <w:jc w:val="left"/>
        <w:rPr>
          <w:rFonts w:ascii="Times New Roman" w:hAnsi="Times New Roman"/>
          <w:sz w:val="20"/>
        </w:rPr>
      </w:pPr>
      <w:r>
        <w:rPr>
          <w:rFonts w:ascii="Times New Roman" w:hAnsi="Times New Roman"/>
          <w:sz w:val="20"/>
        </w:rPr>
        <w:t>filing is intended to simultaneously satisfy the filing obligation of the registrant under any of the following provisions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see</w:t>
      </w:r>
    </w:p>
    <w:p>
      <w:pPr>
        <w:pStyle w:val="TextBody"/>
        <w:bidi w:val="0"/>
        <w:spacing w:before="240" w:after="0"/>
        <w:jc w:val="left"/>
        <w:rPr>
          <w:rFonts w:ascii="Times New Roman" w:hAnsi="Times New Roman"/>
          <w:sz w:val="20"/>
        </w:rPr>
      </w:pPr>
      <w:r>
        <w:rPr>
          <w:rFonts w:ascii="Times New Roman" w:hAnsi="Times New Roman"/>
          <w:sz w:val="20"/>
        </w:rPr>
        <w:t xml:space="preserve">General Instruction A.2. below): </w:t>
      </w:r>
    </w:p>
    <w:p>
      <w:pPr>
        <w:pStyle w:val="TextBody"/>
        <w:bidi w:val="0"/>
        <w:spacing w:before="0" w:after="0"/>
        <w:jc w:val="left"/>
        <w:rPr/>
      </w:pPr>
      <w:r>
        <w:rPr/>
        <w:t> </w:t>
      </w:r>
    </w:p>
    <w:tbl>
      <w:tblPr>
        <w:tblW w:w="7510" w:type="dxa"/>
        <w:jc w:val="left"/>
        <w:tblInd w:w="0" w:type="dxa"/>
        <w:tblLayout w:type="fixed"/>
        <w:tblCellMar>
          <w:top w:w="0" w:type="dxa"/>
          <w:left w:w="0" w:type="dxa"/>
          <w:bottom w:w="0" w:type="dxa"/>
          <w:right w:w="0" w:type="dxa"/>
        </w:tblCellMar>
      </w:tblPr>
      <w:tblGrid>
        <w:gridCol w:w="245"/>
        <w:gridCol w:w="7265"/>
      </w:tblGrid>
      <w:tr>
        <w:trPr/>
        <w:tc>
          <w:tcPr>
            <w:tcW w:w="245" w:type="dxa"/>
            <w:tcBorders/>
            <w:vAlign w:val="center"/>
          </w:tcPr>
          <w:p>
            <w:pPr>
              <w:pStyle w:val="TableContents"/>
              <w:bidi w:val="0"/>
              <w:spacing w:before="0" w:after="283"/>
              <w:jc w:val="left"/>
              <w:rPr/>
            </w:pPr>
            <w:r>
              <w:rPr/>
              <w:t>☐</w:t>
            </w:r>
          </w:p>
        </w:tc>
        <w:tc>
          <w:tcPr>
            <w:tcW w:w="7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 pursuant to Rule 425 under the Securities Act (17 CFR 230.425)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245"/>
        <w:gridCol w:w="2990"/>
      </w:tblGrid>
      <w:tr>
        <w:trPr/>
        <w:tc>
          <w:tcPr>
            <w:tcW w:w="245"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240.14a-12)</w:t>
            </w:r>
          </w:p>
        </w:tc>
      </w:tr>
    </w:tbl>
    <w:p>
      <w:pPr>
        <w:pStyle w:val="TextBody"/>
        <w:bidi w:val="0"/>
        <w:spacing w:before="0" w:after="0"/>
        <w:jc w:val="left"/>
        <w:rPr/>
      </w:pPr>
      <w:r>
        <w:rPr/>
        <w:t> </w:t>
      </w:r>
    </w:p>
    <w:tbl>
      <w:tblPr>
        <w:tblW w:w="3010" w:type="dxa"/>
        <w:jc w:val="left"/>
        <w:tblInd w:w="0" w:type="dxa"/>
        <w:tblLayout w:type="fixed"/>
        <w:tblCellMar>
          <w:top w:w="0" w:type="dxa"/>
          <w:left w:w="0" w:type="dxa"/>
          <w:bottom w:w="0" w:type="dxa"/>
          <w:right w:w="0" w:type="dxa"/>
        </w:tblCellMar>
      </w:tblPr>
      <w:tblGrid>
        <w:gridCol w:w="245"/>
        <w:gridCol w:w="2765"/>
      </w:tblGrid>
      <w:tr>
        <w:trPr/>
        <w:tc>
          <w:tcPr>
            <w:tcW w:w="245" w:type="dxa"/>
            <w:tcBorders/>
            <w:vAlign w:val="center"/>
          </w:tcPr>
          <w:p>
            <w:pPr>
              <w:pStyle w:val="TableContents"/>
              <w:bidi w:val="0"/>
              <w:spacing w:before="0" w:after="283"/>
              <w:jc w:val="left"/>
              <w:rPr/>
            </w:pPr>
            <w:r>
              <w:rPr/>
              <w:t>☐</w:t>
            </w:r>
          </w:p>
        </w:tc>
        <w:tc>
          <w:tcPr>
            <w:tcW w:w="27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240.14d-2(b))</w:t>
            </w:r>
          </w:p>
        </w:tc>
      </w:tr>
    </w:tbl>
    <w:p>
      <w:pPr>
        <w:pStyle w:val="TextBody"/>
        <w:bidi w:val="0"/>
        <w:spacing w:before="0" w:after="0"/>
        <w:jc w:val="left"/>
        <w:rPr/>
      </w:pPr>
      <w:r>
        <w:rPr/>
        <w:t> </w:t>
      </w:r>
    </w:p>
    <w:tbl>
      <w:tblPr>
        <w:tblW w:w="3010" w:type="dxa"/>
        <w:jc w:val="left"/>
        <w:tblInd w:w="0" w:type="dxa"/>
        <w:tblLayout w:type="fixed"/>
        <w:tblCellMar>
          <w:top w:w="0" w:type="dxa"/>
          <w:left w:w="0" w:type="dxa"/>
          <w:bottom w:w="0" w:type="dxa"/>
          <w:right w:w="0" w:type="dxa"/>
        </w:tblCellMar>
      </w:tblPr>
      <w:tblGrid>
        <w:gridCol w:w="245"/>
        <w:gridCol w:w="2765"/>
      </w:tblGrid>
      <w:tr>
        <w:trPr/>
        <w:tc>
          <w:tcPr>
            <w:tcW w:w="245" w:type="dxa"/>
            <w:tcBorders/>
            <w:vAlign w:val="center"/>
          </w:tcPr>
          <w:p>
            <w:pPr>
              <w:pStyle w:val="TableContents"/>
              <w:bidi w:val="0"/>
              <w:spacing w:before="0" w:after="283"/>
              <w:jc w:val="left"/>
              <w:rPr/>
            </w:pPr>
            <w:r>
              <w:rPr/>
              <w:t>☐</w:t>
            </w:r>
          </w:p>
        </w:tc>
        <w:tc>
          <w:tcPr>
            <w:tcW w:w="27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240.13e-4(c))</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6555" w:type="dxa"/>
        <w:jc w:val="left"/>
        <w:tblInd w:w="0" w:type="dxa"/>
        <w:tblLayout w:type="fixed"/>
        <w:tblCellMar>
          <w:top w:w="0" w:type="dxa"/>
          <w:left w:w="0" w:type="dxa"/>
          <w:bottom w:w="0" w:type="dxa"/>
          <w:right w:w="0" w:type="dxa"/>
        </w:tblCellMar>
      </w:tblPr>
      <w:tblGrid>
        <w:gridCol w:w="2645"/>
        <w:gridCol w:w="60"/>
        <w:gridCol w:w="740"/>
        <w:gridCol w:w="60"/>
        <w:gridCol w:w="3050"/>
      </w:tblGrid>
      <w:tr>
        <w:trPr/>
        <w:tc>
          <w:tcPr>
            <w:tcW w:w="26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26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2645" w:type="dxa"/>
            <w:tcBorders/>
            <w:vAlign w:val="center"/>
          </w:tcPr>
          <w:p>
            <w:pPr>
              <w:pStyle w:val="TableContents"/>
              <w:bidi w:val="0"/>
              <w:spacing w:before="0" w:after="283"/>
              <w:jc w:val="center"/>
              <w:rPr/>
            </w:pPr>
            <w:r>
              <w:rPr/>
              <w:t>Evergy, Inc. common stock</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EVRG</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(17 CFR §230.405 of this chapter) or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Securities Exchange Act of 1934 (17 CFR </w:t>
      </w:r>
    </w:p>
    <w:p>
      <w:pPr>
        <w:pStyle w:val="TextBody"/>
        <w:bidi w:val="0"/>
        <w:spacing w:before="240" w:after="0"/>
        <w:jc w:val="left"/>
        <w:rPr>
          <w:rFonts w:ascii="Times New Roman" w:hAnsi="Times New Roman"/>
          <w:spacing w:val="0"/>
          <w:sz w:val="20"/>
        </w:rPr>
      </w:pPr>
      <w:r>
        <w:rPr>
          <w:rFonts w:ascii="Times New Roman" w:hAnsi="Times New Roman"/>
          <w:spacing w:val="0"/>
          <w:sz w:val="20"/>
        </w:rPr>
        <w:t>§240.12b-2</w:t>
      </w:r>
    </w:p>
    <w:p>
      <w:pPr>
        <w:pStyle w:val="TextBody"/>
        <w:bidi w:val="0"/>
        <w:spacing w:before="240" w:after="0"/>
        <w:jc w:val="left"/>
        <w:rPr>
          <w:rFonts w:ascii="Times New Roman" w:hAnsi="Times New Roman"/>
          <w:sz w:val="20"/>
        </w:rPr>
      </w:pPr>
      <w:r>
        <w:rPr>
          <w:rFonts w:ascii="Times New Roman" w:hAnsi="Times New Roman"/>
          <w:sz w:val="20"/>
        </w:rPr>
        <w:t xml:space="preserve">of this chapter). </w:t>
      </w:r>
    </w:p>
    <w:p>
      <w:pPr>
        <w:pStyle w:val="TextBody"/>
        <w:bidi w:val="0"/>
        <w:spacing w:before="24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combined Current Report on Form 8-K is provided by the following registrants: Evergy, Inc. (“Evergy”), Evergy Kansas Central, Inc. (“Evergy Kansas Central”) and Evergy Metro, Inc. (“Evergy Metro”). Information relating to any individual registrant is filed by such registrant solely on its own behalf. Each registrant makes no representation as to information relating exclusively to the other registrants. </w:t>
      </w:r>
    </w:p>
    <w:p>
      <w:pPr>
        <w:pStyle w:val="TextBody"/>
        <w:bidi w:val="0"/>
        <w:spacing w:before="360" w:after="0"/>
        <w:jc w:val="left"/>
        <w:rPr>
          <w:rFonts w:ascii="Times New Roman" w:hAnsi="Times New Roman"/>
          <w:b/>
          <w:sz w:val="20"/>
        </w:rPr>
      </w:pPr>
      <w:r>
        <w:rPr>
          <w:rFonts w:ascii="Times New Roman" w:hAnsi="Times New Roman"/>
          <w:b/>
          <w:sz w:val="20"/>
        </w:rPr>
        <w:t xml:space="preserve">Item 2.02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On August 6, 2026, Evergy issued a press release announcing its results for the second quarter ended June 30, 2026. A copy of the press release is attached as Exhibit 99.1. </w:t>
      </w:r>
    </w:p>
    <w:p>
      <w:pPr>
        <w:pStyle w:val="TextBody"/>
        <w:bidi w:val="0"/>
        <w:spacing w:before="240" w:after="0"/>
        <w:jc w:val="left"/>
        <w:rPr>
          <w:rFonts w:ascii="Times New Roman" w:hAnsi="Times New Roman"/>
          <w:sz w:val="20"/>
        </w:rPr>
      </w:pPr>
      <w:r>
        <w:rPr>
          <w:rFonts w:ascii="Times New Roman" w:hAnsi="Times New Roman"/>
          <w:sz w:val="20"/>
        </w:rPr>
        <w:t xml:space="preserve">The press release contains information regarding Evergy Kansas Central and Evergy Metro. Accordingly, information in the press release relating to Evergy Kansas Central and Evergy Metro is also being furnished on behalf of Evergy Kansas Central and Evergy Metro.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under this Item 2.02 and in Exhibit 99.1 hereto is being furnished and shall not be deemed “filed” for the purposes of Section 18 of the Securities Exchange Act of 1934, as amended (“Exchange Act”) or otherwise subject to the liabilities of that section. The information under this Item 2.02 and Exhibit 99.1 hereto shall not be deemed incorporated by reference into any registration statement or other document pursuant to the Securities Act of 1933, as amended (“Securities Act”), unless otherwise expressly indicated in such registration statement or other document. </w:t>
      </w:r>
    </w:p>
    <w:p>
      <w:pPr>
        <w:pStyle w:val="TextBody"/>
        <w:bidi w:val="0"/>
        <w:spacing w:before="360" w:after="0"/>
        <w:jc w:val="left"/>
        <w:rPr>
          <w:rFonts w:ascii="Times New Roman" w:hAnsi="Times New Roman"/>
          <w:b/>
          <w:sz w:val="20"/>
        </w:rPr>
      </w:pPr>
      <w:r>
        <w:rPr>
          <w:rFonts w:ascii="Times New Roman" w:hAnsi="Times New Roman"/>
          <w:b/>
          <w:sz w:val="20"/>
        </w:rPr>
        <w:t xml:space="preserve">Item 7.01 Regulation FD Disclosure </w:t>
      </w:r>
    </w:p>
    <w:p>
      <w:pPr>
        <w:pStyle w:val="TextBody"/>
        <w:bidi w:val="0"/>
        <w:spacing w:before="120" w:after="0"/>
        <w:jc w:val="left"/>
        <w:rPr>
          <w:rFonts w:ascii="Times New Roman" w:hAnsi="Times New Roman"/>
          <w:sz w:val="20"/>
        </w:rPr>
      </w:pPr>
      <w:r>
        <w:rPr>
          <w:rFonts w:ascii="Times New Roman" w:hAnsi="Times New Roman"/>
          <w:sz w:val="20"/>
        </w:rPr>
        <w:t xml:space="preserve">Evergy is furnishing 2026 fiscal year earnings guidance in the press release attached as Exhibit 99.1, which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under this Item 7.01 and in Exhibit 99.1 is being furnished and shall not be deemed “filed” for the purposes of Section 18 of the Exchange Act or otherwise subject to the liabilities of that section. The information under this Item 7.01 and in Exhibit 99.1 shall not be deemed incorporated by reference into any registration statement or other document pursuant to the Securities Act unless otherwise expressly indicated in such registration statement or other document.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b/>
          <w:sz w:val="20"/>
          <w:u w:val="single"/>
        </w:rPr>
      </w:pPr>
      <w:r>
        <w:rPr>
          <w:rFonts w:ascii="Times New Roman" w:hAnsi="Times New Roman"/>
          <w:b/>
          <w:sz w:val="20"/>
          <w:u w:val="single"/>
        </w:rPr>
        <w:t xml:space="preserve">(d) Exhibits </w:t>
      </w:r>
    </w:p>
    <w:p>
      <w:pPr>
        <w:pStyle w:val="TextBody"/>
        <w:bidi w:val="0"/>
        <w:spacing w:before="0" w:after="0"/>
        <w:jc w:val="left"/>
        <w:rPr/>
      </w:pPr>
      <w:r>
        <w:rPr/>
        <w:t> </w:t>
      </w:r>
    </w:p>
    <w:tbl>
      <w:tblPr>
        <w:tblW w:w="8665" w:type="dxa"/>
        <w:jc w:val="left"/>
        <w:tblInd w:w="0" w:type="dxa"/>
        <w:tblLayout w:type="fixed"/>
        <w:tblCellMar>
          <w:top w:w="0" w:type="dxa"/>
          <w:left w:w="0" w:type="dxa"/>
          <w:bottom w:w="0" w:type="dxa"/>
          <w:right w:w="0" w:type="dxa"/>
        </w:tblCellMar>
      </w:tblPr>
      <w:tblGrid>
        <w:gridCol w:w="860"/>
        <w:gridCol w:w="120"/>
        <w:gridCol w:w="7685"/>
      </w:tblGrid>
      <w:tr>
        <w:trPr/>
        <w:tc>
          <w:tcPr>
            <w:tcW w:w="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86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55157dex991.htm">
              <w:r>
                <w:rPr>
                  <w:rStyle w:val="InternetLink"/>
                </w:rPr>
                <w:t xml:space="preserve">Press Release issued by Evergy, Inc. on August 6, 2026. </w:t>
              </w:r>
            </w:hyperlink>
          </w:p>
        </w:tc>
      </w:tr>
      <w:tr>
        <w:trPr/>
        <w:tc>
          <w:tcPr>
            <w:tcW w:w="86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registrants have duly caused this report to be signed on their behalf by the undersigned hereunto duly authorized. </w:t>
      </w:r>
    </w:p>
    <w:p>
      <w:pPr>
        <w:pStyle w:val="TextBody"/>
        <w:bidi w:val="0"/>
        <w:spacing w:before="0" w:after="0"/>
        <w:jc w:val="left"/>
        <w:rPr/>
      </w:pPr>
      <w:r>
        <w:rPr/>
        <w:t> </w:t>
      </w:r>
    </w:p>
    <w:tbl>
      <w:tblPr>
        <w:tblW w:w="5433" w:type="dxa"/>
        <w:jc w:val="left"/>
        <w:tblInd w:w="0" w:type="dxa"/>
        <w:tblLayout w:type="fixed"/>
        <w:tblCellMar>
          <w:top w:w="0" w:type="dxa"/>
          <w:left w:w="0" w:type="dxa"/>
          <w:bottom w:w="0" w:type="dxa"/>
          <w:right w:w="0" w:type="dxa"/>
        </w:tblCellMar>
      </w:tblPr>
      <w:tblGrid>
        <w:gridCol w:w="2083"/>
        <w:gridCol w:w="1258"/>
        <w:gridCol w:w="2092"/>
      </w:tblGrid>
      <w:tr>
        <w:trPr/>
        <w:tc>
          <w:tcPr>
            <w:tcW w:w="2083"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5433" w:type="dxa"/>
            <w:gridSpan w:val="3"/>
            <w:tcBorders/>
            <w:vAlign w:val="center"/>
          </w:tcPr>
          <w:p>
            <w:pPr>
              <w:pStyle w:val="TableContents"/>
              <w:bidi w:val="0"/>
              <w:spacing w:before="0" w:after="283"/>
              <w:jc w:val="left"/>
              <w:rPr>
                <w:b/>
              </w:rPr>
            </w:pPr>
            <w:r>
              <w:rPr>
                <w:b/>
              </w:rPr>
              <w:t>Evergy, Inc.</w:t>
            </w:r>
          </w:p>
        </w:tc>
      </w:tr>
      <w:tr>
        <w:trPr/>
        <w:tc>
          <w:tcPr>
            <w:tcW w:w="5433" w:type="dxa"/>
            <w:gridSpan w:val="3"/>
            <w:tcBorders/>
            <w:vAlign w:val="center"/>
          </w:tcPr>
          <w:p>
            <w:pPr>
              <w:pStyle w:val="TableContents"/>
              <w:bidi w:val="0"/>
              <w:spacing w:before="0" w:after="283"/>
              <w:jc w:val="left"/>
              <w:rPr>
                <w:sz w:val="4"/>
                <w:szCs w:val="4"/>
              </w:rPr>
            </w:pPr>
            <w:r>
              <w:rPr>
                <w:sz w:val="4"/>
                <w:szCs w:val="4"/>
              </w:rPr>
            </w:r>
          </w:p>
        </w:tc>
      </w:tr>
      <w:tr>
        <w:trPr/>
        <w:tc>
          <w:tcPr>
            <w:tcW w:w="5433" w:type="dxa"/>
            <w:gridSpan w:val="3"/>
            <w:tcBorders>
              <w:bottom w:val="single" w:sz="6" w:space="0" w:color="000000"/>
            </w:tcBorders>
            <w:tcMar>
              <w:bottom w:w="28" w:type="dxa"/>
            </w:tcMar>
            <w:vAlign w:val="center"/>
          </w:tcPr>
          <w:p>
            <w:pPr>
              <w:pStyle w:val="TableContents"/>
              <w:bidi w:val="0"/>
              <w:spacing w:before="0" w:after="283"/>
              <w:jc w:val="left"/>
              <w:rPr/>
            </w:pPr>
            <w:r>
              <w:rPr/>
              <w:t>/s/ Geoffrey T. Ley</w:t>
            </w:r>
          </w:p>
        </w:tc>
      </w:tr>
      <w:tr>
        <w:trPr/>
        <w:tc>
          <w:tcPr>
            <w:tcW w:w="5433" w:type="dxa"/>
            <w:gridSpan w:val="3"/>
            <w:tcBorders/>
            <w:vAlign w:val="center"/>
          </w:tcPr>
          <w:p>
            <w:pPr>
              <w:pStyle w:val="TableContents"/>
              <w:bidi w:val="0"/>
              <w:spacing w:before="0" w:after="283"/>
              <w:jc w:val="left"/>
              <w:rPr/>
            </w:pPr>
            <w:r>
              <w:rPr/>
              <w:t>Geoffrey T. Ley</w:t>
            </w:r>
          </w:p>
        </w:tc>
      </w:tr>
      <w:tr>
        <w:trPr/>
        <w:tc>
          <w:tcPr>
            <w:tcW w:w="5433" w:type="dxa"/>
            <w:gridSpan w:val="3"/>
            <w:tcBorders/>
            <w:vAlign w:val="center"/>
          </w:tcPr>
          <w:p>
            <w:pPr>
              <w:pStyle w:val="TableContents"/>
              <w:bidi w:val="0"/>
              <w:spacing w:before="0" w:after="283"/>
              <w:jc w:val="left"/>
              <w:rPr/>
            </w:pPr>
            <w:r>
              <w:rPr/>
              <w:t>Senior Vice President, Corporate Planning and Treasurer</w:t>
            </w:r>
          </w:p>
        </w:tc>
      </w:tr>
      <w:tr>
        <w:trPr/>
        <w:tc>
          <w:tcPr>
            <w:tcW w:w="5433" w:type="dxa"/>
            <w:gridSpan w:val="3"/>
            <w:tcBorders/>
            <w:vAlign w:val="center"/>
          </w:tcPr>
          <w:p>
            <w:pPr>
              <w:pStyle w:val="TableContents"/>
              <w:bidi w:val="0"/>
              <w:spacing w:before="0" w:after="283"/>
              <w:jc w:val="left"/>
              <w:rPr>
                <w:sz w:val="4"/>
                <w:szCs w:val="4"/>
              </w:rPr>
            </w:pPr>
            <w:r>
              <w:rPr>
                <w:sz w:val="4"/>
                <w:szCs w:val="4"/>
              </w:rPr>
            </w:r>
          </w:p>
        </w:tc>
      </w:tr>
      <w:tr>
        <w:trPr/>
        <w:tc>
          <w:tcPr>
            <w:tcW w:w="5433" w:type="dxa"/>
            <w:gridSpan w:val="3"/>
            <w:tcBorders/>
            <w:vAlign w:val="center"/>
          </w:tcPr>
          <w:p>
            <w:pPr>
              <w:pStyle w:val="TableContents"/>
              <w:bidi w:val="0"/>
              <w:spacing w:before="0" w:after="283"/>
              <w:jc w:val="left"/>
              <w:rPr>
                <w:b/>
              </w:rPr>
            </w:pPr>
            <w:r>
              <w:rPr>
                <w:b/>
              </w:rPr>
              <w:t>Evergy Kansas Central, Inc.</w:t>
            </w:r>
          </w:p>
        </w:tc>
      </w:tr>
      <w:tr>
        <w:trPr/>
        <w:tc>
          <w:tcPr>
            <w:tcW w:w="5433" w:type="dxa"/>
            <w:gridSpan w:val="3"/>
            <w:tcBorders/>
            <w:vAlign w:val="center"/>
          </w:tcPr>
          <w:p>
            <w:pPr>
              <w:pStyle w:val="TableContents"/>
              <w:bidi w:val="0"/>
              <w:spacing w:before="0" w:after="283"/>
              <w:jc w:val="left"/>
              <w:rPr>
                <w:sz w:val="4"/>
                <w:szCs w:val="4"/>
              </w:rPr>
            </w:pPr>
            <w:r>
              <w:rPr>
                <w:sz w:val="4"/>
                <w:szCs w:val="4"/>
              </w:rPr>
            </w:r>
          </w:p>
        </w:tc>
      </w:tr>
      <w:tr>
        <w:trPr/>
        <w:tc>
          <w:tcPr>
            <w:tcW w:w="5433" w:type="dxa"/>
            <w:gridSpan w:val="3"/>
            <w:tcBorders>
              <w:bottom w:val="single" w:sz="6" w:space="0" w:color="000000"/>
            </w:tcBorders>
            <w:tcMar>
              <w:bottom w:w="28" w:type="dxa"/>
            </w:tcMar>
            <w:vAlign w:val="center"/>
          </w:tcPr>
          <w:p>
            <w:pPr>
              <w:pStyle w:val="TableContents"/>
              <w:bidi w:val="0"/>
              <w:spacing w:before="0" w:after="283"/>
              <w:jc w:val="left"/>
              <w:rPr/>
            </w:pPr>
            <w:r>
              <w:rPr/>
              <w:t>/s/ Geoffrey T. Ley</w:t>
            </w:r>
          </w:p>
        </w:tc>
      </w:tr>
      <w:tr>
        <w:trPr/>
        <w:tc>
          <w:tcPr>
            <w:tcW w:w="5433" w:type="dxa"/>
            <w:gridSpan w:val="3"/>
            <w:tcBorders/>
            <w:vAlign w:val="center"/>
          </w:tcPr>
          <w:p>
            <w:pPr>
              <w:pStyle w:val="TableContents"/>
              <w:bidi w:val="0"/>
              <w:spacing w:before="0" w:after="283"/>
              <w:jc w:val="left"/>
              <w:rPr/>
            </w:pPr>
            <w:r>
              <w:rPr/>
              <w:t>Geoffrey T. Ley</w:t>
            </w:r>
          </w:p>
        </w:tc>
      </w:tr>
      <w:tr>
        <w:trPr/>
        <w:tc>
          <w:tcPr>
            <w:tcW w:w="5433" w:type="dxa"/>
            <w:gridSpan w:val="3"/>
            <w:tcBorders/>
            <w:vAlign w:val="center"/>
          </w:tcPr>
          <w:p>
            <w:pPr>
              <w:pStyle w:val="TableContents"/>
              <w:bidi w:val="0"/>
              <w:spacing w:before="0" w:after="283"/>
              <w:jc w:val="left"/>
              <w:rPr/>
            </w:pPr>
            <w:r>
              <w:rPr/>
              <w:t>Senior Vice President, Corporate Planning and Treasurer</w:t>
            </w:r>
          </w:p>
        </w:tc>
      </w:tr>
      <w:tr>
        <w:trPr/>
        <w:tc>
          <w:tcPr>
            <w:tcW w:w="5433" w:type="dxa"/>
            <w:gridSpan w:val="3"/>
            <w:tcBorders/>
            <w:vAlign w:val="center"/>
          </w:tcPr>
          <w:p>
            <w:pPr>
              <w:pStyle w:val="TableContents"/>
              <w:bidi w:val="0"/>
              <w:spacing w:before="0" w:after="283"/>
              <w:jc w:val="left"/>
              <w:rPr>
                <w:sz w:val="4"/>
                <w:szCs w:val="4"/>
              </w:rPr>
            </w:pPr>
            <w:r>
              <w:rPr>
                <w:sz w:val="4"/>
                <w:szCs w:val="4"/>
              </w:rPr>
            </w:r>
          </w:p>
        </w:tc>
      </w:tr>
      <w:tr>
        <w:trPr/>
        <w:tc>
          <w:tcPr>
            <w:tcW w:w="5433" w:type="dxa"/>
            <w:gridSpan w:val="3"/>
            <w:tcBorders/>
            <w:vAlign w:val="center"/>
          </w:tcPr>
          <w:p>
            <w:pPr>
              <w:pStyle w:val="TableContents"/>
              <w:bidi w:val="0"/>
              <w:spacing w:before="0" w:after="283"/>
              <w:jc w:val="left"/>
              <w:rPr>
                <w:b/>
              </w:rPr>
            </w:pPr>
            <w:r>
              <w:rPr>
                <w:b/>
              </w:rPr>
              <w:t>Evergy Metro, Inc.</w:t>
            </w:r>
          </w:p>
        </w:tc>
      </w:tr>
      <w:tr>
        <w:trPr/>
        <w:tc>
          <w:tcPr>
            <w:tcW w:w="5433" w:type="dxa"/>
            <w:gridSpan w:val="3"/>
            <w:tcBorders/>
            <w:vAlign w:val="center"/>
          </w:tcPr>
          <w:p>
            <w:pPr>
              <w:pStyle w:val="TableContents"/>
              <w:bidi w:val="0"/>
              <w:spacing w:before="0" w:after="283"/>
              <w:jc w:val="left"/>
              <w:rPr>
                <w:sz w:val="4"/>
                <w:szCs w:val="4"/>
              </w:rPr>
            </w:pPr>
            <w:r>
              <w:rPr>
                <w:sz w:val="4"/>
                <w:szCs w:val="4"/>
              </w:rPr>
            </w:r>
          </w:p>
        </w:tc>
      </w:tr>
      <w:tr>
        <w:trPr/>
        <w:tc>
          <w:tcPr>
            <w:tcW w:w="5433" w:type="dxa"/>
            <w:gridSpan w:val="3"/>
            <w:tcBorders>
              <w:bottom w:val="single" w:sz="6" w:space="0" w:color="000000"/>
            </w:tcBorders>
            <w:tcMar>
              <w:bottom w:w="28" w:type="dxa"/>
            </w:tcMar>
            <w:vAlign w:val="center"/>
          </w:tcPr>
          <w:p>
            <w:pPr>
              <w:pStyle w:val="TableContents"/>
              <w:bidi w:val="0"/>
              <w:spacing w:before="0" w:after="283"/>
              <w:jc w:val="left"/>
              <w:rPr/>
            </w:pPr>
            <w:r>
              <w:rPr/>
              <w:t>/s/ Geoffrey T. Ley</w:t>
            </w:r>
          </w:p>
        </w:tc>
      </w:tr>
      <w:tr>
        <w:trPr/>
        <w:tc>
          <w:tcPr>
            <w:tcW w:w="5433" w:type="dxa"/>
            <w:gridSpan w:val="3"/>
            <w:tcBorders/>
            <w:vAlign w:val="center"/>
          </w:tcPr>
          <w:p>
            <w:pPr>
              <w:pStyle w:val="TableContents"/>
              <w:bidi w:val="0"/>
              <w:spacing w:before="0" w:after="283"/>
              <w:jc w:val="left"/>
              <w:rPr/>
            </w:pPr>
            <w:r>
              <w:rPr/>
              <w:t>Geoffrey T. Ley</w:t>
            </w:r>
          </w:p>
        </w:tc>
      </w:tr>
      <w:tr>
        <w:trPr/>
        <w:tc>
          <w:tcPr>
            <w:tcW w:w="5433" w:type="dxa"/>
            <w:gridSpan w:val="3"/>
            <w:tcBorders/>
            <w:vAlign w:val="center"/>
          </w:tcPr>
          <w:p>
            <w:pPr>
              <w:pStyle w:val="TableContents"/>
              <w:bidi w:val="0"/>
              <w:spacing w:before="0" w:after="283"/>
              <w:jc w:val="left"/>
              <w:rPr/>
            </w:pPr>
            <w:r>
              <w:rPr/>
              <w:t>Senior Vice President, Corporate Planning and Treasurer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6, 2026 </w:t>
      </w:r>
    </w:p>
    <w:p>
      <w:pPr>
        <w:pStyle w:val="TextBody"/>
        <w:bidi w:val="0"/>
        <w:spacing w:before="0" w:after="0"/>
        <w:jc w:val="right"/>
        <w:rPr>
          <w:rFonts w:ascii="Times New Roman" w:hAnsi="Times New Roman"/>
          <w:b/>
          <w:sz w:val="20"/>
        </w:rPr>
      </w:pPr>
      <w:bookmarkStart w:id="2" w:name="d55157dex991.htm"/>
      <w:bookmarkStart w:id="3" w:name="ksd55157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2"/>
        <w:gridCol w:w="102"/>
        <w:gridCol w:w="5001"/>
      </w:tblGrid>
      <w:tr>
        <w:trPr/>
        <w:tc>
          <w:tcPr>
            <w:tcW w:w="510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83"/>
              <w:jc w:val="left"/>
              <w:rPr>
                <w:b/>
              </w:rPr>
            </w:pPr>
            <w:r>
              <w:rPr>
                <w:b/>
              </w:rPr>
              <w:t>NEWS RELEASE</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right"/>
              <w:rPr/>
            </w:pPr>
            <w:r>
              <w:rPr/>
              <w:drawing>
                <wp:inline distT="0" distB="0" distL="0" distR="0">
                  <wp:extent cx="1819275"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19275" cy="419100"/>
                          </a:xfrm>
                          <a:prstGeom prst="rect">
                            <a:avLst/>
                          </a:prstGeom>
                        </pic:spPr>
                      </pic:pic>
                    </a:graphicData>
                  </a:graphic>
                </wp:inline>
              </w:drawing>
            </w:r>
            <w:r>
              <w:rPr/>
              <w:t xml:space="preserve">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Evergy Announces Second Quarter 2026 Results, Declares Quarterly Dividend and Reaffirms 2026 Guidance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Second Quarter 2026 GAAP EPS of $0.91, compared to $0.74 in 2025</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Second Quarter 2026 Adjusted EPS (non-GAAP) of $0.88, compared to $0.82 in 2025</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Declares quarterly dividend of $0.6950 per share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Reaffirms 2026 Adjusted (non-GAAP) EPS guidance of $4.14 to $4.34</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KANSAS CITY, MO., August 6, 2026 – Evergy, Inc. (NASDAQ: EVRG) today announced second quarter 2026 GAAP earnings of $215.0 million, or $0.91 per share, compared to GAAP earnings of $171.3 million, or $0.74 per share, for the second quarter 2025. </w:t>
      </w:r>
    </w:p>
    <w:p>
      <w:pPr>
        <w:pStyle w:val="TextBody"/>
        <w:bidi w:val="0"/>
        <w:spacing w:before="240" w:after="0"/>
        <w:jc w:val="left"/>
        <w:rPr>
          <w:rFonts w:ascii="Times New Roman" w:hAnsi="Times New Roman"/>
          <w:sz w:val="20"/>
        </w:rPr>
      </w:pPr>
      <w:r>
        <w:rPr>
          <w:rFonts w:ascii="Times New Roman" w:hAnsi="Times New Roman"/>
          <w:sz w:val="20"/>
        </w:rPr>
        <w:t xml:space="preserve">Evergy’s second quarter 2026 adjusted earnings (non-GAAP) and adjusted earnings per share (non-GAAP) were $208.5 million and $0.88 per share, respectively, compared to $191.1 million and $0.82, respectively, in second quarter 2025. Adjusted earnings (non-GAAP) and adjusted earnings per share (non-GAAP) are reconciled to GAAP earnings in the financial table included in this release. </w:t>
      </w:r>
    </w:p>
    <w:p>
      <w:pPr>
        <w:pStyle w:val="TextBody"/>
        <w:bidi w:val="0"/>
        <w:spacing w:before="240" w:after="0"/>
        <w:jc w:val="left"/>
        <w:rPr>
          <w:rFonts w:ascii="Times New Roman" w:hAnsi="Times New Roman"/>
          <w:sz w:val="20"/>
        </w:rPr>
      </w:pPr>
      <w:r>
        <w:rPr>
          <w:rFonts w:ascii="Times New Roman" w:hAnsi="Times New Roman"/>
          <w:sz w:val="20"/>
        </w:rPr>
        <w:t xml:space="preserve">Relative to the same period in 2025, second quarter 2026 adjusted earnings (non-GAAP) per share benefited from recovery of regulated investments, growth in weather-normalized demand and higher large customer revenues. These favorable results were partially offset by higher operations and maintenance expense and higher depreciation and amortization expense. </w:t>
      </w:r>
    </w:p>
    <w:p>
      <w:pPr>
        <w:pStyle w:val="TextBody"/>
        <w:bidi w:val="0"/>
        <w:spacing w:before="240" w:after="0"/>
        <w:jc w:val="left"/>
        <w:rPr/>
      </w:pPr>
      <w:r>
        <w:rPr/>
        <w:t>“</w:t>
      </w:r>
      <w:r>
        <w:rPr>
          <w:rFonts w:ascii="Times New Roman" w:hAnsi="Times New Roman"/>
          <w:sz w:val="20"/>
        </w:rPr>
        <w:t xml:space="preserve">We remain on track to meet our expectations for the year after delivering solid second quarter financial performance,” said David Campbell, Evergy chairman and chief executive officer. “Large customer interest in Kansas and Missouri remains very strong. We are confident in our ability to advance our pipeline and we expect to execute at least one more electric service agreement in 2026.” </w:t>
      </w:r>
    </w:p>
    <w:p>
      <w:pPr>
        <w:pStyle w:val="TextBody"/>
        <w:bidi w:val="0"/>
        <w:spacing w:before="240" w:after="0"/>
        <w:jc w:val="left"/>
        <w:rPr/>
      </w:pPr>
      <w:r>
        <w:rPr/>
        <w:t>“</w:t>
      </w:r>
      <w:r>
        <w:rPr>
          <w:rFonts w:ascii="Times New Roman" w:hAnsi="Times New Roman"/>
          <w:sz w:val="20"/>
        </w:rPr>
        <w:t xml:space="preserve">We are reaffirming our 2026 adjusted EPS guidance of $4.14 to $4.34,” added Campbell. “We are also reaffirming our long-term adjusted EPS annual growth target of 6% to 8%+ through 2030 off the 2026 midpoint, with the expectation that annual EPS growth will exceed 8% beginning in 2028 and through 2030.”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Earnings Guidance </w:t>
      </w:r>
    </w:p>
    <w:p>
      <w:pPr>
        <w:pStyle w:val="TextBody"/>
        <w:bidi w:val="0"/>
        <w:spacing w:before="120" w:after="0"/>
        <w:jc w:val="left"/>
        <w:rPr>
          <w:rFonts w:ascii="Times New Roman" w:hAnsi="Times New Roman"/>
          <w:sz w:val="20"/>
        </w:rPr>
      </w:pPr>
      <w:r>
        <w:rPr>
          <w:rFonts w:ascii="Times New Roman" w:hAnsi="Times New Roman"/>
          <w:sz w:val="20"/>
        </w:rPr>
        <w:t xml:space="preserve">The Company reaffirmed its 2026 adjusted EPS (non-GAAP) guidance range of $4.14 to $4.34. Additionally, the Company reaffirmed its long-term adjusted EPS (non-GAAP) annual growth target of 6% to 8%+ through 2030 based on the 2026 adjusted EPS (non-GAAP) guidance midpoint of $4.24. The Company expects annual adjusted EPS growth to exceed 8% beginning in 2028 and through 2030. Adjusted EPS (non-GAAP) could differ from GAAP EPS for items such as impairments, divestitures, mark-to-market impacts, the impact of regulatory orders, or changes in accounting principles. Evergy management is not able to forecast if any of these items will occur or any amounts that may be reported for future periods. Therefore, Evergy is not able to provide a corresponding GAAP equivalent for 2026 or future years’ adjusted EPS (non-GAAP) guidance.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investors.evergy.com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819275" cy="41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19275" cy="4191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Dividend Declaration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declared a dividend on the Company’s common stock of $0.6950 per share payable on September 18, 2026. The dividends are payable to shareholders of record as of August 18, 2026.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Earnings Conference Call </w:t>
      </w:r>
    </w:p>
    <w:p>
      <w:pPr>
        <w:pStyle w:val="TextBody"/>
        <w:bidi w:val="0"/>
        <w:spacing w:before="120" w:after="0"/>
        <w:jc w:val="left"/>
        <w:rPr>
          <w:rFonts w:ascii="Times New Roman" w:hAnsi="Times New Roman"/>
          <w:sz w:val="20"/>
        </w:rPr>
      </w:pPr>
      <w:r>
        <w:rPr>
          <w:rFonts w:ascii="Times New Roman" w:hAnsi="Times New Roman"/>
          <w:sz w:val="20"/>
        </w:rPr>
        <w:t xml:space="preserve">Evergy management will host a conference call Thursday, August 6, 2026, with the investment community at 9:00 a.m. ET (8:00 a.m. CT). To view the webcast and presentation slides, please go to </w:t>
      </w:r>
      <w:r>
        <w:rPr>
          <w:rFonts w:ascii="Times New Roman" w:hAnsi="Times New Roman"/>
          <w:sz w:val="20"/>
          <w:u w:val="single"/>
        </w:rPr>
        <w:t>investors.evergy.com</w:t>
      </w:r>
      <w:r>
        <w:rPr>
          <w:rFonts w:ascii="Times New Roman" w:hAnsi="Times New Roman"/>
          <w:sz w:val="20"/>
        </w:rPr>
        <w:t xml:space="preserve">. To access via phone, investors and analysts will need to register using this link where they will be provided a phone number and access code. </w:t>
      </w:r>
    </w:p>
    <w:p>
      <w:pPr>
        <w:pStyle w:val="TextBody"/>
        <w:bidi w:val="0"/>
        <w:spacing w:before="240" w:after="0"/>
        <w:jc w:val="left"/>
        <w:rPr>
          <w:rFonts w:ascii="Times New Roman" w:hAnsi="Times New Roman"/>
          <w:sz w:val="20"/>
        </w:rPr>
      </w:pPr>
      <w:r>
        <w:rPr>
          <w:rFonts w:ascii="Times New Roman" w:hAnsi="Times New Roman"/>
          <w:sz w:val="20"/>
        </w:rPr>
        <w:t xml:space="preserve">This earnings announcement, a package of detailed second quarter financial information, the Company’s quarterly report on Form 10-Q for the period ended June 30, 2026, and other filings the Company has made with the Securities and Exchange Commission are available on the Company’s website at http://investors.evergy.com.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Adjusted Earnings (non-GAAP) and Adjusted Earnings Per Share (non-GAAP) </w:t>
      </w:r>
    </w:p>
    <w:p>
      <w:pPr>
        <w:pStyle w:val="TextBody"/>
        <w:bidi w:val="0"/>
        <w:spacing w:before="120" w:after="0"/>
        <w:jc w:val="left"/>
        <w:rPr>
          <w:rFonts w:ascii="Times New Roman" w:hAnsi="Times New Roman"/>
          <w:sz w:val="20"/>
        </w:rPr>
      </w:pPr>
      <w:r>
        <w:rPr>
          <w:rFonts w:ascii="Times New Roman" w:hAnsi="Times New Roman"/>
          <w:sz w:val="20"/>
        </w:rPr>
        <w:t xml:space="preserve">Management believes that adjusted earnings (non-GAAP) and adjusted EPS (non-GAAP) are representative measures of Evergy’s recurring earnings, assist in the comparability of results and are consistent with how management reviews performance. </w:t>
      </w:r>
    </w:p>
    <w:p>
      <w:pPr>
        <w:pStyle w:val="TextBody"/>
        <w:bidi w:val="0"/>
        <w:spacing w:before="240" w:after="0"/>
        <w:jc w:val="left"/>
        <w:rPr>
          <w:rFonts w:ascii="Times New Roman" w:hAnsi="Times New Roman"/>
          <w:sz w:val="20"/>
        </w:rPr>
      </w:pPr>
      <w:r>
        <w:rPr>
          <w:rFonts w:ascii="Times New Roman" w:hAnsi="Times New Roman"/>
          <w:sz w:val="20"/>
        </w:rPr>
        <w:t xml:space="preserve">Evergy’s adjusted earnings (non-GAAP) and adjusted EPS (non-GAAP) for the three months ended and year to date June 30, 2026, were $208.5 million or $0.88 per share and $370.3 million or $1.57 per share, respectively. For the three months ended and year to date June 30, 2025, Evergy’s adjusted earnings (non-GAAP) and adjusted EPS (non-GAAP) were $191.1 million or $0.82 per share and $318.9 million or $1.37 per share, respectively.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net income attributable to Evergy, Inc. and diluted EPS, Evergy’s management uses adjusted earnings (non-GAAP) and adjusted EPS (non-GAAP) to evaluate earnings and EPS without: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losses from the repurchase of a portion of Evergy’s Convertible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investment gains and losses from non-regulated investments in early-stage clean energy and energy solution companies and costs related to the disposal of these investments.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Adjusted earnings (non-GAAP) and adjusted EPS (non-GAAP) are intended to aid an investor’s overall understanding of results. Management believes that adjusted earnings (non-GAAP) provides a meaningful basis for evaluating Evergy’s operations across periods because it excludes certain items that management does not believe are indicative of Evergy’s ongoing performance or that can create period to period earnings volatility. </w:t>
      </w:r>
    </w:p>
    <w:p>
      <w:pPr>
        <w:pStyle w:val="TextBody"/>
        <w:bidi w:val="0"/>
        <w:spacing w:before="240" w:after="0"/>
        <w:jc w:val="left"/>
        <w:rPr>
          <w:rFonts w:ascii="Times New Roman" w:hAnsi="Times New Roman"/>
          <w:sz w:val="20"/>
        </w:rPr>
      </w:pPr>
      <w:r>
        <w:rPr>
          <w:rFonts w:ascii="Times New Roman" w:hAnsi="Times New Roman"/>
          <w:sz w:val="20"/>
        </w:rPr>
        <w:t xml:space="preserve">Adjusted earnings (non-GAAP) and adjusted EPS (non-GAAP) are used internally to measure performance against budget and in reports for management and the Evergy Board. Adjusted earnings (non-GAAP) and adjusted EPS (non-GAAP) are financial measures that are not calculated in accordance with GAAP and may not be comparable to other companies’ presentations or more useful than the GAAP information provided elsewhere in this report.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investors.evergy.com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819275" cy="419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19275" cy="4191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tables provide a reconciliation between net income attributable to Evergy, Inc. and diluted EPS as determined in accordance with GAAP and adjusted earnings (non-GAAP) and adjusted EPS (non-GAAP), respectively. </w:t>
      </w:r>
    </w:p>
    <w:p>
      <w:pPr>
        <w:pStyle w:val="TextBody"/>
        <w:bidi w:val="0"/>
        <w:spacing w:before="240" w:after="0"/>
        <w:jc w:val="center"/>
        <w:rPr>
          <w:rFonts w:ascii="Times New Roman" w:hAnsi="Times New Roman"/>
          <w:b/>
          <w:sz w:val="20"/>
        </w:rPr>
      </w:pPr>
      <w:r>
        <w:rPr>
          <w:rFonts w:ascii="Times New Roman" w:hAnsi="Times New Roman"/>
          <w:b/>
          <w:sz w:val="20"/>
        </w:rPr>
        <w:t xml:space="preserve">Evergy, Inc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Earnings and Diluted Earnings Per Share </w:t>
      </w:r>
    </w:p>
    <w:p>
      <w:pPr>
        <w:pStyle w:val="TextBody"/>
        <w:bidi w:val="0"/>
        <w:spacing w:before="0" w:after="0"/>
        <w:jc w:val="center"/>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64"/>
        <w:gridCol w:w="190"/>
        <w:gridCol w:w="190"/>
        <w:gridCol w:w="760"/>
        <w:gridCol w:w="155"/>
        <w:gridCol w:w="141"/>
        <w:gridCol w:w="203"/>
        <w:gridCol w:w="749"/>
        <w:gridCol w:w="155"/>
        <w:gridCol w:w="141"/>
        <w:gridCol w:w="190"/>
        <w:gridCol w:w="760"/>
        <w:gridCol w:w="155"/>
        <w:gridCol w:w="140"/>
        <w:gridCol w:w="203"/>
        <w:gridCol w:w="749"/>
        <w:gridCol w:w="160"/>
      </w:tblGrid>
      <w:tr>
        <w:trPr/>
        <w:tc>
          <w:tcPr>
            <w:tcW w:w="5164"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6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Earnings</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Earnings</w:t>
              <w:br/>
              <w:t>per</w:t>
              <w:br/>
              <w:t>Diluted</w:t>
              <w:br/>
              <w:t>Share</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Earnings</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Earnings</w:t>
              <w:br/>
              <w:t>per</w:t>
              <w:br/>
              <w:t>Diluted</w:t>
              <w:br/>
              <w:t>Share</w:t>
            </w:r>
          </w:p>
        </w:tc>
        <w:tc>
          <w:tcPr>
            <w:tcW w:w="160" w:type="dxa"/>
            <w:tcBorders/>
            <w:vAlign w:val="bottom"/>
          </w:tcPr>
          <w:p>
            <w:pPr>
              <w:pStyle w:val="TableContents"/>
              <w:bidi w:val="0"/>
              <w:spacing w:before="0" w:after="283"/>
              <w:jc w:val="left"/>
              <w:rPr/>
            </w:pPr>
            <w:r>
              <w:rPr/>
              <w:t> </w:t>
            </w:r>
          </w:p>
        </w:tc>
      </w:tr>
      <w:tr>
        <w:trPr/>
        <w:tc>
          <w:tcPr>
            <w:tcW w:w="516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Three Months Ended June 30</w:t>
            </w:r>
          </w:p>
        </w:tc>
        <w:tc>
          <w:tcPr>
            <w:tcW w:w="190" w:type="dxa"/>
            <w:tcBorders/>
            <w:vAlign w:val="bottom"/>
          </w:tcPr>
          <w:p>
            <w:pPr>
              <w:pStyle w:val="TableContents"/>
              <w:bidi w:val="0"/>
              <w:spacing w:before="0" w:after="283"/>
              <w:jc w:val="left"/>
              <w:rPr/>
            </w:pPr>
            <w:r>
              <w:rPr/>
              <w:t>  </w:t>
            </w:r>
          </w:p>
        </w:tc>
        <w:tc>
          <w:tcPr>
            <w:tcW w:w="219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219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0" w:type="dxa"/>
            <w:tcBorders/>
            <w:vAlign w:val="bottom"/>
          </w:tcPr>
          <w:p>
            <w:pPr>
              <w:pStyle w:val="TableContents"/>
              <w:bidi w:val="0"/>
              <w:spacing w:before="0" w:after="283"/>
              <w:jc w:val="left"/>
              <w:rPr/>
            </w:pPr>
            <w:r>
              <w:rPr/>
              <w:t> </w:t>
            </w:r>
          </w:p>
        </w:tc>
      </w:tr>
      <w:tr>
        <w:trPr/>
        <w:tc>
          <w:tcPr>
            <w:tcW w:w="516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4691" w:type="dxa"/>
            <w:gridSpan w:val="14"/>
            <w:tcBorders/>
            <w:vAlign w:val="bottom"/>
          </w:tcPr>
          <w:p>
            <w:pPr>
              <w:pStyle w:val="TableContents"/>
              <w:bidi w:val="0"/>
              <w:spacing w:before="0" w:after="283"/>
              <w:jc w:val="center"/>
              <w:rPr/>
            </w:pPr>
            <w:r>
              <w:rPr/>
              <w:t>(millions, except per share amounts)</w:t>
            </w:r>
          </w:p>
        </w:tc>
        <w:tc>
          <w:tcPr>
            <w:tcW w:w="160" w:type="dxa"/>
            <w:tcBorders/>
            <w:vAlign w:val="bottom"/>
          </w:tcPr>
          <w:p>
            <w:pPr>
              <w:pStyle w:val="TableContents"/>
              <w:bidi w:val="0"/>
              <w:spacing w:before="0" w:after="283"/>
              <w:jc w:val="left"/>
              <w:rPr/>
            </w:pPr>
            <w:r>
              <w:rPr/>
              <w:t> </w:t>
            </w:r>
          </w:p>
        </w:tc>
      </w:tr>
      <w:tr>
        <w:trPr/>
        <w:tc>
          <w:tcPr>
            <w:tcW w:w="51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Evergy, Inc.</w:t>
            </w:r>
          </w:p>
        </w:tc>
        <w:tc>
          <w:tcPr>
            <w:tcW w:w="19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760" w:type="dxa"/>
            <w:tcBorders/>
            <w:shd w:fill="CCEEFF" w:val="clear"/>
            <w:vAlign w:val="bottom"/>
          </w:tcPr>
          <w:p>
            <w:pPr>
              <w:pStyle w:val="TableContents"/>
              <w:bidi w:val="0"/>
              <w:spacing w:before="0" w:after="283"/>
              <w:jc w:val="right"/>
              <w:rPr/>
            </w:pPr>
            <w:r>
              <w:rPr/>
              <w:t>215.0</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749" w:type="dxa"/>
            <w:tcBorders/>
            <w:shd w:fill="CCEEFF" w:val="clear"/>
            <w:vAlign w:val="bottom"/>
          </w:tcPr>
          <w:p>
            <w:pPr>
              <w:pStyle w:val="TableContents"/>
              <w:bidi w:val="0"/>
              <w:spacing w:before="0" w:after="283"/>
              <w:jc w:val="right"/>
              <w:rPr/>
            </w:pPr>
            <w:r>
              <w:rPr/>
              <w:t>0.91</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760" w:type="dxa"/>
            <w:tcBorders/>
            <w:shd w:fill="CCEEFF" w:val="clear"/>
            <w:vAlign w:val="bottom"/>
          </w:tcPr>
          <w:p>
            <w:pPr>
              <w:pStyle w:val="TableContents"/>
              <w:bidi w:val="0"/>
              <w:spacing w:before="0" w:after="283"/>
              <w:jc w:val="right"/>
              <w:rPr/>
            </w:pPr>
            <w:r>
              <w:rPr/>
              <w:t>171.3</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749" w:type="dxa"/>
            <w:tcBorders/>
            <w:shd w:fill="CCEEFF" w:val="clear"/>
            <w:vAlign w:val="bottom"/>
          </w:tcPr>
          <w:p>
            <w:pPr>
              <w:pStyle w:val="TableContents"/>
              <w:bidi w:val="0"/>
              <w:spacing w:before="0" w:after="283"/>
              <w:jc w:val="right"/>
              <w:rPr/>
            </w:pPr>
            <w:r>
              <w:rPr/>
              <w:t>0.74</w:t>
            </w:r>
          </w:p>
        </w:tc>
        <w:tc>
          <w:tcPr>
            <w:tcW w:w="160" w:type="dxa"/>
            <w:tcBorders/>
            <w:shd w:fill="CCEEFF" w:val="clear"/>
            <w:vAlign w:val="bottom"/>
          </w:tcPr>
          <w:p>
            <w:pPr>
              <w:pStyle w:val="TableContents"/>
              <w:bidi w:val="0"/>
              <w:spacing w:before="0" w:after="283"/>
              <w:jc w:val="left"/>
              <w:rPr/>
            </w:pPr>
            <w:r>
              <w:rPr/>
              <w:t> </w:t>
            </w:r>
          </w:p>
        </w:tc>
      </w:tr>
      <w:tr>
        <w:trPr/>
        <w:tc>
          <w:tcPr>
            <w:tcW w:w="5164" w:type="dxa"/>
            <w:tcBorders/>
          </w:tcPr>
          <w:p>
            <w:pPr>
              <w:pStyle w:val="TableContents"/>
              <w:bidi w:val="0"/>
              <w:spacing w:before="0" w:after="0"/>
              <w:jc w:val="left"/>
              <w:rPr>
                <w:rFonts w:ascii="Times New Roman" w:hAnsi="Times New Roman"/>
                <w:sz w:val="20"/>
              </w:rPr>
            </w:pPr>
            <w:r>
              <w:rPr>
                <w:rFonts w:ascii="Times New Roman" w:hAnsi="Times New Roman"/>
                <w:sz w:val="20"/>
              </w:rPr>
              <w:t>Non-GAAP reconciling items:</w:t>
            </w:r>
          </w:p>
        </w:tc>
        <w:tc>
          <w:tcPr>
            <w:tcW w:w="19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7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76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749"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1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(Gains) losses from investments in early-stage clean energy and energy solution companies, pre-tax(b)</w:t>
            </w:r>
          </w:p>
        </w:tc>
        <w:tc>
          <w:tcPr>
            <w:tcW w:w="19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(7.9</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(0.03</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283"/>
              <w:jc w:val="right"/>
              <w:rPr/>
            </w:pPr>
            <w:r>
              <w:rPr/>
              <w:t>25.4</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0.10</w:t>
            </w:r>
          </w:p>
        </w:tc>
        <w:tc>
          <w:tcPr>
            <w:tcW w:w="160" w:type="dxa"/>
            <w:tcBorders/>
            <w:shd w:fill="CCEEFF" w:val="clear"/>
            <w:vAlign w:val="bottom"/>
          </w:tcPr>
          <w:p>
            <w:pPr>
              <w:pStyle w:val="TableContents"/>
              <w:bidi w:val="0"/>
              <w:spacing w:before="0" w:after="283"/>
              <w:jc w:val="left"/>
              <w:rPr/>
            </w:pPr>
            <w:r>
              <w:rPr/>
              <w:t> </w:t>
            </w:r>
          </w:p>
        </w:tc>
      </w:tr>
      <w:tr>
        <w:trPr/>
        <w:tc>
          <w:tcPr>
            <w:tcW w:w="5164"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 (benefit) (c)</w:t>
            </w:r>
          </w:p>
        </w:tc>
        <w:tc>
          <w:tcPr>
            <w:tcW w:w="19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1.4</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283"/>
              <w:jc w:val="right"/>
              <w:rPr/>
            </w:pPr>
            <w:r>
              <w:rPr/>
              <w:t>(5.6</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(0.02</w:t>
            </w:r>
          </w:p>
        </w:tc>
        <w:tc>
          <w:tcPr>
            <w:tcW w:w="160" w:type="dxa"/>
            <w:tcBorders/>
            <w:vAlign w:val="bottom"/>
          </w:tcPr>
          <w:p>
            <w:pPr>
              <w:pStyle w:val="TableContents"/>
              <w:bidi w:val="0"/>
              <w:spacing w:before="0" w:after="283"/>
              <w:jc w:val="left"/>
              <w:rPr/>
            </w:pPr>
            <w:r>
              <w:rPr/>
              <w:t>) </w:t>
            </w:r>
          </w:p>
        </w:tc>
      </w:tr>
      <w:tr>
        <w:trPr/>
        <w:tc>
          <w:tcPr>
            <w:tcW w:w="5164"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7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7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74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1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earnings (non-GAAP)</w:t>
            </w:r>
          </w:p>
        </w:tc>
        <w:tc>
          <w:tcPr>
            <w:tcW w:w="19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760" w:type="dxa"/>
            <w:tcBorders/>
            <w:shd w:fill="CCEEFF" w:val="clear"/>
            <w:vAlign w:val="bottom"/>
          </w:tcPr>
          <w:p>
            <w:pPr>
              <w:pStyle w:val="TableContents"/>
              <w:bidi w:val="0"/>
              <w:spacing w:before="0" w:after="283"/>
              <w:jc w:val="right"/>
              <w:rPr/>
            </w:pPr>
            <w:r>
              <w:rPr/>
              <w:t>208.5</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749" w:type="dxa"/>
            <w:tcBorders/>
            <w:shd w:fill="CCEEFF" w:val="clear"/>
            <w:vAlign w:val="bottom"/>
          </w:tcPr>
          <w:p>
            <w:pPr>
              <w:pStyle w:val="TableContents"/>
              <w:bidi w:val="0"/>
              <w:spacing w:before="0" w:after="283"/>
              <w:jc w:val="right"/>
              <w:rPr/>
            </w:pPr>
            <w:r>
              <w:rPr/>
              <w:t>0.88</w:t>
            </w:r>
          </w:p>
        </w:tc>
        <w:tc>
          <w:tcPr>
            <w:tcW w:w="15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760" w:type="dxa"/>
            <w:tcBorders/>
            <w:shd w:fill="CCEEFF" w:val="clear"/>
            <w:vAlign w:val="bottom"/>
          </w:tcPr>
          <w:p>
            <w:pPr>
              <w:pStyle w:val="TableContents"/>
              <w:bidi w:val="0"/>
              <w:spacing w:before="0" w:after="283"/>
              <w:jc w:val="right"/>
              <w:rPr/>
            </w:pPr>
            <w:r>
              <w:rPr/>
              <w:t>191.1</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749" w:type="dxa"/>
            <w:tcBorders/>
            <w:shd w:fill="CCEEFF" w:val="clear"/>
            <w:vAlign w:val="bottom"/>
          </w:tcPr>
          <w:p>
            <w:pPr>
              <w:pStyle w:val="TableContents"/>
              <w:bidi w:val="0"/>
              <w:spacing w:before="0" w:after="283"/>
              <w:jc w:val="right"/>
              <w:rPr/>
            </w:pPr>
            <w:r>
              <w:rPr/>
              <w:t>0.82</w:t>
            </w:r>
          </w:p>
        </w:tc>
        <w:tc>
          <w:tcPr>
            <w:tcW w:w="160" w:type="dxa"/>
            <w:tcBorders/>
            <w:shd w:fill="CCEEFF" w:val="clear"/>
            <w:vAlign w:val="bottom"/>
          </w:tcPr>
          <w:p>
            <w:pPr>
              <w:pStyle w:val="TableContents"/>
              <w:bidi w:val="0"/>
              <w:spacing w:before="0" w:after="283"/>
              <w:jc w:val="left"/>
              <w:rPr/>
            </w:pPr>
            <w:r>
              <w:rPr/>
              <w:t> </w:t>
            </w:r>
          </w:p>
        </w:tc>
      </w:tr>
      <w:tr>
        <w:trPr/>
        <w:tc>
          <w:tcPr>
            <w:tcW w:w="5164"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7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74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7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749"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2"/>
        <w:gridCol w:w="199"/>
        <w:gridCol w:w="190"/>
        <w:gridCol w:w="765"/>
        <w:gridCol w:w="155"/>
        <w:gridCol w:w="151"/>
        <w:gridCol w:w="203"/>
        <w:gridCol w:w="754"/>
        <w:gridCol w:w="155"/>
        <w:gridCol w:w="151"/>
        <w:gridCol w:w="190"/>
        <w:gridCol w:w="765"/>
        <w:gridCol w:w="154"/>
        <w:gridCol w:w="151"/>
        <w:gridCol w:w="203"/>
        <w:gridCol w:w="754"/>
        <w:gridCol w:w="163"/>
      </w:tblGrid>
      <w:tr>
        <w:trPr/>
        <w:tc>
          <w:tcPr>
            <w:tcW w:w="5102"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Earnings</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Earnings</w:t>
              <w:br/>
              <w:t>per</w:t>
              <w:br/>
              <w:t>Diluted</w:t>
              <w:br/>
              <w:t>Share</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Earnings</w:t>
            </w:r>
          </w:p>
        </w:tc>
        <w:tc>
          <w:tcPr>
            <w:tcW w:w="15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Earnings</w:t>
              <w:br/>
              <w:t>per</w:t>
              <w:br/>
              <w:t>Diluted</w:t>
              <w:br/>
              <w:t>Share</w:t>
            </w:r>
          </w:p>
        </w:tc>
        <w:tc>
          <w:tcPr>
            <w:tcW w:w="163" w:type="dxa"/>
            <w:tcBorders/>
            <w:vAlign w:val="bottom"/>
          </w:tcPr>
          <w:p>
            <w:pPr>
              <w:pStyle w:val="TableContents"/>
              <w:bidi w:val="0"/>
              <w:spacing w:before="0" w:after="283"/>
              <w:jc w:val="left"/>
              <w:rPr/>
            </w:pPr>
            <w:r>
              <w:rPr/>
              <w:t> </w:t>
            </w:r>
          </w:p>
        </w:tc>
      </w:tr>
      <w:tr>
        <w:trPr/>
        <w:tc>
          <w:tcPr>
            <w:tcW w:w="510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Year to Date June 30</w:t>
            </w:r>
          </w:p>
        </w:tc>
        <w:tc>
          <w:tcPr>
            <w:tcW w:w="199" w:type="dxa"/>
            <w:tcBorders/>
            <w:vAlign w:val="bottom"/>
          </w:tcPr>
          <w:p>
            <w:pPr>
              <w:pStyle w:val="TableContents"/>
              <w:bidi w:val="0"/>
              <w:spacing w:before="0" w:after="283"/>
              <w:jc w:val="left"/>
              <w:rPr/>
            </w:pPr>
            <w:r>
              <w:rPr/>
              <w:t>  </w:t>
            </w:r>
          </w:p>
        </w:tc>
        <w:tc>
          <w:tcPr>
            <w:tcW w:w="221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21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3" w:type="dxa"/>
            <w:tcBorders/>
            <w:vAlign w:val="bottom"/>
          </w:tcPr>
          <w:p>
            <w:pPr>
              <w:pStyle w:val="TableContents"/>
              <w:bidi w:val="0"/>
              <w:spacing w:before="0" w:after="283"/>
              <w:jc w:val="left"/>
              <w:rPr/>
            </w:pPr>
            <w:r>
              <w:rPr/>
              <w:t> </w:t>
            </w:r>
          </w:p>
        </w:tc>
      </w:tr>
      <w:tr>
        <w:trPr/>
        <w:tc>
          <w:tcPr>
            <w:tcW w:w="510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4741" w:type="dxa"/>
            <w:gridSpan w:val="14"/>
            <w:tcBorders/>
            <w:vAlign w:val="bottom"/>
          </w:tcPr>
          <w:p>
            <w:pPr>
              <w:pStyle w:val="TableContents"/>
              <w:bidi w:val="0"/>
              <w:spacing w:before="0" w:after="283"/>
              <w:jc w:val="center"/>
              <w:rPr/>
            </w:pPr>
            <w:r>
              <w:rPr/>
              <w:t>(millions, except per share amounts)</w:t>
            </w:r>
          </w:p>
        </w:tc>
        <w:tc>
          <w:tcPr>
            <w:tcW w:w="163" w:type="dxa"/>
            <w:tcBorders/>
            <w:vAlign w:val="bottom"/>
          </w:tcPr>
          <w:p>
            <w:pPr>
              <w:pStyle w:val="TableContents"/>
              <w:bidi w:val="0"/>
              <w:spacing w:before="0" w:after="283"/>
              <w:jc w:val="left"/>
              <w:rPr/>
            </w:pPr>
            <w:r>
              <w:rPr/>
              <w:t> </w:t>
            </w:r>
          </w:p>
        </w:tc>
      </w:tr>
      <w:tr>
        <w:trPr/>
        <w:tc>
          <w:tcPr>
            <w:tcW w:w="51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Evergy, Inc.</w:t>
            </w:r>
          </w:p>
        </w:tc>
        <w:tc>
          <w:tcPr>
            <w:tcW w:w="199"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765" w:type="dxa"/>
            <w:tcBorders/>
            <w:shd w:fill="CCEEFF" w:val="clear"/>
            <w:vAlign w:val="bottom"/>
          </w:tcPr>
          <w:p>
            <w:pPr>
              <w:pStyle w:val="TableContents"/>
              <w:bidi w:val="0"/>
              <w:spacing w:before="0" w:after="283"/>
              <w:jc w:val="right"/>
              <w:rPr/>
            </w:pPr>
            <w:r>
              <w:rPr/>
              <w:t>366.5</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754" w:type="dxa"/>
            <w:tcBorders/>
            <w:shd w:fill="CCEEFF" w:val="clear"/>
            <w:vAlign w:val="bottom"/>
          </w:tcPr>
          <w:p>
            <w:pPr>
              <w:pStyle w:val="TableContents"/>
              <w:bidi w:val="0"/>
              <w:spacing w:before="0" w:after="283"/>
              <w:jc w:val="right"/>
              <w:rPr/>
            </w:pPr>
            <w:r>
              <w:rPr/>
              <w:t>1.55</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765" w:type="dxa"/>
            <w:tcBorders/>
            <w:shd w:fill="CCEEFF" w:val="clear"/>
            <w:vAlign w:val="bottom"/>
          </w:tcPr>
          <w:p>
            <w:pPr>
              <w:pStyle w:val="TableContents"/>
              <w:bidi w:val="0"/>
              <w:spacing w:before="0" w:after="283"/>
              <w:jc w:val="right"/>
              <w:rPr/>
            </w:pPr>
            <w:r>
              <w:rPr/>
              <w:t>296.3</w:t>
            </w:r>
          </w:p>
        </w:tc>
        <w:tc>
          <w:tcPr>
            <w:tcW w:w="15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754" w:type="dxa"/>
            <w:tcBorders/>
            <w:shd w:fill="CCEEFF" w:val="clear"/>
            <w:vAlign w:val="bottom"/>
          </w:tcPr>
          <w:p>
            <w:pPr>
              <w:pStyle w:val="TableContents"/>
              <w:bidi w:val="0"/>
              <w:spacing w:before="0" w:after="283"/>
              <w:jc w:val="right"/>
              <w:rPr/>
            </w:pPr>
            <w:r>
              <w:rPr/>
              <w:t>1.28</w:t>
            </w:r>
          </w:p>
        </w:tc>
        <w:tc>
          <w:tcPr>
            <w:tcW w:w="163" w:type="dxa"/>
            <w:tcBorders/>
            <w:shd w:fill="CCEEFF" w:val="clear"/>
            <w:vAlign w:val="bottom"/>
          </w:tcPr>
          <w:p>
            <w:pPr>
              <w:pStyle w:val="TableContents"/>
              <w:bidi w:val="0"/>
              <w:spacing w:before="0" w:after="283"/>
              <w:jc w:val="left"/>
              <w:rPr/>
            </w:pPr>
            <w:r>
              <w:rPr/>
              <w:t> </w:t>
            </w:r>
          </w:p>
        </w:tc>
      </w:tr>
      <w:tr>
        <w:trPr/>
        <w:tc>
          <w:tcPr>
            <w:tcW w:w="5102" w:type="dxa"/>
            <w:tcBorders/>
          </w:tcPr>
          <w:p>
            <w:pPr>
              <w:pStyle w:val="TableContents"/>
              <w:bidi w:val="0"/>
              <w:spacing w:before="0" w:after="0"/>
              <w:jc w:val="left"/>
              <w:rPr>
                <w:rFonts w:ascii="Times New Roman" w:hAnsi="Times New Roman"/>
                <w:sz w:val="20"/>
              </w:rPr>
            </w:pPr>
            <w:r>
              <w:rPr>
                <w:rFonts w:ascii="Times New Roman" w:hAnsi="Times New Roman"/>
                <w:sz w:val="20"/>
              </w:rPr>
              <w:t>Non-GAAP reconciling items:</w:t>
            </w:r>
          </w:p>
        </w:tc>
        <w:tc>
          <w:tcPr>
            <w:tcW w:w="199"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76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75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765"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75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51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Losses from the repurchase of convertible notes, pre-tax (a)</w:t>
            </w:r>
          </w:p>
        </w:tc>
        <w:tc>
          <w:tcPr>
            <w:tcW w:w="199"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10.3</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0.05</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— </w:t>
            </w:r>
          </w:p>
        </w:tc>
        <w:tc>
          <w:tcPr>
            <w:tcW w:w="15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5102" w:type="dxa"/>
            <w:tcBorders/>
          </w:tcPr>
          <w:p>
            <w:pPr>
              <w:pStyle w:val="TableContents"/>
              <w:bidi w:val="0"/>
              <w:spacing w:before="0" w:after="0"/>
              <w:jc w:val="left"/>
              <w:rPr>
                <w:rFonts w:ascii="Times New Roman" w:hAnsi="Times New Roman"/>
                <w:sz w:val="20"/>
              </w:rPr>
            </w:pPr>
            <w:r>
              <w:rPr>
                <w:rFonts w:ascii="Times New Roman" w:hAnsi="Times New Roman"/>
                <w:sz w:val="20"/>
              </w:rPr>
              <w:t>(Gains) losses from investments in early-stage clean energy and energy solution companies, pre-tax(b)</w:t>
            </w:r>
          </w:p>
        </w:tc>
        <w:tc>
          <w:tcPr>
            <w:tcW w:w="199"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(7.5</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(0.03</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29.0</w:t>
            </w:r>
          </w:p>
        </w:tc>
        <w:tc>
          <w:tcPr>
            <w:tcW w:w="15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0.12</w:t>
            </w:r>
          </w:p>
        </w:tc>
        <w:tc>
          <w:tcPr>
            <w:tcW w:w="163" w:type="dxa"/>
            <w:tcBorders/>
            <w:vAlign w:val="bottom"/>
          </w:tcPr>
          <w:p>
            <w:pPr>
              <w:pStyle w:val="TableContents"/>
              <w:bidi w:val="0"/>
              <w:spacing w:before="0" w:after="283"/>
              <w:jc w:val="left"/>
              <w:rPr/>
            </w:pPr>
            <w:r>
              <w:rPr/>
              <w:t> </w:t>
            </w:r>
          </w:p>
        </w:tc>
      </w:tr>
      <w:tr>
        <w:trPr/>
        <w:tc>
          <w:tcPr>
            <w:tcW w:w="51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 (benefit) (c)</w:t>
            </w:r>
          </w:p>
        </w:tc>
        <w:tc>
          <w:tcPr>
            <w:tcW w:w="199"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(6.4</w:t>
            </w:r>
          </w:p>
        </w:tc>
        <w:tc>
          <w:tcPr>
            <w:tcW w:w="15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(0.03</w:t>
            </w:r>
          </w:p>
        </w:tc>
        <w:tc>
          <w:tcPr>
            <w:tcW w:w="163" w:type="dxa"/>
            <w:tcBorders/>
            <w:shd w:fill="CCEEFF" w:val="clear"/>
            <w:vAlign w:val="bottom"/>
          </w:tcPr>
          <w:p>
            <w:pPr>
              <w:pStyle w:val="TableContents"/>
              <w:bidi w:val="0"/>
              <w:spacing w:before="0" w:after="283"/>
              <w:jc w:val="left"/>
              <w:rPr/>
            </w:pPr>
            <w:r>
              <w:rPr/>
              <w:t>) </w:t>
            </w:r>
          </w:p>
        </w:tc>
      </w:tr>
      <w:tr>
        <w:trPr/>
        <w:tc>
          <w:tcPr>
            <w:tcW w:w="5102"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5102" w:type="dxa"/>
            <w:tcBorders/>
          </w:tcPr>
          <w:p>
            <w:pPr>
              <w:pStyle w:val="TableContents"/>
              <w:bidi w:val="0"/>
              <w:spacing w:before="0" w:after="0"/>
              <w:jc w:val="left"/>
              <w:rPr>
                <w:rFonts w:ascii="Times New Roman" w:hAnsi="Times New Roman"/>
                <w:sz w:val="20"/>
              </w:rPr>
            </w:pPr>
            <w:r>
              <w:rPr>
                <w:rFonts w:ascii="Times New Roman" w:hAnsi="Times New Roman"/>
                <w:sz w:val="20"/>
              </w:rPr>
              <w:t>Adjusted earnings (non-GAAP)</w:t>
            </w:r>
          </w:p>
        </w:tc>
        <w:tc>
          <w:tcPr>
            <w:tcW w:w="199"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765" w:type="dxa"/>
            <w:tcBorders/>
            <w:vAlign w:val="bottom"/>
          </w:tcPr>
          <w:p>
            <w:pPr>
              <w:pStyle w:val="TableContents"/>
              <w:bidi w:val="0"/>
              <w:spacing w:before="0" w:after="283"/>
              <w:jc w:val="right"/>
              <w:rPr/>
            </w:pPr>
            <w:r>
              <w:rPr/>
              <w:t>370.3</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754" w:type="dxa"/>
            <w:tcBorders/>
            <w:vAlign w:val="bottom"/>
          </w:tcPr>
          <w:p>
            <w:pPr>
              <w:pStyle w:val="TableContents"/>
              <w:bidi w:val="0"/>
              <w:spacing w:before="0" w:after="283"/>
              <w:jc w:val="right"/>
              <w:rPr/>
            </w:pPr>
            <w:r>
              <w:rPr/>
              <w:t>1.57</w:t>
            </w:r>
          </w:p>
        </w:tc>
        <w:tc>
          <w:tcPr>
            <w:tcW w:w="15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765" w:type="dxa"/>
            <w:tcBorders/>
            <w:vAlign w:val="bottom"/>
          </w:tcPr>
          <w:p>
            <w:pPr>
              <w:pStyle w:val="TableContents"/>
              <w:bidi w:val="0"/>
              <w:spacing w:before="0" w:after="283"/>
              <w:jc w:val="right"/>
              <w:rPr/>
            </w:pPr>
            <w:r>
              <w:rPr/>
              <w:t>318.9</w:t>
            </w:r>
          </w:p>
        </w:tc>
        <w:tc>
          <w:tcPr>
            <w:tcW w:w="15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754" w:type="dxa"/>
            <w:tcBorders/>
            <w:vAlign w:val="bottom"/>
          </w:tcPr>
          <w:p>
            <w:pPr>
              <w:pStyle w:val="TableContents"/>
              <w:bidi w:val="0"/>
              <w:spacing w:before="0" w:after="283"/>
              <w:jc w:val="right"/>
              <w:rPr/>
            </w:pPr>
            <w:r>
              <w:rPr/>
              <w:t>1.37</w:t>
            </w:r>
          </w:p>
        </w:tc>
        <w:tc>
          <w:tcPr>
            <w:tcW w:w="163" w:type="dxa"/>
            <w:tcBorders/>
            <w:vAlign w:val="bottom"/>
          </w:tcPr>
          <w:p>
            <w:pPr>
              <w:pStyle w:val="TableContents"/>
              <w:bidi w:val="0"/>
              <w:spacing w:before="0" w:after="283"/>
              <w:jc w:val="left"/>
              <w:rPr/>
            </w:pPr>
            <w:r>
              <w:rPr/>
              <w:t> </w:t>
            </w:r>
          </w:p>
        </w:tc>
      </w:tr>
      <w:tr>
        <w:trPr/>
        <w:tc>
          <w:tcPr>
            <w:tcW w:w="5102"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76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75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765"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754"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losses and fees of $10.3 million related to Evergy’s repurchase of $244.1 million aggregate principal amount of its Convertible Notes in the first quarter 2026 that are included in interest expense on the consolidated statements of comprehensive income.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net realized gains of $7.9 million and unrealized losses and impairment losses of $25.4 million for the three months ended June 30, 2026 and 2025, respectively, and net realized and unrealized gains of $8.1 million and unrealized losses and impairment losses of $29.0 million year to date June 30, 2026 and 2025, respectively, from non-regulated investments in early-stage clean energy and energy solution companies that are included in investment earnings on the consolidated statements of comprehensive income and $0.6 million year to date June 30, 2026, of costs related to the disposal of these investments that are included in operating and maintenance expense on the consolidated statements of comprehensive income. Evergy is in the process of disposing of these investments.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an income tax effect calculated at a statutory rate of approximately 22%, with the exception of certain non-deductible items. </w:t>
            </w:r>
          </w:p>
        </w:tc>
      </w:tr>
    </w:tbl>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investors.evergy.com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819275" cy="4191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19275" cy="4191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About Evergy </w:t>
      </w:r>
    </w:p>
    <w:p>
      <w:pPr>
        <w:pStyle w:val="TextBody"/>
        <w:bidi w:val="0"/>
        <w:spacing w:before="120" w:after="0"/>
        <w:jc w:val="left"/>
        <w:rPr>
          <w:rFonts w:ascii="Times New Roman" w:hAnsi="Times New Roman"/>
          <w:sz w:val="20"/>
        </w:rPr>
      </w:pPr>
      <w:r>
        <w:rPr>
          <w:rFonts w:ascii="Times New Roman" w:hAnsi="Times New Roman"/>
          <w:sz w:val="20"/>
        </w:rPr>
        <w:t xml:space="preserve">Evergy, Inc. (NASDAQ: EVRG), serves 1.7 million customers in Kansas and Missouri. Evergy’s mission is to empower a better future. We are leading the way in delivering affordable, reliable and sustainable energy that creates the foundation for thriving and growing communities. Our focus is on delivering reliable power while keeping bills as low as possible. We value innovation and adaptability to give our customers better ways to manage their energy use, to create a safe and rewarding workplace for our employees and to add value for our investors. Headquartered in Kansas City, our employees live, work and volunteer in the communities we serve.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about Evergy, visit us at </w:t>
      </w:r>
      <w:r>
        <w:rPr>
          <w:rFonts w:ascii="Times New Roman" w:hAnsi="Times New Roman"/>
          <w:sz w:val="20"/>
          <w:u w:val="single"/>
        </w:rPr>
        <w:t>http://investors.evergy.com</w:t>
      </w:r>
      <w:r>
        <w:rPr>
          <w:rFonts w:ascii="Times New Roman" w:hAnsi="Times New Roman"/>
          <w:sz w:val="20"/>
        </w:rPr>
        <w:t xml:space="preserv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Forward 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Statements made in this document that are not based on historical facts are forward-looking, may involve risks and uncertainties, and are intended to be as of the date when made. Forward-looking statements include, but are not limited to, statements relating to Evergy’s strategic plan, including, without limitation, those related to earnings per share, dividend, operating and maintenance expense and capital investment goals; the outcome of legislative efforts and regulatory and legal proceedings; future energy demand, including demand driven by new and existing customers; future power prices; plans with respect to existing and potential future generation resources; the availability and cost of generation resources and energy storage; target emissions reductions; and other matters relating to expected financial performance or affecting future operations. Forward-looking statements are often accompanied by forward-looking words such as “anticipates,” “believes,” “expects,” “estimates,” “forecasts,” “guidance,” “should,” “could,” “may,” “seeks,” “intends,” “predict,” “potential,” “opportunities,” “proposed,” “projects,” “planned,” “target,” “budget,” “outlook,” “remain confident,” “goal,” “will” or other words of similar meaning. Forward-looking statements involve risks, uncertainties and other factors that could cause actual results to differ materially from the forward-looking information.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safe harbor provisions of the Private Securities Litigation Reform Act of 1995, the Evergy Companies are providing a number of risks, uncertainties and other factors that could cause actual results to differ from the forward-looking information. These risks, uncertainties and other factors include, but are not limited to: economic and weather conditions and any impact on sales, prices and costs; significant changes in the demand for electricity, including, demand from data centers and other large load customers, and customer adoption of alternative energy sources, such as distributed generation; changes in business strategy or operations, including with respect to the Evergy Companies’ strategy to meet demand requirements of existing and future customers; uncertainties related to projected rapid growth in electricity demand driven primarily by data centers and other large load customers and the related requirement for new generation and transmission investments, creating capital access, revenue recovery and customer affordability risks; the impact of federal, state and local political, legislative, judicial and regulatory actions or developments, including deregulation, re-regulation, securitization and restructuring of the electric utility industry; prolonged or recurring U.S. federal government shutdowns; changes in U.S. trade policies (including tariffs and other trade measures) and responses from other countries; the ability to build or acquire generation, battery storage and transmission facilities to meet the future demand for electricity from customers; the ability to control costs, avoid cost and schedule overruns during the development, construction and operation of generation, battery storage, transmission, distribution or other projects due to challenges, which include, but are not limited to, changes in labor costs, availability and productivity, challenges with the management of contractors or vendors, subcontractor performance, shortages, delays, increased costs or inconsistent quality of equipment, materials and labor and increased financing costs as a result of changes in interest rates or as a result of project delays; decisions of regulators regarding, among other things, customer rates and the prudency of operational decisions such as capital expenditures and asset retirements; changes in applicable laws, regulations, rules, principles or practices, or the interpretations thereof, governing tax, accounting and environmental matters, including air and water quality and waste management and disposal; development, adoption and use of artificial intelligence by the Evergy Companies and its third-party vendors; the impact of climate change, including increased frequency and severity of significant weather events; risks relating to potential wildfires, including costs of litigation, potential regulatory penalties and damages in excess of insurance liability coverage; the sufficiency of the Evergy Companies’ insurance coverage, including availability, cost, coverage and terms and ability to recover claims; the extent to which counterparties are willing to do business with, finance the operations of or purchase energy from the Evergy Companies due to the fact that the Evergy Companies operate coal-fired generation; prices and availability of electricity and natural gas in wholesale markets; market perception of the energy industry and the Evergy Companies; the impact of future pandemic health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investors.evergy.com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819275" cy="4191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819275" cy="4191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events on, among other things, sales, results of operations, financial position, liquidity and cash flows, and also on operational issues, such as supply chain issues and the availability and ability of the Evergy Companies’ employees and suppliers to perform the functions that are necessary to operate the Evergy Companies; changes in the energy trading markets in which the Evergy Companies participate, including retroactive repricing of transactions by regional transmission organizations (RTO) and independent system operators; financial market conditions and performance, disruptions in the banking industry, including volatility in interest rates and credit spreads and in availability and cost of capital and the effects on derivatives and hedges and ability to obtain capital to finance large construction projects, nuclear decommissioning trust and pension plan assets and costs; impairments of long-lived assets or goodwill; credit ratings; inflation rates; effectiveness of risk management policies and procedures and the ability of counterparties to satisfy their contractual commitments including new large data center customers; impact of physical and cybersecurity breaches, criminal activity, terrorist attacks, acts of war and other disruptions to the Evergy Companies’ facilities or information technology infrastructure or the facilities and infrastructure of third-party service providers on which the Evergy Companies rely; impact of geopolitical conflicts on the global energy market, including the ability to contract for non-Russian sourced uranium; ability to carry out marketing and sales plans; cost, availability, quality and timely provision of equipment, supplies, labor and fuel; ability to achieve generation goals and the occurrence and duration of planned and unplanned generation outages; the Evergy Companies’ ability to manage their generation, transmission and distribution development plans and transmission joint ventures; the inherent risks associated with the ownership and operation of a nuclear facility, including environmental, health, safety, regulatory and financial risks; workforce risks, including those related to the Evergy Companies’ ability to attract and retain qualified personnel, maintain satisfactory relationships with their labor unions and manage costs of, or changes in, wages, retirement, health care and other benefits; disruption, costs and uncertainties caused by or related to the actions of individuals or entities, such as activist shareholders or special interest groups, that seek to influence Evergy’s strategic plan, financial results or operations; the impact of changing expectations and demands of the Evergy Companies’ customers, regulators, investors and stakeholders, including differing views on environmental, social and governance concerns; the possibility that strategic initiatives, including mergers, acquisitions, joint ventures and divestitures, and long-term financial plans, may not create the value that they are expected to achieve in a timely manner or at all; difficulties in maintaining relationships with customers, employees, contractors, regulators or suppliers; the outcome of litigation involving the Evergy Companies; and other risks and uncertainties. </w:t>
      </w:r>
    </w:p>
    <w:p>
      <w:pPr>
        <w:pStyle w:val="TextBody"/>
        <w:bidi w:val="0"/>
        <w:spacing w:before="240" w:after="0"/>
        <w:jc w:val="left"/>
        <w:rPr>
          <w:rFonts w:ascii="Times New Roman" w:hAnsi="Times New Roman"/>
          <w:sz w:val="20"/>
        </w:rPr>
      </w:pPr>
      <w:r>
        <w:rPr>
          <w:rFonts w:ascii="Times New Roman" w:hAnsi="Times New Roman"/>
          <w:sz w:val="20"/>
        </w:rPr>
        <w:t xml:space="preserve">This list of factors is not all-inclusive because it is not possible to predict all factors. You should also carefully consider the information contained in the Evergy Companies’ other filings with the Securities and Exchange Commission (SEC). Additional risks and uncertainties are discussed from time to time in current, quarterly and annual reports filed by the Evergy Companies with the SEC. New factors emerge from time to time, and it’s not possible for the Evergy Companies to predict all such factors, nor can the Evergy Companies assess the impact of each such factor on the business or the extent to which any factor, or combination of factors, may cause actual results to differ materially from those contained or implied in any forward-looking statement. Given these uncertainties, undue reliance should not be placed on these forward-looking statements. The Evergy Companies undertake no obligation to publicly update or revise any forward-looking statement, whether as a result of new information, future events or otherwise, except as required by law.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72"/>
        <w:gridCol w:w="120"/>
        <w:gridCol w:w="4913"/>
      </w:tblGrid>
      <w:tr>
        <w:trPr/>
        <w:tc>
          <w:tcPr>
            <w:tcW w:w="517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13" w:type="dxa"/>
            <w:tcBorders/>
            <w:vAlign w:val="center"/>
          </w:tcPr>
          <w:p>
            <w:pPr>
              <w:pStyle w:val="TableContents"/>
              <w:bidi w:val="0"/>
              <w:spacing w:before="0" w:after="283"/>
              <w:jc w:val="left"/>
              <w:rPr>
                <w:sz w:val="4"/>
                <w:szCs w:val="4"/>
              </w:rPr>
            </w:pPr>
            <w:r>
              <w:rPr>
                <w:sz w:val="4"/>
                <w:szCs w:val="4"/>
              </w:rPr>
            </w:r>
          </w:p>
        </w:tc>
      </w:tr>
      <w:tr>
        <w:trPr/>
        <w:tc>
          <w:tcPr>
            <w:tcW w:w="5172" w:type="dxa"/>
            <w:tcBorders/>
          </w:tcPr>
          <w:p>
            <w:pPr>
              <w:pStyle w:val="TableContents"/>
              <w:bidi w:val="0"/>
              <w:spacing w:before="0" w:after="0"/>
              <w:jc w:val="left"/>
              <w:rPr>
                <w:rFonts w:ascii="Times New Roman" w:hAnsi="Times New Roman"/>
                <w:b/>
                <w:sz w:val="20"/>
              </w:rPr>
            </w:pPr>
            <w:r>
              <w:rPr>
                <w:rFonts w:ascii="Times New Roman" w:hAnsi="Times New Roman"/>
                <w:b/>
                <w:sz w:val="20"/>
              </w:rPr>
              <w:t>Investor Contact:</w:t>
            </w:r>
          </w:p>
          <w:p>
            <w:pPr>
              <w:pStyle w:val="TableContents"/>
              <w:bidi w:val="0"/>
              <w:spacing w:before="0" w:after="0"/>
              <w:jc w:val="left"/>
              <w:rPr>
                <w:rFonts w:ascii="Times New Roman" w:hAnsi="Times New Roman"/>
                <w:sz w:val="20"/>
              </w:rPr>
            </w:pPr>
            <w:r>
              <w:rPr>
                <w:rFonts w:ascii="Times New Roman" w:hAnsi="Times New Roman"/>
                <w:sz w:val="20"/>
              </w:rPr>
              <w:t>Pete Flynn</w:t>
            </w:r>
          </w:p>
          <w:p>
            <w:pPr>
              <w:pStyle w:val="TableContents"/>
              <w:bidi w:val="0"/>
              <w:spacing w:before="0" w:after="0"/>
              <w:jc w:val="left"/>
              <w:rPr>
                <w:rFonts w:ascii="Times New Roman" w:hAnsi="Times New Roman"/>
                <w:sz w:val="20"/>
              </w:rPr>
            </w:pPr>
            <w:r>
              <w:rPr>
                <w:rFonts w:ascii="Times New Roman" w:hAnsi="Times New Roman"/>
                <w:sz w:val="20"/>
              </w:rPr>
              <w:t>Sr. Director, Investor Relations &amp; Insurance</w:t>
            </w:r>
          </w:p>
          <w:p>
            <w:pPr>
              <w:pStyle w:val="TableContents"/>
              <w:bidi w:val="0"/>
              <w:spacing w:before="0" w:after="0"/>
              <w:jc w:val="left"/>
              <w:rPr>
                <w:rFonts w:ascii="Times New Roman" w:hAnsi="Times New Roman"/>
                <w:sz w:val="20"/>
              </w:rPr>
            </w:pPr>
            <w:r>
              <w:rPr>
                <w:rFonts w:ascii="Times New Roman" w:hAnsi="Times New Roman"/>
                <w:sz w:val="20"/>
              </w:rPr>
              <w:t>Phone: 816-652-1060</w:t>
            </w:r>
          </w:p>
          <w:p>
            <w:pPr>
              <w:pStyle w:val="TableContents"/>
              <w:bidi w:val="0"/>
              <w:spacing w:before="0" w:after="20"/>
              <w:jc w:val="left"/>
              <w:rPr>
                <w:rFonts w:ascii="Times New Roman" w:hAnsi="Times New Roman"/>
                <w:sz w:val="20"/>
              </w:rPr>
            </w:pPr>
            <w:r>
              <w:rPr>
                <w:rFonts w:ascii="Times New Roman" w:hAnsi="Times New Roman"/>
                <w:sz w:val="20"/>
              </w:rPr>
              <w:t>Peter.Flynn@evergy.com</w:t>
            </w:r>
          </w:p>
        </w:tc>
        <w:tc>
          <w:tcPr>
            <w:tcW w:w="120" w:type="dxa"/>
            <w:tcBorders/>
            <w:vAlign w:val="bottom"/>
          </w:tcPr>
          <w:p>
            <w:pPr>
              <w:pStyle w:val="TableContents"/>
              <w:bidi w:val="0"/>
              <w:spacing w:before="0" w:after="283"/>
              <w:jc w:val="left"/>
              <w:rPr/>
            </w:pPr>
            <w:r>
              <w:rPr/>
              <w:t>  </w:t>
            </w:r>
          </w:p>
        </w:tc>
        <w:tc>
          <w:tcPr>
            <w:tcW w:w="4913" w:type="dxa"/>
            <w:tcBorders/>
          </w:tcPr>
          <w:p>
            <w:pPr>
              <w:pStyle w:val="TableContents"/>
              <w:bidi w:val="0"/>
              <w:spacing w:before="0" w:after="0"/>
              <w:jc w:val="left"/>
              <w:rPr>
                <w:rFonts w:ascii="Times New Roman" w:hAnsi="Times New Roman"/>
                <w:b/>
                <w:sz w:val="20"/>
              </w:rPr>
            </w:pPr>
            <w:r>
              <w:rPr>
                <w:rFonts w:ascii="Times New Roman" w:hAnsi="Times New Roman"/>
                <w:b/>
                <w:sz w:val="20"/>
              </w:rPr>
              <w:t>Media Contact:</w:t>
            </w:r>
          </w:p>
          <w:p>
            <w:pPr>
              <w:pStyle w:val="TableContents"/>
              <w:bidi w:val="0"/>
              <w:spacing w:before="0" w:after="0"/>
              <w:jc w:val="left"/>
              <w:rPr>
                <w:rFonts w:ascii="Times New Roman" w:hAnsi="Times New Roman"/>
                <w:sz w:val="20"/>
              </w:rPr>
            </w:pPr>
            <w:r>
              <w:rPr>
                <w:rFonts w:ascii="Times New Roman" w:hAnsi="Times New Roman"/>
                <w:sz w:val="20"/>
              </w:rPr>
              <w:t>Gina Penzig</w:t>
            </w:r>
          </w:p>
          <w:p>
            <w:pPr>
              <w:pStyle w:val="TableContents"/>
              <w:bidi w:val="0"/>
              <w:spacing w:before="0" w:after="0"/>
              <w:jc w:val="left"/>
              <w:rPr>
                <w:rFonts w:ascii="Times New Roman" w:hAnsi="Times New Roman"/>
                <w:sz w:val="20"/>
              </w:rPr>
            </w:pPr>
            <w:r>
              <w:rPr>
                <w:rFonts w:ascii="Times New Roman" w:hAnsi="Times New Roman"/>
                <w:sz w:val="20"/>
              </w:rPr>
              <w:t>Director, Corporate Communications</w:t>
            </w:r>
          </w:p>
          <w:p>
            <w:pPr>
              <w:pStyle w:val="TableContents"/>
              <w:bidi w:val="0"/>
              <w:spacing w:before="0" w:after="0"/>
              <w:jc w:val="left"/>
              <w:rPr>
                <w:rFonts w:ascii="Times New Roman" w:hAnsi="Times New Roman"/>
                <w:sz w:val="20"/>
              </w:rPr>
            </w:pPr>
            <w:r>
              <w:rPr>
                <w:rFonts w:ascii="Times New Roman" w:hAnsi="Times New Roman"/>
                <w:sz w:val="20"/>
              </w:rPr>
              <w:t>Phone: 785-508-2410</w:t>
            </w:r>
          </w:p>
          <w:p>
            <w:pPr>
              <w:pStyle w:val="TableContents"/>
              <w:bidi w:val="0"/>
              <w:spacing w:before="0" w:after="0"/>
              <w:jc w:val="left"/>
              <w:rPr>
                <w:rFonts w:ascii="Times New Roman" w:hAnsi="Times New Roman"/>
                <w:sz w:val="20"/>
              </w:rPr>
            </w:pPr>
            <w:r>
              <w:rPr>
                <w:rFonts w:ascii="Times New Roman" w:hAnsi="Times New Roman"/>
                <w:sz w:val="20"/>
              </w:rPr>
              <w:t>Gina.Penzig@evergy.com</w:t>
            </w:r>
          </w:p>
          <w:p>
            <w:pPr>
              <w:pStyle w:val="TableContents"/>
              <w:bidi w:val="0"/>
              <w:spacing w:before="0" w:after="20"/>
              <w:jc w:val="left"/>
              <w:rPr>
                <w:rFonts w:ascii="Times New Roman" w:hAnsi="Times New Roman"/>
                <w:sz w:val="20"/>
              </w:rPr>
            </w:pPr>
            <w:r>
              <w:rPr>
                <w:rFonts w:ascii="Times New Roman" w:hAnsi="Times New Roman"/>
                <w:sz w:val="20"/>
              </w:rPr>
              <w:t>Media line: 888-613-0003</w:t>
            </w:r>
          </w:p>
        </w:tc>
      </w:tr>
    </w:tbl>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investors.evergy.com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3600</Words>
  <Characters>21043</Characters>
  <CharactersWithSpaces>24770</CharactersWithSpaces>
  <Paragraphs>585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